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SHAW RUTH G</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SPX Technologies,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SPXC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40" w:type="dxa"/>
            <w:vAlign w:val="bottom"/>
            <w:gridSpan w:val="3"/>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0" w:type="dxa"/>
            <w:vAlign w:val="bottom"/>
            <w:tcBorders>
              <w:bottom w:val="single" w:sz="8" w:color="0000EE"/>
            </w:tcBorders>
          </w:tcPr>
          <w:p>
            <w:pPr>
              <w:spacing w:after="0"/>
              <w:rPr>
                <w:sz w:val="6"/>
                <w:szCs w:val="6"/>
                <w:color w:val="auto"/>
              </w:rPr>
            </w:pPr>
          </w:p>
        </w:tc>
        <w:tc>
          <w:tcPr>
            <w:tcW w:w="17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4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9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21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05/12/2026</w:t>
            </w:r>
          </w:p>
        </w:tc>
        <w:tc>
          <w:tcPr>
            <w:tcW w:w="17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SPX TECHNOLOGIES, INC.</w:t>
            </w:r>
          </w:p>
        </w:tc>
        <w:tc>
          <w:tcPr>
            <w:tcW w:w="1200" w:type="dxa"/>
            <w:vAlign w:val="bottom"/>
          </w:tcPr>
          <w:p>
            <w:pPr>
              <w:spacing w:after="0"/>
              <w:rPr>
                <w:sz w:val="11"/>
                <w:szCs w:val="11"/>
                <w:color w:val="auto"/>
              </w:rPr>
            </w:pPr>
          </w:p>
        </w:tc>
        <w:tc>
          <w:tcPr>
            <w:tcW w:w="2160" w:type="dxa"/>
            <w:vAlign w:val="bottom"/>
            <w:gridSpan w:val="3"/>
            <w:vMerge w:val="continue"/>
          </w:tcPr>
          <w:p>
            <w:pPr>
              <w:spacing w:after="0"/>
              <w:rPr>
                <w:sz w:val="11"/>
                <w:szCs w:val="11"/>
                <w:color w:val="auto"/>
              </w:rPr>
            </w:pPr>
          </w:p>
        </w:tc>
        <w:tc>
          <w:tcPr>
            <w:tcW w:w="17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4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6325 ARDREY KELL ROAD, SUITE 400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0" w:type="dxa"/>
            <w:vAlign w:val="bottom"/>
            <w:tcBorders>
              <w:bottom w:val="single" w:sz="8" w:color="2C2C2C"/>
            </w:tcBorders>
          </w:tcPr>
          <w:p>
            <w:pPr>
              <w:spacing w:after="0"/>
              <w:rPr>
                <w:sz w:val="12"/>
                <w:szCs w:val="12"/>
                <w:color w:val="auto"/>
              </w:rPr>
            </w:pPr>
          </w:p>
        </w:tc>
        <w:tc>
          <w:tcPr>
            <w:tcW w:w="17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CHARLOTTE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NC</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28277</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05/12/2026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754</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41,407</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under the SPX 2019 Stock Compensation Plan.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unvested restricted stock units.</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Daniel Whitman, Attorney</w:t>
            </w:r>
          </w:p>
        </w:tc>
        <w:tc>
          <w:tcPr>
            <w:tcW w:w="4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05/14/2026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10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 Fact for Ruth Gwynn Shaw</w:t>
            </w:r>
          </w:p>
        </w:tc>
        <w:tc>
          <w:tcPr>
            <w:tcW w:w="60" w:type="dxa"/>
            <w:vAlign w:val="bottom"/>
            <w:vMerge w:val="restart"/>
          </w:tcPr>
          <w:p>
            <w:pPr>
              <w:spacing w:after="0"/>
              <w:rPr>
                <w:sz w:val="7"/>
                <w:szCs w:val="7"/>
                <w:color w:val="auto"/>
              </w:rPr>
            </w:pPr>
          </w:p>
        </w:tc>
        <w:tc>
          <w:tcPr>
            <w:tcW w:w="40" w:type="dxa"/>
            <w:vAlign w:val="bottom"/>
            <w:vMerge w:val="continue"/>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100" w:type="dxa"/>
            <w:vAlign w:val="bottom"/>
            <w:tcBorders>
              <w:bottom w:val="single" w:sz="8" w:color="auto"/>
            </w:tcBorders>
            <w:gridSpan w:val="2"/>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3"/>
          </w:tcPr>
          <w:p>
            <w:pPr>
              <w:ind w:left="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15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color w:val="auto"/>
        </w:rPr>
        <w:t>Ruth Gwynn Shaw hereby makes, constitutes and appoints each of Daniel Whitman, Caroline Prescott, Steve Ackermann, and Coleman Wombwell, or any of them acting singly, and with full power of substitution, re-substitution and delegation, the undersigned’s true and lawful attorneyinfact (each of such persons and their substitutes and delegees being referred to herein as the “Attorney-in-Fact”), with full power to act for the undersigned and in the undersigned's name, place and stead, in the undersigned’s capacity as an officer of SPX Technologies, Inc. (the “Company”), to:</w:t>
      </w:r>
    </w:p>
    <w:p>
      <w:pPr>
        <w:spacing w:after="0" w:line="134" w:lineRule="exact"/>
        <w:rPr>
          <w:sz w:val="20"/>
          <w:szCs w:val="20"/>
          <w:color w:val="auto"/>
        </w:rPr>
      </w:pPr>
    </w:p>
    <w:p>
      <w:pPr>
        <w:jc w:val="both"/>
        <w:ind w:left="640" w:right="20" w:hanging="314"/>
        <w:spacing w:after="0" w:line="235" w:lineRule="auto"/>
        <w:tabs>
          <w:tab w:leader="none" w:pos="613"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p>
    <w:p>
      <w:pPr>
        <w:spacing w:after="0" w:line="160" w:lineRule="exact"/>
        <w:rPr>
          <w:rFonts w:ascii="Times New Roman" w:cs="Times New Roman" w:eastAsia="Times New Roman" w:hAnsi="Times New Roman"/>
          <w:sz w:val="21"/>
          <w:szCs w:val="21"/>
          <w:color w:val="auto"/>
        </w:rPr>
      </w:pPr>
    </w:p>
    <w:p>
      <w:pPr>
        <w:jc w:val="both"/>
        <w:ind w:left="640" w:hanging="314"/>
        <w:spacing w:after="0" w:line="235" w:lineRule="auto"/>
        <w:tabs>
          <w:tab w:leader="none" w:pos="613"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spacing w:after="0" w:line="160" w:lineRule="exact"/>
        <w:rPr>
          <w:rFonts w:ascii="Times New Roman" w:cs="Times New Roman" w:eastAsia="Times New Roman" w:hAnsi="Times New Roman"/>
          <w:sz w:val="21"/>
          <w:szCs w:val="21"/>
          <w:color w:val="auto"/>
        </w:rPr>
      </w:pPr>
    </w:p>
    <w:p>
      <w:pPr>
        <w:ind w:left="640" w:right="20" w:hanging="314"/>
        <w:spacing w:after="0" w:line="237" w:lineRule="auto"/>
        <w:tabs>
          <w:tab w:leader="none" w:pos="613"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Submit and file SEC Filings with the SEC utilizing the EDGAR system or cause them to be submitted and filed by a person appointed under </w:t>
      </w:r>
      <w:r>
        <w:rPr>
          <w:rFonts w:ascii="Times New Roman" w:cs="Times New Roman" w:eastAsia="Times New Roman" w:hAnsi="Times New Roman"/>
          <w:sz w:val="19"/>
          <w:szCs w:val="19"/>
          <w:u w:val="single" w:color="auto"/>
          <w:color w:val="auto"/>
        </w:rPr>
        <w:t>Section 5</w:t>
      </w:r>
      <w:r>
        <w:rPr>
          <w:rFonts w:ascii="Times New Roman" w:cs="Times New Roman" w:eastAsia="Times New Roman" w:hAnsi="Times New Roman"/>
          <w:sz w:val="19"/>
          <w:szCs w:val="19"/>
          <w:color w:val="auto"/>
        </w:rPr>
        <w:t xml:space="preserve"> below;</w:t>
      </w:r>
    </w:p>
    <w:p>
      <w:pPr>
        <w:spacing w:after="0" w:line="158" w:lineRule="exact"/>
        <w:rPr>
          <w:rFonts w:ascii="Times New Roman" w:cs="Times New Roman" w:eastAsia="Times New Roman" w:hAnsi="Times New Roman"/>
          <w:sz w:val="21"/>
          <w:szCs w:val="21"/>
          <w:color w:val="auto"/>
        </w:rPr>
      </w:pPr>
    </w:p>
    <w:p>
      <w:pPr>
        <w:ind w:left="620" w:hanging="294"/>
        <w:spacing w:after="0"/>
        <w:tabs>
          <w:tab w:leader="none" w:pos="6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File, submit or otherwise deliver SEC Filings to any securities exchange on which the Company’s securities may be listed or traded;</w:t>
      </w:r>
    </w:p>
    <w:p>
      <w:pPr>
        <w:spacing w:after="0" w:line="158" w:lineRule="exact"/>
        <w:rPr>
          <w:rFonts w:ascii="Times New Roman" w:cs="Times New Roman" w:eastAsia="Times New Roman" w:hAnsi="Times New Roman"/>
          <w:sz w:val="21"/>
          <w:szCs w:val="21"/>
          <w:color w:val="auto"/>
        </w:rPr>
      </w:pPr>
    </w:p>
    <w:p>
      <w:pPr>
        <w:jc w:val="both"/>
        <w:ind w:left="640" w:hanging="314"/>
        <w:spacing w:after="0" w:line="235" w:lineRule="auto"/>
        <w:tabs>
          <w:tab w:leader="none" w:pos="613"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spacing w:after="0" w:line="160" w:lineRule="exact"/>
        <w:rPr>
          <w:rFonts w:ascii="Times New Roman" w:cs="Times New Roman" w:eastAsia="Times New Roman" w:hAnsi="Times New Roman"/>
          <w:sz w:val="21"/>
          <w:szCs w:val="21"/>
          <w:color w:val="auto"/>
        </w:rPr>
      </w:pPr>
    </w:p>
    <w:p>
      <w:pPr>
        <w:jc w:val="both"/>
        <w:ind w:left="640" w:hanging="314"/>
        <w:spacing w:after="0" w:line="236" w:lineRule="auto"/>
        <w:tabs>
          <w:tab w:leader="none" w:pos="613"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spacing w:after="0" w:line="159" w:lineRule="exact"/>
        <w:rPr>
          <w:rFonts w:ascii="Times New Roman" w:cs="Times New Roman" w:eastAsia="Times New Roman" w:hAnsi="Times New Roman"/>
          <w:sz w:val="21"/>
          <w:szCs w:val="21"/>
          <w:color w:val="auto"/>
        </w:rPr>
      </w:pPr>
    </w:p>
    <w:p>
      <w:pPr>
        <w:jc w:val="both"/>
        <w:ind w:left="640" w:hanging="314"/>
        <w:spacing w:after="0" w:line="236" w:lineRule="auto"/>
        <w:tabs>
          <w:tab w:leader="none" w:pos="613"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undersigned acknowledges that:</w:t>
      </w:r>
    </w:p>
    <w:p>
      <w:pPr>
        <w:spacing w:after="0" w:line="168" w:lineRule="exact"/>
        <w:rPr>
          <w:sz w:val="20"/>
          <w:szCs w:val="20"/>
          <w:color w:val="auto"/>
        </w:rPr>
      </w:pPr>
    </w:p>
    <w:p>
      <w:pPr>
        <w:ind w:left="1140" w:hanging="320"/>
        <w:spacing w:after="0" w:line="237" w:lineRule="auto"/>
        <w:tabs>
          <w:tab w:leader="none" w:pos="1113"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This Power of Attorney authorizes, but does not require, the Attorney-in-Fact to act in his or her discretion on information provided to such Attorney-in-Fact without independent verification of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1014730</wp:posOffset>
            </wp:positionV>
            <wp:extent cx="6964045" cy="933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64045" cy="93345"/>
                    </a:xfrm>
                    <a:prstGeom prst="rect">
                      <a:avLst/>
                    </a:prstGeom>
                    <a:noFill/>
                  </pic:spPr>
                </pic:pic>
              </a:graphicData>
            </a:graphic>
          </wp:anchor>
        </w:drawing>
      </w:r>
    </w:p>
    <w:p>
      <w:pPr>
        <w:sectPr>
          <w:pgSz w:w="11900" w:h="16838" w:orient="portrait"/>
          <w:cols w:equalWidth="0" w:num="1">
            <w:col w:w="10980"/>
          </w:cols>
          <w:pgMar w:left="460" w:top="114" w:right="459" w:bottom="1440" w:gutter="0" w:footer="0" w:header="0"/>
        </w:sectPr>
      </w:pPr>
    </w:p>
    <w:bookmarkStart w:id="2" w:name="page3"/>
    <w:bookmarkEnd w:id="2"/>
    <w:p>
      <w:pPr>
        <w:ind w:left="1140" w:right="20" w:hanging="320"/>
        <w:spacing w:after="0" w:line="287" w:lineRule="auto"/>
        <w:tabs>
          <w:tab w:leader="none" w:pos="111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17" w:lineRule="exact"/>
        <w:rPr>
          <w:rFonts w:ascii="Times New Roman" w:cs="Times New Roman" w:eastAsia="Times New Roman" w:hAnsi="Times New Roman"/>
          <w:sz w:val="18"/>
          <w:szCs w:val="18"/>
          <w:color w:val="auto"/>
        </w:rPr>
      </w:pPr>
    </w:p>
    <w:p>
      <w:pPr>
        <w:jc w:val="both"/>
        <w:ind w:left="1140" w:hanging="320"/>
        <w:spacing w:after="0" w:line="242" w:lineRule="auto"/>
        <w:tabs>
          <w:tab w:leader="none" w:pos="1113"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58" w:lineRule="exact"/>
        <w:rPr>
          <w:rFonts w:ascii="Times New Roman" w:cs="Times New Roman" w:eastAsia="Times New Roman" w:hAnsi="Times New Roman"/>
          <w:sz w:val="19"/>
          <w:szCs w:val="19"/>
          <w:color w:val="auto"/>
        </w:rPr>
      </w:pPr>
    </w:p>
    <w:p>
      <w:pPr>
        <w:jc w:val="both"/>
        <w:ind w:left="1140" w:hanging="320"/>
        <w:spacing w:after="0" w:line="247" w:lineRule="auto"/>
        <w:tabs>
          <w:tab w:leader="none" w:pos="1113"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5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3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 Page Follows</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1234440</wp:posOffset>
            </wp:positionV>
            <wp:extent cx="6964045" cy="844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64045" cy="84455"/>
                    </a:xfrm>
                    <a:prstGeom prst="rect">
                      <a:avLst/>
                    </a:prstGeom>
                    <a:noFill/>
                  </pic:spPr>
                </pic:pic>
              </a:graphicData>
            </a:graphic>
          </wp:anchor>
        </w:drawing>
      </w:r>
    </w:p>
    <w:p>
      <w:pPr>
        <w:sectPr>
          <w:pgSz w:w="11900" w:h="16838" w:orient="portrait"/>
          <w:cols w:equalWidth="0" w:num="1">
            <w:col w:w="10980"/>
          </w:cols>
          <w:pgMar w:left="460" w:top="114"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9"/>
          <w:szCs w:val="19"/>
          <w:color w:val="auto"/>
        </w:rPr>
        <w:t>IN WITNESS WHEREOF, the undersigned has executed this Power of Attorney as of February 17, 2026.</w:t>
      </w:r>
    </w:p>
    <w:p>
      <w:pPr>
        <w:spacing w:after="0" w:line="200" w:lineRule="exact"/>
        <w:rPr>
          <w:sz w:val="20"/>
          <w:szCs w:val="20"/>
          <w:color w:val="auto"/>
        </w:rPr>
      </w:pPr>
    </w:p>
    <w:p>
      <w:pPr>
        <w:spacing w:after="0" w:line="381" w:lineRule="exact"/>
        <w:rPr>
          <w:sz w:val="20"/>
          <w:szCs w:val="20"/>
          <w:color w:val="auto"/>
        </w:rPr>
      </w:pPr>
    </w:p>
    <w:p>
      <w:pPr>
        <w:jc w:val="right"/>
        <w:ind w:right="4860"/>
        <w:spacing w:after="0"/>
        <w:rPr>
          <w:sz w:val="20"/>
          <w:szCs w:val="20"/>
          <w:color w:val="auto"/>
        </w:rPr>
      </w:pPr>
      <w:r>
        <w:rPr>
          <w:rFonts w:ascii="Times New Roman" w:cs="Times New Roman" w:eastAsia="Times New Roman" w:hAnsi="Times New Roman"/>
          <w:sz w:val="19"/>
          <w:szCs w:val="19"/>
          <w:u w:val="single" w:color="auto"/>
          <w:color w:val="auto"/>
        </w:rPr>
        <w:t>By: /s/ Ruth Gwynn Shaw</w:t>
      </w:r>
    </w:p>
    <w:p>
      <w:pPr>
        <w:spacing w:after="0" w:line="15" w:lineRule="exact"/>
        <w:rPr>
          <w:sz w:val="20"/>
          <w:szCs w:val="20"/>
          <w:color w:val="auto"/>
        </w:rPr>
      </w:pPr>
    </w:p>
    <w:p>
      <w:pPr>
        <w:jc w:val="right"/>
        <w:ind w:right="4840"/>
        <w:spacing w:after="0"/>
        <w:rPr>
          <w:sz w:val="20"/>
          <w:szCs w:val="20"/>
          <w:color w:val="auto"/>
        </w:rPr>
      </w:pPr>
      <w:r>
        <w:rPr>
          <w:rFonts w:ascii="Times New Roman" w:cs="Times New Roman" w:eastAsia="Times New Roman" w:hAnsi="Times New Roman"/>
          <w:sz w:val="19"/>
          <w:szCs w:val="19"/>
          <w:color w:val="auto"/>
        </w:rPr>
        <w:t>Ruth Gwynn Shaw</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NOTARIZATION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State of North Carolina</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County of Mecklenburg</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This Power of Attorney was acknowledged before me on February 17, 2026 by Ruth Gwynn Shaw.</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19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9"/>
          <w:szCs w:val="19"/>
          <w:color w:val="auto"/>
        </w:rPr>
        <w:t>Notary Signature</w:t>
      </w:r>
    </w:p>
    <w:p>
      <w:pPr>
        <w:spacing w:after="0" w:line="200" w:lineRule="exact"/>
        <w:rPr>
          <w:sz w:val="20"/>
          <w:szCs w:val="20"/>
          <w:color w:val="auto"/>
        </w:rPr>
      </w:pPr>
    </w:p>
    <w:p>
      <w:pPr>
        <w:spacing w:after="0" w:line="35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9"/>
          <w:szCs w:val="19"/>
          <w:color w:val="auto"/>
        </w:rPr>
        <w:t>[Notary Seal]</w:t>
      </w:r>
    </w:p>
    <w:sectPr>
      <w:pgSz w:w="11900" w:h="16838" w:orient="portrait"/>
      <w:cols w:equalWidth="0" w:num="1">
        <w:col w:w="10980"/>
      </w:cols>
      <w:pgMar w:left="460" w:top="11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15486" TargetMode="External"/><Relationship Id="rId14" Type="http://schemas.openxmlformats.org/officeDocument/2006/relationships/hyperlink" Target="http://www.sec.gov/cgi-bin/browse-edgar?action=getcompany&amp;CIK=00000882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2026-05-14T15:38:06Z</dcterms:created>
  <dcterms:modified xsi:type="dcterms:W3CDTF">2026-05-14T15:38:06Z</dcterms:modified>
</cp:coreProperties>
</file>