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6.jpeg" ContentType="image/jpeg"/>
  <Override PartName="/word/media/image21.jpeg" ContentType="image/jpeg"/>
  <Override PartName="/word/media/image20.jpeg" ContentType="image/jpeg"/>
  <Override PartName="/word/media/image19.jpeg" ContentType="image/jpeg"/>
  <Override PartName="/word/media/image12.jpeg" ContentType="image/jpeg"/>
  <Override PartName="/word/media/image6.jpeg" ContentType="image/jpeg"/>
  <Override PartName="/word/media/image33.jpeg" ContentType="image/jpeg"/>
  <Override PartName="/word/media/image27.jpeg" ContentType="image/jpeg"/>
  <Override PartName="/word/media/image11.jpeg" ContentType="image/jpeg"/>
  <Override PartName="/word/media/image9.jpeg" ContentType="image/jpeg"/>
  <Override PartName="/word/media/image29.jpeg" ContentType="image/jpeg"/>
  <Override PartName="/word/media/image8.jpeg" ContentType="image/jpeg"/>
  <Override PartName="/word/media/image10.jpeg" ContentType="image/jpeg"/>
  <Override PartName="/word/media/image13.jpeg" ContentType="image/jpeg"/>
  <Override PartName="/word/media/image28.jpeg" ContentType="image/jpeg"/>
  <Override PartName="/word/media/image30.jpeg" ContentType="image/jpeg"/>
  <Override PartName="/word/media/image3.jpeg" ContentType="image/jpeg"/>
  <Override PartName="/word/media/image24.jpeg" ContentType="image/jpeg"/>
  <Override PartName="/word/media/image31.jpeg" ContentType="image/jpeg"/>
  <Override PartName="/word/media/image4.jpeg" ContentType="image/jpeg"/>
  <Override PartName="/word/media/image25.jpeg" ContentType="image/jpeg"/>
  <Override PartName="/word/media/image32.jpeg" ContentType="image/jpeg"/>
  <Override PartName="/word/media/image7.jpeg" ContentType="image/jpeg"/>
  <Override PartName="/word/media/image5.gif" ContentType="image/gif"/>
  <Override PartName="/word/media/image14.jpeg" ContentType="image/jpeg"/>
  <Override PartName="/word/media/image2.jpeg" ContentType="image/jpeg"/>
  <Override PartName="/word/media/image23.jpeg" ContentType="image/jpeg"/>
  <Override PartName="/word/media/image1.jpeg" ContentType="image/jpeg"/>
  <Override PartName="/word/media/image22.jpeg" ContentType="image/jpeg"/>
  <Override PartName="/word/media/image15.jpeg" ContentType="image/jpeg"/>
  <Override PartName="/word/media/image16.jpeg" ContentType="image/jpeg"/>
  <Override PartName="/word/media/image17.jpeg" ContentType="image/jpeg"/>
  <Override PartName="/word/media/image18.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p>
    <w:p>
      <w:pPr>
        <w:pStyle w:val="TextBody"/>
        <w:bidi w:val="0"/>
        <w:spacing w:lineRule="auto" w:line="240" w:before="1" w:after="283"/>
        <w:jc w:val="center"/>
        <w:rPr>
          <w:rFonts w:ascii="Arial;sans-serif" w:hAnsi="Arial;sans-serif"/>
          <w:b/>
          <w:color w:val="231F20"/>
          <w:sz w:val="32"/>
        </w:rPr>
      </w:pPr>
      <w:r>
        <w:rPr>
          <w:rFonts w:ascii="Arial;sans-serif" w:hAnsi="Arial;sans-serif"/>
          <w:b/>
          <w:color w:val="231F20"/>
          <w:sz w:val="32"/>
        </w:rPr>
        <w:t>UNITED STATES</w:t>
      </w:r>
    </w:p>
    <w:p>
      <w:pPr>
        <w:pStyle w:val="TextBody"/>
        <w:bidi w:val="0"/>
        <w:spacing w:lineRule="auto" w:line="235" w:before="0" w:after="0"/>
        <w:jc w:val="center"/>
        <w:rPr>
          <w:rFonts w:ascii="Arial;sans-serif" w:hAnsi="Arial;sans-serif"/>
          <w:b/>
          <w:color w:val="231F20"/>
          <w:sz w:val="32"/>
        </w:rPr>
      </w:pPr>
      <w:r>
        <w:rPr>
          <w:rFonts w:ascii="Arial;sans-serif" w:hAnsi="Arial;sans-serif"/>
          <w:b/>
          <w:color w:val="231F20"/>
          <w:sz w:val="32"/>
        </w:rPr>
        <w:t>SECURITIES AND EXCHANGE COMMISSION</w:t>
      </w:r>
    </w:p>
    <w:p>
      <w:pPr>
        <w:pStyle w:val="TextBody"/>
        <w:bidi w:val="0"/>
        <w:spacing w:lineRule="auto" w:line="235" w:before="0" w:after="0"/>
        <w:jc w:val="center"/>
        <w:rPr>
          <w:rFonts w:ascii="Arial;sans-serif" w:hAnsi="Arial;sans-serif"/>
          <w:b/>
          <w:color w:val="231F20"/>
          <w:sz w:val="24"/>
        </w:rPr>
      </w:pPr>
      <w:r>
        <w:rPr>
          <w:rFonts w:ascii="Arial;sans-serif" w:hAnsi="Arial;sans-serif"/>
          <w:b/>
          <w:color w:val="231F20"/>
          <w:sz w:val="24"/>
        </w:rPr>
        <w:t>Washington, D.C. 20549</w:t>
      </w:r>
    </w:p>
    <w:p>
      <w:pPr>
        <w:pStyle w:val="TextBody"/>
        <w:bidi w:val="0"/>
        <w:spacing w:before="9" w:after="283"/>
        <w:jc w:val="left"/>
        <w:rPr/>
      </w:pPr>
      <w:r>
        <w:rPr/>
      </w:r>
    </w:p>
    <w:p>
      <w:pPr>
        <w:pStyle w:val="TextBody"/>
        <w:bidi w:val="0"/>
        <w:spacing w:lineRule="auto" w:line="240" w:before="0" w:after="0"/>
        <w:jc w:val="center"/>
        <w:rPr>
          <w:rFonts w:ascii="Arial;sans-serif" w:hAnsi="Arial;sans-serif"/>
          <w:b/>
          <w:color w:val="231F20"/>
          <w:sz w:val="32"/>
        </w:rPr>
      </w:pPr>
      <w:r>
        <w:rPr>
          <w:rFonts w:ascii="Arial;sans-serif" w:hAnsi="Arial;sans-serif"/>
          <w:b/>
          <w:color w:val="231F20"/>
          <w:sz w:val="32"/>
        </w:rPr>
        <w:t>SCHEDULE 14A</w:t>
      </w:r>
    </w:p>
    <w:p>
      <w:pPr>
        <w:pStyle w:val="TextBody"/>
        <w:bidi w:val="0"/>
        <w:spacing w:before="7" w:after="283"/>
        <w:jc w:val="left"/>
        <w:rPr/>
      </w:pPr>
      <w:r>
        <w:rPr/>
      </w:r>
    </w:p>
    <w:p>
      <w:pPr>
        <w:pStyle w:val="TextBody"/>
        <w:bidi w:val="0"/>
        <w:spacing w:lineRule="auto" w:line="273" w:before="0" w:after="0"/>
        <w:jc w:val="center"/>
        <w:rPr>
          <w:rFonts w:ascii="Arial;sans-serif" w:hAnsi="Arial;sans-serif"/>
          <w:b/>
          <w:color w:val="231F20"/>
          <w:sz w:val="24"/>
        </w:rPr>
      </w:pPr>
      <w:r>
        <w:rPr>
          <w:rFonts w:ascii="Arial;sans-serif" w:hAnsi="Arial;sans-serif"/>
          <w:b/>
          <w:color w:val="231F20"/>
          <w:sz w:val="24"/>
        </w:rPr>
        <w:t>Proxy Statement Pursuant to Section 14(a) of</w:t>
      </w:r>
    </w:p>
    <w:p>
      <w:pPr>
        <w:pStyle w:val="TextBody"/>
        <w:bidi w:val="0"/>
        <w:spacing w:lineRule="auto" w:line="242" w:before="0" w:after="0"/>
        <w:jc w:val="center"/>
        <w:rPr>
          <w:rFonts w:ascii="Arial;sans-serif" w:hAnsi="Arial;sans-serif"/>
          <w:b/>
          <w:color w:val="231F20"/>
          <w:sz w:val="24"/>
        </w:rPr>
      </w:pPr>
      <w:r>
        <w:rPr>
          <w:rFonts w:ascii="Arial;sans-serif" w:hAnsi="Arial;sans-serif"/>
          <w:b/>
          <w:color w:val="231F20"/>
          <w:sz w:val="24"/>
        </w:rPr>
        <w:t>the Securities Exchange Act of 1934 (Amendment No.    )</w:t>
      </w:r>
    </w:p>
    <w:p>
      <w:pPr>
        <w:pStyle w:val="TextBody"/>
        <w:bidi w:val="0"/>
        <w:spacing w:before="10" w:after="283"/>
        <w:jc w:val="left"/>
        <w:rPr/>
      </w:pPr>
      <w:r>
        <w:rPr/>
      </w:r>
    </w:p>
    <w:p>
      <w:pPr>
        <w:pStyle w:val="TextBody"/>
        <w:bidi w:val="0"/>
        <w:spacing w:lineRule="auto" w:line="240" w:before="0" w:after="0"/>
        <w:ind w:left="0" w:right="0" w:hanging="540"/>
        <w:jc w:val="left"/>
        <w:rPr/>
      </w:pPr>
      <w:r>
        <w:rPr>
          <w:rFonts w:ascii="Arial;sans-serif" w:hAnsi="Arial;sans-serif"/>
          <w:b w:val="false"/>
          <w:color w:val="000000"/>
          <w:sz w:val="20"/>
        </w:rPr>
        <w:t xml:space="preserve">Filed by the Registrant </w:t>
      </w:r>
      <w:r>
        <w:rPr>
          <w:rFonts w:ascii="Wingdings 2;sans-serif" w:hAnsi="Wingdings 2;sans-serif"/>
          <w:b w:val="false"/>
          <w:color w:val="000000"/>
          <w:sz w:val="20"/>
        </w:rPr>
        <w:t>Q</w:t>
      </w:r>
    </w:p>
    <w:p>
      <w:pPr>
        <w:pStyle w:val="TextBody"/>
        <w:bidi w:val="0"/>
        <w:spacing w:lineRule="auto" w:line="240" w:before="0" w:after="0"/>
        <w:ind w:left="0" w:right="0" w:hanging="540"/>
        <w:jc w:val="left"/>
        <w:rPr/>
      </w:pPr>
      <w:r>
        <w:rPr>
          <w:rFonts w:ascii="Arial;sans-serif" w:hAnsi="Arial;sans-serif"/>
          <w:b w:val="false"/>
          <w:color w:val="000000"/>
          <w:sz w:val="20"/>
        </w:rPr>
        <w:t xml:space="preserve">Filed by a Party other than the Registrant </w:t>
      </w:r>
      <w:r>
        <w:rPr>
          <w:rFonts w:ascii="Webdings;sans-serif" w:hAnsi="Webdings;sans-serif"/>
          <w:b w:val="false"/>
          <w:color w:val="000000"/>
          <w:sz w:val="14"/>
        </w:rPr>
        <w:t>c</w:t>
      </w:r>
    </w:p>
    <w:p>
      <w:pPr>
        <w:pStyle w:val="TextBody"/>
        <w:bidi w:val="0"/>
        <w:spacing w:before="0" w:after="160"/>
        <w:ind w:left="0" w:right="0" w:hanging="450"/>
        <w:jc w:val="left"/>
        <w:rPr/>
      </w:pPr>
      <w:r>
        <w:rPr/>
      </w:r>
    </w:p>
    <w:p>
      <w:pPr>
        <w:pStyle w:val="TextBody"/>
        <w:bidi w:val="0"/>
        <w:spacing w:lineRule="auto" w:line="240" w:before="0" w:after="160"/>
        <w:ind w:left="0" w:right="0" w:hanging="540"/>
        <w:jc w:val="left"/>
        <w:rPr>
          <w:rFonts w:ascii="Arial;sans-serif" w:hAnsi="Arial;sans-serif"/>
          <w:b w:val="false"/>
          <w:color w:val="000000"/>
          <w:sz w:val="20"/>
        </w:rPr>
      </w:pPr>
      <w:r>
        <w:rPr>
          <w:rFonts w:ascii="Arial;sans-serif" w:hAnsi="Arial;sans-serif"/>
          <w:b w:val="false"/>
          <w:color w:val="000000"/>
          <w:sz w:val="20"/>
        </w:rPr>
        <w:t>Check the appropriate box:</w:t>
      </w:r>
    </w:p>
    <w:p>
      <w:pPr>
        <w:pStyle w:val="TextBody"/>
        <w:bidi w:val="0"/>
        <w:spacing w:lineRule="auto" w:line="240" w:before="0" w:after="120"/>
        <w:ind w:left="0" w:right="0" w:hanging="547"/>
        <w:jc w:val="left"/>
        <w:rPr/>
      </w:pPr>
      <w:r>
        <w:rPr>
          <w:rFonts w:ascii="Wingdings 2;sans-serif" w:hAnsi="Wingdings 2;sans-serif"/>
          <w:b w:val="false"/>
          <w:color w:val="000000"/>
          <w:sz w:val="20"/>
        </w:rPr>
        <w:t>Q</w:t>
      </w:r>
      <w:r>
        <w:rPr>
          <w:color w:val="000000"/>
        </w:rPr>
        <w:t>    </w:t>
      </w:r>
      <w:r>
        <w:rPr>
          <w:rFonts w:ascii="Arial;sans-serif" w:hAnsi="Arial;sans-serif"/>
          <w:b w:val="false"/>
          <w:color w:val="000000"/>
          <w:sz w:val="20"/>
        </w:rPr>
        <w:t>Preliminary Proxy Statement</w:t>
      </w:r>
    </w:p>
    <w:p>
      <w:pPr>
        <w:pStyle w:val="TextBody"/>
        <w:bidi w:val="0"/>
        <w:spacing w:lineRule="auto" w:line="240" w:before="0" w:after="120"/>
        <w:ind w:left="0" w:right="0" w:hanging="547"/>
        <w:jc w:val="left"/>
        <w:rPr/>
      </w:pPr>
      <w:r>
        <w:rPr>
          <w:rFonts w:ascii="Webdings;sans-serif" w:hAnsi="Webdings;sans-serif"/>
          <w:b w:val="false"/>
          <w:color w:val="000000"/>
          <w:sz w:val="14"/>
        </w:rPr>
        <w:t>c</w:t>
      </w:r>
      <w:r>
        <w:rPr>
          <w:color w:val="000000"/>
        </w:rPr>
        <w:t>    </w:t>
      </w:r>
      <w:r>
        <w:rPr>
          <w:rFonts w:ascii="Arial;sans-serif" w:hAnsi="Arial;sans-serif"/>
          <w:b/>
          <w:color w:val="000000"/>
          <w:sz w:val="20"/>
        </w:rPr>
        <w:t>Confidential, for Use of the Commission Only (as permitted by Rule 14a-6(e)(2))</w:t>
      </w:r>
    </w:p>
    <w:p>
      <w:pPr>
        <w:pStyle w:val="TextBody"/>
        <w:bidi w:val="0"/>
        <w:spacing w:lineRule="auto" w:line="240" w:before="0" w:after="120"/>
        <w:ind w:left="0" w:right="0" w:hanging="547"/>
        <w:jc w:val="left"/>
        <w:rPr/>
      </w:pPr>
      <w:r>
        <w:rPr>
          <w:rFonts w:ascii="Webdings;sans-serif" w:hAnsi="Webdings;sans-serif"/>
          <w:b w:val="false"/>
          <w:color w:val="000000"/>
          <w:sz w:val="14"/>
        </w:rPr>
        <w:t>c</w:t>
      </w:r>
      <w:r>
        <w:rPr>
          <w:color w:val="000000"/>
        </w:rPr>
        <w:t>    </w:t>
      </w:r>
      <w:r>
        <w:rPr>
          <w:rFonts w:ascii="Arial;sans-serif" w:hAnsi="Arial;sans-serif"/>
          <w:b w:val="false"/>
          <w:color w:val="000000"/>
          <w:sz w:val="20"/>
        </w:rPr>
        <w:t>Definitive Proxy Statement</w:t>
      </w:r>
    </w:p>
    <w:p>
      <w:pPr>
        <w:pStyle w:val="TextBody"/>
        <w:bidi w:val="0"/>
        <w:spacing w:lineRule="auto" w:line="240" w:before="0" w:after="120"/>
        <w:ind w:left="0" w:right="0" w:hanging="547"/>
        <w:jc w:val="left"/>
        <w:rPr/>
      </w:pPr>
      <w:r>
        <w:rPr>
          <w:rFonts w:ascii="Webdings;sans-serif" w:hAnsi="Webdings;sans-serif"/>
          <w:b w:val="false"/>
          <w:color w:val="000000"/>
          <w:sz w:val="14"/>
        </w:rPr>
        <w:t>c</w:t>
      </w:r>
      <w:r>
        <w:rPr>
          <w:color w:val="000000"/>
        </w:rPr>
        <w:t>    </w:t>
      </w:r>
      <w:r>
        <w:rPr>
          <w:rFonts w:ascii="Arial;sans-serif" w:hAnsi="Arial;sans-serif"/>
          <w:b w:val="false"/>
          <w:color w:val="000000"/>
          <w:sz w:val="20"/>
        </w:rPr>
        <w:t>Definitive Additional Materials</w:t>
      </w:r>
    </w:p>
    <w:p>
      <w:pPr>
        <w:pStyle w:val="TextBody"/>
        <w:bidi w:val="0"/>
        <w:spacing w:lineRule="auto" w:line="240" w:before="0" w:after="120"/>
        <w:ind w:left="0" w:right="0" w:hanging="547"/>
        <w:jc w:val="left"/>
        <w:rPr/>
      </w:pPr>
      <w:r>
        <w:rPr>
          <w:rFonts w:ascii="Webdings;sans-serif" w:hAnsi="Webdings;sans-serif"/>
          <w:b w:val="false"/>
          <w:color w:val="000000"/>
          <w:sz w:val="14"/>
        </w:rPr>
        <w:t>c</w:t>
      </w:r>
      <w:r>
        <w:rPr>
          <w:color w:val="000000"/>
        </w:rPr>
        <w:t>    </w:t>
      </w:r>
      <w:r>
        <w:rPr>
          <w:rFonts w:ascii="Arial;sans-serif" w:hAnsi="Arial;sans-serif"/>
          <w:b w:val="false"/>
          <w:color w:val="000000"/>
          <w:sz w:val="20"/>
        </w:rPr>
        <w:t>Soliciting Material under §240.14a-12</w:t>
      </w:r>
    </w:p>
    <w:p>
      <w:pPr>
        <w:pStyle w:val="TextBody"/>
        <w:bidi w:val="0"/>
        <w:spacing w:before="14" w:after="283"/>
        <w:jc w:val="left"/>
        <w:rPr/>
      </w:pPr>
      <w:r>
        <w:rPr/>
      </w:r>
    </w:p>
    <w:p>
      <w:pPr>
        <w:pStyle w:val="TextBody"/>
        <w:bidi w:val="0"/>
        <w:spacing w:before="0" w:after="0"/>
        <w:jc w:val="center"/>
        <w:rPr/>
      </w:pPr>
      <w:r>
        <w:rPr/>
        <w:drawing>
          <wp:inline distT="0" distB="0" distL="0" distR="0">
            <wp:extent cx="5800725" cy="190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5800725" cy="19050"/>
                    </a:xfrm>
                    <a:prstGeom prst="rect">
                      <a:avLst/>
                    </a:prstGeom>
                  </pic:spPr>
                </pic:pic>
              </a:graphicData>
            </a:graphic>
          </wp:inline>
        </w:drawing>
      </w:r>
    </w:p>
    <w:p>
      <w:pPr>
        <w:pStyle w:val="TextBody"/>
        <w:bidi w:val="0"/>
        <w:spacing w:lineRule="auto" w:line="240" w:before="0" w:after="0"/>
        <w:jc w:val="center"/>
        <w:rPr>
          <w:rFonts w:ascii="Arial;sans-serif" w:hAnsi="Arial;sans-serif"/>
          <w:b/>
          <w:color w:val="231F20"/>
          <w:sz w:val="24"/>
        </w:rPr>
      </w:pPr>
      <w:r>
        <w:rPr>
          <w:rFonts w:ascii="Arial;sans-serif" w:hAnsi="Arial;sans-serif"/>
          <w:b/>
          <w:color w:val="231F20"/>
          <w:sz w:val="24"/>
        </w:rPr>
        <w:t>SPX Technologies, Inc.</w:t>
      </w:r>
    </w:p>
    <w:p>
      <w:pPr>
        <w:pStyle w:val="TextBody"/>
        <w:bidi w:val="0"/>
        <w:spacing w:lineRule="auto" w:line="271" w:before="91" w:after="283"/>
        <w:jc w:val="center"/>
        <w:rPr>
          <w:rFonts w:ascii="Arial;sans-serif" w:hAnsi="Arial;sans-serif"/>
          <w:b w:val="false"/>
          <w:color w:val="231F20"/>
          <w:sz w:val="20"/>
        </w:rPr>
      </w:pPr>
      <w:r>
        <w:rPr>
          <w:rFonts w:ascii="Arial;sans-serif" w:hAnsi="Arial;sans-serif"/>
          <w:b w:val="false"/>
          <w:color w:val="231F20"/>
          <w:sz w:val="20"/>
        </w:rPr>
        <w:t>(Name of Registrant as Specified In Its Charter)</w:t>
      </w:r>
    </w:p>
    <w:p>
      <w:pPr>
        <w:pStyle w:val="TextBody"/>
        <w:bidi w:val="0"/>
        <w:spacing w:before="0" w:after="0"/>
        <w:jc w:val="left"/>
        <w:rPr/>
      </w:pPr>
      <w:r>
        <w:rPr/>
      </w:r>
    </w:p>
    <w:p>
      <w:pPr>
        <w:pStyle w:val="TextBody"/>
        <w:bidi w:val="0"/>
        <w:spacing w:before="10" w:after="283"/>
        <w:jc w:val="left"/>
        <w:rPr/>
      </w:pPr>
      <w:r>
        <w:rPr/>
      </w:r>
    </w:p>
    <w:p>
      <w:pPr>
        <w:pStyle w:val="TextBody"/>
        <w:bidi w:val="0"/>
        <w:spacing w:before="34" w:after="283"/>
        <w:jc w:val="center"/>
        <w:rPr/>
      </w:pPr>
      <w:r>
        <w:rPr/>
        <w:drawing>
          <wp:inline distT="0" distB="0" distL="0" distR="0">
            <wp:extent cx="5800725" cy="1460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5800725" cy="14605"/>
                    </a:xfrm>
                    <a:prstGeom prst="rect">
                      <a:avLst/>
                    </a:prstGeom>
                  </pic:spPr>
                </pic:pic>
              </a:graphicData>
            </a:graphic>
          </wp:inline>
        </w:drawing>
      </w:r>
    </w:p>
    <w:p>
      <w:pPr>
        <w:pStyle w:val="TextBody"/>
        <w:bidi w:val="0"/>
        <w:spacing w:lineRule="auto" w:line="240" w:before="34" w:after="283"/>
        <w:jc w:val="center"/>
        <w:rPr>
          <w:rFonts w:ascii="Arial;sans-serif" w:hAnsi="Arial;sans-serif"/>
          <w:b w:val="false"/>
          <w:color w:val="231F20"/>
          <w:sz w:val="20"/>
        </w:rPr>
      </w:pPr>
      <w:r>
        <w:rPr>
          <w:rFonts w:ascii="Arial;sans-serif" w:hAnsi="Arial;sans-serif"/>
          <w:b w:val="false"/>
          <w:color w:val="231F20"/>
          <w:sz w:val="20"/>
        </w:rPr>
        <w:t>(Name of Person(s) Filing Proxy Statement, if other than the Registrant)</w:t>
      </w:r>
    </w:p>
    <w:p>
      <w:pPr>
        <w:pStyle w:val="TextBody"/>
        <w:bidi w:val="0"/>
        <w:spacing w:before="10" w:after="283"/>
        <w:jc w:val="left"/>
        <w:rPr/>
      </w:pPr>
      <w:r>
        <w:rPr/>
      </w:r>
    </w:p>
    <w:p>
      <w:pPr>
        <w:pStyle w:val="TextBody"/>
        <w:bidi w:val="0"/>
        <w:spacing w:lineRule="auto" w:line="240" w:before="0" w:after="0"/>
        <w:ind w:left="0" w:right="0" w:firstLine="990"/>
        <w:jc w:val="left"/>
        <w:rPr>
          <w:rFonts w:ascii="Arial;sans-serif" w:hAnsi="Arial;sans-serif"/>
          <w:b w:val="false"/>
          <w:color w:val="000000"/>
          <w:sz w:val="20"/>
        </w:rPr>
      </w:pPr>
      <w:r>
        <w:rPr>
          <w:rFonts w:ascii="Arial;sans-serif" w:hAnsi="Arial;sans-serif"/>
          <w:b w:val="false"/>
          <w:color w:val="000000"/>
          <w:sz w:val="20"/>
        </w:rPr>
        <w:t>Payment of Filing Fee (Check all boxes that apply):</w:t>
      </w:r>
    </w:p>
    <w:p>
      <w:pPr>
        <w:pStyle w:val="TextBody"/>
        <w:bidi w:val="0"/>
        <w:spacing w:before="0" w:after="0"/>
        <w:ind w:left="0" w:right="0" w:firstLine="990"/>
        <w:jc w:val="left"/>
        <w:rPr/>
      </w:pPr>
      <w:r>
        <w:rPr/>
      </w:r>
    </w:p>
    <w:p>
      <w:pPr>
        <w:pStyle w:val="TextBody"/>
        <w:bidi w:val="0"/>
        <w:spacing w:lineRule="auto" w:line="240" w:before="0" w:after="120"/>
        <w:ind w:left="0" w:right="0" w:hanging="547"/>
        <w:jc w:val="left"/>
        <w:rPr/>
      </w:pPr>
      <w:r>
        <w:rPr>
          <w:rFonts w:ascii="Wingdings 2;sans-serif" w:hAnsi="Wingdings 2;sans-serif"/>
          <w:b w:val="false"/>
          <w:color w:val="000000"/>
          <w:sz w:val="20"/>
        </w:rPr>
        <w:t>Q</w:t>
      </w:r>
      <w:r>
        <w:rPr>
          <w:color w:val="000000"/>
        </w:rPr>
        <w:t>    </w:t>
      </w:r>
      <w:r>
        <w:rPr>
          <w:rFonts w:ascii="Arial;sans-serif" w:hAnsi="Arial;sans-serif"/>
          <w:b w:val="false"/>
          <w:color w:val="000000"/>
          <w:sz w:val="20"/>
        </w:rPr>
        <w:t>No fee required.</w:t>
      </w:r>
    </w:p>
    <w:p>
      <w:pPr>
        <w:pStyle w:val="TextBody"/>
        <w:bidi w:val="0"/>
        <w:spacing w:lineRule="auto" w:line="240" w:before="0" w:after="120"/>
        <w:ind w:left="0" w:right="0" w:hanging="547"/>
        <w:jc w:val="left"/>
        <w:rPr/>
      </w:pPr>
      <w:r>
        <w:rPr>
          <w:rFonts w:ascii="Webdings;sans-serif" w:hAnsi="Webdings;sans-serif"/>
          <w:b w:val="false"/>
          <w:color w:val="000000"/>
          <w:sz w:val="14"/>
        </w:rPr>
        <w:t>c</w:t>
      </w:r>
      <w:r>
        <w:rPr>
          <w:color w:val="000000"/>
        </w:rPr>
        <w:t>    </w:t>
      </w:r>
      <w:r>
        <w:rPr>
          <w:rFonts w:ascii="Arial;sans-serif" w:hAnsi="Arial;sans-serif"/>
          <w:b w:val="false"/>
          <w:color w:val="000000"/>
          <w:sz w:val="20"/>
        </w:rPr>
        <w:t xml:space="preserve">Fee paid previously with preliminary materials. </w:t>
      </w:r>
    </w:p>
    <w:p>
      <w:pPr>
        <w:pStyle w:val="TextBody"/>
        <w:bidi w:val="0"/>
        <w:spacing w:lineRule="auto" w:line="240" w:before="0" w:after="120"/>
        <w:ind w:left="0" w:right="0" w:hanging="547"/>
        <w:jc w:val="left"/>
        <w:rPr/>
      </w:pPr>
      <w:r>
        <w:rPr>
          <w:rFonts w:ascii="Webdings;sans-serif" w:hAnsi="Webdings;sans-serif"/>
          <w:b w:val="false"/>
          <w:color w:val="000000"/>
          <w:sz w:val="14"/>
        </w:rPr>
        <w:t>c</w:t>
      </w:r>
      <w:r>
        <w:rPr>
          <w:color w:val="000000"/>
        </w:rPr>
        <w:t>    </w:t>
      </w:r>
      <w:r>
        <w:rPr>
          <w:rFonts w:ascii="Arial;sans-serif" w:hAnsi="Arial;sans-serif"/>
          <w:b w:val="false"/>
          <w:color w:val="000000"/>
          <w:sz w:val="20"/>
        </w:rPr>
        <w:t>Fee computed on table in exhibit required by Item 25(b) per Exchange Act Rules 14a-(6)(i)(1)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6480175" cy="175260"/>
                <wp:effectExtent l="0" t="0" r="0" b="0"/>
                <wp:wrapNone/>
                <wp:docPr id="3"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tbl>
      <w:tblPr>
        <w:tblW w:w="9926" w:type="dxa"/>
        <w:jc w:val="left"/>
        <w:tblInd w:w="0" w:type="dxa"/>
        <w:tblLayout w:type="fixed"/>
        <w:tblCellMar>
          <w:top w:w="28" w:type="dxa"/>
          <w:left w:w="28" w:type="dxa"/>
          <w:bottom w:w="28" w:type="dxa"/>
          <w:right w:w="28" w:type="dxa"/>
        </w:tblCellMar>
      </w:tblPr>
      <w:tblGrid>
        <w:gridCol w:w="3180"/>
        <w:gridCol w:w="2795"/>
        <w:gridCol w:w="3951"/>
      </w:tblGrid>
      <w:tr>
        <w:trPr/>
        <w:tc>
          <w:tcPr>
            <w:tcW w:w="3180" w:type="dxa"/>
            <w:tcBorders/>
            <w:vAlign w:val="center"/>
          </w:tcPr>
          <w:p>
            <w:pPr>
              <w:pStyle w:val="TableContents"/>
              <w:bidi w:val="0"/>
              <w:spacing w:before="0" w:after="283"/>
              <w:jc w:val="left"/>
              <w:rPr>
                <w:sz w:val="4"/>
                <w:szCs w:val="4"/>
              </w:rPr>
            </w:pPr>
            <w:r>
              <w:rPr>
                <w:sz w:val="4"/>
                <w:szCs w:val="4"/>
              </w:rPr>
            </w:r>
          </w:p>
        </w:tc>
        <w:tc>
          <w:tcPr>
            <w:tcW w:w="2795" w:type="dxa"/>
            <w:tcBorders/>
            <w:vAlign w:val="center"/>
          </w:tcPr>
          <w:p>
            <w:pPr>
              <w:pStyle w:val="TableContents"/>
              <w:bidi w:val="0"/>
              <w:spacing w:before="0" w:after="283"/>
              <w:jc w:val="left"/>
              <w:rPr>
                <w:sz w:val="4"/>
                <w:szCs w:val="4"/>
              </w:rPr>
            </w:pPr>
            <w:r>
              <w:rPr>
                <w:sz w:val="4"/>
                <w:szCs w:val="4"/>
              </w:rPr>
            </w:r>
          </w:p>
        </w:tc>
        <w:tc>
          <w:tcPr>
            <w:tcW w:w="3951" w:type="dxa"/>
            <w:tcBorders/>
            <w:vAlign w:val="center"/>
          </w:tcPr>
          <w:p>
            <w:pPr>
              <w:pStyle w:val="TableContents"/>
              <w:bidi w:val="0"/>
              <w:spacing w:before="0" w:after="283"/>
              <w:jc w:val="left"/>
              <w:rPr>
                <w:sz w:val="4"/>
                <w:szCs w:val="4"/>
              </w:rPr>
            </w:pPr>
            <w:r>
              <w:rPr>
                <w:sz w:val="4"/>
                <w:szCs w:val="4"/>
              </w:rPr>
            </w:r>
          </w:p>
        </w:tc>
      </w:tr>
      <w:tr>
        <w:trPr/>
        <w:tc>
          <w:tcPr>
            <w:tcW w:w="992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6210300" cy="5038725"/>
                  <wp:effectExtent l="0" t="0" r="0" b="0"/>
                  <wp:docPr id="4"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3" descr=""/>
                          <pic:cNvPicPr>
                            <a:picLocks noChangeAspect="1" noChangeArrowheads="1"/>
                          </pic:cNvPicPr>
                        </pic:nvPicPr>
                        <pic:blipFill>
                          <a:blip r:embed="rId4"/>
                          <a:stretch>
                            <a:fillRect/>
                          </a:stretch>
                        </pic:blipFill>
                        <pic:spPr bwMode="auto">
                          <a:xfrm>
                            <a:off x="0" y="0"/>
                            <a:ext cx="6210300" cy="5038725"/>
                          </a:xfrm>
                          <a:prstGeom prst="rect">
                            <a:avLst/>
                          </a:prstGeom>
                        </pic:spPr>
                      </pic:pic>
                    </a:graphicData>
                  </a:graphic>
                </wp:inline>
              </w:drawing>
            </w:r>
          </w:p>
        </w:tc>
      </w:tr>
    </w:tbl>
    <w:p>
      <w:pPr>
        <w:pStyle w:val="TextBody"/>
        <w:bidi w:val="0"/>
        <w:spacing w:before="5" w:after="283"/>
        <w:jc w:val="left"/>
        <w:rPr/>
      </w:pPr>
      <w:r>
        <w:rPr/>
      </w:r>
    </w:p>
    <w:tbl>
      <w:tblPr>
        <w:tblW w:w="6179" w:type="dxa"/>
        <w:jc w:val="left"/>
        <w:tblInd w:w="0" w:type="dxa"/>
        <w:tblLayout w:type="fixed"/>
        <w:tblCellMar>
          <w:top w:w="28" w:type="dxa"/>
          <w:left w:w="28" w:type="dxa"/>
          <w:bottom w:w="28" w:type="dxa"/>
          <w:right w:w="28" w:type="dxa"/>
        </w:tblCellMar>
      </w:tblPr>
      <w:tblGrid>
        <w:gridCol w:w="1980"/>
        <w:gridCol w:w="1739"/>
        <w:gridCol w:w="2460"/>
      </w:tblGrid>
      <w:tr>
        <w:trPr/>
        <w:tc>
          <w:tcPr>
            <w:tcW w:w="1980" w:type="dxa"/>
            <w:tcBorders/>
            <w:vAlign w:val="center"/>
          </w:tcPr>
          <w:p>
            <w:pPr>
              <w:pStyle w:val="TableContents"/>
              <w:bidi w:val="0"/>
              <w:spacing w:before="0" w:after="283"/>
              <w:jc w:val="left"/>
              <w:rPr>
                <w:sz w:val="4"/>
                <w:szCs w:val="4"/>
              </w:rPr>
            </w:pPr>
            <w:r>
              <w:rPr>
                <w:sz w:val="4"/>
                <w:szCs w:val="4"/>
              </w:rPr>
            </w:r>
          </w:p>
        </w:tc>
        <w:tc>
          <w:tcPr>
            <w:tcW w:w="1739" w:type="dxa"/>
            <w:tcBorders/>
            <w:vAlign w:val="center"/>
          </w:tcPr>
          <w:p>
            <w:pPr>
              <w:pStyle w:val="TableContents"/>
              <w:bidi w:val="0"/>
              <w:spacing w:before="0" w:after="283"/>
              <w:jc w:val="left"/>
              <w:rPr>
                <w:sz w:val="4"/>
                <w:szCs w:val="4"/>
              </w:rPr>
            </w:pPr>
            <w:r>
              <w:rPr>
                <w:sz w:val="4"/>
                <w:szCs w:val="4"/>
              </w:rPr>
            </w:r>
          </w:p>
        </w:tc>
        <w:tc>
          <w:tcPr>
            <w:tcW w:w="2460" w:type="dxa"/>
            <w:tcBorders/>
            <w:vAlign w:val="center"/>
          </w:tcPr>
          <w:p>
            <w:pPr>
              <w:pStyle w:val="TableContents"/>
              <w:bidi w:val="0"/>
              <w:spacing w:before="0" w:after="283"/>
              <w:jc w:val="left"/>
              <w:rPr>
                <w:sz w:val="4"/>
                <w:szCs w:val="4"/>
              </w:rPr>
            </w:pPr>
            <w:r>
              <w:rPr>
                <w:sz w:val="4"/>
                <w:szCs w:val="4"/>
              </w:rPr>
            </w:r>
          </w:p>
        </w:tc>
      </w:tr>
      <w:tr>
        <w:trPr/>
        <w:tc>
          <w:tcPr>
            <w:tcW w:w="6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4C97"/>
                <w:sz w:val="56"/>
              </w:rPr>
            </w:pPr>
            <w:r>
              <w:rPr>
                <w:rFonts w:ascii="Arial;sans-serif" w:hAnsi="Arial;sans-serif"/>
                <w:b w:val="false"/>
                <w:color w:val="004C97"/>
                <w:sz w:val="56"/>
              </w:rPr>
              <w:t>2024 Notice of Annual</w:t>
              <w:br/>
              <w:t>Meeting of Stockholders</w:t>
              <w:br/>
              <w:t>and Proxy Statement</w:t>
            </w:r>
          </w:p>
        </w:tc>
      </w:tr>
    </w:tbl>
    <w:tbl>
      <w:tblPr>
        <w:tblW w:w="4493" w:type="dxa"/>
        <w:jc w:val="left"/>
        <w:tblInd w:w="0" w:type="dxa"/>
        <w:tblLayout w:type="fixed"/>
        <w:tblCellMar>
          <w:top w:w="28" w:type="dxa"/>
          <w:left w:w="28" w:type="dxa"/>
          <w:bottom w:w="28" w:type="dxa"/>
          <w:right w:w="28" w:type="dxa"/>
        </w:tblCellMar>
      </w:tblPr>
      <w:tblGrid>
        <w:gridCol w:w="124"/>
        <w:gridCol w:w="109"/>
        <w:gridCol w:w="109"/>
        <w:gridCol w:w="1216"/>
        <w:gridCol w:w="1216"/>
        <w:gridCol w:w="171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71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1"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552700" cy="942975"/>
                  <wp:effectExtent l="0" t="0" r="0" b="0"/>
                  <wp:docPr id="5"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4" descr=""/>
                          <pic:cNvPicPr>
                            <a:picLocks noChangeAspect="1" noChangeArrowheads="1"/>
                          </pic:cNvPicPr>
                        </pic:nvPicPr>
                        <pic:blipFill>
                          <a:blip r:embed="rId5"/>
                          <a:stretch>
                            <a:fillRect/>
                          </a:stretch>
                        </pic:blipFill>
                        <pic:spPr bwMode="auto">
                          <a:xfrm>
                            <a:off x="0" y="0"/>
                            <a:ext cx="2552700" cy="942975"/>
                          </a:xfrm>
                          <a:prstGeom prst="rect">
                            <a:avLst/>
                          </a:prstGeom>
                        </pic:spPr>
                      </pic:pic>
                    </a:graphicData>
                  </a:graphic>
                </wp:inline>
              </w:drawing>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6480175" cy="175260"/>
                <wp:effectExtent l="0" t="0" r="0" b="0"/>
                <wp:wrapNone/>
                <wp:docPr id="6"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drawing>
          <wp:inline distT="0" distB="0" distL="0" distR="0">
            <wp:extent cx="1371600" cy="504825"/>
            <wp:effectExtent l="0" t="0" r="0" b="0"/>
            <wp:docPr id="7"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5" descr=""/>
                    <pic:cNvPicPr>
                      <a:picLocks noChangeAspect="1" noChangeArrowheads="1"/>
                    </pic:cNvPicPr>
                  </pic:nvPicPr>
                  <pic:blipFill>
                    <a:blip r:embed="rId6"/>
                    <a:stretch>
                      <a:fillRect/>
                    </a:stretch>
                  </pic:blipFill>
                  <pic:spPr bwMode="auto">
                    <a:xfrm>
                      <a:off x="0" y="0"/>
                      <a:ext cx="1371600" cy="504825"/>
                    </a:xfrm>
                    <a:prstGeom prst="rect">
                      <a:avLst/>
                    </a:prstGeom>
                  </pic:spPr>
                </pic:pic>
              </a:graphicData>
            </a:graphic>
          </wp:inline>
        </w:drawing>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Fellow Stockholders:</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On behalf of the Board of Directors, we invite you to attend the SPX Technologies, Inc. 2024 Annual Meeting of Stockholders (the “Annual Meeting”) on May 14, 2024, at 8:00 a.m. (Eastern Time). The Annual Meeting will be held by a virtual format, conducted via live webcast.</w:t>
      </w:r>
    </w:p>
    <w:p>
      <w:pPr>
        <w:pStyle w:val="TextBody"/>
        <w:bidi w:val="0"/>
        <w:spacing w:lineRule="auto" w:line="288" w:before="0" w:after="60"/>
        <w:jc w:val="left"/>
        <w:rPr>
          <w:rFonts w:ascii="Arial;sans-serif" w:hAnsi="Arial;sans-serif"/>
          <w:b/>
          <w:color w:val="004C97"/>
          <w:sz w:val="20"/>
        </w:rPr>
      </w:pPr>
      <w:r>
        <w:rPr>
          <w:rFonts w:ascii="Arial;sans-serif" w:hAnsi="Arial;sans-serif"/>
          <w:b/>
          <w:color w:val="004C97"/>
          <w:sz w:val="20"/>
        </w:rPr>
        <w:t>2023 Review – Another Highly Successful Year</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 xml:space="preserve">SPX Technologies had another highly successful year in 2023. Our financial and operational performance reached new heights and we achieved several of our 2025 financial targets ahead of schedule. For the year, our consolidated revenue increased 19.2%, with strong contributions from organic growth and the acquisitions of TAMCO and ASPEQ. Our HVAC segment achieved record performance with year-on-year growth in segment income of 73.0% and segment income margins of 20.9%. </w:t>
      </w:r>
    </w:p>
    <w:p>
      <w:pPr>
        <w:pStyle w:val="TextBody"/>
        <w:bidi w:val="0"/>
        <w:spacing w:lineRule="auto" w:line="288" w:before="0" w:after="180"/>
        <w:jc w:val="both"/>
        <w:rPr/>
      </w:pPr>
      <w:r>
        <w:rPr>
          <w:rFonts w:ascii="Arial;sans-serif" w:hAnsi="Arial;sans-serif"/>
          <w:b w:val="false"/>
          <w:color w:val="000000"/>
          <w:sz w:val="18"/>
        </w:rPr>
        <w:t>We also made significant advances in our key initiatives in 2023. Investments in both continuous improvement and digital contributed to our revenue growth and margin improvement during the year and helped position us for continued success. On our sustainability initiative, we reported strong progress towards our greenhouse gas emissions reduction target</w:t>
      </w:r>
      <w:r>
        <w:rPr>
          <w:color w:val="000000"/>
        </w:rPr>
        <w:t xml:space="preserve">† </w:t>
      </w:r>
      <w:r>
        <w:rPr>
          <w:rFonts w:ascii="Arial;sans-serif" w:hAnsi="Arial;sans-serif"/>
          <w:b w:val="false"/>
          <w:color w:val="000000"/>
          <w:sz w:val="18"/>
        </w:rPr>
        <w:t>and the lowest level of water usage across our operations in years. Finally, we eliminated one of the largest remaining risks to the organization through settlement of our long standing disputes in South Africa. This was a multi-year, highly complex undertaking and the removal of this risk has allowed us to enhance our focus on our strategic growth objectives.</w:t>
      </w:r>
    </w:p>
    <w:p>
      <w:pPr>
        <w:pStyle w:val="TextBody"/>
        <w:bidi w:val="0"/>
        <w:spacing w:lineRule="auto" w:line="268" w:before="0" w:after="60"/>
        <w:jc w:val="both"/>
        <w:rPr>
          <w:rFonts w:ascii="Arial;sans-serif" w:hAnsi="Arial;sans-serif"/>
          <w:b/>
          <w:color w:val="004C97"/>
          <w:sz w:val="20"/>
        </w:rPr>
      </w:pPr>
      <w:r>
        <w:rPr>
          <w:rFonts w:ascii="Arial;sans-serif" w:hAnsi="Arial;sans-serif"/>
          <w:b/>
          <w:color w:val="004C97"/>
          <w:sz w:val="20"/>
        </w:rPr>
        <w:t>Well Positioned For Further Growth Ahead</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We entered 2024 well positioned to continue our growth journey. After deploying $547 million towards acquisitions in 2023, we ended the year in a very strong financial position. We have historically high levels of backlog in both our HVAC and Detection &amp; Measurement segments, and overall customer demand for our products remains robust. In February 2024, we completed the acquisition of Ingénia, further building on our strong position in Engineered Air Movement within our HVAC Cooling platform. We have also strengthened our team with the addition of exceptional leaders and organized our segment structure to optimize performance.</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Looking ahead, we will continue to closely adhere to our successful value creation roadmap, focusing on new product introductions, digital and software innovations, and a culture of continuous improvement in all aspects of our business. We will continue making efficiency-enhancing investments and pursuing strategic acquisitions across our platforms.</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We will also maintain our focus on sustainability as a key pillar of our growth journey. This includes further aligning this initiative with our continuous improvement and new product development processes. We will also make continued investments in our people through training, education, talent management programs, and Diversity &amp; Inclusion initiatives.</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Our midpoint guidance for 2024 reflects another year of double-digit increases in adjusted earnings per share and adjusted EBITDA, excluding any impact from further potential capital deployment. We believe that the goals we have set reflect a high level of expectations for our team, and a commitment to delivering the strong performance that investors have come to expect from SPX Technologies.</w:t>
      </w:r>
    </w:p>
    <w:p>
      <w:pPr>
        <w:pStyle w:val="TextBody"/>
        <w:bidi w:val="0"/>
        <w:spacing w:lineRule="auto" w:line="247" w:before="0" w:after="60"/>
        <w:jc w:val="both"/>
        <w:rPr>
          <w:rFonts w:ascii="Arial;sans-serif" w:hAnsi="Arial;sans-serif"/>
          <w:b/>
          <w:color w:val="004C97"/>
          <w:sz w:val="20"/>
        </w:rPr>
      </w:pPr>
      <w:r>
        <w:rPr>
          <w:rFonts w:ascii="Arial;sans-serif" w:hAnsi="Arial;sans-serif"/>
          <w:b/>
          <w:color w:val="004C97"/>
          <w:sz w:val="20"/>
        </w:rPr>
        <w:t>Meeting Attendance and Voting</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 xml:space="preserve">All SPX stockholders of record at the close of business on March 18, 2024, are entitled to vote on the matters listed at the Annual Meeting. To ensure that your shares will be represented, we ask you to vote by telephone, mail, or over the internet as soon as possible. </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On behalf of the Board of Directors and our leadership team, we would like to express our gratitude to our employees for working tirelessly to achieve our goals, and to you, our stockholders, for your valuable feedback and continued interest in SPX Technologies.</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Sincerely,</w:t>
      </w:r>
    </w:p>
    <w:p>
      <w:pPr>
        <w:pStyle w:val="TextBody"/>
        <w:bidi w:val="0"/>
        <w:spacing w:lineRule="auto" w:line="288" w:before="0" w:after="180"/>
        <w:jc w:val="both"/>
        <w:rPr/>
      </w:pPr>
      <w:r>
        <w:rPr>
          <w:rFonts w:ascii="Arial;sans-serif" w:hAnsi="Arial;sans-serif"/>
          <w:b/>
          <w:color w:val="000000"/>
          <w:sz w:val="18"/>
        </w:rPr>
        <w:t>Patrick O’Leary</w:t>
      </w:r>
      <w:r>
        <w:rPr>
          <w:rFonts w:ascii="Arial;sans-serif" w:hAnsi="Arial;sans-serif"/>
          <w:b w:val="false"/>
          <w:color w:val="000000"/>
          <w:sz w:val="18"/>
        </w:rPr>
        <w:br/>
        <w:t>Chairman of the Board of Directors    </w:t>
      </w:r>
    </w:p>
    <w:p>
      <w:pPr>
        <w:pStyle w:val="TextBody"/>
        <w:bidi w:val="0"/>
        <w:spacing w:lineRule="auto" w:line="288" w:before="0" w:after="180"/>
        <w:jc w:val="both"/>
        <w:rPr/>
      </w:pPr>
      <w:r>
        <w:rPr>
          <w:rFonts w:ascii="Arial;sans-serif" w:hAnsi="Arial;sans-serif"/>
          <w:b/>
          <w:color w:val="000000"/>
          <w:sz w:val="18"/>
        </w:rPr>
        <w:t>Gene Lowe</w:t>
      </w:r>
      <w:r>
        <w:rPr>
          <w:rFonts w:ascii="Arial;sans-serif" w:hAnsi="Arial;sans-serif"/>
          <w:b w:val="false"/>
          <w:color w:val="000000"/>
          <w:sz w:val="18"/>
        </w:rPr>
        <w:br/>
        <w:t>President and Chief Executive Officer</w:t>
      </w:r>
    </w:p>
    <w:p>
      <w:pPr>
        <w:pStyle w:val="TextBody"/>
        <w:bidi w:val="0"/>
        <w:spacing w:lineRule="auto" w:line="288" w:before="0" w:after="60"/>
        <w:jc w:val="both"/>
        <w:rPr>
          <w:color w:val="000000"/>
        </w:rPr>
      </w:pPr>
      <w:r>
        <w:rPr>
          <w:color w:val="000000"/>
        </w:rPr>
        <w:t xml:space="preserve">† </w:t>
      </w:r>
      <w:r>
        <w:rPr>
          <w:rFonts w:ascii="Arial;sans-serif" w:hAnsi="Arial;sans-serif"/>
          <w:b w:val="false"/>
          <w:color w:val="000000"/>
          <w:sz w:val="14"/>
        </w:rPr>
        <w:t>Reduction of scope 1 and scope 2 greenhouse gas emissions relative to consolidated revenue, using 2019 as the baseline year.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6480175" cy="251460"/>
                <wp:effectExtent l="0" t="0" r="0" b="0"/>
                <wp:wrapNone/>
                <wp:docPr id="8" name="Frame3"/>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283"/>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283"/>
                        <w:jc w:val="right"/>
                        <w:rPr/>
                      </w:pPr>
                      <w:r>
                        <w:rPr/>
                      </w:r>
                    </w:p>
                  </w:txbxContent>
                </v:textbox>
                <w10:wrap type="none"/>
              </v:rect>
            </w:pict>
          </mc:Fallback>
        </mc:AlternateContent>
      </w:r>
    </w:p>
    <w:p>
      <w:pPr>
        <w:pStyle w:val="TextBody"/>
        <w:bidi w:val="0"/>
        <w:spacing w:before="0" w:after="0"/>
        <w:jc w:val="center"/>
        <w:rPr/>
      </w:pPr>
      <w:r>
        <w:rPr/>
        <w:drawing>
          <wp:inline distT="0" distB="0" distL="0" distR="0">
            <wp:extent cx="1371600" cy="504825"/>
            <wp:effectExtent l="0" t="0" r="0" b="0"/>
            <wp:docPr id="9"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6" descr=""/>
                    <pic:cNvPicPr>
                      <a:picLocks noChangeAspect="1" noChangeArrowheads="1"/>
                    </pic:cNvPicPr>
                  </pic:nvPicPr>
                  <pic:blipFill>
                    <a:blip r:embed="rId7"/>
                    <a:stretch>
                      <a:fillRect/>
                    </a:stretch>
                  </pic:blipFill>
                  <pic:spPr bwMode="auto">
                    <a:xfrm>
                      <a:off x="0" y="0"/>
                      <a:ext cx="1371600" cy="504825"/>
                    </a:xfrm>
                    <a:prstGeom prst="rect">
                      <a:avLst/>
                    </a:prstGeom>
                  </pic:spPr>
                </pic:pic>
              </a:graphicData>
            </a:graphic>
          </wp:inline>
        </w:drawing>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6325 Ardrey Kell Rd, Suite 400</w:t>
      </w:r>
    </w:p>
    <w:p>
      <w:pPr>
        <w:pStyle w:val="TextBody"/>
        <w:bidi w:val="0"/>
        <w:spacing w:lineRule="auto" w:line="288" w:before="0" w:after="720"/>
        <w:jc w:val="center"/>
        <w:rPr>
          <w:rFonts w:ascii="Arial;sans-serif" w:hAnsi="Arial;sans-serif"/>
          <w:b w:val="false"/>
          <w:color w:val="000000"/>
          <w:sz w:val="18"/>
        </w:rPr>
      </w:pPr>
      <w:r>
        <w:rPr>
          <w:rFonts w:ascii="Arial;sans-serif" w:hAnsi="Arial;sans-serif"/>
          <w:b w:val="false"/>
          <w:color w:val="000000"/>
          <w:sz w:val="18"/>
        </w:rPr>
        <w:t>Charlotte, North Carolina 28277</w:t>
      </w:r>
    </w:p>
    <w:p>
      <w:pPr>
        <w:pStyle w:val="TextBody"/>
        <w:bidi w:val="0"/>
        <w:spacing w:lineRule="auto" w:line="312" w:before="0" w:after="0"/>
        <w:jc w:val="left"/>
        <w:rPr>
          <w:rFonts w:ascii="Arial;sans-serif" w:hAnsi="Arial;sans-serif"/>
          <w:b/>
          <w:color w:val="000000"/>
          <w:sz w:val="42"/>
        </w:rPr>
      </w:pPr>
      <w:r>
        <w:rPr>
          <w:rFonts w:ascii="Arial;sans-serif" w:hAnsi="Arial;sans-serif"/>
          <w:b/>
          <w:color w:val="000000"/>
          <w:sz w:val="42"/>
        </w:rPr>
        <w:t xml:space="preserve">NOTICE OF ANNUAL MEETING </w:t>
        <w:br/>
        <w:t>OF STOCKHOLDERS</w:t>
      </w:r>
    </w:p>
    <w:p>
      <w:pPr>
        <w:pStyle w:val="TextBody"/>
        <w:bidi w:val="0"/>
        <w:spacing w:lineRule="auto" w:line="288" w:before="0" w:after="0"/>
        <w:jc w:val="left"/>
        <w:rPr>
          <w:rFonts w:ascii="Arial;sans-serif" w:hAnsi="Arial;sans-serif"/>
          <w:b w:val="false"/>
          <w:color w:val="004C97"/>
          <w:sz w:val="32"/>
        </w:rPr>
      </w:pPr>
      <w:r>
        <w:rPr>
          <w:rFonts w:ascii="Arial;sans-serif" w:hAnsi="Arial;sans-serif"/>
          <w:b w:val="false"/>
          <w:color w:val="004C97"/>
          <w:sz w:val="32"/>
        </w:rPr>
        <w:t>Tuesday, May 14, 2024</w:t>
      </w:r>
    </w:p>
    <w:p>
      <w:pPr>
        <w:pStyle w:val="TextBody"/>
        <w:bidi w:val="0"/>
        <w:spacing w:lineRule="auto" w:line="288" w:before="0" w:after="0"/>
        <w:jc w:val="left"/>
        <w:rPr>
          <w:rFonts w:ascii="Arial;sans-serif" w:hAnsi="Arial;sans-serif"/>
          <w:b w:val="false"/>
          <w:color w:val="000000"/>
          <w:sz w:val="32"/>
        </w:rPr>
      </w:pPr>
      <w:r>
        <w:rPr>
          <w:rFonts w:ascii="Arial;sans-serif" w:hAnsi="Arial;sans-serif"/>
          <w:b w:val="false"/>
          <w:color w:val="000000"/>
          <w:sz w:val="32"/>
        </w:rPr>
        <w:t>8:00 a.m. (Eastern Time)</w:t>
      </w:r>
    </w:p>
    <w:p>
      <w:pPr>
        <w:pStyle w:val="TextBody"/>
        <w:bidi w:val="0"/>
        <w:spacing w:lineRule="auto" w:line="288" w:before="0" w:after="180"/>
        <w:jc w:val="both"/>
        <w:rPr>
          <w:rFonts w:ascii="Arial;sans-serif" w:hAnsi="Arial;sans-serif"/>
          <w:b w:val="false"/>
          <w:i/>
          <w:color w:val="000000"/>
          <w:sz w:val="18"/>
        </w:rPr>
      </w:pPr>
      <w:r>
        <w:rPr>
          <w:rFonts w:ascii="Arial;sans-serif" w:hAnsi="Arial;sans-serif"/>
          <w:b w:val="false"/>
          <w:i/>
          <w:color w:val="000000"/>
          <w:sz w:val="18"/>
        </w:rPr>
        <w:t xml:space="preserve">Virtually via live webcast at meetnow.global/MKHVHJL. </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There is no physical location for the 2024 Annual Meeting of Stockholders. Further information regarding attendance, including how to access the virtual meeting, is set forth in the “Question and Answers” section of the accompanying proxy statement. In this notice and throughout the proxy statement, we refer to SPX Technologies, Inc. as “SPX,” the “Company,” “we” or “us.”</w:t>
      </w:r>
    </w:p>
    <w:p>
      <w:pPr>
        <w:pStyle w:val="TextBody"/>
        <w:bidi w:val="0"/>
        <w:spacing w:lineRule="auto" w:line="288" w:before="0" w:after="60"/>
        <w:jc w:val="both"/>
        <w:rPr>
          <w:rFonts w:ascii="Arial;sans-serif" w:hAnsi="Arial;sans-serif"/>
          <w:b/>
          <w:color w:val="004C97"/>
          <w:sz w:val="20"/>
        </w:rPr>
      </w:pPr>
      <w:r>
        <w:rPr>
          <w:rFonts w:ascii="Arial;sans-serif" w:hAnsi="Arial;sans-serif"/>
          <w:b/>
          <w:color w:val="004C97"/>
          <w:sz w:val="20"/>
        </w:rPr>
        <w:t>Agenda</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The principal business of the Annual Meeting will be to:</w:t>
      </w:r>
    </w:p>
    <w:p>
      <w:pPr>
        <w:pStyle w:val="TextBody"/>
        <w:bidi w:val="0"/>
        <w:spacing w:lineRule="auto" w:line="288" w:before="0" w:after="120"/>
        <w:ind w:left="0" w:right="0" w:hanging="360"/>
        <w:jc w:val="both"/>
        <w:rPr>
          <w:rFonts w:ascii="Arial;sans-serif" w:hAnsi="Arial;sans-serif"/>
          <w:b w:val="false"/>
          <w:color w:val="000000"/>
          <w:sz w:val="18"/>
        </w:rPr>
      </w:pPr>
      <w:r>
        <w:rPr>
          <w:rFonts w:ascii="Arial;sans-serif" w:hAnsi="Arial;sans-serif"/>
          <w:b w:val="false"/>
          <w:color w:val="000000"/>
          <w:sz w:val="18"/>
        </w:rPr>
        <w:t>1.Elect the three nominees named in our Proxy Statement to serve as directors until our 2027 Annual Meeting;</w:t>
      </w:r>
    </w:p>
    <w:p>
      <w:pPr>
        <w:pStyle w:val="TextBody"/>
        <w:bidi w:val="0"/>
        <w:spacing w:lineRule="auto" w:line="288" w:before="0" w:after="120"/>
        <w:ind w:left="0" w:right="0" w:hanging="360"/>
        <w:jc w:val="both"/>
        <w:rPr>
          <w:rFonts w:ascii="Arial;sans-serif" w:hAnsi="Arial;sans-serif"/>
          <w:b w:val="false"/>
          <w:color w:val="000000"/>
          <w:sz w:val="18"/>
        </w:rPr>
      </w:pPr>
      <w:r>
        <w:rPr>
          <w:rFonts w:ascii="Arial;sans-serif" w:hAnsi="Arial;sans-serif"/>
          <w:b w:val="false"/>
          <w:color w:val="000000"/>
          <w:sz w:val="18"/>
        </w:rPr>
        <w:t>2.Approve our named executive officers’ compensation, on a non-binding advisory basis;</w:t>
      </w:r>
    </w:p>
    <w:p>
      <w:pPr>
        <w:pStyle w:val="TextBody"/>
        <w:bidi w:val="0"/>
        <w:spacing w:lineRule="auto" w:line="288" w:before="0" w:after="120"/>
        <w:ind w:left="0" w:right="0" w:hanging="360"/>
        <w:jc w:val="both"/>
        <w:rPr>
          <w:rFonts w:ascii="Arial;sans-serif" w:hAnsi="Arial;sans-serif"/>
          <w:b w:val="false"/>
          <w:color w:val="000000"/>
          <w:sz w:val="18"/>
        </w:rPr>
      </w:pPr>
      <w:r>
        <w:rPr>
          <w:rFonts w:ascii="Arial;sans-serif" w:hAnsi="Arial;sans-serif"/>
          <w:b w:val="false"/>
          <w:color w:val="000000"/>
          <w:sz w:val="18"/>
        </w:rPr>
        <w:t>3.Approve an amendment to the Company’s Amended and Restated Certificate of Incorporation (our “Certificate of Incorporation”) to provide for the annual election of the Board of Directors;</w:t>
      </w:r>
    </w:p>
    <w:p>
      <w:pPr>
        <w:pStyle w:val="TextBody"/>
        <w:bidi w:val="0"/>
        <w:spacing w:lineRule="auto" w:line="288" w:before="0" w:after="120"/>
        <w:ind w:left="0" w:right="0" w:hanging="360"/>
        <w:jc w:val="both"/>
        <w:rPr>
          <w:rFonts w:ascii="Arial;sans-serif" w:hAnsi="Arial;sans-serif"/>
          <w:b w:val="false"/>
          <w:color w:val="000000"/>
          <w:sz w:val="18"/>
        </w:rPr>
      </w:pPr>
      <w:r>
        <w:rPr>
          <w:rFonts w:ascii="Arial;sans-serif" w:hAnsi="Arial;sans-serif"/>
          <w:b w:val="false"/>
          <w:color w:val="000000"/>
          <w:sz w:val="18"/>
        </w:rPr>
        <w:t>4.Approve an amendment to our Certificate of Incorporation to provide for exculpation of certain officers as permitted by recent amendments to Delaware law;</w:t>
      </w:r>
    </w:p>
    <w:p>
      <w:pPr>
        <w:pStyle w:val="TextBody"/>
        <w:bidi w:val="0"/>
        <w:spacing w:lineRule="auto" w:line="288" w:before="0" w:after="120"/>
        <w:ind w:left="0" w:right="0" w:hanging="360"/>
        <w:jc w:val="both"/>
        <w:rPr>
          <w:rFonts w:ascii="Arial;sans-serif" w:hAnsi="Arial;sans-serif"/>
          <w:b w:val="false"/>
          <w:color w:val="000000"/>
          <w:sz w:val="18"/>
        </w:rPr>
      </w:pPr>
      <w:r>
        <w:rPr>
          <w:rFonts w:ascii="Arial;sans-serif" w:hAnsi="Arial;sans-serif"/>
          <w:b w:val="false"/>
          <w:color w:val="000000"/>
          <w:sz w:val="18"/>
        </w:rPr>
        <w:t>5.Approve an amendment to our Certificate of Incorporation to add a Delaware forum selection provision for certain legal actions;</w:t>
      </w:r>
    </w:p>
    <w:p>
      <w:pPr>
        <w:pStyle w:val="TextBody"/>
        <w:bidi w:val="0"/>
        <w:spacing w:lineRule="auto" w:line="288" w:before="0" w:after="120"/>
        <w:ind w:left="0" w:right="0" w:hanging="360"/>
        <w:jc w:val="both"/>
        <w:rPr>
          <w:rFonts w:ascii="Arial;sans-serif" w:hAnsi="Arial;sans-serif"/>
          <w:b w:val="false"/>
          <w:color w:val="000000"/>
          <w:sz w:val="18"/>
        </w:rPr>
      </w:pPr>
      <w:r>
        <w:rPr>
          <w:rFonts w:ascii="Arial;sans-serif" w:hAnsi="Arial;sans-serif"/>
          <w:b w:val="false"/>
          <w:color w:val="000000"/>
          <w:sz w:val="18"/>
        </w:rPr>
        <w:t>6.Approve an amendment to our Certificate of Incorporation to add a federal forum selection provision for claims under the Securities Act of 1933, as amended (the “Securities Act”);</w:t>
      </w:r>
    </w:p>
    <w:p>
      <w:pPr>
        <w:pStyle w:val="TextBody"/>
        <w:bidi w:val="0"/>
        <w:spacing w:lineRule="auto" w:line="288" w:before="0" w:after="120"/>
        <w:ind w:left="0" w:right="0" w:hanging="360"/>
        <w:jc w:val="both"/>
        <w:rPr>
          <w:rFonts w:ascii="Arial;sans-serif" w:hAnsi="Arial;sans-serif"/>
          <w:b w:val="false"/>
          <w:color w:val="000000"/>
          <w:sz w:val="18"/>
        </w:rPr>
      </w:pPr>
      <w:r>
        <w:rPr>
          <w:rFonts w:ascii="Arial;sans-serif" w:hAnsi="Arial;sans-serif"/>
          <w:b w:val="false"/>
          <w:color w:val="000000"/>
          <w:sz w:val="18"/>
        </w:rPr>
        <w:t>7.Ratify our Audit Committee’s appointment of our independent registered public accounting firm for 2024; and</w:t>
      </w:r>
    </w:p>
    <w:p>
      <w:pPr>
        <w:pStyle w:val="TextBody"/>
        <w:bidi w:val="0"/>
        <w:spacing w:lineRule="auto" w:line="288" w:before="0" w:after="180"/>
        <w:ind w:left="0" w:right="0" w:hanging="360"/>
        <w:jc w:val="both"/>
        <w:rPr>
          <w:rFonts w:ascii="Arial;sans-serif" w:hAnsi="Arial;sans-serif"/>
          <w:b w:val="false"/>
          <w:color w:val="000000"/>
          <w:sz w:val="18"/>
        </w:rPr>
      </w:pPr>
      <w:r>
        <w:rPr>
          <w:rFonts w:ascii="Arial;sans-serif" w:hAnsi="Arial;sans-serif"/>
          <w:b w:val="false"/>
          <w:color w:val="000000"/>
          <w:sz w:val="18"/>
        </w:rPr>
        <w:t>8.Transact any other business properly brought before the meeting or any adjournment thereof.</w:t>
      </w:r>
    </w:p>
    <w:p>
      <w:pPr>
        <w:pStyle w:val="TextBody"/>
        <w:bidi w:val="0"/>
        <w:spacing w:lineRule="auto" w:line="288" w:before="0" w:after="60"/>
        <w:jc w:val="both"/>
        <w:rPr>
          <w:rFonts w:ascii="Arial;sans-serif" w:hAnsi="Arial;sans-serif"/>
          <w:b/>
          <w:color w:val="004C97"/>
          <w:sz w:val="20"/>
        </w:rPr>
      </w:pPr>
      <w:r>
        <w:rPr>
          <w:rFonts w:ascii="Arial;sans-serif" w:hAnsi="Arial;sans-serif"/>
          <w:b/>
          <w:color w:val="004C97"/>
          <w:sz w:val="20"/>
        </w:rPr>
        <w:t>Record Date</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March 18, 2024. You may vote during the virtual Annual Meeting or by proxy if you were a stockholder of record at the close of business on March 18, 2024. You may revoke your proxy at any time prior to its exercise at the Annual Meeting.</w:t>
      </w:r>
    </w:p>
    <w:p>
      <w:pPr>
        <w:pStyle w:val="TextBody"/>
        <w:bidi w:val="0"/>
        <w:spacing w:lineRule="auto" w:line="288" w:before="0" w:after="60"/>
        <w:jc w:val="both"/>
        <w:rPr>
          <w:rFonts w:ascii="Arial;sans-serif" w:hAnsi="Arial;sans-serif"/>
          <w:b/>
          <w:color w:val="004C97"/>
          <w:sz w:val="20"/>
        </w:rPr>
      </w:pPr>
      <w:r>
        <w:rPr>
          <w:rFonts w:ascii="Arial;sans-serif" w:hAnsi="Arial;sans-serif"/>
          <w:b/>
          <w:color w:val="004C97"/>
          <w:sz w:val="20"/>
        </w:rPr>
        <w:t>Proxy Materials</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This year, we are again electronically disseminating Annual Meeting materials to some of our stockholders, as permitted under the “Notice and Access” rules approved by the Securities and Exchange Commission. Stockholders for whom Notice and Access applies will receive a Notice of Internet Availability of Proxy Materials containing instructions on how to access Annual Meeting materials via the internet. The Notice also provides instructions on how to obtain paper copies if preferred.</w:t>
      </w:r>
    </w:p>
    <w:tbl>
      <w:tblPr>
        <w:tblW w:w="4346" w:type="dxa"/>
        <w:jc w:val="left"/>
        <w:tblInd w:w="0" w:type="dxa"/>
        <w:tblLayout w:type="fixed"/>
        <w:tblCellMar>
          <w:top w:w="28" w:type="dxa"/>
          <w:left w:w="28" w:type="dxa"/>
          <w:bottom w:w="28" w:type="dxa"/>
          <w:right w:w="28" w:type="dxa"/>
        </w:tblCellMar>
      </w:tblPr>
      <w:tblGrid>
        <w:gridCol w:w="124"/>
        <w:gridCol w:w="109"/>
        <w:gridCol w:w="109"/>
        <w:gridCol w:w="1169"/>
        <w:gridCol w:w="1169"/>
        <w:gridCol w:w="166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9" w:type="dxa"/>
            <w:tcBorders/>
            <w:vAlign w:val="center"/>
          </w:tcPr>
          <w:p>
            <w:pPr>
              <w:pStyle w:val="TableContents"/>
              <w:bidi w:val="0"/>
              <w:spacing w:before="0" w:after="283"/>
              <w:jc w:val="left"/>
              <w:rPr>
                <w:sz w:val="4"/>
                <w:szCs w:val="4"/>
              </w:rPr>
            </w:pPr>
            <w:r>
              <w:rPr>
                <w:sz w:val="4"/>
                <w:szCs w:val="4"/>
              </w:rPr>
            </w:r>
          </w:p>
        </w:tc>
        <w:tc>
          <w:tcPr>
            <w:tcW w:w="1169"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4" w:type="dxa"/>
            <w:gridSpan w:val="3"/>
            <w:tcBorders/>
            <w:tcMar>
              <w:top w:w="0" w:type="dxa"/>
              <w:left w:w="0" w:type="dxa"/>
              <w:bottom w:w="0" w:type="dxa"/>
              <w:right w:w="0" w:type="dxa"/>
            </w:tcMar>
            <w:vAlign w:val="center"/>
          </w:tcPr>
          <w:p>
            <w:pPr>
              <w:pStyle w:val="TableContents"/>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By Order of the Board of Directors,</w:t>
            </w:r>
          </w:p>
          <w:p>
            <w:pPr>
              <w:pStyle w:val="TableContents"/>
              <w:bidi w:val="0"/>
              <w:spacing w:lineRule="auto" w:line="288" w:before="0" w:after="0"/>
              <w:jc w:val="both"/>
              <w:rPr>
                <w:rFonts w:ascii="Arial;sans-serif" w:hAnsi="Arial;sans-serif"/>
                <w:b/>
                <w:color w:val="000000"/>
                <w:sz w:val="18"/>
              </w:rPr>
            </w:pPr>
            <w:r>
              <w:rPr>
                <w:rFonts w:ascii="Arial;sans-serif" w:hAnsi="Arial;sans-serif"/>
                <w:b/>
                <w:color w:val="000000"/>
                <w:sz w:val="18"/>
              </w:rPr>
              <w:t>John W. Nurkin</w:t>
            </w:r>
          </w:p>
          <w:p>
            <w:pPr>
              <w:pStyle w:val="TableContents"/>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Vice President, General Counsel and Secretary</w:t>
            </w:r>
          </w:p>
        </w:tc>
      </w:tr>
    </w:tbl>
    <w:p>
      <w:pPr>
        <w:pStyle w:val="TextBody"/>
        <w:bidi w:val="0"/>
        <w:spacing w:lineRule="auto" w:line="288" w:before="0" w:after="0"/>
        <w:jc w:val="both"/>
        <w:rPr>
          <w:rFonts w:ascii="Arial;sans-serif" w:hAnsi="Arial;sans-serif"/>
          <w:b w:val="false"/>
          <w:i/>
          <w:color w:val="000000"/>
          <w:sz w:val="18"/>
        </w:rPr>
      </w:pPr>
      <w:r>
        <w:rPr>
          <w:rFonts w:ascii="Arial;sans-serif" w:hAnsi="Arial;sans-serif"/>
          <w:b w:val="false"/>
          <w:i/>
          <w:color w:val="000000"/>
          <w:sz w:val="18"/>
        </w:rPr>
        <w:t xml:space="preserve">Approximate Date of Mailing of Proxy Materials or </w:t>
      </w:r>
    </w:p>
    <w:p>
      <w:pPr>
        <w:pStyle w:val="TextBody"/>
        <w:bidi w:val="0"/>
        <w:spacing w:lineRule="auto" w:line="288" w:before="0" w:after="180"/>
        <w:jc w:val="both"/>
        <w:rPr>
          <w:rFonts w:ascii="Arial;sans-serif" w:hAnsi="Arial;sans-serif"/>
          <w:b w:val="false"/>
          <w:i/>
          <w:color w:val="000000"/>
          <w:sz w:val="18"/>
        </w:rPr>
      </w:pPr>
      <w:r>
        <w:rPr>
          <w:rFonts w:ascii="Arial;sans-serif" w:hAnsi="Arial;sans-serif"/>
          <w:b w:val="false"/>
          <w:i/>
          <w:color w:val="000000"/>
          <w:sz w:val="18"/>
        </w:rPr>
        <w:t>Notice of Internet Availability:</w:t>
      </w:r>
    </w:p>
    <w:p>
      <w:pPr>
        <w:pStyle w:val="TextBody"/>
        <w:bidi w:val="0"/>
        <w:spacing w:lineRule="auto" w:line="288" w:before="0" w:after="180"/>
        <w:jc w:val="both"/>
        <w:rPr>
          <w:rFonts w:ascii="Arial;sans-serif" w:hAnsi="Arial;sans-serif"/>
          <w:b/>
          <w:color w:val="000000"/>
          <w:sz w:val="18"/>
        </w:rPr>
      </w:pPr>
      <w:r>
        <w:rPr>
          <w:rFonts w:ascii="Arial;sans-serif" w:hAnsi="Arial;sans-serif"/>
          <w:b/>
          <w:color w:val="000000"/>
          <w:sz w:val="18"/>
        </w:rPr>
        <w:t>April 4,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6480175" cy="251460"/>
                <wp:effectExtent l="0" t="0" r="0" b="0"/>
                <wp:wrapNone/>
                <wp:docPr id="10" name="Frame4"/>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312" w:before="0" w:after="240"/>
        <w:jc w:val="left"/>
        <w:rPr>
          <w:rFonts w:ascii="Arial;sans-serif" w:hAnsi="Arial;sans-serif"/>
          <w:b/>
          <w:color w:val="004C97"/>
          <w:sz w:val="42"/>
        </w:rPr>
      </w:pPr>
      <w:r>
        <w:rPr>
          <w:rFonts w:ascii="Arial;sans-serif" w:hAnsi="Arial;sans-serif"/>
          <w:b/>
          <w:color w:val="004C97"/>
          <w:sz w:val="42"/>
        </w:rPr>
        <w:t>TABLE OF CONTENTS</w:t>
      </w:r>
    </w:p>
    <w:tbl>
      <w:tblPr>
        <w:tblW w:w="10205" w:type="dxa"/>
        <w:jc w:val="left"/>
        <w:tblInd w:w="0" w:type="dxa"/>
        <w:tblLayout w:type="fixed"/>
        <w:tblCellMar>
          <w:top w:w="28" w:type="dxa"/>
          <w:left w:w="28" w:type="dxa"/>
          <w:bottom w:w="28" w:type="dxa"/>
          <w:right w:w="28" w:type="dxa"/>
        </w:tblCellMar>
      </w:tblPr>
      <w:tblGrid>
        <w:gridCol w:w="3568"/>
        <w:gridCol w:w="3129"/>
        <w:gridCol w:w="3135"/>
        <w:gridCol w:w="109"/>
        <w:gridCol w:w="109"/>
        <w:gridCol w:w="155"/>
      </w:tblGrid>
      <w:tr>
        <w:trPr/>
        <w:tc>
          <w:tcPr>
            <w:tcW w:w="3568" w:type="dxa"/>
            <w:tcBorders/>
            <w:vAlign w:val="center"/>
          </w:tcPr>
          <w:p>
            <w:pPr>
              <w:pStyle w:val="TableContents"/>
              <w:bidi w:val="0"/>
              <w:spacing w:before="0" w:after="283"/>
              <w:jc w:val="left"/>
              <w:rPr>
                <w:sz w:val="4"/>
                <w:szCs w:val="4"/>
              </w:rPr>
            </w:pPr>
            <w:r>
              <w:rPr>
                <w:sz w:val="4"/>
                <w:szCs w:val="4"/>
              </w:rPr>
            </w:r>
          </w:p>
        </w:tc>
        <w:tc>
          <w:tcPr>
            <w:tcW w:w="3129" w:type="dxa"/>
            <w:tcBorders/>
            <w:vAlign w:val="center"/>
          </w:tcPr>
          <w:p>
            <w:pPr>
              <w:pStyle w:val="TableContents"/>
              <w:bidi w:val="0"/>
              <w:spacing w:before="0" w:after="283"/>
              <w:jc w:val="left"/>
              <w:rPr>
                <w:sz w:val="4"/>
                <w:szCs w:val="4"/>
              </w:rPr>
            </w:pPr>
            <w:r>
              <w:rPr>
                <w:sz w:val="4"/>
                <w:szCs w:val="4"/>
              </w:rPr>
            </w:r>
          </w:p>
        </w:tc>
        <w:tc>
          <w:tcPr>
            <w:tcW w:w="3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983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c7e68db14b6f4918b894fbc1a3773451_1260">
              <w:r>
                <w:rPr>
                  <w:rStyle w:val="InternetLink"/>
                  <w:rFonts w:ascii="Arial;sans-serif" w:hAnsi="Arial;sans-serif"/>
                  <w:b/>
                  <w:strike w:val="false"/>
                  <w:dstrike w:val="false"/>
                  <w:color w:val="004C97"/>
                  <w:sz w:val="18"/>
                  <w:u w:val="none"/>
                  <w:effect w:val="none"/>
                </w:rPr>
                <w:t>PROXY STATEMENT ANNUAL MEETING OF STOCKHOLDERS</w:t>
              </w:r>
            </w:hyperlink>
          </w:p>
        </w:tc>
        <w:tc>
          <w:tcPr>
            <w:tcW w:w="373"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c7e68db14b6f4918b894fbc1a3773451_1260">
              <w:r>
                <w:rPr>
                  <w:rStyle w:val="InternetLink"/>
                  <w:rFonts w:ascii="Arial;sans-serif" w:hAnsi="Arial;sans-serif"/>
                  <w:b/>
                  <w:strike w:val="false"/>
                  <w:dstrike w:val="false"/>
                  <w:color w:val="004C97"/>
                  <w:sz w:val="18"/>
                  <w:u w:val="none"/>
                  <w:effect w:val="none"/>
                </w:rPr>
                <w:t>1</w:t>
              </w:r>
            </w:hyperlink>
          </w:p>
        </w:tc>
      </w:tr>
      <w:tr>
        <w:trPr/>
        <w:tc>
          <w:tcPr>
            <w:tcW w:w="983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left"/>
              <w:rPr/>
            </w:pPr>
            <w:hyperlink w:anchor="ic7e68db14b6f4918b894fbc1a3773451_53">
              <w:r>
                <w:rPr>
                  <w:rStyle w:val="InternetLink"/>
                  <w:rFonts w:ascii="Arial;sans-serif" w:hAnsi="Arial;sans-serif"/>
                  <w:b/>
                  <w:strike w:val="false"/>
                  <w:dstrike w:val="false"/>
                  <w:color w:val="004C97"/>
                  <w:sz w:val="18"/>
                  <w:u w:val="none"/>
                  <w:effect w:val="none"/>
                </w:rPr>
                <w:t>MEETING AND VOTING HIGHLIGHTS</w:t>
              </w:r>
            </w:hyperlink>
          </w:p>
        </w:tc>
        <w:tc>
          <w:tcPr>
            <w:tcW w:w="37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right"/>
              <w:rPr/>
            </w:pPr>
            <w:hyperlink w:anchor="ic7e68db14b6f4918b894fbc1a3773451_53">
              <w:r>
                <w:rPr>
                  <w:rStyle w:val="InternetLink"/>
                  <w:rFonts w:ascii="Arial;sans-serif" w:hAnsi="Arial;sans-serif"/>
                  <w:b/>
                  <w:strike w:val="false"/>
                  <w:dstrike w:val="false"/>
                  <w:color w:val="004C97"/>
                  <w:sz w:val="18"/>
                  <w:u w:val="none"/>
                  <w:effect w:val="none"/>
                </w:rPr>
                <w:t>2</w:t>
              </w:r>
            </w:hyperlink>
          </w:p>
        </w:tc>
      </w:tr>
      <w:tr>
        <w:trPr/>
        <w:tc>
          <w:tcPr>
            <w:tcW w:w="983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left"/>
              <w:rPr/>
            </w:pPr>
            <w:hyperlink w:anchor="ic7e68db14b6f4918b894fbc1a3773451_56">
              <w:r>
                <w:rPr>
                  <w:rStyle w:val="InternetLink"/>
                  <w:rFonts w:ascii="Arial;sans-serif" w:hAnsi="Arial;sans-serif"/>
                  <w:b/>
                  <w:strike w:val="false"/>
                  <w:dstrike w:val="false"/>
                  <w:color w:val="004C97"/>
                  <w:sz w:val="18"/>
                  <w:u w:val="none"/>
                  <w:effect w:val="none"/>
                </w:rPr>
                <w:t>CORPORATE GOVERNANCE</w:t>
              </w:r>
            </w:hyperlink>
          </w:p>
        </w:tc>
        <w:tc>
          <w:tcPr>
            <w:tcW w:w="37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right"/>
              <w:rPr/>
            </w:pPr>
            <w:hyperlink w:anchor="ic7e68db14b6f4918b894fbc1a3773451_56">
              <w:r>
                <w:rPr>
                  <w:rStyle w:val="InternetLink"/>
                  <w:rFonts w:ascii="Arial;sans-serif" w:hAnsi="Arial;sans-serif"/>
                  <w:b/>
                  <w:strike w:val="false"/>
                  <w:dstrike w:val="false"/>
                  <w:color w:val="004C97"/>
                  <w:sz w:val="18"/>
                  <w:u w:val="none"/>
                  <w:effect w:val="none"/>
                </w:rPr>
                <w:t>4</w:t>
              </w:r>
            </w:hyperlink>
          </w:p>
        </w:tc>
      </w:tr>
      <w:tr>
        <w:trPr/>
        <w:tc>
          <w:tcPr>
            <w:tcW w:w="983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left"/>
              <w:rPr/>
            </w:pPr>
            <w:hyperlink w:anchor="ic7e68db14b6f4918b894fbc1a3773451_59">
              <w:r>
                <w:rPr>
                  <w:rStyle w:val="InternetLink"/>
                  <w:rFonts w:ascii="Arial;sans-serif" w:hAnsi="Arial;sans-serif"/>
                  <w:b/>
                  <w:strike w:val="false"/>
                  <w:dstrike w:val="false"/>
                  <w:color w:val="004C97"/>
                  <w:sz w:val="18"/>
                  <w:u w:val="none"/>
                  <w:effect w:val="none"/>
                </w:rPr>
                <w:t>DIRECTOR COMPENSATION</w:t>
              </w:r>
            </w:hyperlink>
          </w:p>
        </w:tc>
        <w:tc>
          <w:tcPr>
            <w:tcW w:w="37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right"/>
              <w:rPr/>
            </w:pPr>
            <w:hyperlink w:anchor="ic7e68db14b6f4918b894fbc1a3773451_59">
              <w:r>
                <w:rPr>
                  <w:rStyle w:val="InternetLink"/>
                  <w:rFonts w:ascii="Arial;sans-serif" w:hAnsi="Arial;sans-serif"/>
                  <w:b/>
                  <w:strike w:val="false"/>
                  <w:dstrike w:val="false"/>
                  <w:color w:val="004C97"/>
                  <w:sz w:val="18"/>
                  <w:u w:val="none"/>
                  <w:effect w:val="none"/>
                </w:rPr>
                <w:t>11</w:t>
              </w:r>
            </w:hyperlink>
          </w:p>
        </w:tc>
      </w:tr>
      <w:tr>
        <w:trPr/>
        <w:tc>
          <w:tcPr>
            <w:tcW w:w="983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Director Compensation Table</w:t>
            </w:r>
          </w:p>
        </w:tc>
        <w:tc>
          <w:tcPr>
            <w:tcW w:w="37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right"/>
              <w:rPr/>
            </w:pPr>
            <w:hyperlink w:anchor="i8c16e1fade474442ab0fe9fbdb93c384_14758">
              <w:r>
                <w:rPr>
                  <w:rStyle w:val="InternetLink"/>
                  <w:rFonts w:ascii="Arial;sans-serif" w:hAnsi="Arial;sans-serif"/>
                  <w:b w:val="false"/>
                  <w:strike w:val="false"/>
                  <w:dstrike w:val="false"/>
                  <w:color w:val="000000"/>
                  <w:sz w:val="18"/>
                  <w:u w:val="none"/>
                  <w:effect w:val="none"/>
                </w:rPr>
                <w:t>12</w:t>
              </w:r>
            </w:hyperlink>
          </w:p>
        </w:tc>
      </w:tr>
      <w:tr>
        <w:trPr/>
        <w:tc>
          <w:tcPr>
            <w:tcW w:w="983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c7e68db14b6f4918b894fbc1a3773451_62">
              <w:r>
                <w:rPr>
                  <w:rStyle w:val="InternetLink"/>
                  <w:rFonts w:ascii="Arial;sans-serif" w:hAnsi="Arial;sans-serif"/>
                  <w:b/>
                  <w:strike w:val="false"/>
                  <w:dstrike w:val="false"/>
                  <w:color w:val="004C97"/>
                  <w:sz w:val="18"/>
                  <w:u w:val="none"/>
                  <w:effect w:val="none"/>
                </w:rPr>
                <w:t>PROPOSAL 1: ELECTION OF DIRECTORS</w:t>
              </w:r>
            </w:hyperlink>
          </w:p>
        </w:tc>
        <w:tc>
          <w:tcPr>
            <w:tcW w:w="373"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c7e68db14b6f4918b894fbc1a3773451_62">
              <w:r>
                <w:rPr>
                  <w:rStyle w:val="InternetLink"/>
                  <w:rFonts w:ascii="Arial;sans-serif" w:hAnsi="Arial;sans-serif"/>
                  <w:b/>
                  <w:strike w:val="false"/>
                  <w:dstrike w:val="false"/>
                  <w:color w:val="004C97"/>
                  <w:sz w:val="18"/>
                  <w:u w:val="none"/>
                  <w:effect w:val="none"/>
                </w:rPr>
                <w:t>13</w:t>
              </w:r>
            </w:hyperlink>
          </w:p>
        </w:tc>
      </w:tr>
      <w:tr>
        <w:trPr/>
        <w:tc>
          <w:tcPr>
            <w:tcW w:w="983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Nominees for Election</w:t>
            </w:r>
          </w:p>
        </w:tc>
        <w:tc>
          <w:tcPr>
            <w:tcW w:w="37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right"/>
              <w:rPr/>
            </w:pPr>
            <w:hyperlink w:anchor="i72569b677e204ec5b26ca04644a188d1_34876">
              <w:r>
                <w:rPr>
                  <w:rStyle w:val="InternetLink"/>
                  <w:rFonts w:ascii="Arial;sans-serif" w:hAnsi="Arial;sans-serif"/>
                  <w:b w:val="false"/>
                  <w:strike w:val="false"/>
                  <w:dstrike w:val="false"/>
                  <w:color w:val="000000"/>
                  <w:sz w:val="18"/>
                  <w:u w:val="none"/>
                  <w:effect w:val="none"/>
                </w:rPr>
                <w:t>14</w:t>
              </w:r>
            </w:hyperlink>
          </w:p>
        </w:tc>
      </w:tr>
      <w:tr>
        <w:trPr/>
        <w:tc>
          <w:tcPr>
            <w:tcW w:w="983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Directors Continuing to Serve Until the 2025 Annual Meeting</w:t>
            </w:r>
          </w:p>
        </w:tc>
        <w:tc>
          <w:tcPr>
            <w:tcW w:w="373"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72569b677e204ec5b26ca04644a188d1_34877">
              <w:r>
                <w:rPr>
                  <w:rStyle w:val="InternetLink"/>
                  <w:rFonts w:ascii="Arial;sans-serif" w:hAnsi="Arial;sans-serif"/>
                  <w:b w:val="false"/>
                  <w:strike w:val="false"/>
                  <w:dstrike w:val="false"/>
                  <w:color w:val="000000"/>
                  <w:sz w:val="18"/>
                  <w:u w:val="none"/>
                  <w:effect w:val="none"/>
                </w:rPr>
                <w:t>16</w:t>
              </w:r>
            </w:hyperlink>
          </w:p>
        </w:tc>
      </w:tr>
      <w:tr>
        <w:trPr/>
        <w:tc>
          <w:tcPr>
            <w:tcW w:w="983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Directors Continuing to Serve Until the 2026 Annual Meeting</w:t>
            </w:r>
          </w:p>
        </w:tc>
        <w:tc>
          <w:tcPr>
            <w:tcW w:w="373"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72569b677e204ec5b26ca04644a188d1_34878">
              <w:r>
                <w:rPr>
                  <w:rStyle w:val="InternetLink"/>
                  <w:rFonts w:ascii="Arial;sans-serif" w:hAnsi="Arial;sans-serif"/>
                  <w:b w:val="false"/>
                  <w:strike w:val="false"/>
                  <w:dstrike w:val="false"/>
                  <w:color w:val="000000"/>
                  <w:sz w:val="18"/>
                  <w:u w:val="none"/>
                  <w:effect w:val="none"/>
                </w:rPr>
                <w:t>17</w:t>
              </w:r>
            </w:hyperlink>
          </w:p>
        </w:tc>
      </w:tr>
      <w:tr>
        <w:trPr/>
        <w:tc>
          <w:tcPr>
            <w:tcW w:w="983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Director and Nominee Skills and Experience</w:t>
            </w:r>
          </w:p>
        </w:tc>
        <w:tc>
          <w:tcPr>
            <w:tcW w:w="373"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72569b677e204ec5b26ca04644a188d1_34879">
              <w:r>
                <w:rPr>
                  <w:rStyle w:val="InternetLink"/>
                  <w:rFonts w:ascii="Arial;sans-serif" w:hAnsi="Arial;sans-serif"/>
                  <w:b w:val="false"/>
                  <w:strike w:val="false"/>
                  <w:dstrike w:val="false"/>
                  <w:color w:val="000000"/>
                  <w:sz w:val="18"/>
                  <w:u w:val="none"/>
                  <w:effect w:val="none"/>
                </w:rPr>
                <w:t>19</w:t>
              </w:r>
            </w:hyperlink>
          </w:p>
        </w:tc>
      </w:tr>
      <w:tr>
        <w:trPr/>
        <w:tc>
          <w:tcPr>
            <w:tcW w:w="983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c7e68db14b6f4918b894fbc1a3773451_65">
              <w:r>
                <w:rPr>
                  <w:rStyle w:val="InternetLink"/>
                  <w:rFonts w:ascii="Arial;sans-serif" w:hAnsi="Arial;sans-serif"/>
                  <w:b/>
                  <w:strike w:val="false"/>
                  <w:dstrike w:val="false"/>
                  <w:color w:val="004C97"/>
                  <w:sz w:val="18"/>
                  <w:u w:val="none"/>
                  <w:effect w:val="none"/>
                </w:rPr>
                <w:t>OWNERSHIP OF COMMON STOCK</w:t>
              </w:r>
            </w:hyperlink>
          </w:p>
        </w:tc>
        <w:tc>
          <w:tcPr>
            <w:tcW w:w="373"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c7e68db14b6f4918b894fbc1a3773451_65">
              <w:r>
                <w:rPr>
                  <w:rStyle w:val="InternetLink"/>
                  <w:rFonts w:ascii="Arial;sans-serif" w:hAnsi="Arial;sans-serif"/>
                  <w:b/>
                  <w:strike w:val="false"/>
                  <w:dstrike w:val="false"/>
                  <w:color w:val="004C97"/>
                  <w:sz w:val="18"/>
                  <w:u w:val="none"/>
                  <w:effect w:val="none"/>
                </w:rPr>
                <w:t>20</w:t>
              </w:r>
            </w:hyperlink>
          </w:p>
        </w:tc>
      </w:tr>
      <w:tr>
        <w:trPr/>
        <w:tc>
          <w:tcPr>
            <w:tcW w:w="983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Stock Ownership Guidelines</w:t>
            </w:r>
          </w:p>
        </w:tc>
        <w:tc>
          <w:tcPr>
            <w:tcW w:w="37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right"/>
              <w:rPr/>
            </w:pPr>
            <w:hyperlink w:anchor="ic8205a2860284f95b5a0a3c78248fae0_25902">
              <w:r>
                <w:rPr>
                  <w:rStyle w:val="InternetLink"/>
                  <w:rFonts w:ascii="Arial;sans-serif" w:hAnsi="Arial;sans-serif"/>
                  <w:b w:val="false"/>
                  <w:strike w:val="false"/>
                  <w:dstrike w:val="false"/>
                  <w:color w:val="000000"/>
                  <w:sz w:val="18"/>
                  <w:u w:val="none"/>
                  <w:effect w:val="none"/>
                </w:rPr>
                <w:t>20</w:t>
              </w:r>
            </w:hyperlink>
          </w:p>
        </w:tc>
      </w:tr>
      <w:tr>
        <w:trPr/>
        <w:tc>
          <w:tcPr>
            <w:tcW w:w="983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c7e68db14b6f4918b894fbc1a3773451_65">
              <w:r>
                <w:rPr>
                  <w:rStyle w:val="InternetLink"/>
                  <w:rFonts w:ascii="Arial;sans-serif" w:hAnsi="Arial;sans-serif"/>
                  <w:b w:val="false"/>
                  <w:strike w:val="false"/>
                  <w:dstrike w:val="false"/>
                  <w:color w:val="000000"/>
                  <w:sz w:val="18"/>
                  <w:u w:val="none"/>
                  <w:effect w:val="none"/>
                </w:rPr>
                <w:t>Ownership of Common Stock</w:t>
              </w:r>
            </w:hyperlink>
          </w:p>
        </w:tc>
        <w:tc>
          <w:tcPr>
            <w:tcW w:w="373"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c7e68db14b6f4918b894fbc1a3773451_65">
              <w:r>
                <w:rPr>
                  <w:rStyle w:val="InternetLink"/>
                  <w:rFonts w:ascii="Arial;sans-serif" w:hAnsi="Arial;sans-serif"/>
                  <w:b w:val="false"/>
                  <w:strike w:val="false"/>
                  <w:dstrike w:val="false"/>
                  <w:color w:val="000000"/>
                  <w:sz w:val="18"/>
                  <w:u w:val="none"/>
                  <w:effect w:val="none"/>
                </w:rPr>
                <w:t>20</w:t>
              </w:r>
            </w:hyperlink>
          </w:p>
        </w:tc>
      </w:tr>
      <w:tr>
        <w:trPr/>
        <w:tc>
          <w:tcPr>
            <w:tcW w:w="983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Directors and Executive Officers</w:t>
            </w:r>
          </w:p>
        </w:tc>
        <w:tc>
          <w:tcPr>
            <w:tcW w:w="373"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c8205a2860284f95b5a0a3c78248fae0_25904">
              <w:r>
                <w:rPr>
                  <w:rStyle w:val="InternetLink"/>
                  <w:rFonts w:ascii="Arial;sans-serif" w:hAnsi="Arial;sans-serif"/>
                  <w:b w:val="false"/>
                  <w:strike w:val="false"/>
                  <w:dstrike w:val="false"/>
                  <w:color w:val="000000"/>
                  <w:sz w:val="18"/>
                  <w:u w:val="none"/>
                  <w:effect w:val="none"/>
                </w:rPr>
                <w:t>21</w:t>
              </w:r>
            </w:hyperlink>
          </w:p>
        </w:tc>
      </w:tr>
      <w:tr>
        <w:trPr/>
        <w:tc>
          <w:tcPr>
            <w:tcW w:w="983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Principal Stockholders</w:t>
            </w:r>
          </w:p>
        </w:tc>
        <w:tc>
          <w:tcPr>
            <w:tcW w:w="373"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c8205a2860284f95b5a0a3c78248fae0_25905">
              <w:r>
                <w:rPr>
                  <w:rStyle w:val="InternetLink"/>
                  <w:rFonts w:ascii="Arial;sans-serif" w:hAnsi="Arial;sans-serif"/>
                  <w:b w:val="false"/>
                  <w:strike w:val="false"/>
                  <w:dstrike w:val="false"/>
                  <w:color w:val="000000"/>
                  <w:sz w:val="18"/>
                  <w:u w:val="none"/>
                  <w:effect w:val="none"/>
                </w:rPr>
                <w:t>22</w:t>
              </w:r>
            </w:hyperlink>
          </w:p>
        </w:tc>
      </w:tr>
      <w:tr>
        <w:trPr/>
        <w:tc>
          <w:tcPr>
            <w:tcW w:w="983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Section 16(a) Reports</w:t>
            </w:r>
          </w:p>
        </w:tc>
        <w:tc>
          <w:tcPr>
            <w:tcW w:w="373"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c8205a2860284f95b5a0a3c78248fae0_25906">
              <w:r>
                <w:rPr>
                  <w:rStyle w:val="InternetLink"/>
                  <w:rFonts w:ascii="Arial;sans-serif" w:hAnsi="Arial;sans-serif"/>
                  <w:b w:val="false"/>
                  <w:strike w:val="false"/>
                  <w:dstrike w:val="false"/>
                  <w:color w:val="000000"/>
                  <w:sz w:val="18"/>
                  <w:u w:val="none"/>
                  <w:effect w:val="none"/>
                </w:rPr>
                <w:t>22</w:t>
              </w:r>
            </w:hyperlink>
          </w:p>
        </w:tc>
      </w:tr>
      <w:tr>
        <w:trPr/>
        <w:tc>
          <w:tcPr>
            <w:tcW w:w="983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c7e68db14b6f4918b894fbc1a3773451_68">
              <w:r>
                <w:rPr>
                  <w:rStyle w:val="InternetLink"/>
                  <w:rFonts w:ascii="Arial;sans-serif" w:hAnsi="Arial;sans-serif"/>
                  <w:b/>
                  <w:strike w:val="false"/>
                  <w:dstrike w:val="false"/>
                  <w:color w:val="004C97"/>
                  <w:sz w:val="18"/>
                  <w:u w:val="none"/>
                  <w:effect w:val="none"/>
                </w:rPr>
                <w:t>EXECUTIVE COMPENSATION</w:t>
              </w:r>
            </w:hyperlink>
          </w:p>
        </w:tc>
        <w:tc>
          <w:tcPr>
            <w:tcW w:w="373"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c7e68db14b6f4918b894fbc1a3773451_68">
              <w:r>
                <w:rPr>
                  <w:rStyle w:val="InternetLink"/>
                  <w:rFonts w:ascii="Arial;sans-serif" w:hAnsi="Arial;sans-serif"/>
                  <w:b/>
                  <w:strike w:val="false"/>
                  <w:dstrike w:val="false"/>
                  <w:color w:val="004C97"/>
                  <w:sz w:val="18"/>
                  <w:u w:val="none"/>
                  <w:effect w:val="none"/>
                </w:rPr>
                <w:t>23</w:t>
              </w:r>
            </w:hyperlink>
          </w:p>
        </w:tc>
      </w:tr>
      <w:tr>
        <w:trPr/>
        <w:tc>
          <w:tcPr>
            <w:tcW w:w="983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Compensation Discussion and Analysis</w:t>
            </w:r>
          </w:p>
        </w:tc>
        <w:tc>
          <w:tcPr>
            <w:tcW w:w="37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right"/>
              <w:rPr/>
            </w:pPr>
            <w:hyperlink w:anchor="i52e69073c4b44be18b26bb8ffcaf1259_294474">
              <w:r>
                <w:rPr>
                  <w:rStyle w:val="InternetLink"/>
                  <w:rFonts w:ascii="Arial;sans-serif" w:hAnsi="Arial;sans-serif"/>
                  <w:b w:val="false"/>
                  <w:strike w:val="false"/>
                  <w:dstrike w:val="false"/>
                  <w:color w:val="000000"/>
                  <w:sz w:val="18"/>
                  <w:u w:val="none"/>
                  <w:effect w:val="none"/>
                </w:rPr>
                <w:t>23</w:t>
              </w:r>
            </w:hyperlink>
          </w:p>
        </w:tc>
      </w:tr>
      <w:tr>
        <w:trPr/>
        <w:tc>
          <w:tcPr>
            <w:tcW w:w="983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Risk Analysis</w:t>
            </w:r>
          </w:p>
        </w:tc>
        <w:tc>
          <w:tcPr>
            <w:tcW w:w="373"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2e69073c4b44be18b26bb8ffcaf1259_294475">
              <w:r>
                <w:rPr>
                  <w:rStyle w:val="InternetLink"/>
                  <w:rFonts w:ascii="Arial;sans-serif" w:hAnsi="Arial;sans-serif"/>
                  <w:b w:val="false"/>
                  <w:strike w:val="false"/>
                  <w:dstrike w:val="false"/>
                  <w:color w:val="000000"/>
                  <w:sz w:val="18"/>
                  <w:u w:val="none"/>
                  <w:effect w:val="none"/>
                </w:rPr>
                <w:t>36</w:t>
              </w:r>
            </w:hyperlink>
          </w:p>
        </w:tc>
      </w:tr>
      <w:tr>
        <w:trPr/>
        <w:tc>
          <w:tcPr>
            <w:tcW w:w="983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Compensation Committee Report</w:t>
            </w:r>
          </w:p>
        </w:tc>
        <w:tc>
          <w:tcPr>
            <w:tcW w:w="373"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2e69073c4b44be18b26bb8ffcaf1259_294476">
              <w:r>
                <w:rPr>
                  <w:rStyle w:val="InternetLink"/>
                  <w:rFonts w:ascii="Arial;sans-serif" w:hAnsi="Arial;sans-serif"/>
                  <w:b w:val="false"/>
                  <w:strike w:val="false"/>
                  <w:dstrike w:val="false"/>
                  <w:color w:val="000000"/>
                  <w:sz w:val="18"/>
                  <w:u w:val="none"/>
                  <w:effect w:val="none"/>
                </w:rPr>
                <w:t>37</w:t>
              </w:r>
            </w:hyperlink>
          </w:p>
        </w:tc>
      </w:tr>
      <w:tr>
        <w:trPr/>
        <w:tc>
          <w:tcPr>
            <w:tcW w:w="983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Compensation Tables</w:t>
            </w:r>
          </w:p>
        </w:tc>
        <w:tc>
          <w:tcPr>
            <w:tcW w:w="373"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2e69073c4b44be18b26bb8ffcaf1259_294477">
              <w:r>
                <w:rPr>
                  <w:rStyle w:val="InternetLink"/>
                  <w:rFonts w:ascii="Arial;sans-serif" w:hAnsi="Arial;sans-serif"/>
                  <w:b w:val="false"/>
                  <w:strike w:val="false"/>
                  <w:dstrike w:val="false"/>
                  <w:color w:val="000000"/>
                  <w:sz w:val="18"/>
                  <w:u w:val="none"/>
                  <w:effect w:val="none"/>
                </w:rPr>
                <w:t>38</w:t>
              </w:r>
            </w:hyperlink>
          </w:p>
        </w:tc>
      </w:tr>
      <w:tr>
        <w:trPr/>
        <w:tc>
          <w:tcPr>
            <w:tcW w:w="983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Summary Compensation Table</w:t>
            </w:r>
          </w:p>
        </w:tc>
        <w:tc>
          <w:tcPr>
            <w:tcW w:w="373"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2e69073c4b44be18b26bb8ffcaf1259_294478">
              <w:r>
                <w:rPr>
                  <w:rStyle w:val="InternetLink"/>
                  <w:rFonts w:ascii="Arial;sans-serif" w:hAnsi="Arial;sans-serif"/>
                  <w:b w:val="false"/>
                  <w:strike w:val="false"/>
                  <w:dstrike w:val="false"/>
                  <w:color w:val="000000"/>
                  <w:sz w:val="18"/>
                  <w:u w:val="none"/>
                  <w:effect w:val="none"/>
                </w:rPr>
                <w:t>38</w:t>
              </w:r>
            </w:hyperlink>
          </w:p>
        </w:tc>
      </w:tr>
      <w:tr>
        <w:trPr/>
        <w:tc>
          <w:tcPr>
            <w:tcW w:w="983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Grants of Plan-Based Awards</w:t>
            </w:r>
          </w:p>
        </w:tc>
        <w:tc>
          <w:tcPr>
            <w:tcW w:w="373"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2e69073c4b44be18b26bb8ffcaf1259_294479">
              <w:r>
                <w:rPr>
                  <w:rStyle w:val="InternetLink"/>
                  <w:rFonts w:ascii="Arial;sans-serif" w:hAnsi="Arial;sans-serif"/>
                  <w:b w:val="false"/>
                  <w:strike w:val="false"/>
                  <w:dstrike w:val="false"/>
                  <w:color w:val="000000"/>
                  <w:sz w:val="18"/>
                  <w:u w:val="none"/>
                  <w:effect w:val="none"/>
                </w:rPr>
                <w:t>41</w:t>
              </w:r>
            </w:hyperlink>
          </w:p>
        </w:tc>
      </w:tr>
      <w:tr>
        <w:trPr/>
        <w:tc>
          <w:tcPr>
            <w:tcW w:w="983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Outstanding Equity Awards at Fiscal Year-End</w:t>
            </w:r>
          </w:p>
        </w:tc>
        <w:tc>
          <w:tcPr>
            <w:tcW w:w="373"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2e69073c4b44be18b26bb8ffcaf1259_294480">
              <w:r>
                <w:rPr>
                  <w:rStyle w:val="InternetLink"/>
                  <w:rFonts w:ascii="Arial;sans-serif" w:hAnsi="Arial;sans-serif"/>
                  <w:b w:val="false"/>
                  <w:strike w:val="false"/>
                  <w:dstrike w:val="false"/>
                  <w:color w:val="000000"/>
                  <w:sz w:val="18"/>
                  <w:u w:val="none"/>
                  <w:effect w:val="none"/>
                </w:rPr>
                <w:t>43</w:t>
              </w:r>
            </w:hyperlink>
          </w:p>
        </w:tc>
      </w:tr>
      <w:tr>
        <w:trPr/>
        <w:tc>
          <w:tcPr>
            <w:tcW w:w="983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Option Exercises and Stock Vested</w:t>
            </w:r>
          </w:p>
        </w:tc>
        <w:tc>
          <w:tcPr>
            <w:tcW w:w="373"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2e69073c4b44be18b26bb8ffcaf1259_294481">
              <w:r>
                <w:rPr>
                  <w:rStyle w:val="InternetLink"/>
                  <w:rFonts w:ascii="Arial;sans-serif" w:hAnsi="Arial;sans-serif"/>
                  <w:b w:val="false"/>
                  <w:strike w:val="false"/>
                  <w:dstrike w:val="false"/>
                  <w:color w:val="000000"/>
                  <w:sz w:val="18"/>
                  <w:u w:val="none"/>
                  <w:effect w:val="none"/>
                </w:rPr>
                <w:t>45</w:t>
              </w:r>
            </w:hyperlink>
          </w:p>
        </w:tc>
      </w:tr>
      <w:tr>
        <w:trPr/>
        <w:tc>
          <w:tcPr>
            <w:tcW w:w="983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Nonqualified Deferred Compensation</w:t>
            </w:r>
          </w:p>
        </w:tc>
        <w:tc>
          <w:tcPr>
            <w:tcW w:w="373"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2e69073c4b44be18b26bb8ffcaf1259_294482">
              <w:r>
                <w:rPr>
                  <w:rStyle w:val="InternetLink"/>
                  <w:rFonts w:ascii="Arial;sans-serif" w:hAnsi="Arial;sans-serif"/>
                  <w:b w:val="false"/>
                  <w:strike w:val="false"/>
                  <w:dstrike w:val="false"/>
                  <w:color w:val="000000"/>
                  <w:sz w:val="18"/>
                  <w:u w:val="none"/>
                  <w:effect w:val="none"/>
                </w:rPr>
                <w:t>45</w:t>
              </w:r>
            </w:hyperlink>
          </w:p>
        </w:tc>
      </w:tr>
      <w:tr>
        <w:trPr/>
        <w:tc>
          <w:tcPr>
            <w:tcW w:w="983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Potential Payments upon Termination or Change-In-Control</w:t>
            </w:r>
          </w:p>
        </w:tc>
        <w:tc>
          <w:tcPr>
            <w:tcW w:w="373"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2e69073c4b44be18b26bb8ffcaf1259_294483">
              <w:r>
                <w:rPr>
                  <w:rStyle w:val="InternetLink"/>
                  <w:rFonts w:ascii="Arial;sans-serif" w:hAnsi="Arial;sans-serif"/>
                  <w:b w:val="false"/>
                  <w:strike w:val="false"/>
                  <w:dstrike w:val="false"/>
                  <w:color w:val="000000"/>
                  <w:sz w:val="18"/>
                  <w:u w:val="none"/>
                  <w:effect w:val="none"/>
                </w:rPr>
                <w:t>47</w:t>
              </w:r>
            </w:hyperlink>
          </w:p>
        </w:tc>
      </w:tr>
      <w:tr>
        <w:trPr/>
        <w:tc>
          <w:tcPr>
            <w:tcW w:w="983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CEO Pay Ratio</w:t>
            </w:r>
          </w:p>
        </w:tc>
        <w:tc>
          <w:tcPr>
            <w:tcW w:w="373"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2e69073c4b44be18b26bb8ffcaf1259_294484">
              <w:r>
                <w:rPr>
                  <w:rStyle w:val="InternetLink"/>
                  <w:rFonts w:ascii="Arial;sans-serif" w:hAnsi="Arial;sans-serif"/>
                  <w:b w:val="false"/>
                  <w:strike w:val="false"/>
                  <w:dstrike w:val="false"/>
                  <w:color w:val="000000"/>
                  <w:sz w:val="18"/>
                  <w:u w:val="none"/>
                  <w:effect w:val="none"/>
                </w:rPr>
                <w:t>49</w:t>
              </w:r>
            </w:hyperlink>
          </w:p>
        </w:tc>
      </w:tr>
      <w:tr>
        <w:trPr/>
        <w:tc>
          <w:tcPr>
            <w:tcW w:w="983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Pay Versus Performance Disclosure</w:t>
            </w:r>
          </w:p>
        </w:tc>
        <w:tc>
          <w:tcPr>
            <w:tcW w:w="373"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2e69073c4b44be18b26bb8ffcaf1259_294485">
              <w:r>
                <w:rPr>
                  <w:rStyle w:val="InternetLink"/>
                  <w:rFonts w:ascii="Arial;sans-serif" w:hAnsi="Arial;sans-serif"/>
                  <w:b w:val="false"/>
                  <w:strike w:val="false"/>
                  <w:dstrike w:val="false"/>
                  <w:color w:val="000000"/>
                  <w:sz w:val="18"/>
                  <w:u w:val="none"/>
                  <w:effect w:val="none"/>
                </w:rPr>
                <w:t>50</w:t>
              </w:r>
            </w:hyperlink>
          </w:p>
        </w:tc>
      </w:tr>
      <w:tr>
        <w:trPr/>
        <w:tc>
          <w:tcPr>
            <w:tcW w:w="983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Equity Compensation Plan Information</w:t>
            </w:r>
          </w:p>
        </w:tc>
        <w:tc>
          <w:tcPr>
            <w:tcW w:w="373"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2e69073c4b44be18b26bb8ffcaf1259_294486">
              <w:r>
                <w:rPr>
                  <w:rStyle w:val="InternetLink"/>
                  <w:rFonts w:ascii="Arial;sans-serif" w:hAnsi="Arial;sans-serif"/>
                  <w:b w:val="false"/>
                  <w:strike w:val="false"/>
                  <w:dstrike w:val="false"/>
                  <w:color w:val="000000"/>
                  <w:sz w:val="18"/>
                  <w:u w:val="none"/>
                  <w:effect w:val="none"/>
                </w:rPr>
                <w:t>54</w:t>
              </w:r>
            </w:hyperlink>
          </w:p>
        </w:tc>
      </w:tr>
      <w:tr>
        <w:trPr/>
        <w:tc>
          <w:tcPr>
            <w:tcW w:w="983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c7e68db14b6f4918b894fbc1a3773451_74">
              <w:r>
                <w:rPr>
                  <w:rStyle w:val="InternetLink"/>
                  <w:rFonts w:ascii="Arial;sans-serif" w:hAnsi="Arial;sans-serif"/>
                  <w:b/>
                  <w:strike w:val="false"/>
                  <w:dstrike w:val="false"/>
                  <w:color w:val="004C97"/>
                  <w:sz w:val="18"/>
                  <w:u w:val="none"/>
                  <w:effect w:val="none"/>
                </w:rPr>
                <w:t>PROPOSAL 2: APPROVAL OF NAMED EXECUTIVE OFFICERS’ COMPENSATION, ON A NON-BINDING ADVISORY BASIS (“SAY-ON-PAY”)</w:t>
              </w:r>
            </w:hyperlink>
          </w:p>
        </w:tc>
        <w:tc>
          <w:tcPr>
            <w:tcW w:w="373"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c7e68db14b6f4918b894fbc1a3773451_74">
              <w:r>
                <w:rPr>
                  <w:rStyle w:val="InternetLink"/>
                  <w:rFonts w:ascii="Arial;sans-serif" w:hAnsi="Arial;sans-serif"/>
                  <w:b/>
                  <w:strike w:val="false"/>
                  <w:dstrike w:val="false"/>
                  <w:color w:val="004C97"/>
                  <w:sz w:val="18"/>
                  <w:u w:val="none"/>
                  <w:effect w:val="none"/>
                </w:rPr>
                <w:t>55</w:t>
              </w:r>
            </w:hyperlink>
          </w:p>
        </w:tc>
      </w:tr>
      <w:tr>
        <w:trPr/>
        <w:tc>
          <w:tcPr>
            <w:tcW w:w="9832"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88" w:before="0" w:after="0"/>
              <w:jc w:val="left"/>
              <w:rPr/>
            </w:pPr>
            <w:hyperlink w:anchor="ic7e68db14b6f4918b894fbc1a3773451_80">
              <w:r>
                <w:rPr>
                  <w:rStyle w:val="InternetLink"/>
                  <w:rFonts w:ascii="Arial;sans-serif" w:hAnsi="Arial;sans-serif"/>
                  <w:b/>
                  <w:strike w:val="false"/>
                  <w:dstrike w:val="false"/>
                  <w:color w:val="004C97"/>
                  <w:sz w:val="18"/>
                  <w:u w:val="none"/>
                  <w:effect w:val="none"/>
                </w:rPr>
                <w:t>PROPOSAL 3: APPROVAL OF THE AMENDMENT TO OUR CERTIFICATE OF INCORPORATION TO PROVIDE FOR THE ANNUAL ELECTION OF THE BOARD OF DIRECTORS</w:t>
              </w:r>
            </w:hyperlink>
          </w:p>
        </w:tc>
        <w:tc>
          <w:tcPr>
            <w:tcW w:w="373"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88" w:before="0" w:after="0"/>
              <w:jc w:val="right"/>
              <w:rPr/>
            </w:pPr>
            <w:hyperlink w:anchor="ic7e68db14b6f4918b894fbc1a3773451_80">
              <w:r>
                <w:rPr>
                  <w:rStyle w:val="InternetLink"/>
                  <w:rFonts w:ascii="Arial;sans-serif" w:hAnsi="Arial;sans-serif"/>
                  <w:b/>
                  <w:strike w:val="false"/>
                  <w:dstrike w:val="false"/>
                  <w:color w:val="004C97"/>
                  <w:sz w:val="18"/>
                  <w:u w:val="none"/>
                  <w:effect w:val="none"/>
                </w:rPr>
                <w:t>56</w:t>
              </w:r>
            </w:hyperlink>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6480175" cy="251460"/>
                <wp:effectExtent l="0" t="0" r="0" b="0"/>
                <wp:wrapNone/>
                <wp:docPr id="11" name="Frame5"/>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283"/>
                        <w:jc w:val="left"/>
                        <w:rPr/>
                      </w:pPr>
                      <w:r>
                        <w:rPr/>
                      </w:r>
                    </w:p>
                  </w:txbxContent>
                </v:textbox>
                <w10:wrap type="none"/>
              </v:rect>
            </w:pict>
          </mc:Fallback>
        </mc:AlternateConten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3617"/>
        <w:gridCol w:w="3104"/>
        <w:gridCol w:w="3111"/>
        <w:gridCol w:w="109"/>
        <w:gridCol w:w="109"/>
        <w:gridCol w:w="155"/>
      </w:tblGrid>
      <w:tr>
        <w:trPr/>
        <w:tc>
          <w:tcPr>
            <w:tcW w:w="3617" w:type="dxa"/>
            <w:tcBorders/>
            <w:vAlign w:val="center"/>
          </w:tcPr>
          <w:p>
            <w:pPr>
              <w:pStyle w:val="TableContents"/>
              <w:bidi w:val="0"/>
              <w:spacing w:before="0" w:after="283"/>
              <w:jc w:val="left"/>
              <w:rPr>
                <w:sz w:val="4"/>
                <w:szCs w:val="4"/>
              </w:rPr>
            </w:pPr>
            <w:r>
              <w:rPr>
                <w:sz w:val="4"/>
                <w:szCs w:val="4"/>
              </w:rPr>
            </w:r>
          </w:p>
        </w:tc>
        <w:tc>
          <w:tcPr>
            <w:tcW w:w="3104" w:type="dxa"/>
            <w:tcBorders/>
            <w:vAlign w:val="center"/>
          </w:tcPr>
          <w:p>
            <w:pPr>
              <w:pStyle w:val="TableContents"/>
              <w:bidi w:val="0"/>
              <w:spacing w:before="0" w:after="283"/>
              <w:jc w:val="left"/>
              <w:rPr>
                <w:sz w:val="4"/>
                <w:szCs w:val="4"/>
              </w:rPr>
            </w:pPr>
            <w:r>
              <w:rPr>
                <w:sz w:val="4"/>
                <w:szCs w:val="4"/>
              </w:rPr>
            </w:r>
          </w:p>
        </w:tc>
        <w:tc>
          <w:tcPr>
            <w:tcW w:w="3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983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left"/>
              <w:rPr/>
            </w:pPr>
            <w:hyperlink w:anchor="ic7e68db14b6f4918b894fbc1a3773451_83">
              <w:r>
                <w:rPr>
                  <w:rStyle w:val="InternetLink"/>
                  <w:rFonts w:ascii="Arial;sans-serif" w:hAnsi="Arial;sans-serif"/>
                  <w:b/>
                  <w:strike w:val="false"/>
                  <w:dstrike w:val="false"/>
                  <w:color w:val="004C97"/>
                  <w:sz w:val="18"/>
                  <w:u w:val="none"/>
                  <w:effect w:val="none"/>
                </w:rPr>
                <w:t>PROPOSAL 4: APPROVAL OF THE AMENDMENT TO OUR CERTIFICATE OF INCORPORATION TO PROVIDE FOR EXCULPATION OF CERTAIN OFFICERS AS PERMITTED BY RECENT AMENDMENTS TO DELAWARE LAW</w:t>
              </w:r>
            </w:hyperlink>
          </w:p>
        </w:tc>
        <w:tc>
          <w:tcPr>
            <w:tcW w:w="37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right"/>
              <w:rPr/>
            </w:pPr>
            <w:hyperlink w:anchor="ic7e68db14b6f4918b894fbc1a3773451_83">
              <w:r>
                <w:rPr>
                  <w:rStyle w:val="InternetLink"/>
                  <w:rFonts w:ascii="Arial;sans-serif" w:hAnsi="Arial;sans-serif"/>
                  <w:b/>
                  <w:strike w:val="false"/>
                  <w:dstrike w:val="false"/>
                  <w:color w:val="004C97"/>
                  <w:sz w:val="18"/>
                  <w:u w:val="none"/>
                  <w:effect w:val="none"/>
                </w:rPr>
                <w:t>58</w:t>
              </w:r>
            </w:hyperlink>
          </w:p>
        </w:tc>
      </w:tr>
      <w:tr>
        <w:trPr/>
        <w:tc>
          <w:tcPr>
            <w:tcW w:w="983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left"/>
              <w:rPr/>
            </w:pPr>
            <w:hyperlink w:anchor="ic7e68db14b6f4918b894fbc1a3773451_86">
              <w:r>
                <w:rPr>
                  <w:rStyle w:val="InternetLink"/>
                  <w:rFonts w:ascii="Arial;sans-serif" w:hAnsi="Arial;sans-serif"/>
                  <w:b/>
                  <w:strike w:val="false"/>
                  <w:dstrike w:val="false"/>
                  <w:color w:val="004C97"/>
                  <w:sz w:val="18"/>
                  <w:u w:val="none"/>
                  <w:effect w:val="none"/>
                </w:rPr>
                <w:t>PROPOSAL 5: APPROVAL OF THE AMENDMENT TO OUR CERTIFICATE OF INCORPORATION TO ADD A DELAWARE FORUM SELECTION PROVISION FOR CERTAIN LEGAL ACTIONS</w:t>
              </w:r>
            </w:hyperlink>
          </w:p>
        </w:tc>
        <w:tc>
          <w:tcPr>
            <w:tcW w:w="37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right"/>
              <w:rPr/>
            </w:pPr>
            <w:hyperlink w:anchor="ic7e68db14b6f4918b894fbc1a3773451_86">
              <w:r>
                <w:rPr>
                  <w:rStyle w:val="InternetLink"/>
                  <w:rFonts w:ascii="Arial;sans-serif" w:hAnsi="Arial;sans-serif"/>
                  <w:b/>
                  <w:strike w:val="false"/>
                  <w:dstrike w:val="false"/>
                  <w:color w:val="004C97"/>
                  <w:sz w:val="18"/>
                  <w:u w:val="none"/>
                  <w:effect w:val="none"/>
                </w:rPr>
                <w:t>60</w:t>
              </w:r>
            </w:hyperlink>
          </w:p>
        </w:tc>
      </w:tr>
      <w:tr>
        <w:trPr/>
        <w:tc>
          <w:tcPr>
            <w:tcW w:w="983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left"/>
              <w:rPr/>
            </w:pPr>
            <w:hyperlink w:anchor="ic7e68db14b6f4918b894fbc1a3773451_89">
              <w:r>
                <w:rPr>
                  <w:rStyle w:val="InternetLink"/>
                  <w:rFonts w:ascii="Arial;sans-serif" w:hAnsi="Arial;sans-serif"/>
                  <w:b/>
                  <w:strike w:val="false"/>
                  <w:dstrike w:val="false"/>
                  <w:color w:val="004C97"/>
                  <w:sz w:val="18"/>
                  <w:u w:val="none"/>
                  <w:effect w:val="none"/>
                </w:rPr>
                <w:t>PROPOSAL 6: APPROVAL OF THE AMENDMENT TO OUR CERTIFICATE OF INCORPORATION TO ADD A FEDERAL FORUM SELECTION PROVISION FOR CLAIMS UNDER THE SECURITIES ACT</w:t>
              </w:r>
            </w:hyperlink>
          </w:p>
        </w:tc>
        <w:tc>
          <w:tcPr>
            <w:tcW w:w="37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right"/>
              <w:rPr/>
            </w:pPr>
            <w:hyperlink w:anchor="ic7e68db14b6f4918b894fbc1a3773451_89">
              <w:r>
                <w:rPr>
                  <w:rStyle w:val="InternetLink"/>
                  <w:rFonts w:ascii="Arial;sans-serif" w:hAnsi="Arial;sans-serif"/>
                  <w:b/>
                  <w:strike w:val="false"/>
                  <w:dstrike w:val="false"/>
                  <w:color w:val="004C97"/>
                  <w:sz w:val="18"/>
                  <w:u w:val="none"/>
                  <w:effect w:val="none"/>
                </w:rPr>
                <w:t>63</w:t>
              </w:r>
            </w:hyperlink>
          </w:p>
        </w:tc>
      </w:tr>
      <w:tr>
        <w:trPr/>
        <w:tc>
          <w:tcPr>
            <w:tcW w:w="983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left"/>
              <w:rPr/>
            </w:pPr>
            <w:hyperlink w:anchor="ic7e68db14b6f4918b894fbc1a3773451_77">
              <w:r>
                <w:rPr>
                  <w:rStyle w:val="InternetLink"/>
                  <w:rFonts w:ascii="Arial;sans-serif" w:hAnsi="Arial;sans-serif"/>
                  <w:b/>
                  <w:strike w:val="false"/>
                  <w:dstrike w:val="false"/>
                  <w:color w:val="004C97"/>
                  <w:sz w:val="18"/>
                  <w:u w:val="none"/>
                  <w:effect w:val="none"/>
                </w:rPr>
                <w:t>AUDIT MATTERS</w:t>
              </w:r>
            </w:hyperlink>
          </w:p>
        </w:tc>
        <w:tc>
          <w:tcPr>
            <w:tcW w:w="37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right"/>
              <w:rPr/>
            </w:pPr>
            <w:hyperlink w:anchor="ic7e68db14b6f4918b894fbc1a3773451_77">
              <w:r>
                <w:rPr>
                  <w:rStyle w:val="InternetLink"/>
                  <w:rFonts w:ascii="Arial;sans-serif" w:hAnsi="Arial;sans-serif"/>
                  <w:b/>
                  <w:strike w:val="false"/>
                  <w:dstrike w:val="false"/>
                  <w:color w:val="004C97"/>
                  <w:sz w:val="18"/>
                  <w:u w:val="none"/>
                  <w:effect w:val="none"/>
                </w:rPr>
                <w:t>65</w:t>
              </w:r>
            </w:hyperlink>
          </w:p>
        </w:tc>
      </w:tr>
      <w:tr>
        <w:trPr/>
        <w:tc>
          <w:tcPr>
            <w:tcW w:w="983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Audit Committee Report</w:t>
            </w:r>
          </w:p>
        </w:tc>
        <w:tc>
          <w:tcPr>
            <w:tcW w:w="37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right"/>
              <w:rPr/>
            </w:pPr>
            <w:hyperlink w:anchor="ib6825e5c0ff64f39b1423c599e040a12_28760">
              <w:r>
                <w:rPr>
                  <w:rStyle w:val="InternetLink"/>
                  <w:rFonts w:ascii="Arial;sans-serif" w:hAnsi="Arial;sans-serif"/>
                  <w:b w:val="false"/>
                  <w:strike w:val="false"/>
                  <w:dstrike w:val="false"/>
                  <w:color w:val="000000"/>
                  <w:sz w:val="18"/>
                  <w:u w:val="none"/>
                  <w:effect w:val="none"/>
                </w:rPr>
                <w:t>65</w:t>
              </w:r>
            </w:hyperlink>
          </w:p>
        </w:tc>
      </w:tr>
      <w:tr>
        <w:trPr/>
        <w:tc>
          <w:tcPr>
            <w:tcW w:w="983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Other Audit Information</w:t>
            </w:r>
          </w:p>
        </w:tc>
        <w:tc>
          <w:tcPr>
            <w:tcW w:w="373"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b6825e5c0ff64f39b1423c599e040a12_28761">
              <w:r>
                <w:rPr>
                  <w:rStyle w:val="InternetLink"/>
                  <w:rFonts w:ascii="Arial;sans-serif" w:hAnsi="Arial;sans-serif"/>
                  <w:b w:val="false"/>
                  <w:strike w:val="false"/>
                  <w:dstrike w:val="false"/>
                  <w:color w:val="000000"/>
                  <w:sz w:val="18"/>
                  <w:u w:val="none"/>
                  <w:effect w:val="none"/>
                </w:rPr>
                <w:t>66</w:t>
              </w:r>
            </w:hyperlink>
          </w:p>
        </w:tc>
      </w:tr>
      <w:tr>
        <w:trPr/>
        <w:tc>
          <w:tcPr>
            <w:tcW w:w="983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Audit and Non-Audit Fee Table</w:t>
            </w:r>
          </w:p>
        </w:tc>
        <w:tc>
          <w:tcPr>
            <w:tcW w:w="373"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b6825e5c0ff64f39b1423c599e040a12_28763">
              <w:r>
                <w:rPr>
                  <w:rStyle w:val="InternetLink"/>
                  <w:rFonts w:ascii="Arial;sans-serif" w:hAnsi="Arial;sans-serif"/>
                  <w:b w:val="false"/>
                  <w:strike w:val="false"/>
                  <w:dstrike w:val="false"/>
                  <w:color w:val="000000"/>
                  <w:sz w:val="18"/>
                  <w:u w:val="none"/>
                  <w:effect w:val="none"/>
                </w:rPr>
                <w:t>66</w:t>
              </w:r>
            </w:hyperlink>
          </w:p>
        </w:tc>
      </w:tr>
      <w:tr>
        <w:trPr/>
        <w:tc>
          <w:tcPr>
            <w:tcW w:w="983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Pre-Approval By Audit Committee</w:t>
            </w:r>
          </w:p>
        </w:tc>
        <w:tc>
          <w:tcPr>
            <w:tcW w:w="373"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b6825e5c0ff64f39b1423c599e040a12_28762">
              <w:r>
                <w:rPr>
                  <w:rStyle w:val="InternetLink"/>
                  <w:rFonts w:ascii="Arial;sans-serif" w:hAnsi="Arial;sans-serif"/>
                  <w:b w:val="false"/>
                  <w:strike w:val="false"/>
                  <w:dstrike w:val="false"/>
                  <w:color w:val="000000"/>
                  <w:sz w:val="18"/>
                  <w:u w:val="none"/>
                  <w:effect w:val="none"/>
                </w:rPr>
                <w:t>66</w:t>
              </w:r>
            </w:hyperlink>
          </w:p>
        </w:tc>
      </w:tr>
      <w:tr>
        <w:trPr/>
        <w:tc>
          <w:tcPr>
            <w:tcW w:w="983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c7e68db14b6f4918b894fbc1a3773451_92">
              <w:r>
                <w:rPr>
                  <w:rStyle w:val="InternetLink"/>
                  <w:rFonts w:ascii="Arial;sans-serif" w:hAnsi="Arial;sans-serif"/>
                  <w:b/>
                  <w:strike w:val="false"/>
                  <w:dstrike w:val="false"/>
                  <w:color w:val="004C97"/>
                  <w:sz w:val="18"/>
                  <w:u w:val="none"/>
                  <w:effect w:val="none"/>
                </w:rPr>
                <w:t>PROPOSAL 7: RATIFICATION OF APPOINTMENT OF INDEPENDENT REGISTERED PUBLIC ACCOUNTING FIRM</w:t>
              </w:r>
            </w:hyperlink>
          </w:p>
        </w:tc>
        <w:tc>
          <w:tcPr>
            <w:tcW w:w="373"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c7e68db14b6f4918b894fbc1a3773451_92">
              <w:r>
                <w:rPr>
                  <w:rStyle w:val="InternetLink"/>
                  <w:rFonts w:ascii="Arial;sans-serif" w:hAnsi="Arial;sans-serif"/>
                  <w:b/>
                  <w:strike w:val="false"/>
                  <w:dstrike w:val="false"/>
                  <w:color w:val="004C97"/>
                  <w:sz w:val="18"/>
                  <w:u w:val="none"/>
                  <w:effect w:val="none"/>
                </w:rPr>
                <w:t>67</w:t>
              </w:r>
            </w:hyperlink>
          </w:p>
        </w:tc>
      </w:tr>
      <w:tr>
        <w:trPr/>
        <w:tc>
          <w:tcPr>
            <w:tcW w:w="983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left"/>
              <w:rPr/>
            </w:pPr>
            <w:hyperlink w:anchor="ic7e68db14b6f4918b894fbc1a3773451_95">
              <w:r>
                <w:rPr>
                  <w:rStyle w:val="InternetLink"/>
                  <w:rFonts w:ascii="Arial;sans-serif" w:hAnsi="Arial;sans-serif"/>
                  <w:b/>
                  <w:strike w:val="false"/>
                  <w:dstrike w:val="false"/>
                  <w:color w:val="004C97"/>
                  <w:sz w:val="18"/>
                  <w:u w:val="none"/>
                  <w:effect w:val="none"/>
                </w:rPr>
                <w:t>QUESTIONS AND ANSWERS</w:t>
              </w:r>
            </w:hyperlink>
          </w:p>
        </w:tc>
        <w:tc>
          <w:tcPr>
            <w:tcW w:w="37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right"/>
              <w:rPr/>
            </w:pPr>
            <w:hyperlink w:anchor="ic7e68db14b6f4918b894fbc1a3773451_95">
              <w:r>
                <w:rPr>
                  <w:rStyle w:val="InternetLink"/>
                  <w:rFonts w:ascii="Arial;sans-serif" w:hAnsi="Arial;sans-serif"/>
                  <w:b/>
                  <w:strike w:val="false"/>
                  <w:dstrike w:val="false"/>
                  <w:color w:val="004C97"/>
                  <w:sz w:val="18"/>
                  <w:u w:val="none"/>
                  <w:effect w:val="none"/>
                </w:rPr>
                <w:t>68</w:t>
              </w:r>
            </w:hyperlink>
          </w:p>
        </w:tc>
      </w:tr>
      <w:tr>
        <w:trPr/>
        <w:tc>
          <w:tcPr>
            <w:tcW w:w="983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Proxy Materials</w:t>
            </w:r>
          </w:p>
        </w:tc>
        <w:tc>
          <w:tcPr>
            <w:tcW w:w="37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right"/>
              <w:rPr/>
            </w:pPr>
            <w:hyperlink w:anchor="ib61b299a0acf4249a8ef4863987d4f0a_75115">
              <w:r>
                <w:rPr>
                  <w:rStyle w:val="InternetLink"/>
                  <w:rFonts w:ascii="Arial;sans-serif" w:hAnsi="Arial;sans-serif"/>
                  <w:b w:val="false"/>
                  <w:strike w:val="false"/>
                  <w:dstrike w:val="false"/>
                  <w:color w:val="000000"/>
                  <w:sz w:val="18"/>
                  <w:u w:val="none"/>
                  <w:effect w:val="none"/>
                </w:rPr>
                <w:t>68</w:t>
              </w:r>
            </w:hyperlink>
          </w:p>
        </w:tc>
      </w:tr>
      <w:tr>
        <w:trPr/>
        <w:tc>
          <w:tcPr>
            <w:tcW w:w="983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Annual Meeting</w:t>
            </w:r>
          </w:p>
        </w:tc>
        <w:tc>
          <w:tcPr>
            <w:tcW w:w="373"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b61b299a0acf4249a8ef4863987d4f0a_75116">
              <w:r>
                <w:rPr>
                  <w:rStyle w:val="InternetLink"/>
                  <w:rFonts w:ascii="Arial;sans-serif" w:hAnsi="Arial;sans-serif"/>
                  <w:b w:val="false"/>
                  <w:strike w:val="false"/>
                  <w:dstrike w:val="false"/>
                  <w:color w:val="000000"/>
                  <w:sz w:val="18"/>
                  <w:u w:val="none"/>
                  <w:effect w:val="none"/>
                </w:rPr>
                <w:t>68</w:t>
              </w:r>
            </w:hyperlink>
          </w:p>
        </w:tc>
      </w:tr>
      <w:tr>
        <w:trPr/>
        <w:tc>
          <w:tcPr>
            <w:tcW w:w="983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Voting and Quorum</w:t>
            </w:r>
          </w:p>
        </w:tc>
        <w:tc>
          <w:tcPr>
            <w:tcW w:w="373"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b61b299a0acf4249a8ef4863987d4f0a_75117">
              <w:r>
                <w:rPr>
                  <w:rStyle w:val="InternetLink"/>
                  <w:rFonts w:ascii="Arial;sans-serif" w:hAnsi="Arial;sans-serif"/>
                  <w:b w:val="false"/>
                  <w:strike w:val="false"/>
                  <w:dstrike w:val="false"/>
                  <w:color w:val="000000"/>
                  <w:sz w:val="18"/>
                  <w:u w:val="none"/>
                  <w:effect w:val="none"/>
                </w:rPr>
                <w:t>70</w:t>
              </w:r>
            </w:hyperlink>
          </w:p>
        </w:tc>
      </w:tr>
      <w:tr>
        <w:trPr/>
        <w:tc>
          <w:tcPr>
            <w:tcW w:w="983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Communications and Stockholder Proposals</w:t>
            </w:r>
          </w:p>
        </w:tc>
        <w:tc>
          <w:tcPr>
            <w:tcW w:w="373"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b61b299a0acf4249a8ef4863987d4f0a_75118">
              <w:r>
                <w:rPr>
                  <w:rStyle w:val="InternetLink"/>
                  <w:rFonts w:ascii="Arial;sans-serif" w:hAnsi="Arial;sans-serif"/>
                  <w:b w:val="false"/>
                  <w:strike w:val="false"/>
                  <w:dstrike w:val="false"/>
                  <w:color w:val="000000"/>
                  <w:sz w:val="18"/>
                  <w:u w:val="none"/>
                  <w:effect w:val="none"/>
                </w:rPr>
                <w:t>73</w:t>
              </w:r>
            </w:hyperlink>
          </w:p>
        </w:tc>
      </w:tr>
      <w:tr>
        <w:trPr/>
        <w:tc>
          <w:tcPr>
            <w:tcW w:w="983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c7e68db14b6f4918b894fbc1a3773451_98">
              <w:r>
                <w:rPr>
                  <w:rStyle w:val="InternetLink"/>
                  <w:rFonts w:ascii="Arial;sans-serif" w:hAnsi="Arial;sans-serif"/>
                  <w:b/>
                  <w:strike w:val="false"/>
                  <w:dstrike w:val="false"/>
                  <w:color w:val="004C97"/>
                  <w:sz w:val="18"/>
                  <w:u w:val="none"/>
                  <w:effect w:val="none"/>
                </w:rPr>
                <w:t>APPENDIX A – AMENDMENT TO OUR CERTIFICATE OF INCORPORATION TO PROVIDE FOR THE ANNUAL ELECTION OF THE BOARD OF DIRECTORS</w:t>
              </w:r>
            </w:hyperlink>
          </w:p>
        </w:tc>
        <w:tc>
          <w:tcPr>
            <w:tcW w:w="373"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c7e68db14b6f4918b894fbc1a3773451_98">
              <w:r>
                <w:rPr>
                  <w:rStyle w:val="InternetLink"/>
                  <w:rFonts w:ascii="Arial;sans-serif" w:hAnsi="Arial;sans-serif"/>
                  <w:b/>
                  <w:strike w:val="false"/>
                  <w:dstrike w:val="false"/>
                  <w:color w:val="004C97"/>
                  <w:sz w:val="18"/>
                  <w:u w:val="none"/>
                  <w:effect w:val="none"/>
                </w:rPr>
                <w:t>74</w:t>
              </w:r>
            </w:hyperlink>
          </w:p>
        </w:tc>
      </w:tr>
      <w:tr>
        <w:trPr/>
        <w:tc>
          <w:tcPr>
            <w:tcW w:w="983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left"/>
              <w:rPr/>
            </w:pPr>
            <w:hyperlink w:anchor="ic7e68db14b6f4918b894fbc1a3773451_101">
              <w:r>
                <w:rPr>
                  <w:rStyle w:val="InternetLink"/>
                  <w:rFonts w:ascii="Arial;sans-serif" w:hAnsi="Arial;sans-serif"/>
                  <w:b/>
                  <w:strike w:val="false"/>
                  <w:dstrike w:val="false"/>
                  <w:color w:val="004C97"/>
                  <w:sz w:val="18"/>
                  <w:u w:val="none"/>
                  <w:effect w:val="none"/>
                </w:rPr>
                <w:t>APPENDIX B – AMENDMENT TO OUR CERTIFICATE OF INCORPORATION TO PROVIDE FOR EXCULPATION OF CERTAIN OFFICERS AS PERMITTED BY RECENT AMENDMENTS TO DELAWARE LAW</w:t>
              </w:r>
            </w:hyperlink>
          </w:p>
        </w:tc>
        <w:tc>
          <w:tcPr>
            <w:tcW w:w="37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right"/>
              <w:rPr/>
            </w:pPr>
            <w:hyperlink w:anchor="ic7e68db14b6f4918b894fbc1a3773451_101">
              <w:r>
                <w:rPr>
                  <w:rStyle w:val="InternetLink"/>
                  <w:rFonts w:ascii="Arial;sans-serif" w:hAnsi="Arial;sans-serif"/>
                  <w:b/>
                  <w:strike w:val="false"/>
                  <w:dstrike w:val="false"/>
                  <w:color w:val="004C97"/>
                  <w:sz w:val="18"/>
                  <w:u w:val="none"/>
                  <w:effect w:val="none"/>
                </w:rPr>
                <w:t>76</w:t>
              </w:r>
            </w:hyperlink>
          </w:p>
        </w:tc>
      </w:tr>
      <w:tr>
        <w:trPr/>
        <w:tc>
          <w:tcPr>
            <w:tcW w:w="983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left"/>
              <w:rPr/>
            </w:pPr>
            <w:hyperlink w:anchor="ic7e68db14b6f4918b894fbc1a3773451_104">
              <w:r>
                <w:rPr>
                  <w:rStyle w:val="InternetLink"/>
                  <w:rFonts w:ascii="Arial;sans-serif" w:hAnsi="Arial;sans-serif"/>
                  <w:b/>
                  <w:strike w:val="false"/>
                  <w:dstrike w:val="false"/>
                  <w:color w:val="004C97"/>
                  <w:sz w:val="18"/>
                  <w:u w:val="none"/>
                  <w:effect w:val="none"/>
                </w:rPr>
                <w:t>APPENDIX C – AMENDMENT TO OUR CERTIFICATE OF INCORPORATION TO ADD A DELAWARE FORUM SELECTION PROVISION FOR CERTAIN LEGAL ACTIONS</w:t>
              </w:r>
            </w:hyperlink>
          </w:p>
        </w:tc>
        <w:tc>
          <w:tcPr>
            <w:tcW w:w="37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right"/>
              <w:rPr/>
            </w:pPr>
            <w:hyperlink w:anchor="ic7e68db14b6f4918b894fbc1a3773451_104">
              <w:r>
                <w:rPr>
                  <w:rStyle w:val="InternetLink"/>
                  <w:rFonts w:ascii="Arial;sans-serif" w:hAnsi="Arial;sans-serif"/>
                  <w:b/>
                  <w:strike w:val="false"/>
                  <w:dstrike w:val="false"/>
                  <w:color w:val="004C97"/>
                  <w:sz w:val="18"/>
                  <w:u w:val="none"/>
                  <w:effect w:val="none"/>
                </w:rPr>
                <w:t>77</w:t>
              </w:r>
            </w:hyperlink>
          </w:p>
        </w:tc>
      </w:tr>
      <w:tr>
        <w:trPr/>
        <w:tc>
          <w:tcPr>
            <w:tcW w:w="983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left"/>
              <w:rPr/>
            </w:pPr>
            <w:hyperlink w:anchor="ic7e68db14b6f4918b894fbc1a3773451_107">
              <w:r>
                <w:rPr>
                  <w:rStyle w:val="InternetLink"/>
                  <w:rFonts w:ascii="Arial;sans-serif" w:hAnsi="Arial;sans-serif"/>
                  <w:b/>
                  <w:strike w:val="false"/>
                  <w:dstrike w:val="false"/>
                  <w:color w:val="004C97"/>
                  <w:sz w:val="18"/>
                  <w:u w:val="none"/>
                  <w:effect w:val="none"/>
                </w:rPr>
                <w:t>APPENDIX D – AMENDMENT TO OUR CERTIFICATE OF INCORPORATION TO ADD A FEDERAL FORUM SELECTION PROVISION FOR CLAIMS UNDER THE SECURITIES ACT</w:t>
              </w:r>
            </w:hyperlink>
          </w:p>
        </w:tc>
        <w:tc>
          <w:tcPr>
            <w:tcW w:w="37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right"/>
              <w:rPr/>
            </w:pPr>
            <w:hyperlink w:anchor="ic7e68db14b6f4918b894fbc1a3773451_107">
              <w:r>
                <w:rPr>
                  <w:rStyle w:val="InternetLink"/>
                  <w:rFonts w:ascii="Arial;sans-serif" w:hAnsi="Arial;sans-serif"/>
                  <w:b/>
                  <w:strike w:val="false"/>
                  <w:dstrike w:val="false"/>
                  <w:color w:val="004C97"/>
                  <w:sz w:val="18"/>
                  <w:u w:val="none"/>
                  <w:effect w:val="none"/>
                </w:rPr>
                <w:t>78</w:t>
              </w:r>
            </w:hyperlink>
          </w:p>
        </w:tc>
      </w:tr>
      <w:tr>
        <w:trPr/>
        <w:tc>
          <w:tcPr>
            <w:tcW w:w="9832"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0"/>
              <w:jc w:val="left"/>
              <w:rPr/>
            </w:pPr>
            <w:hyperlink w:anchor="ic7e68db14b6f4918b894fbc1a3773451_110">
              <w:r>
                <w:rPr>
                  <w:rStyle w:val="InternetLink"/>
                  <w:rFonts w:ascii="Arial;sans-serif" w:hAnsi="Arial;sans-serif"/>
                  <w:b/>
                  <w:strike w:val="false"/>
                  <w:dstrike w:val="false"/>
                  <w:color w:val="004C97"/>
                  <w:sz w:val="18"/>
                  <w:u w:val="none"/>
                  <w:effect w:val="none"/>
                </w:rPr>
                <w:t>APPENDIX E – RECONCILIATION OF GAAP TO NON-GAAP FINANCIAL MEASURES</w:t>
              </w:r>
            </w:hyperlink>
          </w:p>
        </w:tc>
        <w:tc>
          <w:tcPr>
            <w:tcW w:w="373"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0"/>
              <w:jc w:val="right"/>
              <w:rPr/>
            </w:pPr>
            <w:hyperlink w:anchor="ic7e68db14b6f4918b894fbc1a3773451_110">
              <w:r>
                <w:rPr>
                  <w:rStyle w:val="InternetLink"/>
                  <w:rFonts w:ascii="Arial;sans-serif" w:hAnsi="Arial;sans-serif"/>
                  <w:b/>
                  <w:strike w:val="false"/>
                  <w:dstrike w:val="false"/>
                  <w:color w:val="004C97"/>
                  <w:sz w:val="18"/>
                  <w:u w:val="none"/>
                  <w:effect w:val="none"/>
                </w:rPr>
                <w:t>79</w:t>
              </w:r>
            </w:hyperlink>
          </w:p>
        </w:tc>
      </w:tr>
    </w:tbl>
    <w:p>
      <w:pPr>
        <w:pStyle w:val="TextBody"/>
        <w:bidi w:val="0"/>
        <w:spacing w:lineRule="auto" w:line="288" w:before="0" w:after="180"/>
        <w:jc w:val="both"/>
        <w:rPr/>
      </w:pPr>
      <w:r>
        <w:rPr>
          <w:rFonts w:ascii="Arial;sans-serif" w:hAnsi="Arial;sans-serif"/>
          <w:b/>
          <w:color w:val="000000"/>
          <w:sz w:val="18"/>
        </w:rPr>
        <w:t>Non-GAAP Financial Measures:</w:t>
      </w:r>
      <w:r>
        <w:rPr>
          <w:color w:val="000000"/>
        </w:rPr>
        <w:t xml:space="preserve"> </w:t>
      </w:r>
      <w:r>
        <w:rPr>
          <w:rFonts w:ascii="Arial;sans-serif" w:hAnsi="Arial;sans-serif"/>
          <w:b w:val="false"/>
          <w:color w:val="000000"/>
          <w:sz w:val="18"/>
        </w:rPr>
        <w:t>Our adjusted earnings per share guidance and adjusted EBITDA guidance for full year 2024 are not measures under generally accepted accounting principles in the United States (“GAAP”) and exclude items, which would be included in our comparable GAAP financial measures, that we do not consider indicative of our on-going performance; and each is calculated in a manner consistent with the presentation of the similarly titled historical non-GAAP measure presented in our earnings release for the quarter and fiscal year ended December 31, 2023 furnished as Exhibit 99.1 to our Current Report on Form 8-K dated February 22, 2024. These items include, but are not limited to, acquisition related costs, costs associated with dispositions, and potential non-cash income or expense items associated with changes in market interest rates and actuarial or other data related to our pension and postretirement plans, as the ultimate aggregate amounts associated with these items are out of our control and/or cannot be reasonably predicted. Accordingly, a reconciliation of our non-GAAP financial guidance to the most comparable GAAP financial measures is not practicable. The full-year guidance excludes impacts from future acquisitions, dispositions and related transaction costs, restructuring costs, incremental impacts of tariffs and trade tensions on market demand and costs subsequent to December 31, 2023, the impact of foreign exchange rate changes subsequent to December 31, 2023, and environmental and litigation charges. See Appendix E for additional information with respect to certain non-GAAP financial measures used to evaluate performance for the purpose of executive officer incentive compensation, which is discussed elsewhere in this Proxy Statement</w:t>
      </w:r>
      <w:r>
        <w:rPr>
          <w:rFonts w:ascii="Arial;sans-serif" w:hAnsi="Arial;sans-serif"/>
          <w:b w:val="false"/>
          <w:color w:val="000000"/>
          <w:sz w:val="20"/>
          <w:shd w:fill="FFFFFF" w:val="clear"/>
        </w:rPr>
        <w:t>.</w:t>
      </w: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6480175" cy="251460"/>
                <wp:effectExtent l="0" t="0" r="0" b="0"/>
                <wp:wrapNone/>
                <wp:docPr id="12" name="Frame6"/>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0"/>
        <w:jc w:val="left"/>
        <w:rPr>
          <w:rFonts w:ascii="Arial;sans-serif" w:hAnsi="Arial;sans-serif"/>
          <w:b w:val="false"/>
          <w:color w:val="000000"/>
          <w:sz w:val="32"/>
        </w:rPr>
      </w:pPr>
      <w:r>
        <w:rPr>
          <w:rFonts w:ascii="Arial;sans-serif" w:hAnsi="Arial;sans-serif"/>
          <w:b w:val="false"/>
          <w:color w:val="000000"/>
          <w:sz w:val="32"/>
        </w:rPr>
        <w:t>Proxy Statement</w:t>
      </w:r>
    </w:p>
    <w:p>
      <w:pPr>
        <w:pStyle w:val="TextBody"/>
        <w:bidi w:val="0"/>
        <w:spacing w:lineRule="auto" w:line="288" w:before="0" w:after="180"/>
        <w:jc w:val="left"/>
        <w:rPr/>
      </w:pPr>
      <w:r>
        <w:rPr>
          <w:rFonts w:ascii="Arial;sans-serif" w:hAnsi="Arial;sans-serif"/>
          <w:b w:val="false"/>
          <w:color w:val="000000"/>
          <w:sz w:val="32"/>
        </w:rPr>
        <w:t>Annual Meeting of Stockholders</w:t>
      </w:r>
      <w:r>
        <w:rPr>
          <w:color w:val="000000"/>
        </w:rPr>
        <w:t xml:space="preserve"> </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The Annual Meeting of our stockholders will be held at 8:00 a.m. (Eastern Time), on Tuesday, May 14, 2024, virtually on the internet.</w:t>
      </w:r>
    </w:p>
    <w:p>
      <w:pPr>
        <w:pStyle w:val="TextBody"/>
        <w:bidi w:val="0"/>
        <w:spacing w:lineRule="auto" w:line="288" w:before="0" w:after="180"/>
        <w:jc w:val="both"/>
        <w:rPr/>
      </w:pPr>
      <w:r>
        <w:rPr>
          <w:rFonts w:ascii="Arial;sans-serif" w:hAnsi="Arial;sans-serif"/>
          <w:b w:val="false"/>
          <w:color w:val="000000"/>
          <w:sz w:val="18"/>
        </w:rPr>
        <w:t xml:space="preserve">You will be able to attend the Annual Meeting, vote (if you are a stockholder of record) and submit questions during the meeting by visiting </w:t>
      </w:r>
      <w:r>
        <w:rPr>
          <w:rFonts w:ascii="Arial;sans-serif" w:hAnsi="Arial;sans-serif"/>
          <w:b/>
          <w:color w:val="000000"/>
          <w:sz w:val="18"/>
        </w:rPr>
        <w:t>meetnow.global/MKHVHJL</w:t>
      </w:r>
      <w:r>
        <w:rPr>
          <w:rFonts w:ascii="Arial;sans-serif" w:hAnsi="Arial;sans-serif"/>
          <w:b w:val="false"/>
          <w:color w:val="000000"/>
          <w:sz w:val="18"/>
        </w:rPr>
        <w:t>. Stockholders who hold shares of our common stock in “street name” may direct the holder of record how to vote their shares at the meeting by following the instructions that they receive from the holder of record.</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We are furnishing this Proxy Statement to our stockholders of record as of March 18, 2024 in connection with the solicitation of proxies by our Board of Directors for the 2024 Annual Meeting of Stockholders and any adjournment or postponement of the meeting.</w:t>
      </w:r>
    </w:p>
    <w:p>
      <w:pPr>
        <w:pStyle w:val="TextBody"/>
        <w:bidi w:val="0"/>
        <w:spacing w:lineRule="auto" w:line="288" w:before="0" w:after="180"/>
        <w:jc w:val="both"/>
        <w:rPr>
          <w:rFonts w:ascii="Arial;sans-serif" w:hAnsi="Arial;sans-serif"/>
          <w:b/>
          <w:color w:val="000000"/>
          <w:sz w:val="18"/>
        </w:rPr>
      </w:pPr>
      <w:r>
        <w:rPr>
          <w:rFonts w:ascii="Arial;sans-serif" w:hAnsi="Arial;sans-serif"/>
          <w:b/>
          <w:color w:val="000000"/>
          <w:sz w:val="18"/>
        </w:rPr>
        <w:t>Our 2023 Annual Report to Stockholders, which includes our annual report on Form 10-K without exhibits, accompanies this Proxy Statement. You may obtain a copy of the exhibits described in the Form 10-K for a fee upon request. Please contact Paul Clegg, Vice President, Investor Relations and Communications, SPX Technologies, Inc., 6325 Ardrey Kell Rd, Suite 400, Charlotte, North Carolina 28277.</w:t>
      </w:r>
    </w:p>
    <w:tbl>
      <w:tblPr>
        <w:tblW w:w="10205" w:type="dxa"/>
        <w:jc w:val="left"/>
        <w:tblInd w:w="0" w:type="dxa"/>
        <w:tblLayout w:type="fixed"/>
        <w:tblCellMar>
          <w:top w:w="28" w:type="dxa"/>
          <w:left w:w="28" w:type="dxa"/>
          <w:bottom w:w="28" w:type="dxa"/>
          <w:right w:w="28" w:type="dxa"/>
        </w:tblCellMar>
      </w:tblPr>
      <w:tblGrid>
        <w:gridCol w:w="3265"/>
        <w:gridCol w:w="2871"/>
        <w:gridCol w:w="4069"/>
      </w:tblGrid>
      <w:tr>
        <w:trPr/>
        <w:tc>
          <w:tcPr>
            <w:tcW w:w="3265" w:type="dxa"/>
            <w:tcBorders/>
            <w:vAlign w:val="center"/>
          </w:tcPr>
          <w:p>
            <w:pPr>
              <w:pStyle w:val="TableContents"/>
              <w:bidi w:val="0"/>
              <w:spacing w:before="0" w:after="283"/>
              <w:jc w:val="left"/>
              <w:rPr>
                <w:sz w:val="4"/>
                <w:szCs w:val="4"/>
              </w:rPr>
            </w:pPr>
            <w:r>
              <w:rPr>
                <w:sz w:val="4"/>
                <w:szCs w:val="4"/>
              </w:rPr>
            </w:r>
          </w:p>
        </w:tc>
        <w:tc>
          <w:tcPr>
            <w:tcW w:w="2871" w:type="dxa"/>
            <w:tcBorders/>
            <w:vAlign w:val="center"/>
          </w:tcPr>
          <w:p>
            <w:pPr>
              <w:pStyle w:val="TableContents"/>
              <w:bidi w:val="0"/>
              <w:spacing w:before="0" w:after="283"/>
              <w:jc w:val="left"/>
              <w:rPr>
                <w:sz w:val="4"/>
                <w:szCs w:val="4"/>
              </w:rPr>
            </w:pPr>
            <w:r>
              <w:rPr>
                <w:sz w:val="4"/>
                <w:szCs w:val="4"/>
              </w:rPr>
            </w:r>
          </w:p>
        </w:tc>
        <w:tc>
          <w:tcPr>
            <w:tcW w:w="4069"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op w:val="single" w:sz="8" w:space="0" w:color="004C97"/>
              <w:left w:val="single" w:sz="8" w:space="0" w:color="004C97"/>
              <w:bottom w:val="single" w:sz="8" w:space="0" w:color="004C97"/>
              <w:right w:val="single" w:sz="8" w:space="0" w:color="004C97"/>
            </w:tcBorders>
            <w:shd w:fill="D9D9D9" w:val="clear"/>
            <w:tcMar>
              <w:top w:w="30" w:type="dxa"/>
              <w:bottom w:w="30" w:type="dxa"/>
            </w:tcMar>
            <w:vAlign w:val="center"/>
          </w:tcPr>
          <w:p>
            <w:pPr>
              <w:pStyle w:val="TableContents"/>
              <w:bidi w:val="0"/>
              <w:spacing w:lineRule="auto" w:line="288" w:before="0" w:after="0"/>
              <w:jc w:val="center"/>
              <w:rPr>
                <w:rFonts w:ascii="Arial;sans-serif" w:hAnsi="Arial;sans-serif"/>
                <w:b/>
                <w:color w:val="004C97"/>
                <w:sz w:val="18"/>
              </w:rPr>
            </w:pPr>
            <w:r>
              <w:rPr>
                <w:rFonts w:ascii="Arial;sans-serif" w:hAnsi="Arial;sans-serif"/>
                <w:b/>
                <w:color w:val="004C97"/>
                <w:sz w:val="18"/>
              </w:rPr>
              <w:t xml:space="preserve">Important Notice Regarding the Availability of Proxy Materials </w:t>
            </w:r>
          </w:p>
          <w:p>
            <w:pPr>
              <w:pStyle w:val="TableContents"/>
              <w:bidi w:val="0"/>
              <w:spacing w:lineRule="auto" w:line="288" w:before="0" w:after="0"/>
              <w:jc w:val="center"/>
              <w:rPr>
                <w:rFonts w:ascii="Arial;sans-serif" w:hAnsi="Arial;sans-serif"/>
                <w:b/>
                <w:color w:val="004C97"/>
                <w:sz w:val="18"/>
              </w:rPr>
            </w:pPr>
            <w:r>
              <w:rPr>
                <w:rFonts w:ascii="Arial;sans-serif" w:hAnsi="Arial;sans-serif"/>
                <w:b/>
                <w:color w:val="004C97"/>
                <w:sz w:val="18"/>
              </w:rPr>
              <w:t>for the 2024 Annual Meeting of Stockholders:</w:t>
            </w:r>
          </w:p>
          <w:p>
            <w:pPr>
              <w:pStyle w:val="TableContents"/>
              <w:bidi w:val="0"/>
              <w:spacing w:lineRule="auto" w:line="288" w:before="0" w:after="0"/>
              <w:jc w:val="center"/>
              <w:rPr>
                <w:rFonts w:ascii="Arial;sans-serif" w:hAnsi="Arial;sans-serif"/>
                <w:b/>
                <w:color w:val="004C97"/>
                <w:sz w:val="18"/>
              </w:rPr>
            </w:pPr>
            <w:r>
              <w:rPr>
                <w:rFonts w:ascii="Arial;sans-serif" w:hAnsi="Arial;sans-serif"/>
                <w:b/>
                <w:color w:val="004C97"/>
                <w:sz w:val="18"/>
              </w:rPr>
              <w:t xml:space="preserve">The Notice of Annual Meeting, Proxy Statement, and our 2023 Annual Report to Stockholders are available electronically at </w:t>
            </w:r>
          </w:p>
          <w:p>
            <w:pPr>
              <w:pStyle w:val="TableContents"/>
              <w:bidi w:val="0"/>
              <w:spacing w:lineRule="auto" w:line="288" w:before="0" w:after="0"/>
              <w:jc w:val="center"/>
              <w:rPr>
                <w:rFonts w:ascii="Arial;sans-serif" w:hAnsi="Arial;sans-serif"/>
                <w:b/>
                <w:color w:val="004C97"/>
                <w:sz w:val="18"/>
              </w:rPr>
            </w:pPr>
            <w:r>
              <w:rPr>
                <w:rFonts w:ascii="Arial;sans-serif" w:hAnsi="Arial;sans-serif"/>
                <w:b/>
                <w:color w:val="004C97"/>
                <w:sz w:val="18"/>
              </w:rPr>
              <w:t xml:space="preserve">www.envisionreports.com/SPXC (for stockholders of record) or </w:t>
            </w:r>
          </w:p>
          <w:p>
            <w:pPr>
              <w:pStyle w:val="TableContents"/>
              <w:bidi w:val="0"/>
              <w:spacing w:lineRule="auto" w:line="288" w:before="0" w:after="0"/>
              <w:jc w:val="center"/>
              <w:rPr>
                <w:rFonts w:ascii="Arial;sans-serif" w:hAnsi="Arial;sans-serif"/>
                <w:b/>
                <w:color w:val="004C97"/>
                <w:sz w:val="18"/>
              </w:rPr>
            </w:pPr>
            <w:r>
              <w:rPr>
                <w:rFonts w:ascii="Arial;sans-serif" w:hAnsi="Arial;sans-serif"/>
                <w:b/>
                <w:color w:val="004C97"/>
                <w:sz w:val="18"/>
              </w:rPr>
              <w:t>www.edocumentview.com/SPXC (for all other stockholders).</w:t>
            </w:r>
          </w:p>
        </w:tc>
      </w:tr>
    </w:tbl>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Certain statements in this Proxy Statement are forward-looking statements within the meaning of Section 27A of the Securities Act and Section 21E of the Securities Exchange Act of 1934, as amended (the “Exchange Act”), and are subject to the safe harbor created thereby. The words “guidance,” “believe,” “expect,” “anticipate,” “project” and similar expressions identify forward-looking statements. Actual results may differ materially from these statements. Please consider these forward-looking statements in conjunction with the Company’s documents filed with the Securities and Exchange Commission, including the Company’s most recent annual report on Form 10-K, which identify important risk factors and other uncertainties that could cause actual results to differ from those contained in the forward-looking statements, including the following: cyclical changes and specific industry events in the Company’s markets; changes in anticipated capital investment and maintenance expenditures by customers; availability, limitations or cost increases of raw materials and/or commodities that cannot be recovered in product pricing; the impact of competition on profit margins and the Company’s ability to maintain or increase market share; inadequate performance by third-party suppliers and subcontractors for outsourced products, components and services and other supply-chain risks; the uncertainty of claims resolution, including with respect to, environmental and other contingent liabilities; the impact of climate change and any legal or regulatory actions taken in response there to; cyber-security risks; risks with respect to the protection of intellectual property, including with respect to the Company’s digitalization initiatives; the impact of overruns, inflation and the incurrence of delays with respect to long-term fixed-price contracts; defects or errors in current or planned products; the impact of pandemics and governmental and other actions taken in response; domestic economic, political, legal, accounting and business developments adversely affecting the Company’s business, including regulatory changes; changes in worldwide economic conditions, including as a result of geopolitical conflicts; uncertainties with respect to SPX’s ability to identify acceptable acquisition targets; uncertainties with respect to integrating acquisitions and achieving cost savings and other benefits from acquisitions; the impact of retained liabilities of disposed businesses; potential labor disputes; and extreme weather conditions and natural and other disasters. In addition, estimates of future operating results are based on the Company’s current complement of businesses, which is subject to change.</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Information with respect to our officers and directors presented in this proxy statement for periods prior to the consummation of our holding company reorganization completed on August 15, 2022 include their respective service, and compensation from, our corporate predecessor, SPX Corporation. For example, although each of the directors was first elected to the Company’s Board of Directors in August 2022 in connection with the reorganization, the biographical and other information herein with respect such directors includes their service as directors of SPX Corporation for periods prior to the consummation of the reorganization.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6480175" cy="739140"/>
                <wp:effectExtent l="0" t="0" r="0" b="0"/>
                <wp:wrapNone/>
                <wp:docPr id="13" name="Frame7"/>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292" w:type="dxa"/>
                              <w:jc w:val="right"/>
                              <w:tblInd w:w="0" w:type="dxa"/>
                              <w:tblLayout w:type="fixed"/>
                              <w:tblCellMar>
                                <w:top w:w="28" w:type="dxa"/>
                                <w:left w:w="28" w:type="dxa"/>
                                <w:bottom w:w="28" w:type="dxa"/>
                                <w:right w:w="28" w:type="dxa"/>
                              </w:tblCellMar>
                            </w:tblPr>
                            <w:tblGrid>
                              <w:gridCol w:w="292"/>
                              <w:gridCol w:w="256"/>
                              <w:gridCol w:w="258"/>
                              <w:gridCol w:w="704"/>
                              <w:gridCol w:w="704"/>
                              <w:gridCol w:w="706"/>
                              <w:gridCol w:w="109"/>
                              <w:gridCol w:w="109"/>
                              <w:gridCol w:w="154"/>
                            </w:tblGrid>
                            <w:tr>
                              <w:trPr/>
                              <w:tc>
                                <w:tcPr>
                                  <w:tcW w:w="29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0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14"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7" descr=""/>
                                                <pic:cNvPicPr>
                                                  <a:picLocks noChangeAspect="1" noChangeArrowheads="1"/>
                                                </pic:cNvPicPr>
                                              </pic:nvPicPr>
                                              <pic:blipFill>
                                                <a:blip r:embed="rId8"/>
                                                <a:stretch>
                                                  <a:fillRect/>
                                                </a:stretch>
                                              </pic:blipFill>
                                              <pic:spPr bwMode="auto">
                                                <a:xfrm>
                                                  <a:off x="0" y="0"/>
                                                  <a:ext cx="447675" cy="161925"/>
                                                </a:xfrm>
                                                <a:prstGeom prst="rect">
                                                  <a:avLst/>
                                                </a:prstGeom>
                                              </pic:spPr>
                                            </pic:pic>
                                          </a:graphicData>
                                        </a:graphic>
                                      </wp:inline>
                                    </w:drawing>
                                  </w:r>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2024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000000"/>
                                      <w:sz w:val="16"/>
                                    </w:rPr>
                                  </w:pPr>
                                  <w:r>
                                    <w:rPr>
                                      <w:rFonts w:ascii="Arial;sans-serif" w:hAnsi="Arial;sans-serif"/>
                                      <w:b/>
                                      <w:color w:val="000000"/>
                                      <w:sz w:val="16"/>
                                    </w:rPr>
                                    <w:t>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292" w:type="dxa"/>
                        <w:jc w:val="right"/>
                        <w:tblInd w:w="0" w:type="dxa"/>
                        <w:tblLayout w:type="fixed"/>
                        <w:tblCellMar>
                          <w:top w:w="28" w:type="dxa"/>
                          <w:left w:w="28" w:type="dxa"/>
                          <w:bottom w:w="28" w:type="dxa"/>
                          <w:right w:w="28" w:type="dxa"/>
                        </w:tblCellMar>
                      </w:tblPr>
                      <w:tblGrid>
                        <w:gridCol w:w="292"/>
                        <w:gridCol w:w="256"/>
                        <w:gridCol w:w="258"/>
                        <w:gridCol w:w="704"/>
                        <w:gridCol w:w="704"/>
                        <w:gridCol w:w="706"/>
                        <w:gridCol w:w="109"/>
                        <w:gridCol w:w="109"/>
                        <w:gridCol w:w="154"/>
                      </w:tblGrid>
                      <w:tr>
                        <w:trPr/>
                        <w:tc>
                          <w:tcPr>
                            <w:tcW w:w="29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0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15"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7" descr=""/>
                                          <pic:cNvPicPr>
                                            <a:picLocks noChangeAspect="1" noChangeArrowheads="1"/>
                                          </pic:cNvPicPr>
                                        </pic:nvPicPr>
                                        <pic:blipFill>
                                          <a:blip r:embed="rId9"/>
                                          <a:stretch>
                                            <a:fillRect/>
                                          </a:stretch>
                                        </pic:blipFill>
                                        <pic:spPr bwMode="auto">
                                          <a:xfrm>
                                            <a:off x="0" y="0"/>
                                            <a:ext cx="447675" cy="161925"/>
                                          </a:xfrm>
                                          <a:prstGeom prst="rect">
                                            <a:avLst/>
                                          </a:prstGeom>
                                        </pic:spPr>
                                      </pic:pic>
                                    </a:graphicData>
                                  </a:graphic>
                                </wp:inline>
                              </w:drawing>
                            </w:r>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2024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000000"/>
                                <w:sz w:val="16"/>
                              </w:rPr>
                            </w:pPr>
                            <w:r>
                              <w:rPr>
                                <w:rFonts w:ascii="Arial;sans-serif" w:hAnsi="Arial;sans-serif"/>
                                <w:b/>
                                <w:color w:val="000000"/>
                                <w:sz w:val="16"/>
                              </w:rPr>
                              <w:t>1</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312" w:before="0" w:after="240"/>
        <w:jc w:val="left"/>
        <w:rPr>
          <w:rFonts w:ascii="Arial;sans-serif" w:hAnsi="Arial;sans-serif"/>
          <w:b/>
          <w:color w:val="004C97"/>
          <w:sz w:val="42"/>
          <w:shd w:fill="E5E5E5" w:val="clear"/>
        </w:rPr>
      </w:pPr>
      <w:r>
        <w:rPr>
          <w:rFonts w:ascii="Arial;sans-serif" w:hAnsi="Arial;sans-serif"/>
          <w:b/>
          <w:color w:val="004C97"/>
          <w:sz w:val="42"/>
          <w:shd w:fill="E5E5E5" w:val="clear"/>
        </w:rPr>
        <w:t>MEETING AND VOTING HIGHLIGHTS</w:t>
      </w:r>
    </w:p>
    <w:p>
      <w:pPr>
        <w:pStyle w:val="TextBody"/>
        <w:bidi w:val="0"/>
        <w:spacing w:lineRule="auto" w:line="288" w:before="0" w:after="120"/>
        <w:jc w:val="both"/>
        <w:rPr>
          <w:rFonts w:ascii="Arial;sans-serif" w:hAnsi="Arial;sans-serif"/>
          <w:b w:val="false"/>
          <w:color w:val="000000"/>
          <w:sz w:val="18"/>
          <w:shd w:fill="E5E5E5" w:val="clear"/>
        </w:rPr>
      </w:pPr>
      <w:r>
        <w:rPr>
          <w:rFonts w:ascii="Arial;sans-serif" w:hAnsi="Arial;sans-serif"/>
          <w:b w:val="false"/>
          <w:color w:val="000000"/>
          <w:sz w:val="18"/>
          <w:shd w:fill="E5E5E5" w:val="clear"/>
        </w:rPr>
        <w:t>This summary highlights information about the Company, voting recommendations of our Board of Directors (“Board”), and certain information contained elsewhere in this proxy statement (“Proxy Statement”) for the Company’s 2024 Annual Meeting of Stockholders (“Annual Meeting” or “meeting”). This summary does not contain all of the information that you should consider in voting your shares. Before voting, you should carefully read the entire Proxy Statement and our 2023 Annual Report to Stockholders.</w:t>
      </w:r>
    </w:p>
    <w:p>
      <w:pPr>
        <w:pStyle w:val="TextBody"/>
        <w:bidi w:val="0"/>
        <w:spacing w:lineRule="auto" w:line="288" w:before="300" w:after="283"/>
        <w:jc w:val="left"/>
        <w:rPr>
          <w:rFonts w:ascii="Arial;sans-serif" w:hAnsi="Arial;sans-serif"/>
          <w:b/>
          <w:color w:val="000000"/>
          <w:sz w:val="32"/>
          <w:shd w:fill="E5E5E5" w:val="clear"/>
        </w:rPr>
      </w:pPr>
      <w:r>
        <w:rPr>
          <w:rFonts w:ascii="Arial;sans-serif" w:hAnsi="Arial;sans-serif"/>
          <w:b/>
          <w:color w:val="000000"/>
          <w:sz w:val="32"/>
          <w:shd w:fill="E5E5E5" w:val="clear"/>
        </w:rPr>
        <w:t>Annual Meeting</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6075" w:type="dxa"/>
        <w:jc w:val="left"/>
        <w:tblInd w:w="0" w:type="dxa"/>
        <w:tblLayout w:type="fixed"/>
        <w:tblCellMar>
          <w:top w:w="28" w:type="dxa"/>
          <w:left w:w="28" w:type="dxa"/>
          <w:bottom w:w="28" w:type="dxa"/>
          <w:right w:w="28" w:type="dxa"/>
        </w:tblCellMar>
      </w:tblPr>
      <w:tblGrid>
        <w:gridCol w:w="511"/>
        <w:gridCol w:w="448"/>
        <w:gridCol w:w="451"/>
        <w:gridCol w:w="1365"/>
        <w:gridCol w:w="1365"/>
        <w:gridCol w:w="1935"/>
      </w:tblGrid>
      <w:tr>
        <w:trPr/>
        <w:tc>
          <w:tcPr>
            <w:tcW w:w="511"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365" w:type="dxa"/>
            <w:tcBorders/>
            <w:vAlign w:val="center"/>
          </w:tcPr>
          <w:p>
            <w:pPr>
              <w:pStyle w:val="TableContents"/>
              <w:bidi w:val="0"/>
              <w:spacing w:before="0" w:after="283"/>
              <w:jc w:val="left"/>
              <w:rPr>
                <w:sz w:val="4"/>
                <w:szCs w:val="4"/>
              </w:rPr>
            </w:pPr>
            <w:r>
              <w:rPr>
                <w:sz w:val="4"/>
                <w:szCs w:val="4"/>
              </w:rPr>
            </w:r>
          </w:p>
        </w:tc>
        <w:tc>
          <w:tcPr>
            <w:tcW w:w="1365" w:type="dxa"/>
            <w:tcBorders/>
            <w:vAlign w:val="center"/>
          </w:tcPr>
          <w:p>
            <w:pPr>
              <w:pStyle w:val="TableContents"/>
              <w:bidi w:val="0"/>
              <w:spacing w:before="0" w:after="283"/>
              <w:jc w:val="left"/>
              <w:rPr>
                <w:sz w:val="4"/>
                <w:szCs w:val="4"/>
              </w:rPr>
            </w:pPr>
            <w:r>
              <w:rPr>
                <w:sz w:val="4"/>
                <w:szCs w:val="4"/>
              </w:rPr>
            </w:r>
          </w:p>
        </w:tc>
        <w:tc>
          <w:tcPr>
            <w:tcW w:w="1935" w:type="dxa"/>
            <w:tcBorders/>
            <w:vAlign w:val="center"/>
          </w:tcPr>
          <w:p>
            <w:pPr>
              <w:pStyle w:val="TableContents"/>
              <w:bidi w:val="0"/>
              <w:spacing w:before="0" w:after="283"/>
              <w:jc w:val="left"/>
              <w:rPr>
                <w:sz w:val="4"/>
                <w:szCs w:val="4"/>
              </w:rPr>
            </w:pPr>
            <w:r>
              <w:rPr>
                <w:sz w:val="4"/>
                <w:szCs w:val="4"/>
              </w:rPr>
            </w:r>
          </w:p>
        </w:tc>
      </w:tr>
      <w:tr>
        <w:trPr/>
        <w:tc>
          <w:tcPr>
            <w:tcW w:w="1410"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Arial;sans-serif" w:hAnsi="Arial;sans-serif"/>
                <w:b/>
                <w:i/>
                <w:color w:val="000000"/>
                <w:sz w:val="18"/>
              </w:rPr>
            </w:pPr>
            <w:r>
              <w:rPr>
                <w:rFonts w:ascii="Arial;sans-serif" w:hAnsi="Arial;sans-serif"/>
                <w:b/>
                <w:i/>
                <w:color w:val="000000"/>
                <w:sz w:val="18"/>
              </w:rPr>
              <w:t>Time and Date:</w:t>
            </w:r>
          </w:p>
        </w:tc>
        <w:tc>
          <w:tcPr>
            <w:tcW w:w="4665"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Arial;sans-serif" w:hAnsi="Arial;sans-serif"/>
                <w:b w:val="false"/>
                <w:color w:val="000000"/>
                <w:sz w:val="18"/>
              </w:rPr>
            </w:pPr>
            <w:r>
              <w:rPr>
                <w:rFonts w:ascii="Arial;sans-serif" w:hAnsi="Arial;sans-serif"/>
                <w:b w:val="false"/>
                <w:color w:val="000000"/>
                <w:sz w:val="18"/>
              </w:rPr>
              <w:t>8:00 a.m. (Eastern Time), Tuesday, May 14, 2024</w:t>
            </w:r>
          </w:p>
        </w:tc>
      </w:tr>
      <w:tr>
        <w:trPr/>
        <w:tc>
          <w:tcPr>
            <w:tcW w:w="1410"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Arial;sans-serif" w:hAnsi="Arial;sans-serif"/>
                <w:b/>
                <w:i/>
                <w:color w:val="000000"/>
                <w:sz w:val="18"/>
              </w:rPr>
            </w:pPr>
            <w:r>
              <w:rPr>
                <w:rFonts w:ascii="Arial;sans-serif" w:hAnsi="Arial;sans-serif"/>
                <w:b/>
                <w:i/>
                <w:color w:val="000000"/>
                <w:sz w:val="18"/>
              </w:rPr>
              <w:t>Place:</w:t>
            </w:r>
          </w:p>
        </w:tc>
        <w:tc>
          <w:tcPr>
            <w:tcW w:w="4665" w:type="dxa"/>
            <w:gridSpan w:val="3"/>
            <w:tcBorders/>
            <w:tcMar>
              <w:top w:w="0" w:type="dxa"/>
              <w:left w:w="0" w:type="dxa"/>
              <w:bottom w:w="0" w:type="dxa"/>
              <w:right w:w="0" w:type="dxa"/>
            </w:tcMar>
            <w:vAlign w:val="center"/>
          </w:tcPr>
          <w:p>
            <w:pPr>
              <w:pStyle w:val="TableContents"/>
              <w:bidi w:val="0"/>
              <w:spacing w:lineRule="auto" w:line="288" w:before="0" w:after="180"/>
              <w:jc w:val="both"/>
              <w:rPr/>
            </w:pPr>
            <w:r>
              <w:rPr>
                <w:rFonts w:ascii="Arial;sans-serif" w:hAnsi="Arial;sans-serif"/>
                <w:b w:val="false"/>
                <w:color w:val="000000"/>
                <w:sz w:val="18"/>
              </w:rPr>
              <w:t xml:space="preserve">Virtually via the internet at: </w:t>
            </w:r>
            <w:r>
              <w:rPr>
                <w:rFonts w:ascii="Arial;sans-serif" w:hAnsi="Arial;sans-serif"/>
                <w:b w:val="false"/>
                <w:color w:val="000000"/>
                <w:sz w:val="20"/>
              </w:rPr>
              <w:t>meetnow.global/MKHVHJL</w:t>
            </w:r>
          </w:p>
        </w:tc>
      </w:tr>
      <w:tr>
        <w:trPr/>
        <w:tc>
          <w:tcPr>
            <w:tcW w:w="1410"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Arial;sans-serif" w:hAnsi="Arial;sans-serif"/>
                <w:b/>
                <w:i/>
                <w:color w:val="000000"/>
                <w:sz w:val="18"/>
              </w:rPr>
            </w:pPr>
            <w:r>
              <w:rPr>
                <w:rFonts w:ascii="Arial;sans-serif" w:hAnsi="Arial;sans-serif"/>
                <w:b/>
                <w:i/>
                <w:color w:val="000000"/>
                <w:sz w:val="18"/>
              </w:rPr>
              <w:t>Record Date:</w:t>
            </w:r>
          </w:p>
        </w:tc>
        <w:tc>
          <w:tcPr>
            <w:tcW w:w="4665"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Arial;sans-serif" w:hAnsi="Arial;sans-serif"/>
                <w:b w:val="false"/>
                <w:color w:val="000000"/>
                <w:sz w:val="18"/>
              </w:rPr>
            </w:pPr>
            <w:r>
              <w:rPr>
                <w:rFonts w:ascii="Arial;sans-serif" w:hAnsi="Arial;sans-serif"/>
                <w:b w:val="false"/>
                <w:color w:val="000000"/>
                <w:sz w:val="18"/>
              </w:rPr>
              <w:t>March 18, 2024</w:t>
            </w:r>
          </w:p>
        </w:tc>
      </w:tr>
    </w:tbl>
    <w:p>
      <w:pPr>
        <w:pStyle w:val="TextBody"/>
        <w:bidi w:val="0"/>
        <w:spacing w:lineRule="auto" w:line="288" w:before="300" w:after="283"/>
        <w:jc w:val="left"/>
        <w:rPr>
          <w:rFonts w:ascii="Arial;sans-serif" w:hAnsi="Arial;sans-serif"/>
          <w:b/>
          <w:color w:val="000000"/>
          <w:sz w:val="32"/>
          <w:shd w:fill="E5E5E5" w:val="clear"/>
        </w:rPr>
      </w:pPr>
      <w:r>
        <w:rPr>
          <w:rFonts w:ascii="Arial;sans-serif" w:hAnsi="Arial;sans-serif"/>
          <w:b/>
          <w:color w:val="000000"/>
          <w:sz w:val="32"/>
          <w:shd w:fill="E5E5E5" w:val="clear"/>
        </w:rPr>
        <w:t>Purpose of Meeting and Board Recommendations</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320"/>
        <w:gridCol w:w="282"/>
        <w:gridCol w:w="284"/>
        <w:gridCol w:w="1604"/>
        <w:gridCol w:w="1460"/>
        <w:gridCol w:w="1446"/>
        <w:gridCol w:w="505"/>
        <w:gridCol w:w="505"/>
        <w:gridCol w:w="506"/>
        <w:gridCol w:w="855"/>
        <w:gridCol w:w="743"/>
        <w:gridCol w:w="745"/>
        <w:gridCol w:w="277"/>
        <w:gridCol w:w="277"/>
        <w:gridCol w:w="396"/>
      </w:tblGrid>
      <w:tr>
        <w:trPr/>
        <w:tc>
          <w:tcPr>
            <w:tcW w:w="320"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604" w:type="dxa"/>
            <w:tcBorders/>
            <w:vAlign w:val="center"/>
          </w:tcPr>
          <w:p>
            <w:pPr>
              <w:pStyle w:val="TableContents"/>
              <w:bidi w:val="0"/>
              <w:spacing w:before="0" w:after="283"/>
              <w:jc w:val="left"/>
              <w:rPr>
                <w:sz w:val="4"/>
                <w:szCs w:val="4"/>
              </w:rPr>
            </w:pPr>
            <w:r>
              <w:rPr>
                <w:sz w:val="4"/>
                <w:szCs w:val="4"/>
              </w:rPr>
            </w:r>
          </w:p>
        </w:tc>
        <w:tc>
          <w:tcPr>
            <w:tcW w:w="1460" w:type="dxa"/>
            <w:tcBorders/>
            <w:vAlign w:val="center"/>
          </w:tcPr>
          <w:p>
            <w:pPr>
              <w:pStyle w:val="TableContents"/>
              <w:bidi w:val="0"/>
              <w:spacing w:before="0" w:after="283"/>
              <w:jc w:val="left"/>
              <w:rPr>
                <w:sz w:val="4"/>
                <w:szCs w:val="4"/>
              </w:rPr>
            </w:pPr>
            <w:r>
              <w:rPr>
                <w:sz w:val="4"/>
                <w:szCs w:val="4"/>
              </w:rPr>
            </w:r>
          </w:p>
        </w:tc>
        <w:tc>
          <w:tcPr>
            <w:tcW w:w="1446"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r>
      <w:tr>
        <w:trPr/>
        <w:tc>
          <w:tcPr>
            <w:tcW w:w="5396" w:type="dxa"/>
            <w:gridSpan w:val="6"/>
            <w:tcBorders>
              <w:top w:val="single" w:sz="4" w:space="0" w:color="000000"/>
              <w:left w:val="single" w:sz="4" w:space="0" w:color="000000"/>
            </w:tcBorders>
            <w:shd w:fill="004C97"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6"/>
              </w:rPr>
            </w:pPr>
            <w:r>
              <w:rPr>
                <w:rFonts w:ascii="Arial;sans-serif" w:hAnsi="Arial;sans-serif"/>
                <w:b/>
                <w:color w:val="FFFFFF"/>
                <w:sz w:val="16"/>
              </w:rPr>
              <w:t>Proposals</w:t>
            </w:r>
          </w:p>
        </w:tc>
        <w:tc>
          <w:tcPr>
            <w:tcW w:w="1516" w:type="dxa"/>
            <w:gridSpan w:val="3"/>
            <w:tcBorders>
              <w:top w:val="single" w:sz="4" w:space="0" w:color="000000"/>
              <w:left w:val="single" w:sz="4" w:space="0" w:color="000000"/>
            </w:tcBorders>
            <w:shd w:fill="004C97" w:val="clear"/>
            <w:tcMar>
              <w:top w:w="30" w:type="dxa"/>
              <w:bottom w:w="0" w:type="dxa"/>
              <w:right w:w="0" w:type="dxa"/>
            </w:tcMar>
            <w:vAlign w:val="center"/>
          </w:tcPr>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Board Vote</w:t>
            </w:r>
          </w:p>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Recommendation</w:t>
            </w:r>
          </w:p>
        </w:tc>
        <w:tc>
          <w:tcPr>
            <w:tcW w:w="2343" w:type="dxa"/>
            <w:gridSpan w:val="3"/>
            <w:tcBorders>
              <w:top w:val="single" w:sz="4" w:space="0" w:color="000000"/>
              <w:left w:val="single" w:sz="4" w:space="0" w:color="000000"/>
            </w:tcBorders>
            <w:shd w:fill="004C97" w:val="clear"/>
            <w:tcMar>
              <w:top w:w="30" w:type="dxa"/>
              <w:bottom w:w="0" w:type="dxa"/>
              <w:right w:w="0" w:type="dxa"/>
            </w:tcMar>
            <w:vAlign w:val="center"/>
          </w:tcPr>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Votes Required for</w:t>
            </w:r>
          </w:p>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Approval</w:t>
            </w:r>
          </w:p>
        </w:tc>
        <w:tc>
          <w:tcPr>
            <w:tcW w:w="950" w:type="dxa"/>
            <w:gridSpan w:val="3"/>
            <w:tcBorders>
              <w:top w:val="single" w:sz="4" w:space="0" w:color="000000"/>
              <w:left w:val="single" w:sz="4" w:space="0" w:color="000000"/>
              <w:right w:val="single" w:sz="4" w:space="0" w:color="000000"/>
            </w:tcBorders>
            <w:shd w:fill="004C97" w:val="clear"/>
            <w:tcMar>
              <w:top w:w="30" w:type="dxa"/>
              <w:bottom w:w="0" w:type="dxa"/>
            </w:tcMar>
            <w:vAlign w:val="center"/>
          </w:tcPr>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Page</w:t>
            </w:r>
          </w:p>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Reference</w:t>
            </w:r>
          </w:p>
        </w:tc>
      </w:tr>
      <w:tr>
        <w:trPr/>
        <w:tc>
          <w:tcPr>
            <w:tcW w:w="886" w:type="dxa"/>
            <w:gridSpan w:val="3"/>
            <w:tcBorders>
              <w:top w:val="single" w:sz="4" w:space="0" w:color="000000"/>
              <w:left w:val="single" w:sz="4" w:space="0" w:color="000000"/>
            </w:tcBorders>
            <w:shd w:fill="FFFFFF" w:val="clear"/>
            <w:tcMar>
              <w:top w:w="30" w:type="dxa"/>
              <w:left w:w="11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Proposal 1:</w:t>
            </w:r>
          </w:p>
        </w:tc>
        <w:tc>
          <w:tcPr>
            <w:tcW w:w="4510"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Election of Directors</w:t>
            </w:r>
          </w:p>
        </w:tc>
        <w:tc>
          <w:tcPr>
            <w:tcW w:w="1516"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FOR</w:t>
              <w:br/>
              <w:t>each nominee</w:t>
            </w:r>
          </w:p>
        </w:tc>
        <w:tc>
          <w:tcPr>
            <w:tcW w:w="2343"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Majority of votes cast</w:t>
            </w:r>
          </w:p>
        </w:tc>
        <w:tc>
          <w:tcPr>
            <w:tcW w:w="950" w:type="dxa"/>
            <w:gridSpan w:val="3"/>
            <w:tcBorders>
              <w:top w:val="single" w:sz="4" w:space="0" w:color="000000"/>
              <w:left w:val="single" w:sz="4" w:space="0" w:color="000000"/>
              <w:right w:val="single" w:sz="4" w:space="0" w:color="000000"/>
            </w:tcBorders>
            <w:shd w:fill="FFFFFF" w:val="clear"/>
            <w:tcMar>
              <w:top w:w="30" w:type="dxa"/>
              <w:bottom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13</w:t>
            </w:r>
          </w:p>
        </w:tc>
      </w:tr>
      <w:tr>
        <w:trPr/>
        <w:tc>
          <w:tcPr>
            <w:tcW w:w="886" w:type="dxa"/>
            <w:gridSpan w:val="3"/>
            <w:tcBorders>
              <w:top w:val="single" w:sz="4" w:space="0" w:color="000000"/>
              <w:left w:val="single" w:sz="4" w:space="0" w:color="000000"/>
            </w:tcBorders>
            <w:shd w:fill="FFFFFF" w:val="clear"/>
            <w:tcMar>
              <w:top w:w="30" w:type="dxa"/>
              <w:left w:w="11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Proposal 2:</w:t>
            </w:r>
          </w:p>
        </w:tc>
        <w:tc>
          <w:tcPr>
            <w:tcW w:w="4510"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Approval of Named Executive Officers’ Compensation, on a Non-binding Advisory Basis (“Say-on-Pay”)</w:t>
            </w:r>
          </w:p>
        </w:tc>
        <w:tc>
          <w:tcPr>
            <w:tcW w:w="1516"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FOR</w:t>
            </w:r>
          </w:p>
        </w:tc>
        <w:tc>
          <w:tcPr>
            <w:tcW w:w="2343"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Majority of votes cast</w:t>
            </w:r>
          </w:p>
        </w:tc>
        <w:tc>
          <w:tcPr>
            <w:tcW w:w="950" w:type="dxa"/>
            <w:gridSpan w:val="3"/>
            <w:tcBorders>
              <w:top w:val="single" w:sz="4" w:space="0" w:color="000000"/>
              <w:left w:val="single" w:sz="4" w:space="0" w:color="000000"/>
              <w:right w:val="single" w:sz="4" w:space="0" w:color="000000"/>
            </w:tcBorders>
            <w:shd w:fill="FFFFFF" w:val="clear"/>
            <w:tcMar>
              <w:top w:w="30" w:type="dxa"/>
              <w:bottom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55</w:t>
            </w:r>
          </w:p>
        </w:tc>
      </w:tr>
      <w:tr>
        <w:trPr/>
        <w:tc>
          <w:tcPr>
            <w:tcW w:w="886" w:type="dxa"/>
            <w:gridSpan w:val="3"/>
            <w:tcBorders>
              <w:top w:val="single" w:sz="4" w:space="0" w:color="000000"/>
              <w:left w:val="single" w:sz="4" w:space="0" w:color="000000"/>
            </w:tcBorders>
            <w:shd w:fill="FFFFFF" w:val="clear"/>
            <w:tcMar>
              <w:top w:w="30" w:type="dxa"/>
              <w:left w:w="11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Proposal 3:</w:t>
            </w:r>
          </w:p>
        </w:tc>
        <w:tc>
          <w:tcPr>
            <w:tcW w:w="4510"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Approval of an Amendment to our Certificate of Incorporation to Provide for the Annual Election of the Board of Directors</w:t>
            </w:r>
          </w:p>
        </w:tc>
        <w:tc>
          <w:tcPr>
            <w:tcW w:w="1516"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FOR</w:t>
            </w:r>
          </w:p>
        </w:tc>
        <w:tc>
          <w:tcPr>
            <w:tcW w:w="2343"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80% of shares outstanding</w:t>
            </w:r>
          </w:p>
        </w:tc>
        <w:tc>
          <w:tcPr>
            <w:tcW w:w="950" w:type="dxa"/>
            <w:gridSpan w:val="3"/>
            <w:tcBorders>
              <w:top w:val="single" w:sz="4" w:space="0" w:color="000000"/>
              <w:left w:val="single" w:sz="4" w:space="0" w:color="000000"/>
              <w:right w:val="single" w:sz="4" w:space="0" w:color="000000"/>
            </w:tcBorders>
            <w:shd w:fill="FFFFFF" w:val="clear"/>
            <w:tcMar>
              <w:top w:w="30" w:type="dxa"/>
              <w:bottom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56</w:t>
            </w:r>
          </w:p>
        </w:tc>
      </w:tr>
      <w:tr>
        <w:trPr/>
        <w:tc>
          <w:tcPr>
            <w:tcW w:w="886" w:type="dxa"/>
            <w:gridSpan w:val="3"/>
            <w:tcBorders>
              <w:top w:val="single" w:sz="4" w:space="0" w:color="000000"/>
              <w:left w:val="single" w:sz="4" w:space="0" w:color="000000"/>
            </w:tcBorders>
            <w:shd w:fill="FFFFFF" w:val="clear"/>
            <w:tcMar>
              <w:top w:w="30" w:type="dxa"/>
              <w:left w:w="11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Proposal 4:</w:t>
            </w:r>
          </w:p>
        </w:tc>
        <w:tc>
          <w:tcPr>
            <w:tcW w:w="4510"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Approval of an Amendment to our Certificate of Incorporation to Provide for Exculpation of Certain Officers as Permitted by Recent Amendments to Delaware Law</w:t>
            </w:r>
          </w:p>
        </w:tc>
        <w:tc>
          <w:tcPr>
            <w:tcW w:w="1516"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FOR</w:t>
            </w:r>
          </w:p>
        </w:tc>
        <w:tc>
          <w:tcPr>
            <w:tcW w:w="2343"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Majority of shares outstanding</w:t>
            </w:r>
          </w:p>
        </w:tc>
        <w:tc>
          <w:tcPr>
            <w:tcW w:w="950" w:type="dxa"/>
            <w:gridSpan w:val="3"/>
            <w:tcBorders>
              <w:top w:val="single" w:sz="4" w:space="0" w:color="000000"/>
              <w:left w:val="single" w:sz="4" w:space="0" w:color="000000"/>
              <w:right w:val="single" w:sz="4" w:space="0" w:color="000000"/>
            </w:tcBorders>
            <w:shd w:fill="FFFFFF" w:val="clear"/>
            <w:tcMar>
              <w:top w:w="30" w:type="dxa"/>
              <w:bottom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58</w:t>
            </w:r>
          </w:p>
        </w:tc>
      </w:tr>
      <w:tr>
        <w:trPr/>
        <w:tc>
          <w:tcPr>
            <w:tcW w:w="886" w:type="dxa"/>
            <w:gridSpan w:val="3"/>
            <w:tcBorders>
              <w:top w:val="single" w:sz="4" w:space="0" w:color="000000"/>
              <w:left w:val="single" w:sz="4" w:space="0" w:color="000000"/>
            </w:tcBorders>
            <w:shd w:fill="FFFFFF" w:val="clear"/>
            <w:tcMar>
              <w:top w:w="30" w:type="dxa"/>
              <w:left w:w="11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Proposal 5:</w:t>
            </w:r>
          </w:p>
        </w:tc>
        <w:tc>
          <w:tcPr>
            <w:tcW w:w="4510"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Approval of an Amendment to our Certificate of Incorporation to Add a Delaware Forum Selection Provision for Certain Legal Actions</w:t>
            </w:r>
          </w:p>
        </w:tc>
        <w:tc>
          <w:tcPr>
            <w:tcW w:w="1516"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FOR</w:t>
            </w:r>
          </w:p>
        </w:tc>
        <w:tc>
          <w:tcPr>
            <w:tcW w:w="2343"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Majority of shares outstanding</w:t>
            </w:r>
          </w:p>
        </w:tc>
        <w:tc>
          <w:tcPr>
            <w:tcW w:w="950" w:type="dxa"/>
            <w:gridSpan w:val="3"/>
            <w:tcBorders>
              <w:top w:val="single" w:sz="4" w:space="0" w:color="000000"/>
              <w:left w:val="single" w:sz="4" w:space="0" w:color="000000"/>
              <w:right w:val="single" w:sz="4" w:space="0" w:color="000000"/>
            </w:tcBorders>
            <w:shd w:fill="FFFFFF" w:val="clear"/>
            <w:tcMar>
              <w:top w:w="30" w:type="dxa"/>
              <w:bottom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60</w:t>
            </w:r>
          </w:p>
        </w:tc>
      </w:tr>
      <w:tr>
        <w:trPr/>
        <w:tc>
          <w:tcPr>
            <w:tcW w:w="886" w:type="dxa"/>
            <w:gridSpan w:val="3"/>
            <w:tcBorders>
              <w:top w:val="single" w:sz="4" w:space="0" w:color="000000"/>
              <w:left w:val="single" w:sz="4" w:space="0" w:color="000000"/>
            </w:tcBorders>
            <w:shd w:fill="FFFFFF" w:val="clear"/>
            <w:tcMar>
              <w:top w:w="30" w:type="dxa"/>
              <w:left w:w="11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Proposal 6:</w:t>
            </w:r>
          </w:p>
        </w:tc>
        <w:tc>
          <w:tcPr>
            <w:tcW w:w="4510"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Approval of an Amendment to our Certificate of Incorporation to Add a Federal Forum Selection Provision for Claims under the Securities Act</w:t>
            </w:r>
          </w:p>
        </w:tc>
        <w:tc>
          <w:tcPr>
            <w:tcW w:w="1516"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FOR</w:t>
            </w:r>
          </w:p>
        </w:tc>
        <w:tc>
          <w:tcPr>
            <w:tcW w:w="2343"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Majority of shares outstanding</w:t>
            </w:r>
          </w:p>
        </w:tc>
        <w:tc>
          <w:tcPr>
            <w:tcW w:w="950" w:type="dxa"/>
            <w:gridSpan w:val="3"/>
            <w:tcBorders>
              <w:top w:val="single" w:sz="4" w:space="0" w:color="000000"/>
              <w:left w:val="single" w:sz="4" w:space="0" w:color="000000"/>
              <w:right w:val="single" w:sz="4" w:space="0" w:color="000000"/>
            </w:tcBorders>
            <w:shd w:fill="FFFFFF" w:val="clear"/>
            <w:tcMar>
              <w:top w:w="30" w:type="dxa"/>
              <w:bottom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63</w:t>
            </w:r>
          </w:p>
        </w:tc>
      </w:tr>
      <w:tr>
        <w:trPr/>
        <w:tc>
          <w:tcPr>
            <w:tcW w:w="886" w:type="dxa"/>
            <w:gridSpan w:val="3"/>
            <w:tcBorders>
              <w:top w:val="single" w:sz="4" w:space="0" w:color="000000"/>
              <w:left w:val="single" w:sz="4" w:space="0" w:color="000000"/>
              <w:bottom w:val="single" w:sz="4" w:space="0" w:color="000000"/>
            </w:tcBorders>
            <w:shd w:fill="FFFFFF" w:val="clear"/>
            <w:tcMar>
              <w:top w:w="30" w:type="dxa"/>
              <w:left w:w="110" w:type="dxa"/>
              <w:bottom w:w="3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Proposal 7:</w:t>
            </w:r>
          </w:p>
        </w:tc>
        <w:tc>
          <w:tcPr>
            <w:tcW w:w="4510" w:type="dxa"/>
            <w:gridSpan w:val="3"/>
            <w:tcBorders>
              <w:top w:val="single" w:sz="4" w:space="0" w:color="000000"/>
              <w:left w:val="single" w:sz="4" w:space="0" w:color="000000"/>
              <w:bottom w:val="single" w:sz="4" w:space="0" w:color="000000"/>
            </w:tcBorders>
            <w:shd w:fill="FFFFFF" w:val="clear"/>
            <w:tcMar>
              <w:top w:w="30" w:type="dxa"/>
              <w:bottom w:w="3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Ratification of Appointment of Independent Registered Public Accounting Firm</w:t>
            </w:r>
          </w:p>
        </w:tc>
        <w:tc>
          <w:tcPr>
            <w:tcW w:w="1516" w:type="dxa"/>
            <w:gridSpan w:val="3"/>
            <w:tcBorders>
              <w:top w:val="single" w:sz="4" w:space="0" w:color="000000"/>
              <w:left w:val="single" w:sz="4" w:space="0" w:color="000000"/>
              <w:bottom w:val="single" w:sz="4" w:space="0" w:color="000000"/>
            </w:tcBorders>
            <w:shd w:fill="FFFFFF" w:val="clear"/>
            <w:tcMar>
              <w:top w:w="3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FOR</w:t>
            </w:r>
          </w:p>
        </w:tc>
        <w:tc>
          <w:tcPr>
            <w:tcW w:w="2343" w:type="dxa"/>
            <w:gridSpan w:val="3"/>
            <w:tcBorders>
              <w:top w:val="single" w:sz="4" w:space="0" w:color="000000"/>
              <w:left w:val="single" w:sz="4" w:space="0" w:color="000000"/>
              <w:bottom w:val="single" w:sz="4" w:space="0" w:color="000000"/>
            </w:tcBorders>
            <w:shd w:fill="FFFFFF" w:val="clear"/>
            <w:tcMar>
              <w:top w:w="30" w:type="dxa"/>
              <w:bottom w:w="3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Majority of shares present or represented by proxy and entitled to vote</w:t>
            </w:r>
          </w:p>
        </w:tc>
        <w:tc>
          <w:tcPr>
            <w:tcW w:w="950" w:type="dxa"/>
            <w:gridSpan w:val="3"/>
            <w:tcBorders>
              <w:top w:val="single" w:sz="4" w:space="0" w:color="000000"/>
              <w:left w:val="single" w:sz="4" w:space="0" w:color="000000"/>
              <w:bottom w:val="single" w:sz="4" w:space="0" w:color="000000"/>
              <w:right w:val="single" w:sz="4" w:space="0" w:color="000000"/>
            </w:tcBorders>
            <w:shd w:fill="FFFFFF" w:val="clear"/>
            <w:tcMar>
              <w:top w:w="30" w:type="dxa"/>
              <w:bottom w:w="3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67</w:t>
            </w:r>
          </w:p>
        </w:tc>
      </w:tr>
    </w:tbl>
    <w:p>
      <w:pPr>
        <w:pStyle w:val="TextBody"/>
        <w:bidi w:val="0"/>
        <w:spacing w:lineRule="auto" w:line="288" w:before="0" w:after="180"/>
        <w:jc w:val="both"/>
        <w:rPr>
          <w:rFonts w:ascii="Arial;sans-serif" w:hAnsi="Arial;sans-serif"/>
          <w:b/>
          <w:color w:val="000000"/>
          <w:sz w:val="18"/>
          <w:shd w:fill="E5E5E5" w:val="clear"/>
        </w:rPr>
      </w:pPr>
      <w:r>
        <w:rPr>
          <w:rFonts w:ascii="Arial;sans-serif" w:hAnsi="Arial;sans-serif"/>
          <w:b/>
          <w:color w:val="000000"/>
          <w:sz w:val="18"/>
          <w:shd w:fill="E5E5E5" w:val="clear"/>
        </w:rPr>
        <w:t>The Board strongly encourages you to exercise your right to vote on these matters. Your vote is important.</w:t>
      </w:r>
    </w:p>
    <w:p>
      <w:pPr>
        <w:pStyle w:val="TextBody"/>
        <w:bidi w:val="0"/>
        <w:spacing w:lineRule="auto" w:line="288" w:before="300" w:after="283"/>
        <w:jc w:val="left"/>
        <w:rPr>
          <w:rFonts w:ascii="Arial;sans-serif" w:hAnsi="Arial;sans-serif"/>
          <w:b/>
          <w:color w:val="000000"/>
          <w:sz w:val="32"/>
          <w:shd w:fill="E5E5E5" w:val="clear"/>
        </w:rPr>
      </w:pPr>
      <w:r>
        <w:rPr>
          <w:rFonts w:ascii="Arial;sans-serif" w:hAnsi="Arial;sans-serif"/>
          <w:b/>
          <w:color w:val="000000"/>
          <w:sz w:val="32"/>
          <w:shd w:fill="E5E5E5" w:val="clear"/>
        </w:rPr>
        <w:t>Who May Vote</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Arial;sans-serif" w:hAnsi="Arial;sans-serif"/>
          <w:b w:val="false"/>
          <w:color w:val="000000"/>
          <w:sz w:val="18"/>
          <w:shd w:fill="E5E5E5" w:val="clear"/>
        </w:rPr>
      </w:pPr>
      <w:r>
        <w:rPr>
          <w:rFonts w:ascii="Arial;sans-serif" w:hAnsi="Arial;sans-serif"/>
          <w:b w:val="false"/>
          <w:color w:val="000000"/>
          <w:sz w:val="18"/>
          <w:shd w:fill="E5E5E5" w:val="clear"/>
        </w:rPr>
        <w:t>Holders of SPX common stock whose shares are recorded directly in their names in our stock register (“stockholders of record”) at the close of business on March 18, 2024, may vote their shares on the matters to be acted upon at the meeting. Stockholders who hold shares of our common stock in “street name,” that is, through an account with a broker, bank, trustee, or other holder of record, as of such date may direct the holder of record how to vote their shares at the meeting by following the instructions that they receive from the holder of record.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6480175" cy="739140"/>
                <wp:effectExtent l="0" t="0" r="0" b="0"/>
                <wp:wrapNone/>
                <wp:docPr id="16" name="Frame8"/>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292" w:type="dxa"/>
                              <w:jc w:val="left"/>
                              <w:tblInd w:w="0" w:type="dxa"/>
                              <w:tblLayout w:type="fixed"/>
                              <w:tblCellMar>
                                <w:top w:w="28" w:type="dxa"/>
                                <w:left w:w="28" w:type="dxa"/>
                                <w:bottom w:w="28" w:type="dxa"/>
                                <w:right w:w="28" w:type="dxa"/>
                              </w:tblCellMar>
                            </w:tblPr>
                            <w:tblGrid>
                              <w:gridCol w:w="124"/>
                              <w:gridCol w:w="109"/>
                              <w:gridCol w:w="109"/>
                              <w:gridCol w:w="704"/>
                              <w:gridCol w:w="704"/>
                              <w:gridCol w:w="706"/>
                              <w:gridCol w:w="244"/>
                              <w:gridCol w:w="244"/>
                              <w:gridCol w:w="34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2</w:t>
                                  </w:r>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2024 PROXY STATEMENT</w:t>
                                  </w:r>
                                </w:p>
                              </w:tc>
                              <w:tc>
                                <w:tcPr>
                                  <w:tcW w:w="83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17"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8" descr=""/>
                                                <pic:cNvPicPr>
                                                  <a:picLocks noChangeAspect="1" noChangeArrowheads="1"/>
                                                </pic:cNvPicPr>
                                              </pic:nvPicPr>
                                              <pic:blipFill>
                                                <a:blip r:embed="rId10"/>
                                                <a:stretch>
                                                  <a:fillRect/>
                                                </a:stretch>
                                              </pic:blipFill>
                                              <pic:spPr bwMode="auto">
                                                <a:xfrm>
                                                  <a:off x="0" y="0"/>
                                                  <a:ext cx="447675" cy="161925"/>
                                                </a:xfrm>
                                                <a:prstGeom prst="rect">
                                                  <a:avLst/>
                                                </a:prstGeom>
                                              </pic:spPr>
                                            </pic:pic>
                                          </a:graphicData>
                                        </a:graphic>
                                      </wp:inline>
                                    </w:drawing>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292" w:type="dxa"/>
                        <w:jc w:val="left"/>
                        <w:tblInd w:w="0" w:type="dxa"/>
                        <w:tblLayout w:type="fixed"/>
                        <w:tblCellMar>
                          <w:top w:w="28" w:type="dxa"/>
                          <w:left w:w="28" w:type="dxa"/>
                          <w:bottom w:w="28" w:type="dxa"/>
                          <w:right w:w="28" w:type="dxa"/>
                        </w:tblCellMar>
                      </w:tblPr>
                      <w:tblGrid>
                        <w:gridCol w:w="124"/>
                        <w:gridCol w:w="109"/>
                        <w:gridCol w:w="109"/>
                        <w:gridCol w:w="704"/>
                        <w:gridCol w:w="704"/>
                        <w:gridCol w:w="706"/>
                        <w:gridCol w:w="244"/>
                        <w:gridCol w:w="244"/>
                        <w:gridCol w:w="34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2</w:t>
                            </w:r>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2024 PROXY STATEMENT</w:t>
                            </w:r>
                          </w:p>
                        </w:tc>
                        <w:tc>
                          <w:tcPr>
                            <w:tcW w:w="83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1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8" descr=""/>
                                          <pic:cNvPicPr>
                                            <a:picLocks noChangeAspect="1" noChangeArrowheads="1"/>
                                          </pic:cNvPicPr>
                                        </pic:nvPicPr>
                                        <pic:blipFill>
                                          <a:blip r:embed="rId11"/>
                                          <a:stretch>
                                            <a:fillRect/>
                                          </a:stretch>
                                        </pic:blipFill>
                                        <pic:spPr bwMode="auto">
                                          <a:xfrm>
                                            <a:off x="0" y="0"/>
                                            <a:ext cx="447675" cy="161925"/>
                                          </a:xfrm>
                                          <a:prstGeom prst="rect">
                                            <a:avLst/>
                                          </a:prstGeom>
                                        </pic:spPr>
                                      </pic:pic>
                                    </a:graphicData>
                                  </a:graphic>
                                </wp:inline>
                              </w:drawing>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both"/>
        <w:rPr>
          <w:rFonts w:ascii="Arial;sans-serif" w:hAnsi="Arial;sans-serif"/>
          <w:b w:val="false"/>
          <w:color w:val="000000"/>
          <w:sz w:val="18"/>
          <w:shd w:fill="E5E5E5" w:val="clear"/>
        </w:rPr>
      </w:pPr>
      <w:r>
        <w:rPr>
          <w:rFonts w:ascii="Arial;sans-serif" w:hAnsi="Arial;sans-serif"/>
          <w:b w:val="false"/>
          <w:color w:val="000000"/>
          <w:sz w:val="18"/>
          <w:shd w:fill="E5E5E5" w:val="clear"/>
        </w:rPr>
        <w:t>A list of stockholders entitled to vote at the meeting will be available for examination at our principal executive offices located at 6325 Ardrey Kell Rd, Suite 400, Charlotte, North Carolina 28277, for a period of at least ten days prior to the Annual Meeting. The stock register will not be closed between the record date and the date of the meeting.</w:t>
      </w:r>
    </w:p>
    <w:p>
      <w:pPr>
        <w:pStyle w:val="TextBody"/>
        <w:bidi w:val="0"/>
        <w:spacing w:lineRule="auto" w:line="288" w:before="240" w:after="283"/>
        <w:jc w:val="left"/>
        <w:rPr>
          <w:rFonts w:ascii="Arial;sans-serif" w:hAnsi="Arial;sans-serif"/>
          <w:b/>
          <w:color w:val="000000"/>
          <w:sz w:val="32"/>
          <w:shd w:fill="E5E5E5" w:val="clear"/>
        </w:rPr>
      </w:pPr>
      <w:r>
        <w:rPr>
          <w:rFonts w:ascii="Arial;sans-serif" w:hAnsi="Arial;sans-serif"/>
          <w:b/>
          <w:color w:val="000000"/>
          <w:sz w:val="32"/>
          <w:shd w:fill="E5E5E5" w:val="clear"/>
        </w:rPr>
        <w:t xml:space="preserve">How to Vote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423"/>
        <w:gridCol w:w="352"/>
        <w:gridCol w:w="326"/>
        <w:gridCol w:w="1298"/>
        <w:gridCol w:w="1214"/>
        <w:gridCol w:w="1208"/>
        <w:gridCol w:w="925"/>
        <w:gridCol w:w="925"/>
        <w:gridCol w:w="931"/>
        <w:gridCol w:w="821"/>
        <w:gridCol w:w="786"/>
        <w:gridCol w:w="996"/>
      </w:tblGrid>
      <w:tr>
        <w:trPr/>
        <w:tc>
          <w:tcPr>
            <w:tcW w:w="423"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298" w:type="dxa"/>
            <w:tcBorders/>
            <w:vAlign w:val="center"/>
          </w:tcPr>
          <w:p>
            <w:pPr>
              <w:pStyle w:val="TableContents"/>
              <w:bidi w:val="0"/>
              <w:spacing w:before="0" w:after="283"/>
              <w:jc w:val="left"/>
              <w:rPr>
                <w:sz w:val="4"/>
                <w:szCs w:val="4"/>
              </w:rPr>
            </w:pPr>
            <w:r>
              <w:rPr>
                <w:sz w:val="4"/>
                <w:szCs w:val="4"/>
              </w:rPr>
            </w:r>
          </w:p>
        </w:tc>
        <w:tc>
          <w:tcPr>
            <w:tcW w:w="1214" w:type="dxa"/>
            <w:tcBorders/>
            <w:vAlign w:val="center"/>
          </w:tcPr>
          <w:p>
            <w:pPr>
              <w:pStyle w:val="TableContents"/>
              <w:bidi w:val="0"/>
              <w:spacing w:before="0" w:after="283"/>
              <w:jc w:val="left"/>
              <w:rPr>
                <w:sz w:val="4"/>
                <w:szCs w:val="4"/>
              </w:rPr>
            </w:pPr>
            <w:r>
              <w:rPr>
                <w:sz w:val="4"/>
                <w:szCs w:val="4"/>
              </w:rPr>
            </w:r>
          </w:p>
        </w:tc>
        <w:tc>
          <w:tcPr>
            <w:tcW w:w="1208"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r>
      <w:tr>
        <w:trPr/>
        <w:tc>
          <w:tcPr>
            <w:tcW w:w="4821" w:type="dxa"/>
            <w:gridSpan w:val="6"/>
            <w:tcBorders>
              <w:top w:val="single" w:sz="4" w:space="0" w:color="000000"/>
              <w:left w:val="single" w:sz="4" w:space="0" w:color="000000"/>
            </w:tcBorders>
            <w:shd w:fill="004C97" w:val="clear"/>
            <w:tcMar>
              <w:top w:w="30" w:type="dxa"/>
              <w:bottom w:w="0" w:type="dxa"/>
              <w:right w:w="0" w:type="dxa"/>
            </w:tcMar>
            <w:vAlign w:val="center"/>
          </w:tcPr>
          <w:p>
            <w:pPr>
              <w:pStyle w:val="TableContents"/>
              <w:bidi w:val="0"/>
              <w:spacing w:lineRule="auto" w:line="288" w:before="0" w:after="0"/>
              <w:jc w:val="center"/>
              <w:rPr>
                <w:rFonts w:ascii="Arial;sans-serif" w:hAnsi="Arial;sans-serif"/>
                <w:b/>
                <w:color w:val="FFFFFF"/>
                <w:sz w:val="20"/>
              </w:rPr>
            </w:pPr>
            <w:r>
              <w:rPr>
                <w:rFonts w:ascii="Arial;sans-serif" w:hAnsi="Arial;sans-serif"/>
                <w:b/>
                <w:color w:val="FFFFFF"/>
                <w:sz w:val="20"/>
              </w:rPr>
              <w:t>How to Vote</w:t>
            </w:r>
          </w:p>
        </w:tc>
        <w:tc>
          <w:tcPr>
            <w:tcW w:w="2781" w:type="dxa"/>
            <w:gridSpan w:val="3"/>
            <w:tcBorders>
              <w:top w:val="single" w:sz="4" w:space="0" w:color="000000"/>
              <w:left w:val="single" w:sz="4" w:space="0" w:color="000000"/>
            </w:tcBorders>
            <w:shd w:fill="004C97" w:val="clear"/>
            <w:tcMar>
              <w:top w:w="30" w:type="dxa"/>
              <w:bottom w:w="0" w:type="dxa"/>
              <w:right w:w="0" w:type="dxa"/>
            </w:tcMar>
            <w:vAlign w:val="center"/>
          </w:tcPr>
          <w:p>
            <w:pPr>
              <w:pStyle w:val="TableContents"/>
              <w:bidi w:val="0"/>
              <w:spacing w:lineRule="auto" w:line="288" w:before="0" w:after="0"/>
              <w:jc w:val="center"/>
              <w:rPr>
                <w:rFonts w:ascii="Arial;sans-serif" w:hAnsi="Arial;sans-serif"/>
                <w:b/>
                <w:color w:val="FFFFFF"/>
                <w:sz w:val="20"/>
              </w:rPr>
            </w:pPr>
            <w:r>
              <w:rPr>
                <w:rFonts w:ascii="Arial;sans-serif" w:hAnsi="Arial;sans-serif"/>
                <w:b/>
                <w:color w:val="FFFFFF"/>
                <w:sz w:val="20"/>
              </w:rPr>
              <w:t>Stockholders of</w:t>
            </w:r>
          </w:p>
          <w:p>
            <w:pPr>
              <w:pStyle w:val="TableContents"/>
              <w:bidi w:val="0"/>
              <w:spacing w:lineRule="auto" w:line="288" w:before="0" w:after="0"/>
              <w:jc w:val="center"/>
              <w:rPr>
                <w:rFonts w:ascii="Arial;sans-serif" w:hAnsi="Arial;sans-serif"/>
                <w:b/>
                <w:color w:val="FFFFFF"/>
                <w:sz w:val="20"/>
              </w:rPr>
            </w:pPr>
            <w:r>
              <w:rPr>
                <w:rFonts w:ascii="Arial;sans-serif" w:hAnsi="Arial;sans-serif"/>
                <w:b/>
                <w:color w:val="FFFFFF"/>
                <w:sz w:val="20"/>
              </w:rPr>
              <w:t>Record*</w:t>
            </w:r>
          </w:p>
        </w:tc>
        <w:tc>
          <w:tcPr>
            <w:tcW w:w="2603" w:type="dxa"/>
            <w:gridSpan w:val="3"/>
            <w:tcBorders>
              <w:top w:val="single" w:sz="4" w:space="0" w:color="000000"/>
              <w:left w:val="single" w:sz="4" w:space="0" w:color="000000"/>
              <w:right w:val="single" w:sz="4" w:space="0" w:color="000000"/>
            </w:tcBorders>
            <w:shd w:fill="004C97" w:val="clear"/>
            <w:tcMar>
              <w:top w:w="30" w:type="dxa"/>
              <w:bottom w:w="0" w:type="dxa"/>
            </w:tcMar>
            <w:vAlign w:val="center"/>
          </w:tcPr>
          <w:p>
            <w:pPr>
              <w:pStyle w:val="TableContents"/>
              <w:bidi w:val="0"/>
              <w:spacing w:lineRule="auto" w:line="288" w:before="0" w:after="0"/>
              <w:jc w:val="center"/>
              <w:rPr>
                <w:rFonts w:ascii="Arial;sans-serif" w:hAnsi="Arial;sans-serif"/>
                <w:b/>
                <w:color w:val="FFFFFF"/>
                <w:sz w:val="20"/>
              </w:rPr>
            </w:pPr>
            <w:r>
              <w:rPr>
                <w:rFonts w:ascii="Arial;sans-serif" w:hAnsi="Arial;sans-serif"/>
                <w:b/>
                <w:color w:val="FFFFFF"/>
                <w:sz w:val="20"/>
              </w:rPr>
              <w:t>Street Name</w:t>
            </w:r>
          </w:p>
          <w:p>
            <w:pPr>
              <w:pStyle w:val="TableContents"/>
              <w:bidi w:val="0"/>
              <w:spacing w:lineRule="auto" w:line="288" w:before="0" w:after="0"/>
              <w:jc w:val="center"/>
              <w:rPr>
                <w:rFonts w:ascii="Arial;sans-serif" w:hAnsi="Arial;sans-serif"/>
                <w:b/>
                <w:color w:val="FFFFFF"/>
                <w:sz w:val="20"/>
              </w:rPr>
            </w:pPr>
            <w:r>
              <w:rPr>
                <w:rFonts w:ascii="Arial;sans-serif" w:hAnsi="Arial;sans-serif"/>
                <w:b/>
                <w:color w:val="FFFFFF"/>
                <w:sz w:val="20"/>
              </w:rPr>
              <w:t>Holders†</w:t>
            </w:r>
          </w:p>
        </w:tc>
      </w:tr>
      <w:tr>
        <w:trPr/>
        <w:tc>
          <w:tcPr>
            <w:tcW w:w="1101"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before="0" w:after="0"/>
              <w:jc w:val="center"/>
              <w:rPr/>
            </w:pPr>
            <w:r>
              <w:rPr/>
              <w:drawing>
                <wp:inline distT="0" distB="0" distL="0" distR="0">
                  <wp:extent cx="266700" cy="428625"/>
                  <wp:effectExtent l="0" t="0" r="0" b="0"/>
                  <wp:docPr id="1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9" descr=""/>
                          <pic:cNvPicPr>
                            <a:picLocks noChangeAspect="1" noChangeArrowheads="1"/>
                          </pic:cNvPicPr>
                        </pic:nvPicPr>
                        <pic:blipFill>
                          <a:blip r:embed="rId12"/>
                          <a:stretch>
                            <a:fillRect/>
                          </a:stretch>
                        </pic:blipFill>
                        <pic:spPr bwMode="auto">
                          <a:xfrm>
                            <a:off x="0" y="0"/>
                            <a:ext cx="266700" cy="428625"/>
                          </a:xfrm>
                          <a:prstGeom prst="rect">
                            <a:avLst/>
                          </a:prstGeom>
                        </pic:spPr>
                      </pic:pic>
                    </a:graphicData>
                  </a:graphic>
                </wp:inline>
              </w:drawing>
            </w:r>
          </w:p>
          <w:p>
            <w:pPr>
              <w:pStyle w:val="TableContents"/>
              <w:bidi w:val="0"/>
              <w:spacing w:lineRule="auto" w:line="240" w:before="0" w:after="0"/>
              <w:jc w:val="center"/>
              <w:rPr>
                <w:rFonts w:ascii="Arial;sans-serif" w:hAnsi="Arial;sans-serif"/>
                <w:b/>
                <w:color w:val="004C97"/>
                <w:sz w:val="14"/>
              </w:rPr>
            </w:pPr>
            <w:r>
              <w:rPr>
                <w:rFonts w:ascii="Arial;sans-serif" w:hAnsi="Arial;sans-serif"/>
                <w:b/>
                <w:color w:val="004C97"/>
                <w:sz w:val="14"/>
              </w:rPr>
              <w:t>MOBILE DEVICE</w:t>
            </w:r>
          </w:p>
        </w:tc>
        <w:tc>
          <w:tcPr>
            <w:tcW w:w="3720"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Scan the QR Code to vote using your mobile device:</w:t>
            </w:r>
          </w:p>
        </w:tc>
        <w:tc>
          <w:tcPr>
            <w:tcW w:w="2781"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0"/>
              <w:jc w:val="center"/>
              <w:rPr/>
            </w:pPr>
            <w:r>
              <w:rPr/>
              <w:drawing>
                <wp:inline distT="0" distB="0" distL="0" distR="0">
                  <wp:extent cx="419100" cy="419100"/>
                  <wp:effectExtent l="0" t="0" r="0" b="0"/>
                  <wp:docPr id="2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0" descr=""/>
                          <pic:cNvPicPr>
                            <a:picLocks noChangeAspect="1" noChangeArrowheads="1"/>
                          </pic:cNvPicPr>
                        </pic:nvPicPr>
                        <pic:blipFill>
                          <a:blip r:embed="rId13"/>
                          <a:stretch>
                            <a:fillRect/>
                          </a:stretch>
                        </pic:blipFill>
                        <pic:spPr bwMode="auto">
                          <a:xfrm>
                            <a:off x="0" y="0"/>
                            <a:ext cx="419100" cy="419100"/>
                          </a:xfrm>
                          <a:prstGeom prst="rect">
                            <a:avLst/>
                          </a:prstGeom>
                        </pic:spPr>
                      </pic:pic>
                    </a:graphicData>
                  </a:graphic>
                </wp:inline>
              </w:drawing>
            </w:r>
          </w:p>
        </w:tc>
        <w:tc>
          <w:tcPr>
            <w:tcW w:w="2603" w:type="dxa"/>
            <w:gridSpan w:val="3"/>
            <w:tcBorders>
              <w:top w:val="single" w:sz="4" w:space="0" w:color="000000"/>
              <w:left w:val="single" w:sz="4" w:space="0" w:color="000000"/>
              <w:right w:val="single" w:sz="4" w:space="0" w:color="000000"/>
            </w:tcBorders>
            <w:shd w:fill="FFFFFF" w:val="clear"/>
            <w:tcMar>
              <w:top w:w="30" w:type="dxa"/>
              <w:bottom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Refer to voting instruction form.</w:t>
            </w:r>
          </w:p>
        </w:tc>
      </w:tr>
      <w:tr>
        <w:trPr/>
        <w:tc>
          <w:tcPr>
            <w:tcW w:w="1101"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before="0" w:after="0"/>
              <w:jc w:val="center"/>
              <w:rPr/>
            </w:pPr>
            <w:r>
              <w:rPr/>
              <w:drawing>
                <wp:inline distT="0" distB="0" distL="0" distR="0">
                  <wp:extent cx="409575" cy="323850"/>
                  <wp:effectExtent l="0" t="0" r="0" b="0"/>
                  <wp:docPr id="2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11" descr=""/>
                          <pic:cNvPicPr>
                            <a:picLocks noChangeAspect="1" noChangeArrowheads="1"/>
                          </pic:cNvPicPr>
                        </pic:nvPicPr>
                        <pic:blipFill>
                          <a:blip r:embed="rId14"/>
                          <a:stretch>
                            <a:fillRect/>
                          </a:stretch>
                        </pic:blipFill>
                        <pic:spPr bwMode="auto">
                          <a:xfrm>
                            <a:off x="0" y="0"/>
                            <a:ext cx="409575" cy="323850"/>
                          </a:xfrm>
                          <a:prstGeom prst="rect">
                            <a:avLst/>
                          </a:prstGeom>
                        </pic:spPr>
                      </pic:pic>
                    </a:graphicData>
                  </a:graphic>
                </wp:inline>
              </w:drawing>
            </w:r>
          </w:p>
          <w:p>
            <w:pPr>
              <w:pStyle w:val="TableContents"/>
              <w:bidi w:val="0"/>
              <w:spacing w:lineRule="auto" w:line="240" w:before="0" w:after="0"/>
              <w:jc w:val="center"/>
              <w:rPr>
                <w:rFonts w:ascii="Arial;sans-serif" w:hAnsi="Arial;sans-serif"/>
                <w:b/>
                <w:color w:val="004C97"/>
                <w:sz w:val="14"/>
              </w:rPr>
            </w:pPr>
            <w:r>
              <w:rPr>
                <w:rFonts w:ascii="Arial;sans-serif" w:hAnsi="Arial;sans-serif"/>
                <w:b/>
                <w:color w:val="004C97"/>
                <w:sz w:val="14"/>
              </w:rPr>
              <w:t>INTERNET</w:t>
            </w:r>
          </w:p>
        </w:tc>
        <w:tc>
          <w:tcPr>
            <w:tcW w:w="3720"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Visit the applicable voting website:</w:t>
            </w:r>
          </w:p>
        </w:tc>
        <w:tc>
          <w:tcPr>
            <w:tcW w:w="2781"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www.envisionreports.com/ SPXC</w:t>
            </w:r>
          </w:p>
        </w:tc>
        <w:tc>
          <w:tcPr>
            <w:tcW w:w="2603" w:type="dxa"/>
            <w:gridSpan w:val="3"/>
            <w:tcBorders>
              <w:top w:val="single" w:sz="4" w:space="0" w:color="000000"/>
              <w:left w:val="single" w:sz="4" w:space="0" w:color="000000"/>
              <w:right w:val="single" w:sz="4" w:space="0" w:color="000000"/>
            </w:tcBorders>
            <w:shd w:fill="FFFFFF" w:val="clear"/>
            <w:tcMar>
              <w:top w:w="30" w:type="dxa"/>
              <w:bottom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www.proxyvote.com</w:t>
            </w:r>
          </w:p>
        </w:tc>
      </w:tr>
      <w:tr>
        <w:trPr/>
        <w:tc>
          <w:tcPr>
            <w:tcW w:w="1101"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before="0" w:after="0"/>
              <w:jc w:val="center"/>
              <w:rPr/>
            </w:pPr>
            <w:r>
              <w:rPr/>
              <w:drawing>
                <wp:inline distT="0" distB="0" distL="0" distR="0">
                  <wp:extent cx="323850" cy="323850"/>
                  <wp:effectExtent l="0" t="0" r="0" b="0"/>
                  <wp:docPr id="2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2" descr=""/>
                          <pic:cNvPicPr>
                            <a:picLocks noChangeAspect="1" noChangeArrowheads="1"/>
                          </pic:cNvPicPr>
                        </pic:nvPicPr>
                        <pic:blipFill>
                          <a:blip r:embed="rId15"/>
                          <a:stretch>
                            <a:fillRect/>
                          </a:stretch>
                        </pic:blipFill>
                        <pic:spPr bwMode="auto">
                          <a:xfrm>
                            <a:off x="0" y="0"/>
                            <a:ext cx="323850" cy="323850"/>
                          </a:xfrm>
                          <a:prstGeom prst="rect">
                            <a:avLst/>
                          </a:prstGeom>
                        </pic:spPr>
                      </pic:pic>
                    </a:graphicData>
                  </a:graphic>
                </wp:inline>
              </w:drawing>
            </w:r>
          </w:p>
          <w:p>
            <w:pPr>
              <w:pStyle w:val="TableContents"/>
              <w:bidi w:val="0"/>
              <w:spacing w:lineRule="auto" w:line="240" w:before="0" w:after="0"/>
              <w:jc w:val="center"/>
              <w:rPr>
                <w:rFonts w:ascii="Arial;sans-serif" w:hAnsi="Arial;sans-serif"/>
                <w:b/>
                <w:color w:val="004C97"/>
                <w:sz w:val="14"/>
              </w:rPr>
            </w:pPr>
            <w:r>
              <w:rPr>
                <w:rFonts w:ascii="Arial;sans-serif" w:hAnsi="Arial;sans-serif"/>
                <w:b/>
                <w:color w:val="004C97"/>
                <w:sz w:val="14"/>
              </w:rPr>
              <w:t>TELEPHONE</w:t>
            </w:r>
          </w:p>
        </w:tc>
        <w:tc>
          <w:tcPr>
            <w:tcW w:w="3720"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Within the United States, U.S. Territories, and</w:t>
            </w:r>
          </w:p>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Canada, on touch-tone telephone, call toll free:</w:t>
            </w:r>
          </w:p>
        </w:tc>
        <w:tc>
          <w:tcPr>
            <w:tcW w:w="2781" w:type="dxa"/>
            <w:gridSpan w:val="3"/>
            <w:tcBorders>
              <w:top w:val="single" w:sz="4" w:space="0" w:color="000000"/>
              <w:left w:val="single" w:sz="4" w:space="0" w:color="000000"/>
              <w:bottom w:val="single" w:sz="4" w:space="0" w:color="000000"/>
            </w:tcBorders>
            <w:shd w:fill="FFFFFF" w:val="clear"/>
            <w:tcMar>
              <w:top w:w="30" w:type="dxa"/>
              <w:bottom w:w="30" w:type="dxa"/>
              <w:right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1-800-652-VOTE (8683)</w:t>
            </w:r>
          </w:p>
        </w:tc>
        <w:tc>
          <w:tcPr>
            <w:tcW w:w="2603" w:type="dxa"/>
            <w:gridSpan w:val="3"/>
            <w:tcBorders>
              <w:top w:val="single" w:sz="4" w:space="0" w:color="000000"/>
              <w:left w:val="single" w:sz="4" w:space="0" w:color="000000"/>
              <w:bottom w:val="single" w:sz="4" w:space="0" w:color="000000"/>
              <w:right w:val="single" w:sz="4" w:space="0" w:color="000000"/>
            </w:tcBorders>
            <w:shd w:fill="FFFFFF" w:val="clear"/>
            <w:tcMar>
              <w:top w:w="30" w:type="dxa"/>
              <w:bottom w:w="3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Refer to voting instruction form.</w:t>
            </w:r>
          </w:p>
        </w:tc>
      </w:tr>
      <w:tr>
        <w:trPr/>
        <w:tc>
          <w:tcPr>
            <w:tcW w:w="1101"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before="0" w:after="0"/>
              <w:jc w:val="center"/>
              <w:rPr/>
            </w:pPr>
            <w:r>
              <w:rPr/>
              <w:drawing>
                <wp:inline distT="0" distB="0" distL="0" distR="0">
                  <wp:extent cx="409575" cy="266700"/>
                  <wp:effectExtent l="0" t="0" r="0" b="0"/>
                  <wp:docPr id="2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13" descr=""/>
                          <pic:cNvPicPr>
                            <a:picLocks noChangeAspect="1" noChangeArrowheads="1"/>
                          </pic:cNvPicPr>
                        </pic:nvPicPr>
                        <pic:blipFill>
                          <a:blip r:embed="rId16"/>
                          <a:stretch>
                            <a:fillRect/>
                          </a:stretch>
                        </pic:blipFill>
                        <pic:spPr bwMode="auto">
                          <a:xfrm>
                            <a:off x="0" y="0"/>
                            <a:ext cx="409575" cy="266700"/>
                          </a:xfrm>
                          <a:prstGeom prst="rect">
                            <a:avLst/>
                          </a:prstGeom>
                        </pic:spPr>
                      </pic:pic>
                    </a:graphicData>
                  </a:graphic>
                </wp:inline>
              </w:drawing>
            </w:r>
          </w:p>
          <w:p>
            <w:pPr>
              <w:pStyle w:val="TableContents"/>
              <w:bidi w:val="0"/>
              <w:spacing w:lineRule="auto" w:line="240" w:before="0" w:after="0"/>
              <w:jc w:val="center"/>
              <w:rPr>
                <w:rFonts w:ascii="Arial;sans-serif" w:hAnsi="Arial;sans-serif"/>
                <w:b/>
                <w:color w:val="004C97"/>
                <w:sz w:val="14"/>
              </w:rPr>
            </w:pPr>
            <w:r>
              <w:rPr>
                <w:rFonts w:ascii="Arial;sans-serif" w:hAnsi="Arial;sans-serif"/>
                <w:b/>
                <w:color w:val="004C97"/>
                <w:sz w:val="14"/>
              </w:rPr>
              <w:t>MAIL</w:t>
            </w:r>
          </w:p>
        </w:tc>
        <w:tc>
          <w:tcPr>
            <w:tcW w:w="9104" w:type="dxa"/>
            <w:gridSpan w:val="9"/>
            <w:tcBorders>
              <w:top w:val="single" w:sz="4" w:space="0" w:color="000000"/>
              <w:left w:val="single" w:sz="4" w:space="0" w:color="000000"/>
              <w:bottom w:val="single" w:sz="4" w:space="0" w:color="000000"/>
              <w:right w:val="single" w:sz="4" w:space="0" w:color="000000"/>
            </w:tcBorders>
            <w:shd w:fill="FFFFFF" w:val="clear"/>
            <w:tcMar>
              <w:top w:w="30" w:type="dxa"/>
              <w:bottom w:w="3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Complete, sign, and mail your proxy card or voting instruction form in the self-addressed envelope provided for receipt no later than May 13, 2024.</w:t>
            </w:r>
          </w:p>
        </w:tc>
      </w:tr>
      <w:tr>
        <w:trPr/>
        <w:tc>
          <w:tcPr>
            <w:tcW w:w="1101" w:type="dxa"/>
            <w:gridSpan w:val="3"/>
            <w:tcBorders>
              <w:top w:val="single" w:sz="4" w:space="0" w:color="000000"/>
              <w:left w:val="single" w:sz="4" w:space="0" w:color="000000"/>
              <w:bottom w:val="single" w:sz="4" w:space="0" w:color="000000"/>
            </w:tcBorders>
            <w:shd w:fill="FFFFFF" w:val="clear"/>
            <w:tcMar>
              <w:top w:w="30" w:type="dxa"/>
              <w:bottom w:w="30" w:type="dxa"/>
              <w:right w:w="0" w:type="dxa"/>
            </w:tcMar>
            <w:vAlign w:val="center"/>
          </w:tcPr>
          <w:p>
            <w:pPr>
              <w:pStyle w:val="TableContents"/>
              <w:bidi w:val="0"/>
              <w:spacing w:before="0" w:after="0"/>
              <w:jc w:val="center"/>
              <w:rPr/>
            </w:pPr>
            <w:r>
              <w:rPr/>
              <w:drawing>
                <wp:inline distT="0" distB="0" distL="0" distR="0">
                  <wp:extent cx="266700" cy="352425"/>
                  <wp:effectExtent l="0" t="0" r="0" b="0"/>
                  <wp:docPr id="2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14" descr=""/>
                          <pic:cNvPicPr>
                            <a:picLocks noChangeAspect="1" noChangeArrowheads="1"/>
                          </pic:cNvPicPr>
                        </pic:nvPicPr>
                        <pic:blipFill>
                          <a:blip r:embed="rId17"/>
                          <a:stretch>
                            <a:fillRect/>
                          </a:stretch>
                        </pic:blipFill>
                        <pic:spPr bwMode="auto">
                          <a:xfrm>
                            <a:off x="0" y="0"/>
                            <a:ext cx="266700" cy="352425"/>
                          </a:xfrm>
                          <a:prstGeom prst="rect">
                            <a:avLst/>
                          </a:prstGeom>
                        </pic:spPr>
                      </pic:pic>
                    </a:graphicData>
                  </a:graphic>
                </wp:inline>
              </w:drawing>
            </w:r>
          </w:p>
          <w:p>
            <w:pPr>
              <w:pStyle w:val="TableContents"/>
              <w:bidi w:val="0"/>
              <w:spacing w:lineRule="auto" w:line="240" w:before="0" w:after="0"/>
              <w:jc w:val="center"/>
              <w:rPr>
                <w:rFonts w:ascii="Arial;sans-serif" w:hAnsi="Arial;sans-serif"/>
                <w:b/>
                <w:color w:val="004C97"/>
                <w:sz w:val="14"/>
              </w:rPr>
            </w:pPr>
            <w:r>
              <w:rPr>
                <w:rFonts w:ascii="Arial;sans-serif" w:hAnsi="Arial;sans-serif"/>
                <w:b/>
                <w:color w:val="004C97"/>
                <w:sz w:val="14"/>
              </w:rPr>
              <w:t>MEETING</w:t>
            </w:r>
          </w:p>
        </w:tc>
        <w:tc>
          <w:tcPr>
            <w:tcW w:w="9104" w:type="dxa"/>
            <w:gridSpan w:val="9"/>
            <w:tcBorders>
              <w:top w:val="single" w:sz="4" w:space="0" w:color="000000"/>
              <w:left w:val="single" w:sz="4" w:space="0" w:color="000000"/>
              <w:bottom w:val="single" w:sz="4" w:space="0" w:color="000000"/>
              <w:right w:val="single" w:sz="4" w:space="0" w:color="000000"/>
            </w:tcBorders>
            <w:shd w:fill="FFFFFF" w:val="clear"/>
            <w:tcMar>
              <w:top w:w="30" w:type="dxa"/>
              <w:bottom w:w="3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For instructions on attending and voting during the Annual Meeting virtually on the internet, please see below and page 69.</w:t>
            </w:r>
          </w:p>
        </w:tc>
      </w:tr>
    </w:tbl>
    <w:p>
      <w:pPr>
        <w:pStyle w:val="TextBody"/>
        <w:bidi w:val="0"/>
        <w:spacing w:lineRule="auto" w:line="288" w:before="0" w:after="0"/>
        <w:jc w:val="both"/>
        <w:rPr>
          <w:rFonts w:ascii="Arial;sans-serif" w:hAnsi="Arial;sans-serif"/>
          <w:b w:val="false"/>
          <w:color w:val="000000"/>
          <w:sz w:val="14"/>
          <w:shd w:fill="E5E5E5" w:val="clear"/>
        </w:rPr>
      </w:pPr>
      <w:r>
        <w:rPr>
          <w:rFonts w:ascii="Arial;sans-serif" w:hAnsi="Arial;sans-serif"/>
          <w:b w:val="false"/>
          <w:color w:val="000000"/>
          <w:sz w:val="14"/>
          <w:shd w:fill="E5E5E5" w:val="clear"/>
        </w:rPr>
        <w:t>* You hold shares registered in your name with SPX’s transfer agent, Computershare, or you are an Employee Benefit Plan Participant.</w:t>
      </w:r>
    </w:p>
    <w:p>
      <w:pPr>
        <w:pStyle w:val="TextBody"/>
        <w:bidi w:val="0"/>
        <w:spacing w:lineRule="auto" w:line="288" w:before="0" w:after="180"/>
        <w:jc w:val="both"/>
        <w:rPr>
          <w:color w:val="000000"/>
          <w:shd w:fill="E5E5E5" w:val="clear"/>
        </w:rPr>
      </w:pPr>
      <w:r>
        <w:rPr>
          <w:color w:val="000000"/>
          <w:shd w:fill="E5E5E5" w:val="clear"/>
        </w:rPr>
        <w:t xml:space="preserve">† </w:t>
      </w:r>
      <w:r>
        <w:rPr>
          <w:rFonts w:ascii="Arial;sans-serif" w:hAnsi="Arial;sans-serif"/>
          <w:b w:val="false"/>
          <w:color w:val="000000"/>
          <w:sz w:val="14"/>
          <w:shd w:fill="E5E5E5" w:val="clear"/>
        </w:rPr>
        <w:t>You hold shares held through a broker, bank, trustee, or other holder of record.</w:t>
      </w:r>
    </w:p>
    <w:p>
      <w:pPr>
        <w:pStyle w:val="TextBody"/>
        <w:bidi w:val="0"/>
        <w:spacing w:lineRule="auto" w:line="288" w:before="0" w:after="240"/>
        <w:jc w:val="both"/>
        <w:rPr>
          <w:rFonts w:ascii="Arial;sans-serif" w:hAnsi="Arial;sans-serif"/>
          <w:b/>
          <w:color w:val="000000"/>
          <w:sz w:val="18"/>
          <w:shd w:fill="E5E5E5" w:val="clear"/>
        </w:rPr>
      </w:pPr>
      <w:r>
        <w:rPr>
          <w:rFonts w:ascii="Arial;sans-serif" w:hAnsi="Arial;sans-serif"/>
          <w:b/>
          <w:color w:val="000000"/>
          <w:sz w:val="18"/>
          <w:shd w:fill="E5E5E5" w:val="clear"/>
        </w:rPr>
        <w:t>Your voting instructions must be received prior to the start of the meeting at 8:00 a.m., on May 14, 2024, if you are not voting at the meeting. Voting instructions submitted by participants in the KSOP Trust must be received by 9:00 a.m. (Eastern Time) on May 10, 2024.</w:t>
      </w:r>
    </w:p>
    <w:p>
      <w:pPr>
        <w:pStyle w:val="TextBody"/>
        <w:bidi w:val="0"/>
        <w:spacing w:lineRule="auto" w:line="288" w:before="240" w:after="283"/>
        <w:jc w:val="left"/>
        <w:rPr>
          <w:rFonts w:ascii="Arial;sans-serif" w:hAnsi="Arial;sans-serif"/>
          <w:b/>
          <w:color w:val="000000"/>
          <w:sz w:val="32"/>
          <w:shd w:fill="E5E5E5" w:val="clear"/>
        </w:rPr>
      </w:pPr>
      <w:r>
        <w:rPr>
          <w:rFonts w:ascii="Arial;sans-serif" w:hAnsi="Arial;sans-serif"/>
          <w:b/>
          <w:color w:val="000000"/>
          <w:sz w:val="32"/>
          <w:shd w:fill="E5E5E5" w:val="clear"/>
        </w:rPr>
        <w:t>Admission to Meeting</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Arial;sans-serif" w:hAnsi="Arial;sans-serif"/>
          <w:b w:val="false"/>
          <w:color w:val="000000"/>
          <w:sz w:val="18"/>
          <w:shd w:fill="E5E5E5" w:val="clear"/>
        </w:rPr>
      </w:pPr>
      <w:r>
        <w:rPr>
          <w:rFonts w:ascii="Arial;sans-serif" w:hAnsi="Arial;sans-serif"/>
          <w:b w:val="false"/>
          <w:color w:val="000000"/>
          <w:sz w:val="18"/>
          <w:shd w:fill="E5E5E5" w:val="clear"/>
        </w:rPr>
        <w:t>The Annual Meeting will be held solely as a virtual meeting live via the Internet. You will be able to attend the Annual Meeting via live webcast by visiting the Company’s virtual meeting website (meetnow.global/MKHVHJL) at the meeting time. Upon visiting the meeting website, you will be prompted to enter your 15-digit control number provided on your Notice of Internet Availability of Proxy Materials or proxy card you received with your proxy materials.</w:t>
      </w:r>
    </w:p>
    <w:p>
      <w:pPr>
        <w:pStyle w:val="TextBody"/>
        <w:bidi w:val="0"/>
        <w:spacing w:lineRule="auto" w:line="288" w:before="0" w:after="180"/>
        <w:jc w:val="both"/>
        <w:rPr>
          <w:shd w:fill="E5E5E5" w:val="clear"/>
        </w:rPr>
      </w:pPr>
      <w:r>
        <w:rPr>
          <w:rFonts w:ascii="Arial;sans-serif" w:hAnsi="Arial;sans-serif"/>
          <w:b w:val="false"/>
          <w:color w:val="000000"/>
          <w:sz w:val="18"/>
          <w:shd w:fill="E5E5E5" w:val="clear"/>
        </w:rPr>
        <w:t>If you hold your shares in street name, in order to join the virtual meeting as a stockholder and be able to vote and submit questions during the Annual Meeting, you will need to contact your broker, bank or other holder to receive proof of your beneficial ownership and submit such proof, along with your name and email information, to Computershare in advance of the Annual Meeting no later than 5:00 p.m.</w:t>
      </w:r>
      <w:r>
        <w:rPr>
          <w:color w:val="000000"/>
          <w:shd w:fill="E5E5E5" w:val="clear"/>
        </w:rPr>
        <w:t xml:space="preserve"> </w:t>
      </w:r>
      <w:r>
        <w:rPr>
          <w:rFonts w:ascii="Arial;sans-serif" w:hAnsi="Arial;sans-serif"/>
          <w:b w:val="false"/>
          <w:color w:val="000000"/>
          <w:sz w:val="18"/>
          <w:shd w:fill="E5E5E5" w:val="clear"/>
        </w:rPr>
        <w:t>(Eastern Time) on May 10, 2024, which may be submitted via email to legalproxy@computershare.com,</w:t>
      </w:r>
      <w:r>
        <w:rPr>
          <w:color w:val="000000"/>
          <w:shd w:fill="E5E5E5" w:val="clear"/>
        </w:rPr>
        <w:t xml:space="preserve"> </w:t>
      </w:r>
      <w:r>
        <w:rPr>
          <w:rFonts w:ascii="Arial;sans-serif" w:hAnsi="Arial;sans-serif"/>
          <w:b w:val="false"/>
          <w:color w:val="000000"/>
          <w:sz w:val="18"/>
          <w:shd w:fill="E5E5E5" w:val="clear"/>
        </w:rPr>
        <w:t>or via mail to Computershare, SPX Technologies, Inc. Legal Proxy, P.O. Box 43001, Providence, Rhode Island 02940-3001.</w:t>
      </w:r>
      <w:r>
        <w:rPr>
          <w:color w:val="000000"/>
          <w:shd w:fill="E5E5E5" w:val="clear"/>
        </w:rPr>
        <w:t xml:space="preserve"> </w:t>
      </w:r>
      <w:r>
        <w:rPr>
          <w:rFonts w:ascii="Arial;sans-serif" w:hAnsi="Arial;sans-serif"/>
          <w:b w:val="false"/>
          <w:color w:val="000000"/>
          <w:sz w:val="18"/>
          <w:shd w:fill="E5E5E5" w:val="clear"/>
        </w:rPr>
        <w:t>Upon receipt of such beneficial ownership proof, Computershare will then register you for attendance at the virtual meeting and provide you with registration information needed to join the meeting as a stockholder.</w:t>
      </w:r>
    </w:p>
    <w:p>
      <w:pPr>
        <w:pStyle w:val="TextBody"/>
        <w:bidi w:val="0"/>
        <w:spacing w:lineRule="auto" w:line="288" w:before="360" w:after="283"/>
        <w:jc w:val="both"/>
        <w:rPr>
          <w:rFonts w:ascii="Arial;sans-serif" w:hAnsi="Arial;sans-serif"/>
          <w:b/>
          <w:color w:val="000000"/>
          <w:sz w:val="32"/>
          <w:shd w:fill="E5E5E5" w:val="clear"/>
        </w:rPr>
      </w:pPr>
      <w:r>
        <w:rPr>
          <w:rFonts w:ascii="Arial;sans-serif" w:hAnsi="Arial;sans-serif"/>
          <w:b/>
          <w:color w:val="000000"/>
          <w:sz w:val="32"/>
          <w:shd w:fill="E5E5E5" w:val="clear"/>
        </w:rPr>
        <w:t>Additional Information</w:t>
      </w:r>
    </w:p>
    <w:p>
      <w:pPr>
        <w:pStyle w:val="TextBody"/>
        <w:bidi w:val="0"/>
        <w:spacing w:lineRule="auto" w:line="288" w:before="0" w:after="180"/>
        <w:jc w:val="both"/>
        <w:rPr>
          <w:rFonts w:ascii="Arial;sans-serif" w:hAnsi="Arial;sans-serif"/>
          <w:b w:val="false"/>
          <w:color w:val="000000"/>
          <w:sz w:val="18"/>
          <w:shd w:fill="E5E5E5" w:val="clear"/>
        </w:rPr>
      </w:pPr>
      <w:r>
        <w:rPr>
          <w:rFonts w:ascii="Arial;sans-serif" w:hAnsi="Arial;sans-serif"/>
          <w:b w:val="false"/>
          <w:color w:val="000000"/>
          <w:sz w:val="18"/>
          <w:shd w:fill="E5E5E5" w:val="clear"/>
        </w:rPr>
        <w:t>More detailed information about the Annual Meeting and voting can be found in “Questions and Answers” beginning on page 68.</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6480175" cy="739140"/>
                <wp:effectExtent l="0" t="0" r="0" b="0"/>
                <wp:wrapNone/>
                <wp:docPr id="25" name="Frame9"/>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292" w:type="dxa"/>
                              <w:jc w:val="right"/>
                              <w:tblInd w:w="0" w:type="dxa"/>
                              <w:tblLayout w:type="fixed"/>
                              <w:tblCellMar>
                                <w:top w:w="28" w:type="dxa"/>
                                <w:left w:w="28" w:type="dxa"/>
                                <w:bottom w:w="28" w:type="dxa"/>
                                <w:right w:w="28" w:type="dxa"/>
                              </w:tblCellMar>
                            </w:tblPr>
                            <w:tblGrid>
                              <w:gridCol w:w="292"/>
                              <w:gridCol w:w="256"/>
                              <w:gridCol w:w="258"/>
                              <w:gridCol w:w="704"/>
                              <w:gridCol w:w="704"/>
                              <w:gridCol w:w="706"/>
                              <w:gridCol w:w="109"/>
                              <w:gridCol w:w="109"/>
                              <w:gridCol w:w="154"/>
                            </w:tblGrid>
                            <w:tr>
                              <w:trPr/>
                              <w:tc>
                                <w:tcPr>
                                  <w:tcW w:w="29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0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26"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15" descr=""/>
                                                <pic:cNvPicPr>
                                                  <a:picLocks noChangeAspect="1" noChangeArrowheads="1"/>
                                                </pic:cNvPicPr>
                                              </pic:nvPicPr>
                                              <pic:blipFill>
                                                <a:blip r:embed="rId18"/>
                                                <a:stretch>
                                                  <a:fillRect/>
                                                </a:stretch>
                                              </pic:blipFill>
                                              <pic:spPr bwMode="auto">
                                                <a:xfrm>
                                                  <a:off x="0" y="0"/>
                                                  <a:ext cx="447675" cy="161925"/>
                                                </a:xfrm>
                                                <a:prstGeom prst="rect">
                                                  <a:avLst/>
                                                </a:prstGeom>
                                              </pic:spPr>
                                            </pic:pic>
                                          </a:graphicData>
                                        </a:graphic>
                                      </wp:inline>
                                    </w:drawing>
                                  </w:r>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2024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000000"/>
                                      <w:sz w:val="16"/>
                                    </w:rPr>
                                  </w:pPr>
                                  <w:r>
                                    <w:rPr>
                                      <w:rFonts w:ascii="Arial;sans-serif" w:hAnsi="Arial;sans-serif"/>
                                      <w:b/>
                                      <w:color w:val="000000"/>
                                      <w:sz w:val="16"/>
                                    </w:rPr>
                                    <w:t>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292" w:type="dxa"/>
                        <w:jc w:val="right"/>
                        <w:tblInd w:w="0" w:type="dxa"/>
                        <w:tblLayout w:type="fixed"/>
                        <w:tblCellMar>
                          <w:top w:w="28" w:type="dxa"/>
                          <w:left w:w="28" w:type="dxa"/>
                          <w:bottom w:w="28" w:type="dxa"/>
                          <w:right w:w="28" w:type="dxa"/>
                        </w:tblCellMar>
                      </w:tblPr>
                      <w:tblGrid>
                        <w:gridCol w:w="292"/>
                        <w:gridCol w:w="256"/>
                        <w:gridCol w:w="258"/>
                        <w:gridCol w:w="704"/>
                        <w:gridCol w:w="704"/>
                        <w:gridCol w:w="706"/>
                        <w:gridCol w:w="109"/>
                        <w:gridCol w:w="109"/>
                        <w:gridCol w:w="154"/>
                      </w:tblGrid>
                      <w:tr>
                        <w:trPr/>
                        <w:tc>
                          <w:tcPr>
                            <w:tcW w:w="29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0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27"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15" descr=""/>
                                          <pic:cNvPicPr>
                                            <a:picLocks noChangeAspect="1" noChangeArrowheads="1"/>
                                          </pic:cNvPicPr>
                                        </pic:nvPicPr>
                                        <pic:blipFill>
                                          <a:blip r:embed="rId19"/>
                                          <a:stretch>
                                            <a:fillRect/>
                                          </a:stretch>
                                        </pic:blipFill>
                                        <pic:spPr bwMode="auto">
                                          <a:xfrm>
                                            <a:off x="0" y="0"/>
                                            <a:ext cx="447675" cy="161925"/>
                                          </a:xfrm>
                                          <a:prstGeom prst="rect">
                                            <a:avLst/>
                                          </a:prstGeom>
                                        </pic:spPr>
                                      </pic:pic>
                                    </a:graphicData>
                                  </a:graphic>
                                </wp:inline>
                              </w:drawing>
                            </w:r>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2024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000000"/>
                                <w:sz w:val="16"/>
                              </w:rPr>
                            </w:pPr>
                            <w:r>
                              <w:rPr>
                                <w:rFonts w:ascii="Arial;sans-serif" w:hAnsi="Arial;sans-serif"/>
                                <w:b/>
                                <w:color w:val="000000"/>
                                <w:sz w:val="16"/>
                              </w:rPr>
                              <w:t>3</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312" w:before="0" w:after="180"/>
        <w:jc w:val="left"/>
        <w:rPr>
          <w:rFonts w:ascii="Arial;sans-serif" w:hAnsi="Arial;sans-serif"/>
          <w:b/>
          <w:color w:val="004C97"/>
          <w:sz w:val="42"/>
        </w:rPr>
      </w:pPr>
      <w:r>
        <w:rPr>
          <w:rFonts w:ascii="Arial;sans-serif" w:hAnsi="Arial;sans-serif"/>
          <w:b/>
          <w:color w:val="004C97"/>
          <w:sz w:val="42"/>
        </w:rPr>
        <w:t>CORPORATE GOVERNANCE</w:t>
      </w:r>
    </w:p>
    <w:p>
      <w:pPr>
        <w:pStyle w:val="TextBody"/>
        <w:bidi w:val="0"/>
        <w:spacing w:lineRule="auto" w:line="288" w:before="0" w:after="60"/>
        <w:jc w:val="left"/>
        <w:rPr>
          <w:rFonts w:ascii="Arial;sans-serif" w:hAnsi="Arial;sans-serif"/>
          <w:b/>
          <w:color w:val="000000"/>
          <w:sz w:val="22"/>
        </w:rPr>
      </w:pPr>
      <w:r>
        <w:rPr>
          <w:rFonts w:ascii="Arial;sans-serif" w:hAnsi="Arial;sans-serif"/>
          <w:b/>
          <w:color w:val="000000"/>
          <w:sz w:val="22"/>
        </w:rPr>
        <w:t>CODE OF ETHICS AND BUSINESS CONDUCT</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 xml:space="preserve">We have adopted a Code of Ethics and Business Conduct that applies to all our directors, officers, and employees, including our chief executive officer and senior financial and accounting officers. Our Code of Ethics and Business Conduct requires each director, officer, and employee to avoid conflicts of interest; comply with all laws and other legal requirements, conduct business in an honest and ethical manner, and otherwise act with integrity and in the best interest of our Company and our stockholders. In addition, our Code of Ethics and Business Conduct acknowledges special ethical obligations for financial reporting. </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 xml:space="preserve">We maintain a current copy of our Code of Ethics and Business Conduct, and we will promptly post any amendments to or waivers of our Code of Ethics and Business Conduct regarding our principal executive officer, principal financial officer, principal accounting officer or controller, or persons performing similar functions, on our website (www.spx.com) under the heading “Investor Relations—Corporate Governance—Commitment to Ethics and Compliance.” </w:t>
      </w:r>
    </w:p>
    <w:p>
      <w:pPr>
        <w:pStyle w:val="TextBody"/>
        <w:bidi w:val="0"/>
        <w:spacing w:lineRule="auto" w:line="288" w:before="0" w:after="60"/>
        <w:jc w:val="left"/>
        <w:rPr>
          <w:rFonts w:ascii="Arial;sans-serif" w:hAnsi="Arial;sans-serif"/>
          <w:b/>
          <w:color w:val="000000"/>
          <w:sz w:val="22"/>
        </w:rPr>
      </w:pPr>
      <w:r>
        <w:rPr>
          <w:rFonts w:ascii="Arial;sans-serif" w:hAnsi="Arial;sans-serif"/>
          <w:b/>
          <w:color w:val="000000"/>
          <w:sz w:val="22"/>
        </w:rPr>
        <w:t>CORPORATE GOVERNANCE GUIDELINES</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As part of its ongoing commitment to good corporate governance, the Board has codified its corporate governance practices into a set of Corporate Governance Guidelines. These guidelines are reviewed annually by the Governance &amp; Sustainability Committee and approved by the full Board to maintain the most up-to-date governance practices. These guidelines assist the Board in the exercise of its responsibilities and may be amended by the Board from time to time. Our Corporate Governance Guidelines are available on our website (www.spx.com) under the heading “Investor Relations—Corporate Governance.”</w:t>
      </w:r>
    </w:p>
    <w:p>
      <w:pPr>
        <w:pStyle w:val="TextBody"/>
        <w:bidi w:val="0"/>
        <w:spacing w:lineRule="auto" w:line="288" w:before="0" w:after="60"/>
        <w:jc w:val="left"/>
        <w:rPr>
          <w:rFonts w:ascii="Arial;sans-serif" w:hAnsi="Arial;sans-serif"/>
          <w:b/>
          <w:color w:val="000000"/>
          <w:sz w:val="22"/>
        </w:rPr>
      </w:pPr>
      <w:r>
        <w:rPr>
          <w:rFonts w:ascii="Arial;sans-serif" w:hAnsi="Arial;sans-serif"/>
          <w:b/>
          <w:color w:val="000000"/>
          <w:sz w:val="22"/>
        </w:rPr>
        <w:t>DIRECTOR INDEPENDENCE</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 xml:space="preserve">Our Corporate Governance Guidelines require that a substantial majority of the Board meet the independence requirements of the listing standards of the New York Stock Exchange (“NYSE”). At least annually, our Board reviews whether each of our directors is independent. The Board has adopted Independence Standards to help guide it in this process. Our Independence Standards are available on our website (www.spx.com) under the heading “Investor Relations—Corporate Governance.” Based on its most recent annual review, the Board has concluded that Patrick J. O’Leary, Ricky D. Puckett, David A. Roberts, Meenal A. Sethna, Ruth G. Shaw, Robert B. Toth, Tana L. Utley, and Angel Shelton Willis, are independent, as defined in our Independence Standards and the listing standards of the NYSE. The Board has concluded that Eugene J. Lowe, SPX’s President and Chief Executive Officer (“CEO”), is not independent as defined in our Independence Standards and the listing standards of the NYSE. </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The non-employee members of the Board meet regularly in executive session without management. In addition, the non-employee members of the Board meet in executive session on a regular basis with the CEO and such other management as the Board deems appropriate.</w:t>
      </w:r>
    </w:p>
    <w:p>
      <w:pPr>
        <w:pStyle w:val="TextBody"/>
        <w:bidi w:val="0"/>
        <w:spacing w:lineRule="auto" w:line="288" w:before="0" w:after="60"/>
        <w:jc w:val="left"/>
        <w:rPr>
          <w:rFonts w:ascii="Arial;sans-serif" w:hAnsi="Arial;sans-serif"/>
          <w:b/>
          <w:color w:val="000000"/>
          <w:sz w:val="22"/>
        </w:rPr>
      </w:pPr>
      <w:r>
        <w:rPr>
          <w:rFonts w:ascii="Arial;sans-serif" w:hAnsi="Arial;sans-serif"/>
          <w:b/>
          <w:color w:val="000000"/>
          <w:sz w:val="22"/>
        </w:rPr>
        <w:t>SUSTAINABILITY MATTERS</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 xml:space="preserve">In addition to our Corporate Governance Guidelines, we have implemented programs to incorporate sustainability practices both in the products we make and how we make them. In January 2023, SPX published its sustainability commitments, which reflect the important role of sustainability in our culture and our value creation journey. The Governance &amp; Sustainability Committee of the Board oversees the governance of SPX’s sustainability program. At the direction of the Board, the Company has formed a Sustainability Steering Committee, a management committee that provides periodic reports to the Governance &amp; Sustainability Committee on the Company’s sustainability initiatives and efforts. In September 2023, SPX published its Sixth Annual Sustainability Report with enhanced disclosures across multiple metrics and showed significant progress in meeting its Greenhouse Gas Reduction goals as well as a dramatic decrease in water usage. A copy of this Sustainability Report can be found on our website (www.spx.com), under the heading “Investor Relations—Sustainability.” </w:t>
      </w:r>
    </w:p>
    <w:p>
      <w:pPr>
        <w:pStyle w:val="TextBody"/>
        <w:bidi w:val="0"/>
        <w:spacing w:lineRule="auto" w:line="288" w:before="0" w:after="60"/>
        <w:jc w:val="left"/>
        <w:rPr>
          <w:rFonts w:ascii="Arial;sans-serif" w:hAnsi="Arial;sans-serif"/>
          <w:b/>
          <w:color w:val="000000"/>
          <w:sz w:val="22"/>
        </w:rPr>
      </w:pPr>
      <w:r>
        <w:rPr>
          <w:rFonts w:ascii="Arial;sans-serif" w:hAnsi="Arial;sans-serif"/>
          <w:b/>
          <w:color w:val="000000"/>
          <w:sz w:val="22"/>
        </w:rPr>
        <w:t>RISK OVERSIGHT</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The Board exercises overall risk governance at SPX, with committees taking the lead in discrete areas of risk oversight. For example, the Audit Committee is primarily responsible for risk oversight relating to financial statements and cybersecurity; the Compensation Committee is primarily responsible for risk oversight relating to executive compensation; and the Governance &amp; Sustainability Committee is primarily responsible for risk oversight relating to corporate governance, including with respect to sustainability matters. Committees report to the Board on risk management matters on a regular basis.</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 xml:space="preserve">Management presents to the Audit Committee its view of the principal risks facing SPX in a dedicated “enterprise risk management” presentation at least once a year. Matters such as risk tolerance and management of risk are also discussed at this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739140"/>
                <wp:effectExtent l="0" t="0" r="0" b="0"/>
                <wp:wrapNone/>
                <wp:docPr id="28" name="Frame10"/>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292" w:type="dxa"/>
                              <w:jc w:val="left"/>
                              <w:tblInd w:w="0" w:type="dxa"/>
                              <w:tblLayout w:type="fixed"/>
                              <w:tblCellMar>
                                <w:top w:w="28" w:type="dxa"/>
                                <w:left w:w="28" w:type="dxa"/>
                                <w:bottom w:w="28" w:type="dxa"/>
                                <w:right w:w="28" w:type="dxa"/>
                              </w:tblCellMar>
                            </w:tblPr>
                            <w:tblGrid>
                              <w:gridCol w:w="124"/>
                              <w:gridCol w:w="109"/>
                              <w:gridCol w:w="109"/>
                              <w:gridCol w:w="704"/>
                              <w:gridCol w:w="704"/>
                              <w:gridCol w:w="706"/>
                              <w:gridCol w:w="244"/>
                              <w:gridCol w:w="244"/>
                              <w:gridCol w:w="34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6"/>
                                    </w:rPr>
                                  </w:pPr>
                                  <w:r>
                                    <w:rPr>
                                      <w:rFonts w:ascii="Arial;sans-serif" w:hAnsi="Arial;sans-serif"/>
                                      <w:b/>
                                      <w:color w:val="000000"/>
                                      <w:sz w:val="16"/>
                                    </w:rPr>
                                    <w:t>4</w:t>
                                  </w:r>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2024 PROXY STATEMENT</w:t>
                                  </w:r>
                                </w:p>
                              </w:tc>
                              <w:tc>
                                <w:tcPr>
                                  <w:tcW w:w="83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29"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16" descr=""/>
                                                <pic:cNvPicPr>
                                                  <a:picLocks noChangeAspect="1" noChangeArrowheads="1"/>
                                                </pic:cNvPicPr>
                                              </pic:nvPicPr>
                                              <pic:blipFill>
                                                <a:blip r:embed="rId20"/>
                                                <a:stretch>
                                                  <a:fillRect/>
                                                </a:stretch>
                                              </pic:blipFill>
                                              <pic:spPr bwMode="auto">
                                                <a:xfrm>
                                                  <a:off x="0" y="0"/>
                                                  <a:ext cx="447675" cy="161925"/>
                                                </a:xfrm>
                                                <a:prstGeom prst="rect">
                                                  <a:avLst/>
                                                </a:prstGeom>
                                              </pic:spPr>
                                            </pic:pic>
                                          </a:graphicData>
                                        </a:graphic>
                                      </wp:inline>
                                    </w:drawing>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292" w:type="dxa"/>
                        <w:jc w:val="left"/>
                        <w:tblInd w:w="0" w:type="dxa"/>
                        <w:tblLayout w:type="fixed"/>
                        <w:tblCellMar>
                          <w:top w:w="28" w:type="dxa"/>
                          <w:left w:w="28" w:type="dxa"/>
                          <w:bottom w:w="28" w:type="dxa"/>
                          <w:right w:w="28" w:type="dxa"/>
                        </w:tblCellMar>
                      </w:tblPr>
                      <w:tblGrid>
                        <w:gridCol w:w="124"/>
                        <w:gridCol w:w="109"/>
                        <w:gridCol w:w="109"/>
                        <w:gridCol w:w="704"/>
                        <w:gridCol w:w="704"/>
                        <w:gridCol w:w="706"/>
                        <w:gridCol w:w="244"/>
                        <w:gridCol w:w="244"/>
                        <w:gridCol w:w="34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6"/>
                              </w:rPr>
                            </w:pPr>
                            <w:r>
                              <w:rPr>
                                <w:rFonts w:ascii="Arial;sans-serif" w:hAnsi="Arial;sans-serif"/>
                                <w:b/>
                                <w:color w:val="000000"/>
                                <w:sz w:val="16"/>
                              </w:rPr>
                              <w:t>4</w:t>
                            </w:r>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2024 PROXY STATEMENT</w:t>
                            </w:r>
                          </w:p>
                        </w:tc>
                        <w:tc>
                          <w:tcPr>
                            <w:tcW w:w="83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30"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16" descr=""/>
                                          <pic:cNvPicPr>
                                            <a:picLocks noChangeAspect="1" noChangeArrowheads="1"/>
                                          </pic:cNvPicPr>
                                        </pic:nvPicPr>
                                        <pic:blipFill>
                                          <a:blip r:embed="rId21"/>
                                          <a:stretch>
                                            <a:fillRect/>
                                          </a:stretch>
                                        </pic:blipFill>
                                        <pic:spPr bwMode="auto">
                                          <a:xfrm>
                                            <a:off x="0" y="0"/>
                                            <a:ext cx="447675" cy="161925"/>
                                          </a:xfrm>
                                          <a:prstGeom prst="rect">
                                            <a:avLst/>
                                          </a:prstGeom>
                                        </pic:spPr>
                                      </pic:pic>
                                    </a:graphicData>
                                  </a:graphic>
                                </wp:inline>
                              </w:drawing>
                            </w:r>
                          </w:p>
                        </w:tc>
                      </w:tr>
                    </w:tbl>
                    <w:p>
                      <w:pPr>
                        <w:pStyle w:val="TextBody"/>
                        <w:bidi w:val="0"/>
                        <w:spacing w:before="0" w:after="283"/>
                        <w:jc w:val="left"/>
                        <w:rPr/>
                      </w:pPr>
                      <w:r>
                        <w:rPr/>
                      </w:r>
                    </w:p>
                  </w:txbxContent>
                </v:textbox>
                <w10:wrap type="none"/>
              </v:rect>
            </w:pict>
          </mc:Fallback>
        </mc:AlternateContent>
      </w:r>
    </w:p>
    <w:tbl>
      <w:tblPr>
        <w:tblW w:w="2430" w:type="dxa"/>
        <w:jc w:val="left"/>
        <w:tblInd w:w="0" w:type="dxa"/>
        <w:tblLayout w:type="fixed"/>
        <w:tblCellMar>
          <w:top w:w="28" w:type="dxa"/>
          <w:left w:w="28" w:type="dxa"/>
          <w:bottom w:w="28" w:type="dxa"/>
          <w:right w:w="28" w:type="dxa"/>
        </w:tblCellMar>
      </w:tblPr>
      <w:tblGrid>
        <w:gridCol w:w="778"/>
        <w:gridCol w:w="684"/>
        <w:gridCol w:w="968"/>
      </w:tblGrid>
      <w:tr>
        <w:trPr/>
        <w:tc>
          <w:tcPr>
            <w:tcW w:w="778"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r>
      <w:tr>
        <w:trPr/>
        <w:tc>
          <w:tcPr>
            <w:tcW w:w="2430" w:type="dxa"/>
            <w:gridSpan w:val="3"/>
            <w:tcBorders>
              <w:bottom w:val="single" w:sz="4" w:space="0" w:color="004C97"/>
            </w:tcBorders>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4C97"/>
                <w:sz w:val="16"/>
              </w:rPr>
            </w:pPr>
            <w:r>
              <w:rPr>
                <w:rFonts w:ascii="Arial;sans-serif" w:hAnsi="Arial;sans-serif"/>
                <w:b w:val="false"/>
                <w:color w:val="004C97"/>
                <w:sz w:val="16"/>
              </w:rPr>
              <w:t>CORPORATE GOVERNANCE</w:t>
            </w:r>
          </w:p>
        </w:tc>
      </w:tr>
    </w:tbl>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meeting. Further, management periodically reviews with the Audit Committee our major risk exposures, identified through the enterprise risk management process, as well as the steps management has taken to monitor and control such exposures.</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We conduct an annual in-depth review of the risks associated with our incentive-based compensation arrangements and practices, and management presents to the Compensation Committee its view on such risks. In 2023, we again determined that the risks associated with these arrangements are appropriate. See “Risk Analysis,” on page 36, for further discussion.</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 xml:space="preserve">In addition, the Board explicitly addresses risk in a wide range of discussions, including those relating to segment or business unit activities, specific corporate functions (such as treasury, tax, capital allocation, legal, etc.), cybersecurity, ongoing litigation, and consideration of extraordinary transactions. In particular, the Audit Committee reviews cybersecurity risk mitigation each quarter and conducts an annual in-depth review of our material cybersecurity risks and our defensive posture with management and SPX’s Chief Information Officer and Chief Information Security Officer. The Board also participates in an annual cybersecurity training and review. In addition to the Board’s active role in these discussions, the Board has full access to management, as well as the ability to engage advisors, in order to assist in its risk oversight role. </w:t>
      </w:r>
    </w:p>
    <w:p>
      <w:pPr>
        <w:pStyle w:val="TextBody"/>
        <w:bidi w:val="0"/>
        <w:spacing w:lineRule="auto" w:line="288" w:before="0" w:after="60"/>
        <w:jc w:val="left"/>
        <w:rPr>
          <w:rFonts w:ascii="Arial;sans-serif" w:hAnsi="Arial;sans-serif"/>
          <w:b/>
          <w:color w:val="000000"/>
          <w:sz w:val="22"/>
        </w:rPr>
      </w:pPr>
      <w:r>
        <w:rPr>
          <w:rFonts w:ascii="Arial;sans-serif" w:hAnsi="Arial;sans-serif"/>
          <w:b/>
          <w:color w:val="000000"/>
          <w:sz w:val="22"/>
        </w:rPr>
        <w:t>CHARITABLE CONTRIBUTIONS</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It is the policy of the Board that no officer or director shall solicit contributions for charities from other officers or directors or directly from SPX if the director or officer soliciting the contributions personally controls the charity. In addition, no officer or director shall solicit contributions from other officers or directors for charities controlled by SPX.</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From time to time, SPX may make contributions to charitable organizations for which a member of our Board or one of our executive officers serves as a director or officer. In the past three fiscal years, however, the amount of any of these contributions in any single fiscal year has not exceeded the greater of $1 million or 2% of the charitable organization’s consolidated gross revenues.</w:t>
      </w:r>
    </w:p>
    <w:p>
      <w:pPr>
        <w:pStyle w:val="TextBody"/>
        <w:bidi w:val="0"/>
        <w:spacing w:lineRule="auto" w:line="288" w:before="0" w:after="60"/>
        <w:jc w:val="left"/>
        <w:rPr>
          <w:rFonts w:ascii="Arial;sans-serif" w:hAnsi="Arial;sans-serif"/>
          <w:b/>
          <w:color w:val="000000"/>
          <w:sz w:val="22"/>
        </w:rPr>
      </w:pPr>
      <w:r>
        <w:rPr>
          <w:rFonts w:ascii="Arial;sans-serif" w:hAnsi="Arial;sans-serif"/>
          <w:b/>
          <w:color w:val="000000"/>
          <w:sz w:val="22"/>
        </w:rPr>
        <w:t>STRATEGIC PLANNING</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Our Board meets regularly to discuss the strategic direction and the issues and opportunities facing our Company. Our Board has been instrumental in determining our next steps as we focus on growth with an emphasis on strengthening our current complement of businesses while living up to our values and our commitment to sustainability principles.</w:t>
      </w:r>
    </w:p>
    <w:p>
      <w:pPr>
        <w:pStyle w:val="TextBody"/>
        <w:bidi w:val="0"/>
        <w:spacing w:lineRule="auto" w:line="288" w:before="0" w:after="180"/>
        <w:ind w:left="0" w:right="0" w:hanging="216"/>
        <w:jc w:val="both"/>
        <w:rPr/>
      </w:pPr>
      <w:r>
        <w:rPr>
          <w:color w:val="000000"/>
        </w:rPr>
        <w:t>•</w:t>
      </w:r>
      <w:r>
        <w:rPr>
          <w:rFonts w:ascii="Arial;sans-serif" w:hAnsi="Arial;sans-serif"/>
          <w:b w:val="false"/>
          <w:i/>
          <w:color w:val="000000"/>
          <w:sz w:val="18"/>
        </w:rPr>
        <w:t xml:space="preserve">Constant Focus on Strategy: </w:t>
      </w:r>
      <w:r>
        <w:rPr>
          <w:rFonts w:ascii="Arial;sans-serif" w:hAnsi="Arial;sans-serif"/>
          <w:b w:val="false"/>
          <w:color w:val="000000"/>
          <w:sz w:val="18"/>
        </w:rPr>
        <w:t>Throughout the year, our Board provides guidance to management on strategy and helps to refine business plans to implement the strategy.</w:t>
      </w:r>
    </w:p>
    <w:p>
      <w:pPr>
        <w:pStyle w:val="TextBody"/>
        <w:bidi w:val="0"/>
        <w:spacing w:lineRule="auto" w:line="288" w:before="0" w:after="180"/>
        <w:ind w:left="0" w:right="0" w:hanging="216"/>
        <w:jc w:val="both"/>
        <w:rPr/>
      </w:pPr>
      <w:r>
        <w:rPr>
          <w:color w:val="000000"/>
        </w:rPr>
        <w:t>•</w:t>
      </w:r>
      <w:r>
        <w:rPr>
          <w:rFonts w:ascii="Arial;sans-serif" w:hAnsi="Arial;sans-serif"/>
          <w:b w:val="false"/>
          <w:i/>
          <w:color w:val="000000"/>
          <w:sz w:val="18"/>
        </w:rPr>
        <w:t>Detailed Annual Review of Strategy:</w:t>
      </w:r>
      <w:r>
        <w:rPr>
          <w:color w:val="000000"/>
        </w:rPr>
        <w:t xml:space="preserve"> </w:t>
      </w:r>
      <w:r>
        <w:rPr>
          <w:rFonts w:ascii="Arial;sans-serif" w:hAnsi="Arial;sans-serif"/>
          <w:b w:val="false"/>
          <w:color w:val="000000"/>
          <w:sz w:val="18"/>
        </w:rPr>
        <w:t>Each year, typically during the third quarter, the Board holds an extensive meeting with senior management dedicated to discussing and reviewing our long-term business plans and overall corporate strategy. As part of this meeting, our CEO leads a discussion of potential growth opportunities, key risks to the plans and strategy, and risk mitigation plans and activities.</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Furthermore, in setting our business strategy, the Board plays a critical role in determining the types and appropriate levels of risk undertaken by the Company.</w:t>
      </w:r>
    </w:p>
    <w:p>
      <w:pPr>
        <w:pStyle w:val="TextBody"/>
        <w:bidi w:val="0"/>
        <w:spacing w:lineRule="auto" w:line="288" w:before="0" w:after="60"/>
        <w:jc w:val="left"/>
        <w:rPr>
          <w:rFonts w:ascii="Arial;sans-serif" w:hAnsi="Arial;sans-serif"/>
          <w:b/>
          <w:color w:val="000000"/>
          <w:sz w:val="22"/>
        </w:rPr>
      </w:pPr>
      <w:r>
        <w:rPr>
          <w:rFonts w:ascii="Arial;sans-serif" w:hAnsi="Arial;sans-serif"/>
          <w:b/>
          <w:color w:val="000000"/>
          <w:sz w:val="22"/>
        </w:rPr>
        <w:t>COMMUNICATIONS WITH DIRECTORS</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Interested parties may communicate with any of our non-employee directors by writing to the director in care of our Corporate Secretary at our address shown on the Notice of Annual Meeting of Stockholders accompanying this Proxy Statement. In accordance with the policy adopted by our non-employee directors, our Corporate Secretary will promptly relay to the addressee all communications that he determines require prompt attention by a non-employee director and will regularly provide the non-employee directors with a summary of all substantive communications.</w:t>
      </w:r>
    </w:p>
    <w:p>
      <w:pPr>
        <w:pStyle w:val="TextBody"/>
        <w:bidi w:val="0"/>
        <w:spacing w:lineRule="auto" w:line="288" w:before="0" w:after="60"/>
        <w:jc w:val="left"/>
        <w:rPr>
          <w:rFonts w:ascii="Arial;sans-serif" w:hAnsi="Arial;sans-serif"/>
          <w:b/>
          <w:color w:val="000000"/>
          <w:sz w:val="22"/>
        </w:rPr>
      </w:pPr>
      <w:r>
        <w:rPr>
          <w:rFonts w:ascii="Arial;sans-serif" w:hAnsi="Arial;sans-serif"/>
          <w:b/>
          <w:color w:val="000000"/>
          <w:sz w:val="22"/>
        </w:rPr>
        <w:t>DIRECTOR NOMINEES, QUALIFICATIONS, AND DIVERSITY</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The Governance &amp; Sustainability Committee is responsible for proposing director nominees and will consider director nominee recommendations offered by stockholders in accordance with our By-laws. The Governance &amp; Sustainability Committee selects individuals as director nominees based on the following:</w:t>
      </w:r>
    </w:p>
    <w:p>
      <w:pPr>
        <w:pStyle w:val="TextBody"/>
        <w:bidi w:val="0"/>
        <w:spacing w:lineRule="auto" w:line="288" w:before="0" w:after="60"/>
        <w:ind w:left="0" w:right="0" w:hanging="216"/>
        <w:jc w:val="both"/>
        <w:rPr/>
      </w:pPr>
      <w:r>
        <w:rPr>
          <w:color w:val="000000"/>
        </w:rPr>
        <w:t>•</w:t>
      </w:r>
      <w:r>
        <w:rPr>
          <w:rFonts w:ascii="Arial;sans-serif" w:hAnsi="Arial;sans-serif"/>
          <w:b w:val="false"/>
          <w:color w:val="000000"/>
          <w:sz w:val="18"/>
        </w:rPr>
        <w:t>Business and professional accomplishments;</w:t>
      </w:r>
    </w:p>
    <w:p>
      <w:pPr>
        <w:pStyle w:val="TextBody"/>
        <w:bidi w:val="0"/>
        <w:spacing w:lineRule="auto" w:line="288" w:before="0" w:after="60"/>
        <w:ind w:left="0" w:right="0" w:hanging="216"/>
        <w:jc w:val="both"/>
        <w:rPr/>
      </w:pPr>
      <w:r>
        <w:rPr>
          <w:color w:val="000000"/>
        </w:rPr>
        <w:t>•</w:t>
      </w:r>
      <w:r>
        <w:rPr>
          <w:rFonts w:ascii="Arial;sans-serif" w:hAnsi="Arial;sans-serif"/>
          <w:b w:val="false"/>
          <w:color w:val="000000"/>
          <w:sz w:val="18"/>
        </w:rPr>
        <w:t>Integrity;</w:t>
      </w:r>
    </w:p>
    <w:p>
      <w:pPr>
        <w:pStyle w:val="TextBody"/>
        <w:bidi w:val="0"/>
        <w:spacing w:lineRule="auto" w:line="288" w:before="0" w:after="60"/>
        <w:ind w:left="0" w:right="0" w:hanging="216"/>
        <w:jc w:val="both"/>
        <w:rPr/>
      </w:pPr>
      <w:r>
        <w:rPr>
          <w:color w:val="000000"/>
        </w:rPr>
        <w:t>•</w:t>
      </w:r>
      <w:r>
        <w:rPr>
          <w:rFonts w:ascii="Arial;sans-serif" w:hAnsi="Arial;sans-serif"/>
          <w:b w:val="false"/>
          <w:color w:val="000000"/>
          <w:sz w:val="18"/>
        </w:rPr>
        <w:t>Demonstrated ability to make independent analytical inquiries;</w:t>
      </w:r>
    </w:p>
    <w:p>
      <w:pPr>
        <w:pStyle w:val="TextBody"/>
        <w:bidi w:val="0"/>
        <w:spacing w:lineRule="auto" w:line="288" w:before="0" w:after="60"/>
        <w:ind w:left="0" w:right="0" w:hanging="216"/>
        <w:jc w:val="both"/>
        <w:rPr/>
      </w:pPr>
      <w:r>
        <w:rPr>
          <w:color w:val="000000"/>
        </w:rPr>
        <w:t>•</w:t>
      </w:r>
      <w:r>
        <w:rPr>
          <w:rFonts w:ascii="Arial;sans-serif" w:hAnsi="Arial;sans-serif"/>
          <w:b w:val="false"/>
          <w:color w:val="000000"/>
          <w:sz w:val="18"/>
        </w:rPr>
        <w:t>Ability to understand our businesses;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480175" cy="739140"/>
                <wp:effectExtent l="0" t="0" r="0" b="0"/>
                <wp:wrapNone/>
                <wp:docPr id="31" name="Frame11"/>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292" w:type="dxa"/>
                              <w:jc w:val="right"/>
                              <w:tblInd w:w="0" w:type="dxa"/>
                              <w:tblLayout w:type="fixed"/>
                              <w:tblCellMar>
                                <w:top w:w="28" w:type="dxa"/>
                                <w:left w:w="28" w:type="dxa"/>
                                <w:bottom w:w="28" w:type="dxa"/>
                                <w:right w:w="28" w:type="dxa"/>
                              </w:tblCellMar>
                            </w:tblPr>
                            <w:tblGrid>
                              <w:gridCol w:w="292"/>
                              <w:gridCol w:w="256"/>
                              <w:gridCol w:w="258"/>
                              <w:gridCol w:w="704"/>
                              <w:gridCol w:w="704"/>
                              <w:gridCol w:w="706"/>
                              <w:gridCol w:w="109"/>
                              <w:gridCol w:w="109"/>
                              <w:gridCol w:w="154"/>
                            </w:tblGrid>
                            <w:tr>
                              <w:trPr/>
                              <w:tc>
                                <w:tcPr>
                                  <w:tcW w:w="29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0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32"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17" descr=""/>
                                                <pic:cNvPicPr>
                                                  <a:picLocks noChangeAspect="1" noChangeArrowheads="1"/>
                                                </pic:cNvPicPr>
                                              </pic:nvPicPr>
                                              <pic:blipFill>
                                                <a:blip r:embed="rId22"/>
                                                <a:stretch>
                                                  <a:fillRect/>
                                                </a:stretch>
                                              </pic:blipFill>
                                              <pic:spPr bwMode="auto">
                                                <a:xfrm>
                                                  <a:off x="0" y="0"/>
                                                  <a:ext cx="447675" cy="161925"/>
                                                </a:xfrm>
                                                <a:prstGeom prst="rect">
                                                  <a:avLst/>
                                                </a:prstGeom>
                                              </pic:spPr>
                                            </pic:pic>
                                          </a:graphicData>
                                        </a:graphic>
                                      </wp:inline>
                                    </w:drawing>
                                  </w:r>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2024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000000"/>
                                      <w:sz w:val="16"/>
                                    </w:rPr>
                                  </w:pPr>
                                  <w:r>
                                    <w:rPr>
                                      <w:rFonts w:ascii="Arial;sans-serif" w:hAnsi="Arial;sans-serif"/>
                                      <w:b/>
                                      <w:color w:val="000000"/>
                                      <w:sz w:val="16"/>
                                    </w:rPr>
                                    <w:t>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292" w:type="dxa"/>
                        <w:jc w:val="right"/>
                        <w:tblInd w:w="0" w:type="dxa"/>
                        <w:tblLayout w:type="fixed"/>
                        <w:tblCellMar>
                          <w:top w:w="28" w:type="dxa"/>
                          <w:left w:w="28" w:type="dxa"/>
                          <w:bottom w:w="28" w:type="dxa"/>
                          <w:right w:w="28" w:type="dxa"/>
                        </w:tblCellMar>
                      </w:tblPr>
                      <w:tblGrid>
                        <w:gridCol w:w="292"/>
                        <w:gridCol w:w="256"/>
                        <w:gridCol w:w="258"/>
                        <w:gridCol w:w="704"/>
                        <w:gridCol w:w="704"/>
                        <w:gridCol w:w="706"/>
                        <w:gridCol w:w="109"/>
                        <w:gridCol w:w="109"/>
                        <w:gridCol w:w="154"/>
                      </w:tblGrid>
                      <w:tr>
                        <w:trPr/>
                        <w:tc>
                          <w:tcPr>
                            <w:tcW w:w="29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0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33"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17" descr=""/>
                                          <pic:cNvPicPr>
                                            <a:picLocks noChangeAspect="1" noChangeArrowheads="1"/>
                                          </pic:cNvPicPr>
                                        </pic:nvPicPr>
                                        <pic:blipFill>
                                          <a:blip r:embed="rId23"/>
                                          <a:stretch>
                                            <a:fillRect/>
                                          </a:stretch>
                                        </pic:blipFill>
                                        <pic:spPr bwMode="auto">
                                          <a:xfrm>
                                            <a:off x="0" y="0"/>
                                            <a:ext cx="447675" cy="161925"/>
                                          </a:xfrm>
                                          <a:prstGeom prst="rect">
                                            <a:avLst/>
                                          </a:prstGeom>
                                        </pic:spPr>
                                      </pic:pic>
                                    </a:graphicData>
                                  </a:graphic>
                                </wp:inline>
                              </w:drawing>
                            </w:r>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2024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000000"/>
                                <w:sz w:val="16"/>
                              </w:rPr>
                            </w:pPr>
                            <w:r>
                              <w:rPr>
                                <w:rFonts w:ascii="Arial;sans-serif" w:hAnsi="Arial;sans-serif"/>
                                <w:b/>
                                <w:color w:val="000000"/>
                                <w:sz w:val="16"/>
                              </w:rPr>
                              <w:t>5</w:t>
                            </w:r>
                          </w:p>
                        </w:tc>
                      </w:tr>
                    </w:tbl>
                    <w:p>
                      <w:pPr>
                        <w:pStyle w:val="TextBody"/>
                        <w:bidi w:val="0"/>
                        <w:spacing w:before="0" w:after="283"/>
                        <w:jc w:val="left"/>
                        <w:rPr/>
                      </w:pPr>
                      <w:r>
                        <w:rPr/>
                      </w:r>
                    </w:p>
                  </w:txbxContent>
                </v:textbox>
                <w10:wrap type="none"/>
              </v:rect>
            </w:pict>
          </mc:Fallback>
        </mc:AlternateContent>
      </w:r>
    </w:p>
    <w:tbl>
      <w:tblPr>
        <w:tblW w:w="2430" w:type="dxa"/>
        <w:jc w:val="left"/>
        <w:tblInd w:w="0" w:type="dxa"/>
        <w:tblLayout w:type="fixed"/>
        <w:tblCellMar>
          <w:top w:w="28" w:type="dxa"/>
          <w:left w:w="28" w:type="dxa"/>
          <w:bottom w:w="28" w:type="dxa"/>
          <w:right w:w="28" w:type="dxa"/>
        </w:tblCellMar>
      </w:tblPr>
      <w:tblGrid>
        <w:gridCol w:w="778"/>
        <w:gridCol w:w="684"/>
        <w:gridCol w:w="968"/>
      </w:tblGrid>
      <w:tr>
        <w:trPr/>
        <w:tc>
          <w:tcPr>
            <w:tcW w:w="778"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r>
      <w:tr>
        <w:trPr/>
        <w:tc>
          <w:tcPr>
            <w:tcW w:w="2430" w:type="dxa"/>
            <w:gridSpan w:val="3"/>
            <w:tcBorders>
              <w:bottom w:val="single" w:sz="4" w:space="0" w:color="004C97"/>
            </w:tcBorders>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4C97"/>
                <w:sz w:val="16"/>
              </w:rPr>
            </w:pPr>
            <w:r>
              <w:rPr>
                <w:rFonts w:ascii="Arial;sans-serif" w:hAnsi="Arial;sans-serif"/>
                <w:b w:val="false"/>
                <w:color w:val="004C97"/>
                <w:sz w:val="16"/>
              </w:rPr>
              <w:t>CORPORATE GOVERNANCE</w:t>
            </w:r>
          </w:p>
        </w:tc>
      </w:tr>
    </w:tbl>
    <w:p>
      <w:pPr>
        <w:pStyle w:val="TextBody"/>
        <w:bidi w:val="0"/>
        <w:spacing w:lineRule="auto" w:line="288" w:before="0" w:after="60"/>
        <w:ind w:left="0" w:right="0" w:hanging="216"/>
        <w:jc w:val="both"/>
        <w:rPr/>
      </w:pPr>
      <w:r>
        <w:rPr>
          <w:color w:val="000000"/>
        </w:rPr>
        <w:t>•</w:t>
      </w:r>
      <w:r>
        <w:rPr>
          <w:rFonts w:ascii="Arial;sans-serif" w:hAnsi="Arial;sans-serif"/>
          <w:b w:val="false"/>
          <w:color w:val="000000"/>
          <w:sz w:val="18"/>
        </w:rPr>
        <w:t>Absence of conflicts of interest;</w:t>
      </w:r>
    </w:p>
    <w:p>
      <w:pPr>
        <w:pStyle w:val="TextBody"/>
        <w:bidi w:val="0"/>
        <w:spacing w:lineRule="auto" w:line="288" w:before="0" w:after="60"/>
        <w:ind w:left="0" w:right="0" w:hanging="216"/>
        <w:jc w:val="both"/>
        <w:rPr/>
      </w:pPr>
      <w:r>
        <w:rPr>
          <w:color w:val="000000"/>
        </w:rPr>
        <w:t>•</w:t>
      </w:r>
      <w:r>
        <w:rPr>
          <w:rFonts w:ascii="Arial;sans-serif" w:hAnsi="Arial;sans-serif"/>
          <w:b w:val="false"/>
          <w:color w:val="000000"/>
          <w:sz w:val="18"/>
        </w:rPr>
        <w:t>Willingness to devote the necessary time to Board duties; and</w:t>
      </w:r>
    </w:p>
    <w:p>
      <w:pPr>
        <w:pStyle w:val="TextBody"/>
        <w:bidi w:val="0"/>
        <w:spacing w:lineRule="auto" w:line="288" w:before="0" w:after="180"/>
        <w:ind w:left="0" w:right="0" w:hanging="216"/>
        <w:jc w:val="both"/>
        <w:rPr/>
      </w:pPr>
      <w:r>
        <w:rPr>
          <w:color w:val="000000"/>
        </w:rPr>
        <w:t>•</w:t>
      </w:r>
      <w:r>
        <w:rPr>
          <w:rFonts w:ascii="Arial;sans-serif" w:hAnsi="Arial;sans-serif"/>
          <w:b w:val="false"/>
          <w:color w:val="000000"/>
          <w:sz w:val="18"/>
        </w:rPr>
        <w:t>Alignment of skills with those identified by the Board as desirable for the advancement of the Company; for more details on such identified areas, see our skills matrix under “Director and Nominee Skills and Experience” on page 19.</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The Board and the Governance &amp; Sustainability Committee require each director to have a proven record of success and leadership. In order to maintain appropriate flexibility to adjust to evolving needs, neither the Board nor the Governance &amp; Sustainability Committee has set minimum requirements with respect to age, education, or years of business experience or has designated specific expertise required for directors. Rather, the Governance &amp; Sustainability Committee seeks to structure the Board so that it consists of a diverse group of individuals, each with a unique combination of skills, experience, and background. The Governance &amp; Sustainability Committee has no set diversity policy or targets, but places what it believes to be appropriate emphasis on certain skills, experience, and background that it determines adds, or would add, value to our Board. In addition, the Governance &amp; Sustainability Committee considers the demographic make-up of the board and emphasizes identifying and recruiting candidates that are members of under-represented communities. Knowledge of our industries and strategic perspective, as well as financial expertise, operational experience, and expertise with strategy development (including mergers and acquisitions), are examples of attributes that our Board and the Governance &amp; Sustainability Committee consider important. The Governance &amp; Sustainability Committee also considers effective interaction among Board members and between the Board and management to be crucial factors in considering individuals for nomination.</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The Governance and Sustainability Committee regularly reviews the participation of individual directors to assure that each director is devoting adequate time and attention to Company matters. In addition, our Corporate Governance Guidelines provide that:</w:t>
      </w:r>
    </w:p>
    <w:p>
      <w:pPr>
        <w:pStyle w:val="TextBody"/>
        <w:bidi w:val="0"/>
        <w:spacing w:lineRule="auto" w:line="288" w:before="0" w:after="180"/>
        <w:ind w:left="0" w:right="0" w:hanging="216"/>
        <w:jc w:val="both"/>
        <w:rPr/>
      </w:pPr>
      <w:r>
        <w:rPr>
          <w:color w:val="000000"/>
        </w:rPr>
        <w:t>•</w:t>
      </w:r>
      <w:r>
        <w:rPr>
          <w:rFonts w:ascii="Arial;sans-serif" w:hAnsi="Arial;sans-serif"/>
          <w:b w:val="false"/>
          <w:color w:val="000000"/>
          <w:sz w:val="18"/>
        </w:rPr>
        <w:t xml:space="preserve">Non-management directors should not serve on more than four public company boards, including the Company’s Board and are required to notify the Governance &amp; Sustainability Committee prior to accepting an invitation to serve on the board, audit committee or compensation committee of another public company; </w:t>
      </w:r>
    </w:p>
    <w:p>
      <w:pPr>
        <w:pStyle w:val="TextBody"/>
        <w:bidi w:val="0"/>
        <w:spacing w:lineRule="auto" w:line="288" w:before="0" w:after="180"/>
        <w:ind w:left="0" w:right="0" w:hanging="216"/>
        <w:jc w:val="both"/>
        <w:rPr/>
      </w:pPr>
      <w:r>
        <w:rPr>
          <w:color w:val="000000"/>
        </w:rPr>
        <w:t>•</w:t>
      </w:r>
      <w:r>
        <w:rPr>
          <w:rFonts w:ascii="Arial;sans-serif" w:hAnsi="Arial;sans-serif"/>
          <w:b w:val="false"/>
          <w:color w:val="000000"/>
          <w:sz w:val="18"/>
        </w:rPr>
        <w:t>Directors who are also full-time executives either at the Company or another entity, including without limitation, the Company’s Chief Executive Officer, should not serve on more than two public company boards, including the Company’s Board;</w:t>
      </w:r>
    </w:p>
    <w:p>
      <w:pPr>
        <w:pStyle w:val="TextBody"/>
        <w:bidi w:val="0"/>
        <w:spacing w:lineRule="auto" w:line="288" w:before="0" w:after="180"/>
        <w:ind w:left="0" w:right="0" w:hanging="216"/>
        <w:jc w:val="both"/>
        <w:rPr/>
      </w:pPr>
      <w:r>
        <w:rPr>
          <w:color w:val="000000"/>
        </w:rPr>
        <w:t>•</w:t>
      </w:r>
      <w:r>
        <w:rPr>
          <w:rFonts w:ascii="Arial;sans-serif" w:hAnsi="Arial;sans-serif"/>
          <w:b w:val="false"/>
          <w:color w:val="000000"/>
          <w:sz w:val="18"/>
        </w:rPr>
        <w:t xml:space="preserve">Committee chairs should not serve as the chair of more than three public company board committees, including his or her role as chair of a Company Board committee; and </w:t>
      </w:r>
    </w:p>
    <w:p>
      <w:pPr>
        <w:pStyle w:val="TextBody"/>
        <w:bidi w:val="0"/>
        <w:spacing w:lineRule="auto" w:line="288" w:before="0" w:after="180"/>
        <w:ind w:left="0" w:right="0" w:hanging="216"/>
        <w:jc w:val="both"/>
        <w:rPr/>
      </w:pPr>
      <w:r>
        <w:rPr>
          <w:color w:val="000000"/>
        </w:rPr>
        <w:t>•</w:t>
      </w:r>
      <w:r>
        <w:rPr>
          <w:rFonts w:ascii="Arial;sans-serif" w:hAnsi="Arial;sans-serif"/>
          <w:b w:val="false"/>
          <w:color w:val="000000"/>
          <w:sz w:val="18"/>
        </w:rPr>
        <w:t>The chair of the Audit Committee should not serve as the chair of more than three audit committees (including the Company Audit Committee, but excluding the audit committees of any non-profit organizations).</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The Governance &amp; Sustainability Committee considers the criteria listed in the paragraphs above at least each time the director is re-nominated for Board membership or when considering additions to the Board. At such times as the Board and the Governance &amp; Sustainability Committee determine there is a need to add or replace a director, the Governance &amp; Sustainability Committee identifies director candidates through references from its members, other directors, management, or, if appropriate, outside search firms. The Governance &amp; Sustainability Committee applies the same process and standards to the evaluation of each potential director nominee, regardless of whether he or she is recommended by one or more stockholders or is identified by some other method.</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The Board had adopted a policy, which was included in our Corporate Governance Guidelines, providing for non-management directors to retire from the Board at the conclusion of their term following their 75th birthday. In August 2023, the Board amended our Corporate Governance Guidelines to eliminate this policy, as the Board believes that the actual performance and contributions of an individual director are more important in determining whether that individual should be re-nominated, rather than mandating retirement based on an arbitrary age limit. In taking this action, the Board considered the trend toward eliminating such age-based retirement policies, the actual level of performance and contributions of directors currently at or approaching ineligibility under the prior retirement policy, the desirability of continued stability with respect to the membership of the Board in light of the recent, and contemplated future, strategic changes in the portfolio of businesses operated by the Company, and the tenure and leadership of each of the directors currently at or approaching ineligibility under the policy. The Board also considered peer-company policies and the guidelines of institutional proxy advisory firms regarding mandatory retirement age policies. The Board believes that the continued service of these directors maintains a desirable level of continuity on the Board in light of current circumstances and accordingly the amendment to this provision is in the best interests of the Company and its stockholders. The determination to amend the Corporate Governance Guidelines was made by a unanimous vote of the Board, other than Mr. Roberts and Dr. Shaw, who would have been ineligible under the policy for re-election based on their respective ages at the time of the amendment and who therefore recused themselves from the vote. In light of this change in policy, the Board has undertaken a formal review of individual director performance as part of its annual performance evaluation and self-assessment review.</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480175" cy="739140"/>
                <wp:effectExtent l="0" t="0" r="0" b="0"/>
                <wp:wrapNone/>
                <wp:docPr id="34" name="Frame12"/>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292" w:type="dxa"/>
                              <w:jc w:val="left"/>
                              <w:tblInd w:w="0" w:type="dxa"/>
                              <w:tblLayout w:type="fixed"/>
                              <w:tblCellMar>
                                <w:top w:w="28" w:type="dxa"/>
                                <w:left w:w="28" w:type="dxa"/>
                                <w:bottom w:w="28" w:type="dxa"/>
                                <w:right w:w="28" w:type="dxa"/>
                              </w:tblCellMar>
                            </w:tblPr>
                            <w:tblGrid>
                              <w:gridCol w:w="124"/>
                              <w:gridCol w:w="109"/>
                              <w:gridCol w:w="109"/>
                              <w:gridCol w:w="704"/>
                              <w:gridCol w:w="704"/>
                              <w:gridCol w:w="706"/>
                              <w:gridCol w:w="244"/>
                              <w:gridCol w:w="244"/>
                              <w:gridCol w:w="34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6"/>
                                    </w:rPr>
                                  </w:pPr>
                                  <w:r>
                                    <w:rPr>
                                      <w:rFonts w:ascii="Arial;sans-serif" w:hAnsi="Arial;sans-serif"/>
                                      <w:b/>
                                      <w:color w:val="000000"/>
                                      <w:sz w:val="16"/>
                                    </w:rPr>
                                    <w:t>6</w:t>
                                  </w:r>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2024 PROXY STATEMENT</w:t>
                                  </w:r>
                                </w:p>
                              </w:tc>
                              <w:tc>
                                <w:tcPr>
                                  <w:tcW w:w="83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35"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18" descr=""/>
                                                <pic:cNvPicPr>
                                                  <a:picLocks noChangeAspect="1" noChangeArrowheads="1"/>
                                                </pic:cNvPicPr>
                                              </pic:nvPicPr>
                                              <pic:blipFill>
                                                <a:blip r:embed="rId24"/>
                                                <a:stretch>
                                                  <a:fillRect/>
                                                </a:stretch>
                                              </pic:blipFill>
                                              <pic:spPr bwMode="auto">
                                                <a:xfrm>
                                                  <a:off x="0" y="0"/>
                                                  <a:ext cx="447675" cy="161925"/>
                                                </a:xfrm>
                                                <a:prstGeom prst="rect">
                                                  <a:avLst/>
                                                </a:prstGeom>
                                              </pic:spPr>
                                            </pic:pic>
                                          </a:graphicData>
                                        </a:graphic>
                                      </wp:inline>
                                    </w:drawing>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292" w:type="dxa"/>
                        <w:jc w:val="left"/>
                        <w:tblInd w:w="0" w:type="dxa"/>
                        <w:tblLayout w:type="fixed"/>
                        <w:tblCellMar>
                          <w:top w:w="28" w:type="dxa"/>
                          <w:left w:w="28" w:type="dxa"/>
                          <w:bottom w:w="28" w:type="dxa"/>
                          <w:right w:w="28" w:type="dxa"/>
                        </w:tblCellMar>
                      </w:tblPr>
                      <w:tblGrid>
                        <w:gridCol w:w="124"/>
                        <w:gridCol w:w="109"/>
                        <w:gridCol w:w="109"/>
                        <w:gridCol w:w="704"/>
                        <w:gridCol w:w="704"/>
                        <w:gridCol w:w="706"/>
                        <w:gridCol w:w="244"/>
                        <w:gridCol w:w="244"/>
                        <w:gridCol w:w="34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6"/>
                              </w:rPr>
                            </w:pPr>
                            <w:r>
                              <w:rPr>
                                <w:rFonts w:ascii="Arial;sans-serif" w:hAnsi="Arial;sans-serif"/>
                                <w:b/>
                                <w:color w:val="000000"/>
                                <w:sz w:val="16"/>
                              </w:rPr>
                              <w:t>6</w:t>
                            </w:r>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2024 PROXY STATEMENT</w:t>
                            </w:r>
                          </w:p>
                        </w:tc>
                        <w:tc>
                          <w:tcPr>
                            <w:tcW w:w="83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36"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18" descr=""/>
                                          <pic:cNvPicPr>
                                            <a:picLocks noChangeAspect="1" noChangeArrowheads="1"/>
                                          </pic:cNvPicPr>
                                        </pic:nvPicPr>
                                        <pic:blipFill>
                                          <a:blip r:embed="rId25"/>
                                          <a:stretch>
                                            <a:fillRect/>
                                          </a:stretch>
                                        </pic:blipFill>
                                        <pic:spPr bwMode="auto">
                                          <a:xfrm>
                                            <a:off x="0" y="0"/>
                                            <a:ext cx="447675" cy="161925"/>
                                          </a:xfrm>
                                          <a:prstGeom prst="rect">
                                            <a:avLst/>
                                          </a:prstGeom>
                                        </pic:spPr>
                                      </pic:pic>
                                    </a:graphicData>
                                  </a:graphic>
                                </wp:inline>
                              </w:drawing>
                            </w:r>
                          </w:p>
                        </w:tc>
                      </w:tr>
                    </w:tbl>
                    <w:p>
                      <w:pPr>
                        <w:pStyle w:val="TextBody"/>
                        <w:bidi w:val="0"/>
                        <w:spacing w:before="0" w:after="283"/>
                        <w:jc w:val="left"/>
                        <w:rPr/>
                      </w:pPr>
                      <w:r>
                        <w:rPr/>
                      </w:r>
                    </w:p>
                  </w:txbxContent>
                </v:textbox>
                <w10:wrap type="none"/>
              </v:rect>
            </w:pict>
          </mc:Fallback>
        </mc:AlternateContent>
      </w:r>
    </w:p>
    <w:tbl>
      <w:tblPr>
        <w:tblW w:w="2430" w:type="dxa"/>
        <w:jc w:val="left"/>
        <w:tblInd w:w="0" w:type="dxa"/>
        <w:tblLayout w:type="fixed"/>
        <w:tblCellMar>
          <w:top w:w="28" w:type="dxa"/>
          <w:left w:w="28" w:type="dxa"/>
          <w:bottom w:w="28" w:type="dxa"/>
          <w:right w:w="28" w:type="dxa"/>
        </w:tblCellMar>
      </w:tblPr>
      <w:tblGrid>
        <w:gridCol w:w="778"/>
        <w:gridCol w:w="684"/>
        <w:gridCol w:w="968"/>
      </w:tblGrid>
      <w:tr>
        <w:trPr/>
        <w:tc>
          <w:tcPr>
            <w:tcW w:w="778"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r>
      <w:tr>
        <w:trPr/>
        <w:tc>
          <w:tcPr>
            <w:tcW w:w="2430" w:type="dxa"/>
            <w:gridSpan w:val="3"/>
            <w:tcBorders>
              <w:bottom w:val="single" w:sz="4" w:space="0" w:color="004C97"/>
            </w:tcBorders>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4C97"/>
                <w:sz w:val="16"/>
              </w:rPr>
            </w:pPr>
            <w:r>
              <w:rPr>
                <w:rFonts w:ascii="Arial;sans-serif" w:hAnsi="Arial;sans-serif"/>
                <w:b w:val="false"/>
                <w:color w:val="004C97"/>
                <w:sz w:val="16"/>
              </w:rPr>
              <w:t>CORPORATE GOVERNANCE</w:t>
            </w:r>
          </w:p>
        </w:tc>
      </w:tr>
    </w:tbl>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Any stockholder who wishes to recommend an individual for consideration by the Governance &amp; Sustainability Committee should provide written notice of the recommendation to our Corporate Secretary at our address shown on the Notice of Annual Meeting of Stockholders accompanying this Proxy Statement. Such notice must be accompanied by certain disclosures, including written information about the recommended nominee’s business experience and background, and documentation required under our By-laws for stockholder nominations of directors, as well as a consent in writing signed by the recommended nominee that he or she is willing to be considered as a nominee and, if nominated and elected, that he or she will serve as a director. In addition, any director nominee must provide information we may reasonably request in order for us to determine the eligibility of such nominee to serve as an independent director.</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Once the Governance &amp; Sustainability Committee identifies a director candidate, directors and members of management interview the candidate. Following that process, the Governance &amp; Sustainability Committee and the Board determine whether to nominate the candidate for election at an annual meeting of stockholders or, if applicable, to appoint the candidate as a director. Any such nomination or appointment is subject to acceptance by the candidate. Our By-Laws require that any director appointed to the Board other than at an annual meeting of stockholders be submitted for election by our stockholders at the next annual meeting.</w:t>
      </w:r>
    </w:p>
    <w:p>
      <w:pPr>
        <w:pStyle w:val="TextBody"/>
        <w:bidi w:val="0"/>
        <w:spacing w:lineRule="auto" w:line="288" w:before="0" w:after="60"/>
        <w:jc w:val="both"/>
        <w:rPr>
          <w:rFonts w:ascii="Arial;sans-serif" w:hAnsi="Arial;sans-serif"/>
          <w:b/>
          <w:color w:val="000000"/>
          <w:sz w:val="22"/>
        </w:rPr>
      </w:pPr>
      <w:r>
        <w:rPr>
          <w:rFonts w:ascii="Arial;sans-serif" w:hAnsi="Arial;sans-serif"/>
          <w:b/>
          <w:color w:val="000000"/>
          <w:sz w:val="22"/>
        </w:rPr>
        <w:t>DIRECTOR ELECTION</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In uncontested elections, we elect directors by majority vote. Under this voting standard, the number of shares voted “for” a director must exceed the number of shares voted “against” that director. In a contested election, directors are elected by a plurality of the votes represented in person or by proxy at the meeting. An election is contested if the number of nominees exceeds the number of directors to be elected. Whether or not an election is contested is determined ten days in advance of the date we file our definitive proxy statement with the Securities and Exchange Commission (“SEC”). This year’s election is uncontested. Accordingly, the majority vote standard will apply.</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If a nominee already serving as a director is not elected at an annual meeting, then the law of the State of Delaware (SPX’s state of organization) provides that the director will continue to serve on the Board as a “holdover director” until his or her successor is elected. Our Governance &amp; Sustainability Committee, however, has established procedures in our Corporate Governance Guidelines requiring directors to tender to the Board advance resignations. The Board will nominate for election or re-election as a director only those candidates who agree to tender, promptly following each annual meeting of stockholders at which they are subject to re-election as a director, irrevocable resignations that will be effective only if (1) the director fails to receive a sufficient number of votes for re-election at the next annual meeting of stockholders at which he or she faces re-election, and (2) the Board accepts the resignation. In addition, the Board will fill director vacancies and new directorships only with candidates who agree to tender, promptly following their appointment to the Board, the same form of resignation tendered by other directors in accordance with this provision.</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In the event a resignation is triggered as a result of a director failing to receive sufficient votes, the Governance &amp; Sustainability Committee will consider the resignation and make a recommendation to the Board on whether to accept or reject it, or whether other action should be taken. The Board will consider the Governance &amp; Sustainability Committee’s recommendation and publicly disclose its decision and the rationale behind it in a Current Report on Form 8-K filed with the SEC within 90 days from the date of certification of the election results.</w:t>
      </w:r>
    </w:p>
    <w:p>
      <w:pPr>
        <w:pStyle w:val="TextBody"/>
        <w:bidi w:val="0"/>
        <w:spacing w:lineRule="auto" w:line="288" w:before="0" w:after="60"/>
        <w:jc w:val="both"/>
        <w:rPr>
          <w:rFonts w:ascii="Arial;sans-serif" w:hAnsi="Arial;sans-serif"/>
          <w:b/>
          <w:color w:val="000000"/>
          <w:sz w:val="22"/>
        </w:rPr>
      </w:pPr>
      <w:r>
        <w:rPr>
          <w:rFonts w:ascii="Arial;sans-serif" w:hAnsi="Arial;sans-serif"/>
          <w:b/>
          <w:color w:val="000000"/>
          <w:sz w:val="22"/>
        </w:rPr>
        <w:t>ATTENDANCE AT ANNUAL MEETING</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 xml:space="preserve">It is our policy to invite all members of our Board to attend our Annual Meeting. While their attendance is not required, all but one of our directors attended our 2023 annual meeting of stockholders. </w:t>
      </w:r>
    </w:p>
    <w:p>
      <w:pPr>
        <w:pStyle w:val="TextBody"/>
        <w:bidi w:val="0"/>
        <w:spacing w:lineRule="auto" w:line="288" w:before="0" w:after="60"/>
        <w:jc w:val="both"/>
        <w:rPr>
          <w:rFonts w:ascii="Arial;sans-serif" w:hAnsi="Arial;sans-serif"/>
          <w:b/>
          <w:color w:val="000000"/>
          <w:sz w:val="22"/>
        </w:rPr>
      </w:pPr>
      <w:r>
        <w:rPr>
          <w:rFonts w:ascii="Arial;sans-serif" w:hAnsi="Arial;sans-serif"/>
          <w:b/>
          <w:color w:val="000000"/>
          <w:sz w:val="22"/>
        </w:rPr>
        <w:t>CONSIDERATION OF RELATED-PARTY TRANSACTIONS</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Pursuant to its charter and a written related-party policy, the Audit Committee is charged with reviewing and approving any related-party transactions. A related-party transaction is a transaction involving SPX and any of the following persons: a director, director nominee, or executive officer of SPX; a holder of more than 5% of SPX common stock; or an immediate family member or person sharing the household of any of these persons. When considering a transaction, the Audit Committee is required to review all relevant factors, including whether the transaction is in the best interest of our Company; our Company’s rationale for entering into the transaction; alternatives to the transaction; whether the transaction is on terms at least as fair to our Company as would be the case were the transaction entered into with an unrelated third party; potential for an actual or apparent conflict of interest; and the extent of the related party’s interest in the transaction.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6480175" cy="739140"/>
                <wp:effectExtent l="0" t="0" r="0" b="0"/>
                <wp:wrapNone/>
                <wp:docPr id="37" name="Frame13"/>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292" w:type="dxa"/>
                              <w:jc w:val="right"/>
                              <w:tblInd w:w="0" w:type="dxa"/>
                              <w:tblLayout w:type="fixed"/>
                              <w:tblCellMar>
                                <w:top w:w="28" w:type="dxa"/>
                                <w:left w:w="28" w:type="dxa"/>
                                <w:bottom w:w="28" w:type="dxa"/>
                                <w:right w:w="28" w:type="dxa"/>
                              </w:tblCellMar>
                            </w:tblPr>
                            <w:tblGrid>
                              <w:gridCol w:w="292"/>
                              <w:gridCol w:w="256"/>
                              <w:gridCol w:w="258"/>
                              <w:gridCol w:w="704"/>
                              <w:gridCol w:w="704"/>
                              <w:gridCol w:w="706"/>
                              <w:gridCol w:w="109"/>
                              <w:gridCol w:w="109"/>
                              <w:gridCol w:w="154"/>
                            </w:tblGrid>
                            <w:tr>
                              <w:trPr/>
                              <w:tc>
                                <w:tcPr>
                                  <w:tcW w:w="29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0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38"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19" descr=""/>
                                                <pic:cNvPicPr>
                                                  <a:picLocks noChangeAspect="1" noChangeArrowheads="1"/>
                                                </pic:cNvPicPr>
                                              </pic:nvPicPr>
                                              <pic:blipFill>
                                                <a:blip r:embed="rId26"/>
                                                <a:stretch>
                                                  <a:fillRect/>
                                                </a:stretch>
                                              </pic:blipFill>
                                              <pic:spPr bwMode="auto">
                                                <a:xfrm>
                                                  <a:off x="0" y="0"/>
                                                  <a:ext cx="447675" cy="161925"/>
                                                </a:xfrm>
                                                <a:prstGeom prst="rect">
                                                  <a:avLst/>
                                                </a:prstGeom>
                                              </pic:spPr>
                                            </pic:pic>
                                          </a:graphicData>
                                        </a:graphic>
                                      </wp:inline>
                                    </w:drawing>
                                  </w:r>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2024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000000"/>
                                      <w:sz w:val="16"/>
                                    </w:rPr>
                                  </w:pPr>
                                  <w:r>
                                    <w:rPr>
                                      <w:rFonts w:ascii="Arial;sans-serif" w:hAnsi="Arial;sans-serif"/>
                                      <w:b/>
                                      <w:color w:val="000000"/>
                                      <w:sz w:val="16"/>
                                    </w:rPr>
                                    <w:t>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292" w:type="dxa"/>
                        <w:jc w:val="right"/>
                        <w:tblInd w:w="0" w:type="dxa"/>
                        <w:tblLayout w:type="fixed"/>
                        <w:tblCellMar>
                          <w:top w:w="28" w:type="dxa"/>
                          <w:left w:w="28" w:type="dxa"/>
                          <w:bottom w:w="28" w:type="dxa"/>
                          <w:right w:w="28" w:type="dxa"/>
                        </w:tblCellMar>
                      </w:tblPr>
                      <w:tblGrid>
                        <w:gridCol w:w="292"/>
                        <w:gridCol w:w="256"/>
                        <w:gridCol w:w="258"/>
                        <w:gridCol w:w="704"/>
                        <w:gridCol w:w="704"/>
                        <w:gridCol w:w="706"/>
                        <w:gridCol w:w="109"/>
                        <w:gridCol w:w="109"/>
                        <w:gridCol w:w="154"/>
                      </w:tblGrid>
                      <w:tr>
                        <w:trPr/>
                        <w:tc>
                          <w:tcPr>
                            <w:tcW w:w="29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0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3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19" descr=""/>
                                          <pic:cNvPicPr>
                                            <a:picLocks noChangeAspect="1" noChangeArrowheads="1"/>
                                          </pic:cNvPicPr>
                                        </pic:nvPicPr>
                                        <pic:blipFill>
                                          <a:blip r:embed="rId27"/>
                                          <a:stretch>
                                            <a:fillRect/>
                                          </a:stretch>
                                        </pic:blipFill>
                                        <pic:spPr bwMode="auto">
                                          <a:xfrm>
                                            <a:off x="0" y="0"/>
                                            <a:ext cx="447675" cy="161925"/>
                                          </a:xfrm>
                                          <a:prstGeom prst="rect">
                                            <a:avLst/>
                                          </a:prstGeom>
                                        </pic:spPr>
                                      </pic:pic>
                                    </a:graphicData>
                                  </a:graphic>
                                </wp:inline>
                              </w:drawing>
                            </w:r>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2024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000000"/>
                                <w:sz w:val="16"/>
                              </w:rPr>
                            </w:pPr>
                            <w:r>
                              <w:rPr>
                                <w:rFonts w:ascii="Arial;sans-serif" w:hAnsi="Arial;sans-serif"/>
                                <w:b/>
                                <w:color w:val="000000"/>
                                <w:sz w:val="16"/>
                              </w:rPr>
                              <w:t>7</w:t>
                            </w:r>
                          </w:p>
                        </w:tc>
                      </w:tr>
                    </w:tbl>
                    <w:p>
                      <w:pPr>
                        <w:pStyle w:val="TextBody"/>
                        <w:bidi w:val="0"/>
                        <w:spacing w:before="0" w:after="283"/>
                        <w:jc w:val="left"/>
                        <w:rPr/>
                      </w:pPr>
                      <w:r>
                        <w:rPr/>
                      </w:r>
                    </w:p>
                  </w:txbxContent>
                </v:textbox>
                <w10:wrap type="none"/>
              </v:rect>
            </w:pict>
          </mc:Fallback>
        </mc:AlternateContent>
      </w:r>
    </w:p>
    <w:tbl>
      <w:tblPr>
        <w:tblW w:w="2430" w:type="dxa"/>
        <w:jc w:val="left"/>
        <w:tblInd w:w="0" w:type="dxa"/>
        <w:tblLayout w:type="fixed"/>
        <w:tblCellMar>
          <w:top w:w="28" w:type="dxa"/>
          <w:left w:w="28" w:type="dxa"/>
          <w:bottom w:w="28" w:type="dxa"/>
          <w:right w:w="28" w:type="dxa"/>
        </w:tblCellMar>
      </w:tblPr>
      <w:tblGrid>
        <w:gridCol w:w="778"/>
        <w:gridCol w:w="684"/>
        <w:gridCol w:w="968"/>
      </w:tblGrid>
      <w:tr>
        <w:trPr/>
        <w:tc>
          <w:tcPr>
            <w:tcW w:w="778"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r>
      <w:tr>
        <w:trPr/>
        <w:tc>
          <w:tcPr>
            <w:tcW w:w="2430" w:type="dxa"/>
            <w:gridSpan w:val="3"/>
            <w:tcBorders>
              <w:bottom w:val="single" w:sz="4" w:space="0" w:color="004C97"/>
            </w:tcBorders>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4C97"/>
                <w:sz w:val="16"/>
              </w:rPr>
            </w:pPr>
            <w:r>
              <w:rPr>
                <w:rFonts w:ascii="Arial;sans-serif" w:hAnsi="Arial;sans-serif"/>
                <w:b w:val="false"/>
                <w:color w:val="004C97"/>
                <w:sz w:val="16"/>
              </w:rPr>
              <w:t>CORPORATE GOVERNANCE</w:t>
            </w:r>
          </w:p>
        </w:tc>
      </w:tr>
    </w:tbl>
    <w:p>
      <w:pPr>
        <w:pStyle w:val="TextBody"/>
        <w:bidi w:val="0"/>
        <w:spacing w:lineRule="auto" w:line="288" w:before="0" w:after="60"/>
        <w:jc w:val="left"/>
        <w:rPr>
          <w:rFonts w:ascii="Arial;sans-serif" w:hAnsi="Arial;sans-serif"/>
          <w:b/>
          <w:color w:val="000000"/>
          <w:sz w:val="22"/>
        </w:rPr>
      </w:pPr>
      <w:r>
        <w:rPr>
          <w:rFonts w:ascii="Arial;sans-serif" w:hAnsi="Arial;sans-serif"/>
          <w:b/>
          <w:color w:val="000000"/>
          <w:sz w:val="22"/>
        </w:rPr>
        <w:t>BOARD LEADERSHIP STRUCTURE</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Our governance documents provide the Board with flexibility to select the leadership structure that is most appropriate for the Company and its stockholders in consideration of then-current circumstances. The Board regularly evaluates the Company’s leadership structure and has concluded that the Company and its stockholders are best served by not having a formal policy regarding whether the same individual should serve as both Chairman of the Board and CEO. This approach allows the Board to elect the most qualified director as Chairman of the Board while also maintaining the ability to combine or separate the Chairman of the Board and CEO roles when necessary or appropriate. We currently separate the positions of Chairman of the Board and CEO.</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Currently, Eugene J. Lowe, III, serves as our President and CEO, a position he has held since September 26, 2015. In this role, Mr. Lowe is responsible for managing the day-to-day operations of the Company and for planning, formulating, and coordinating the development and execution of our corporate strategy, policies, goals, and objectives. Mr. Lowe is accountable for Company performance and reports directly to the Board.</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Patrick J. O’Leary has served as our non-employee Chairman of the Board since September 26, 2015. In this role, Mr. O’Leary’s responsibilities include the following:</w:t>
      </w:r>
    </w:p>
    <w:p>
      <w:pPr>
        <w:pStyle w:val="TextBody"/>
        <w:bidi w:val="0"/>
        <w:spacing w:lineRule="auto" w:line="288" w:before="0" w:after="180"/>
        <w:ind w:left="0" w:right="0" w:hanging="216"/>
        <w:jc w:val="both"/>
        <w:rPr/>
      </w:pPr>
      <w:r>
        <w:rPr>
          <w:color w:val="000000"/>
        </w:rPr>
        <w:t>•</w:t>
      </w:r>
      <w:r>
        <w:rPr>
          <w:rFonts w:ascii="Arial;sans-serif" w:hAnsi="Arial;sans-serif"/>
          <w:b w:val="false"/>
          <w:color w:val="000000"/>
          <w:sz w:val="18"/>
        </w:rPr>
        <w:t>Serving as a resource to the President and CEO in connection with strategic planning and other matters of strategic importance to the Company;</w:t>
      </w:r>
    </w:p>
    <w:p>
      <w:pPr>
        <w:pStyle w:val="TextBody"/>
        <w:bidi w:val="0"/>
        <w:spacing w:lineRule="auto" w:line="288" w:before="0" w:after="180"/>
        <w:ind w:left="0" w:right="0" w:hanging="216"/>
        <w:jc w:val="both"/>
        <w:rPr/>
      </w:pPr>
      <w:r>
        <w:rPr>
          <w:color w:val="000000"/>
        </w:rPr>
        <w:t>•</w:t>
      </w:r>
      <w:r>
        <w:rPr>
          <w:rFonts w:ascii="Arial;sans-serif" w:hAnsi="Arial;sans-serif"/>
          <w:b w:val="false"/>
          <w:color w:val="000000"/>
          <w:sz w:val="18"/>
        </w:rPr>
        <w:t>Receiving reports from the President and CEO, organizing and facilitating the President and CEO evaluation process, and providing ongoing, constructive feedback to the President and CEO;</w:t>
      </w:r>
    </w:p>
    <w:p>
      <w:pPr>
        <w:pStyle w:val="TextBody"/>
        <w:bidi w:val="0"/>
        <w:spacing w:lineRule="auto" w:line="288" w:before="0" w:after="180"/>
        <w:ind w:left="0" w:right="0" w:hanging="216"/>
        <w:jc w:val="both"/>
        <w:rPr/>
      </w:pPr>
      <w:r>
        <w:rPr>
          <w:color w:val="000000"/>
        </w:rPr>
        <w:t>•</w:t>
      </w:r>
      <w:r>
        <w:rPr>
          <w:rFonts w:ascii="Arial;sans-serif" w:hAnsi="Arial;sans-serif"/>
          <w:b w:val="false"/>
          <w:color w:val="000000"/>
          <w:sz w:val="18"/>
        </w:rPr>
        <w:t>Consulting with the President and CEO regarding the Company’s relations and communications with stockholders of the Company, analysts, and the investor community;</w:t>
      </w:r>
    </w:p>
    <w:p>
      <w:pPr>
        <w:pStyle w:val="TextBody"/>
        <w:bidi w:val="0"/>
        <w:spacing w:lineRule="auto" w:line="288" w:before="0" w:after="180"/>
        <w:ind w:left="0" w:right="0" w:hanging="216"/>
        <w:jc w:val="both"/>
        <w:rPr/>
      </w:pPr>
      <w:r>
        <w:rPr>
          <w:color w:val="000000"/>
        </w:rPr>
        <w:t>•</w:t>
      </w:r>
      <w:r>
        <w:rPr>
          <w:rFonts w:ascii="Arial;sans-serif" w:hAnsi="Arial;sans-serif"/>
          <w:b w:val="false"/>
          <w:color w:val="000000"/>
          <w:sz w:val="18"/>
        </w:rPr>
        <w:t>Chairing meetings of the Board;</w:t>
      </w:r>
    </w:p>
    <w:p>
      <w:pPr>
        <w:pStyle w:val="TextBody"/>
        <w:bidi w:val="0"/>
        <w:spacing w:lineRule="auto" w:line="288" w:before="0" w:after="180"/>
        <w:ind w:left="0" w:right="0" w:hanging="216"/>
        <w:jc w:val="both"/>
        <w:rPr/>
      </w:pPr>
      <w:r>
        <w:rPr>
          <w:color w:val="000000"/>
        </w:rPr>
        <w:t>•</w:t>
      </w:r>
      <w:r>
        <w:rPr>
          <w:rFonts w:ascii="Arial;sans-serif" w:hAnsi="Arial;sans-serif"/>
          <w:b w:val="false"/>
          <w:color w:val="000000"/>
          <w:sz w:val="18"/>
        </w:rPr>
        <w:t>Setting the schedule and agenda for Board meetings in consultation with the President and CEO;</w:t>
      </w:r>
    </w:p>
    <w:p>
      <w:pPr>
        <w:pStyle w:val="TextBody"/>
        <w:bidi w:val="0"/>
        <w:spacing w:lineRule="auto" w:line="288" w:before="0" w:after="180"/>
        <w:ind w:left="0" w:right="0" w:hanging="216"/>
        <w:jc w:val="both"/>
        <w:rPr/>
      </w:pPr>
      <w:r>
        <w:rPr>
          <w:color w:val="000000"/>
        </w:rPr>
        <w:t>•</w:t>
      </w:r>
      <w:r>
        <w:rPr>
          <w:rFonts w:ascii="Arial;sans-serif" w:hAnsi="Arial;sans-serif"/>
          <w:b w:val="false"/>
          <w:color w:val="000000"/>
          <w:sz w:val="18"/>
        </w:rPr>
        <w:t>Determining the information that is sent to the Board in consultation with the President and CEO;</w:t>
      </w:r>
    </w:p>
    <w:p>
      <w:pPr>
        <w:pStyle w:val="TextBody"/>
        <w:bidi w:val="0"/>
        <w:spacing w:lineRule="auto" w:line="288" w:before="0" w:after="180"/>
        <w:ind w:left="0" w:right="0" w:hanging="216"/>
        <w:jc w:val="both"/>
        <w:rPr/>
      </w:pPr>
      <w:r>
        <w:rPr>
          <w:color w:val="000000"/>
        </w:rPr>
        <w:t>•</w:t>
      </w:r>
      <w:r>
        <w:rPr>
          <w:rFonts w:ascii="Arial;sans-serif" w:hAnsi="Arial;sans-serif"/>
          <w:b w:val="false"/>
          <w:color w:val="000000"/>
          <w:sz w:val="18"/>
        </w:rPr>
        <w:t>Presiding over the executive sessions and other meetings of the non-employee directors; and</w:t>
      </w:r>
    </w:p>
    <w:p>
      <w:pPr>
        <w:pStyle w:val="TextBody"/>
        <w:bidi w:val="0"/>
        <w:spacing w:lineRule="auto" w:line="288" w:before="0" w:after="180"/>
        <w:ind w:left="0" w:right="0" w:hanging="216"/>
        <w:jc w:val="both"/>
        <w:rPr/>
      </w:pPr>
      <w:r>
        <w:rPr>
          <w:color w:val="000000"/>
        </w:rPr>
        <w:t>•</w:t>
      </w:r>
      <w:r>
        <w:rPr>
          <w:rFonts w:ascii="Arial;sans-serif" w:hAnsi="Arial;sans-serif"/>
          <w:b w:val="false"/>
          <w:color w:val="000000"/>
          <w:sz w:val="18"/>
        </w:rPr>
        <w:t>Communicating the results of meetings of the non-employee directors to the President and CEO and other members of management, as appropriate.</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Our Corporate Governance Guidelines provide that in the event the Board determines that the same individual should again serve as both Chairman of the Board and CEO, the Board will appoint an independent director to serve as Lead Director. In that circumstance, the Lead Director would serve as the principal liaison between the non-employee directors and the Chairman and CEO; chair meetings of non-employee directors; develop the Board’s agenda in collaboration with the Chairman and CEO; and review and advise on the quality of the information provided to the Board.</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The small size of our Board and the relationship between management and non-employee directors put each director in a position to influence agendas, the flow of information, and other matters. Our non-employee directors meet regularly in private session, without management, as part of our Board meetings and can also call additional meetings of the non-employee directors at their discretion. The Board believes that its current leadership structure provides an appropriate balance among strategy development, operational execution, and independent oversight, and that this structure is currently in the best interests of the Company and its stockholders.</w:t>
      </w:r>
    </w:p>
    <w:p>
      <w:pPr>
        <w:pStyle w:val="TextBody"/>
        <w:bidi w:val="0"/>
        <w:spacing w:lineRule="auto" w:line="288" w:before="0" w:after="60"/>
        <w:jc w:val="both"/>
        <w:rPr>
          <w:rFonts w:ascii="Arial;sans-serif" w:hAnsi="Arial;sans-serif"/>
          <w:b/>
          <w:color w:val="000000"/>
          <w:sz w:val="22"/>
        </w:rPr>
      </w:pPr>
      <w:r>
        <w:rPr>
          <w:rFonts w:ascii="Arial;sans-serif" w:hAnsi="Arial;sans-serif"/>
          <w:b/>
          <w:color w:val="000000"/>
          <w:sz w:val="22"/>
        </w:rPr>
        <w:t>BOARD COMMITTEES</w:t>
      </w:r>
    </w:p>
    <w:p>
      <w:pPr>
        <w:pStyle w:val="TextBody"/>
        <w:bidi w:val="0"/>
        <w:spacing w:lineRule="auto" w:line="288" w:before="0" w:after="180"/>
        <w:jc w:val="both"/>
        <w:rPr/>
      </w:pPr>
      <w:r>
        <w:rPr>
          <w:rFonts w:ascii="Arial;sans-serif" w:hAnsi="Arial;sans-serif"/>
          <w:b w:val="false"/>
          <w:color w:val="000000"/>
          <w:sz w:val="18"/>
        </w:rPr>
        <w:t>The Board met five times in 2023. The Board currently has a standing Audit Committee, Compensation Committee, and Governance &amp; Sustainability Committee. Except for Dr. Shaw, all directors attended at least 75% of the meetings of the Board and of the committees on which they served in 2023. Dr. Shaw attended 73% of the Board and committee meetings on which she served in 2023 and would have achieved over 75% attendance but for a serious illness in her family. Dr. Shaw is an active participant on all board matters, is a leader on sustainability and governance matters and engages consistently with the Chairman, the President &amp; CEO and the other board members and management outside of the regular meetings. In light of the reason for her absences and her active engagement and leadership on board matters, the Board (with Dr. Shaw recusing herself) unanimously approved her absences in determining to nominate her for re-election as a director at the Annual Meeting.</w:t>
      </w:r>
      <w:r>
        <w:rPr>
          <w:color w:val="000000"/>
        </w:rPr>
        <w:t xml:space="preser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6480175" cy="739140"/>
                <wp:effectExtent l="0" t="0" r="0" b="0"/>
                <wp:wrapNone/>
                <wp:docPr id="40" name="Frame14"/>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292" w:type="dxa"/>
                              <w:jc w:val="left"/>
                              <w:tblInd w:w="0" w:type="dxa"/>
                              <w:tblLayout w:type="fixed"/>
                              <w:tblCellMar>
                                <w:top w:w="28" w:type="dxa"/>
                                <w:left w:w="28" w:type="dxa"/>
                                <w:bottom w:w="28" w:type="dxa"/>
                                <w:right w:w="28" w:type="dxa"/>
                              </w:tblCellMar>
                            </w:tblPr>
                            <w:tblGrid>
                              <w:gridCol w:w="124"/>
                              <w:gridCol w:w="109"/>
                              <w:gridCol w:w="109"/>
                              <w:gridCol w:w="704"/>
                              <w:gridCol w:w="704"/>
                              <w:gridCol w:w="706"/>
                              <w:gridCol w:w="244"/>
                              <w:gridCol w:w="244"/>
                              <w:gridCol w:w="34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6"/>
                                    </w:rPr>
                                  </w:pPr>
                                  <w:r>
                                    <w:rPr>
                                      <w:rFonts w:ascii="Arial;sans-serif" w:hAnsi="Arial;sans-serif"/>
                                      <w:b/>
                                      <w:color w:val="000000"/>
                                      <w:sz w:val="16"/>
                                    </w:rPr>
                                    <w:t>8</w:t>
                                  </w:r>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2024 PROXY STATEMENT</w:t>
                                  </w:r>
                                </w:p>
                              </w:tc>
                              <w:tc>
                                <w:tcPr>
                                  <w:tcW w:w="83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41"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20" descr=""/>
                                                <pic:cNvPicPr>
                                                  <a:picLocks noChangeAspect="1" noChangeArrowheads="1"/>
                                                </pic:cNvPicPr>
                                              </pic:nvPicPr>
                                              <pic:blipFill>
                                                <a:blip r:embed="rId28"/>
                                                <a:stretch>
                                                  <a:fillRect/>
                                                </a:stretch>
                                              </pic:blipFill>
                                              <pic:spPr bwMode="auto">
                                                <a:xfrm>
                                                  <a:off x="0" y="0"/>
                                                  <a:ext cx="447675" cy="161925"/>
                                                </a:xfrm>
                                                <a:prstGeom prst="rect">
                                                  <a:avLst/>
                                                </a:prstGeom>
                                              </pic:spPr>
                                            </pic:pic>
                                          </a:graphicData>
                                        </a:graphic>
                                      </wp:inline>
                                    </w:drawing>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292" w:type="dxa"/>
                        <w:jc w:val="left"/>
                        <w:tblInd w:w="0" w:type="dxa"/>
                        <w:tblLayout w:type="fixed"/>
                        <w:tblCellMar>
                          <w:top w:w="28" w:type="dxa"/>
                          <w:left w:w="28" w:type="dxa"/>
                          <w:bottom w:w="28" w:type="dxa"/>
                          <w:right w:w="28" w:type="dxa"/>
                        </w:tblCellMar>
                      </w:tblPr>
                      <w:tblGrid>
                        <w:gridCol w:w="124"/>
                        <w:gridCol w:w="109"/>
                        <w:gridCol w:w="109"/>
                        <w:gridCol w:w="704"/>
                        <w:gridCol w:w="704"/>
                        <w:gridCol w:w="706"/>
                        <w:gridCol w:w="244"/>
                        <w:gridCol w:w="244"/>
                        <w:gridCol w:w="34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6"/>
                              </w:rPr>
                            </w:pPr>
                            <w:r>
                              <w:rPr>
                                <w:rFonts w:ascii="Arial;sans-serif" w:hAnsi="Arial;sans-serif"/>
                                <w:b/>
                                <w:color w:val="000000"/>
                                <w:sz w:val="16"/>
                              </w:rPr>
                              <w:t>8</w:t>
                            </w:r>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2024 PROXY STATEMENT</w:t>
                            </w:r>
                          </w:p>
                        </w:tc>
                        <w:tc>
                          <w:tcPr>
                            <w:tcW w:w="83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42"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20" descr=""/>
                                          <pic:cNvPicPr>
                                            <a:picLocks noChangeAspect="1" noChangeArrowheads="1"/>
                                          </pic:cNvPicPr>
                                        </pic:nvPicPr>
                                        <pic:blipFill>
                                          <a:blip r:embed="rId29"/>
                                          <a:stretch>
                                            <a:fillRect/>
                                          </a:stretch>
                                        </pic:blipFill>
                                        <pic:spPr bwMode="auto">
                                          <a:xfrm>
                                            <a:off x="0" y="0"/>
                                            <a:ext cx="447675" cy="161925"/>
                                          </a:xfrm>
                                          <a:prstGeom prst="rect">
                                            <a:avLst/>
                                          </a:prstGeom>
                                        </pic:spPr>
                                      </pic:pic>
                                    </a:graphicData>
                                  </a:graphic>
                                </wp:inline>
                              </w:drawing>
                            </w:r>
                          </w:p>
                        </w:tc>
                      </w:tr>
                    </w:tbl>
                    <w:p>
                      <w:pPr>
                        <w:pStyle w:val="TextBody"/>
                        <w:bidi w:val="0"/>
                        <w:spacing w:before="0" w:after="283"/>
                        <w:jc w:val="left"/>
                        <w:rPr/>
                      </w:pPr>
                      <w:r>
                        <w:rPr/>
                      </w:r>
                    </w:p>
                  </w:txbxContent>
                </v:textbox>
                <w10:wrap type="none"/>
              </v:rect>
            </w:pict>
          </mc:Fallback>
        </mc:AlternateContent>
      </w:r>
    </w:p>
    <w:tbl>
      <w:tblPr>
        <w:tblW w:w="2430" w:type="dxa"/>
        <w:jc w:val="left"/>
        <w:tblInd w:w="0" w:type="dxa"/>
        <w:tblLayout w:type="fixed"/>
        <w:tblCellMar>
          <w:top w:w="28" w:type="dxa"/>
          <w:left w:w="28" w:type="dxa"/>
          <w:bottom w:w="28" w:type="dxa"/>
          <w:right w:w="28" w:type="dxa"/>
        </w:tblCellMar>
      </w:tblPr>
      <w:tblGrid>
        <w:gridCol w:w="778"/>
        <w:gridCol w:w="684"/>
        <w:gridCol w:w="968"/>
      </w:tblGrid>
      <w:tr>
        <w:trPr/>
        <w:tc>
          <w:tcPr>
            <w:tcW w:w="778"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r>
      <w:tr>
        <w:trPr/>
        <w:tc>
          <w:tcPr>
            <w:tcW w:w="2430" w:type="dxa"/>
            <w:gridSpan w:val="3"/>
            <w:tcBorders>
              <w:bottom w:val="single" w:sz="4" w:space="0" w:color="004C97"/>
            </w:tcBorders>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4C97"/>
                <w:sz w:val="16"/>
              </w:rPr>
            </w:pPr>
            <w:r>
              <w:rPr>
                <w:rFonts w:ascii="Arial;sans-serif" w:hAnsi="Arial;sans-serif"/>
                <w:b w:val="false"/>
                <w:color w:val="004C97"/>
                <w:sz w:val="16"/>
              </w:rPr>
              <w:t>CORPORATE GOVERNANCE</w:t>
            </w:r>
          </w:p>
        </w:tc>
      </w:tr>
    </w:tbl>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Each committee has adopted a charter that specifies the composition and responsibilities of the committee. Each committee charter is posted on our website (www.spx.com) under the heading “Investor Relations—Corporate Governance—Board Committees.”</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The table below provides the member and 2023 meeting information for each of the Board committees.</w:t>
      </w:r>
    </w:p>
    <w:tbl>
      <w:tblPr>
        <w:tblW w:w="6286" w:type="dxa"/>
        <w:jc w:val="left"/>
        <w:tblInd w:w="0" w:type="dxa"/>
        <w:tblLayout w:type="fixed"/>
        <w:tblCellMar>
          <w:top w:w="28" w:type="dxa"/>
          <w:left w:w="28" w:type="dxa"/>
          <w:bottom w:w="28" w:type="dxa"/>
          <w:right w:w="28" w:type="dxa"/>
        </w:tblCellMar>
      </w:tblPr>
      <w:tblGrid>
        <w:gridCol w:w="575"/>
        <w:gridCol w:w="506"/>
        <w:gridCol w:w="509"/>
        <w:gridCol w:w="325"/>
        <w:gridCol w:w="325"/>
        <w:gridCol w:w="326"/>
        <w:gridCol w:w="425"/>
        <w:gridCol w:w="425"/>
        <w:gridCol w:w="426"/>
        <w:gridCol w:w="716"/>
        <w:gridCol w:w="716"/>
        <w:gridCol w:w="1012"/>
      </w:tblGrid>
      <w:tr>
        <w:trPr/>
        <w:tc>
          <w:tcPr>
            <w:tcW w:w="575"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r>
      <w:tr>
        <w:trPr/>
        <w:tc>
          <w:tcPr>
            <w:tcW w:w="1590" w:type="dxa"/>
            <w:gridSpan w:val="3"/>
            <w:tcBorders>
              <w:top w:val="single" w:sz="4" w:space="0" w:color="000000"/>
              <w:left w:val="single" w:sz="4" w:space="0" w:color="000000"/>
            </w:tcBorders>
            <w:shd w:fill="004C97" w:val="clear"/>
            <w:tcMar>
              <w:top w:w="30" w:type="dxa"/>
              <w:bottom w:w="0" w:type="dxa"/>
              <w:right w:w="0" w:type="dxa"/>
            </w:tcMar>
            <w:vAlign w:val="center"/>
          </w:tcPr>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Directors</w:t>
            </w:r>
          </w:p>
        </w:tc>
        <w:tc>
          <w:tcPr>
            <w:tcW w:w="976" w:type="dxa"/>
            <w:gridSpan w:val="3"/>
            <w:tcBorders>
              <w:top w:val="single" w:sz="4" w:space="0" w:color="000000"/>
              <w:left w:val="single" w:sz="4" w:space="0" w:color="000000"/>
            </w:tcBorders>
            <w:shd w:fill="004C97" w:val="clear"/>
            <w:tcMar>
              <w:top w:w="30" w:type="dxa"/>
              <w:bottom w:w="0" w:type="dxa"/>
              <w:right w:w="0" w:type="dxa"/>
            </w:tcMar>
            <w:vAlign w:val="center"/>
          </w:tcPr>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Audit</w:t>
            </w:r>
          </w:p>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Committee</w:t>
            </w:r>
          </w:p>
        </w:tc>
        <w:tc>
          <w:tcPr>
            <w:tcW w:w="1276" w:type="dxa"/>
            <w:gridSpan w:val="3"/>
            <w:tcBorders>
              <w:top w:val="single" w:sz="4" w:space="0" w:color="000000"/>
              <w:left w:val="single" w:sz="4" w:space="0" w:color="000000"/>
            </w:tcBorders>
            <w:shd w:fill="004C97" w:val="clear"/>
            <w:tcMar>
              <w:top w:w="30" w:type="dxa"/>
              <w:bottom w:w="0" w:type="dxa"/>
              <w:right w:w="0" w:type="dxa"/>
            </w:tcMar>
            <w:vAlign w:val="center"/>
          </w:tcPr>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Compensation</w:t>
            </w:r>
          </w:p>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Committee</w:t>
            </w:r>
          </w:p>
        </w:tc>
        <w:tc>
          <w:tcPr>
            <w:tcW w:w="2444" w:type="dxa"/>
            <w:gridSpan w:val="3"/>
            <w:tcBorders>
              <w:top w:val="single" w:sz="4" w:space="0" w:color="000000"/>
              <w:left w:val="single" w:sz="4" w:space="0" w:color="000000"/>
              <w:right w:val="single" w:sz="4" w:space="0" w:color="000000"/>
            </w:tcBorders>
            <w:shd w:fill="004C97" w:val="clear"/>
            <w:tcMar>
              <w:top w:w="30" w:type="dxa"/>
              <w:bottom w:w="0" w:type="dxa"/>
            </w:tcMar>
            <w:vAlign w:val="center"/>
          </w:tcPr>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 xml:space="preserve">Governance &amp; Sustainability </w:t>
            </w:r>
          </w:p>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Committee</w:t>
            </w:r>
          </w:p>
        </w:tc>
      </w:tr>
      <w:tr>
        <w:trPr/>
        <w:tc>
          <w:tcPr>
            <w:tcW w:w="1590" w:type="dxa"/>
            <w:gridSpan w:val="3"/>
            <w:tcBorders>
              <w:top w:val="single" w:sz="4" w:space="0" w:color="000000"/>
              <w:left w:val="single" w:sz="4" w:space="0" w:color="000000"/>
            </w:tcBorders>
            <w:shd w:fill="E6E7E8" w:val="clear"/>
            <w:tcMar>
              <w:top w:w="30" w:type="dxa"/>
              <w:left w:w="20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Patrick O’Leary</w:t>
            </w:r>
          </w:p>
        </w:tc>
        <w:tc>
          <w:tcPr>
            <w:tcW w:w="976" w:type="dxa"/>
            <w:gridSpan w:val="3"/>
            <w:tcBorders>
              <w:top w:val="single" w:sz="4" w:space="0" w:color="000000"/>
              <w:left w:val="single" w:sz="4" w:space="0" w:color="000000"/>
            </w:tcBorders>
            <w:shd w:fill="E6E7E8" w:val="clear"/>
            <w:tcMar>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op w:val="single" w:sz="4" w:space="0" w:color="000000"/>
              <w:left w:val="single" w:sz="4" w:space="0" w:color="000000"/>
            </w:tcBorders>
            <w:shd w:fill="E6E7E8" w:val="clear"/>
            <w:tcMar>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top w:val="single" w:sz="4" w:space="0" w:color="000000"/>
              <w:left w:val="single" w:sz="4" w:space="0" w:color="000000"/>
              <w:right w:val="single" w:sz="4" w:space="0" w:color="000000"/>
            </w:tcBorders>
            <w:shd w:fill="E6E7E8" w:val="clear"/>
            <w:tcMar>
              <w:top w:w="30" w:type="dxa"/>
              <w:bottom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X</w:t>
            </w:r>
          </w:p>
        </w:tc>
      </w:tr>
      <w:tr>
        <w:trPr/>
        <w:tc>
          <w:tcPr>
            <w:tcW w:w="1590" w:type="dxa"/>
            <w:gridSpan w:val="3"/>
            <w:tcBorders>
              <w:top w:val="single" w:sz="4" w:space="0" w:color="000000"/>
              <w:left w:val="single" w:sz="4" w:space="0" w:color="000000"/>
            </w:tcBorders>
            <w:shd w:fill="FFFFFF" w:val="clear"/>
            <w:tcMar>
              <w:top w:w="30" w:type="dxa"/>
              <w:left w:w="20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Ricky D. Puckett</w:t>
            </w:r>
          </w:p>
        </w:tc>
        <w:tc>
          <w:tcPr>
            <w:tcW w:w="976"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X</w:t>
            </w:r>
          </w:p>
        </w:tc>
        <w:tc>
          <w:tcPr>
            <w:tcW w:w="1276"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Chair</w:t>
            </w:r>
          </w:p>
        </w:tc>
        <w:tc>
          <w:tcPr>
            <w:tcW w:w="2444" w:type="dxa"/>
            <w:gridSpan w:val="3"/>
            <w:tcBorders>
              <w:top w:val="single" w:sz="4" w:space="0" w:color="000000"/>
              <w:left w:val="single" w:sz="4" w:space="0" w:color="000000"/>
              <w:right w:val="single" w:sz="4" w:space="0" w:color="000000"/>
            </w:tcBorders>
            <w:shd w:fill="FFFFFF" w:val="clear"/>
            <w:tcMar>
              <w:bottom w:w="0" w:type="dxa"/>
            </w:tcMar>
            <w:vAlign w:val="center"/>
          </w:tcPr>
          <w:p>
            <w:pPr>
              <w:pStyle w:val="TableContents"/>
              <w:bidi w:val="0"/>
              <w:spacing w:before="0" w:after="0"/>
              <w:jc w:val="center"/>
              <w:rPr/>
            </w:pPr>
            <w:r>
              <w:rPr/>
            </w:r>
          </w:p>
        </w:tc>
      </w:tr>
      <w:tr>
        <w:trPr/>
        <w:tc>
          <w:tcPr>
            <w:tcW w:w="1590" w:type="dxa"/>
            <w:gridSpan w:val="3"/>
            <w:tcBorders>
              <w:top w:val="single" w:sz="4" w:space="0" w:color="000000"/>
              <w:left w:val="single" w:sz="4" w:space="0" w:color="000000"/>
            </w:tcBorders>
            <w:shd w:fill="E6E7E8" w:val="clear"/>
            <w:tcMar>
              <w:top w:w="30" w:type="dxa"/>
              <w:left w:w="20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David A. Roberts</w:t>
            </w:r>
          </w:p>
        </w:tc>
        <w:tc>
          <w:tcPr>
            <w:tcW w:w="976" w:type="dxa"/>
            <w:gridSpan w:val="3"/>
            <w:tcBorders>
              <w:top w:val="single" w:sz="4" w:space="0" w:color="000000"/>
              <w:left w:val="single" w:sz="4" w:space="0" w:color="000000"/>
            </w:tcBorders>
            <w:shd w:fill="E6E7E8" w:val="clear"/>
            <w:tcMar>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X</w:t>
            </w:r>
          </w:p>
        </w:tc>
        <w:tc>
          <w:tcPr>
            <w:tcW w:w="2444" w:type="dxa"/>
            <w:gridSpan w:val="3"/>
            <w:tcBorders>
              <w:top w:val="single" w:sz="4" w:space="0" w:color="000000"/>
              <w:left w:val="single" w:sz="4" w:space="0" w:color="000000"/>
              <w:right w:val="single" w:sz="4" w:space="0" w:color="000000"/>
            </w:tcBorders>
            <w:shd w:fill="E6E7E8" w:val="clear"/>
            <w:tcMar>
              <w:top w:w="30" w:type="dxa"/>
              <w:bottom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X</w:t>
            </w:r>
          </w:p>
        </w:tc>
      </w:tr>
      <w:tr>
        <w:trPr/>
        <w:tc>
          <w:tcPr>
            <w:tcW w:w="1590" w:type="dxa"/>
            <w:gridSpan w:val="3"/>
            <w:tcBorders>
              <w:top w:val="single" w:sz="4" w:space="0" w:color="000000"/>
              <w:left w:val="single" w:sz="4" w:space="0" w:color="000000"/>
            </w:tcBorders>
            <w:shd w:fill="FFFFFF" w:val="clear"/>
            <w:tcMar>
              <w:top w:w="30" w:type="dxa"/>
              <w:left w:w="20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Meenal A. Sethna</w:t>
            </w:r>
          </w:p>
        </w:tc>
        <w:tc>
          <w:tcPr>
            <w:tcW w:w="976"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Chair</w:t>
            </w:r>
          </w:p>
        </w:tc>
        <w:tc>
          <w:tcPr>
            <w:tcW w:w="1276"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top w:val="single" w:sz="4" w:space="0" w:color="000000"/>
              <w:left w:val="single" w:sz="4" w:space="0" w:color="000000"/>
              <w:right w:val="single" w:sz="4" w:space="0" w:color="000000"/>
            </w:tcBorders>
            <w:shd w:fill="FFFFFF" w:val="clear"/>
            <w:tcMar>
              <w:top w:w="30" w:type="dxa"/>
              <w:bottom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X</w:t>
            </w:r>
          </w:p>
        </w:tc>
      </w:tr>
      <w:tr>
        <w:trPr/>
        <w:tc>
          <w:tcPr>
            <w:tcW w:w="1590" w:type="dxa"/>
            <w:gridSpan w:val="3"/>
            <w:tcBorders>
              <w:top w:val="single" w:sz="4" w:space="0" w:color="000000"/>
              <w:left w:val="single" w:sz="4" w:space="0" w:color="000000"/>
            </w:tcBorders>
            <w:shd w:fill="E6E7E8" w:val="clear"/>
            <w:tcMar>
              <w:top w:w="30" w:type="dxa"/>
              <w:left w:w="20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Ruth G. Shaw</w:t>
            </w:r>
          </w:p>
        </w:tc>
        <w:tc>
          <w:tcPr>
            <w:tcW w:w="976" w:type="dxa"/>
            <w:gridSpan w:val="3"/>
            <w:tcBorders>
              <w:top w:val="single" w:sz="4" w:space="0" w:color="000000"/>
              <w:left w:val="single" w:sz="4" w:space="0" w:color="000000"/>
            </w:tcBorders>
            <w:shd w:fill="E6E7E8" w:val="clear"/>
            <w:tcMar>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X</w:t>
            </w:r>
          </w:p>
        </w:tc>
        <w:tc>
          <w:tcPr>
            <w:tcW w:w="2444" w:type="dxa"/>
            <w:gridSpan w:val="3"/>
            <w:tcBorders>
              <w:top w:val="single" w:sz="4" w:space="0" w:color="000000"/>
              <w:left w:val="single" w:sz="4" w:space="0" w:color="000000"/>
              <w:right w:val="single" w:sz="4" w:space="0" w:color="000000"/>
            </w:tcBorders>
            <w:shd w:fill="E6E7E8" w:val="clear"/>
            <w:tcMar>
              <w:top w:w="30" w:type="dxa"/>
              <w:bottom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Chair</w:t>
            </w:r>
          </w:p>
        </w:tc>
      </w:tr>
      <w:tr>
        <w:trPr/>
        <w:tc>
          <w:tcPr>
            <w:tcW w:w="1590" w:type="dxa"/>
            <w:gridSpan w:val="3"/>
            <w:tcBorders>
              <w:top w:val="single" w:sz="4" w:space="0" w:color="000000"/>
              <w:left w:val="single" w:sz="4" w:space="0" w:color="000000"/>
            </w:tcBorders>
            <w:shd w:fill="FFFFFF" w:val="clear"/>
            <w:tcMar>
              <w:top w:w="30" w:type="dxa"/>
              <w:left w:w="20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Robert B. Toth</w:t>
            </w:r>
          </w:p>
        </w:tc>
        <w:tc>
          <w:tcPr>
            <w:tcW w:w="976"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X</w:t>
            </w:r>
          </w:p>
        </w:tc>
        <w:tc>
          <w:tcPr>
            <w:tcW w:w="1276"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X</w:t>
            </w:r>
          </w:p>
        </w:tc>
        <w:tc>
          <w:tcPr>
            <w:tcW w:w="2444" w:type="dxa"/>
            <w:gridSpan w:val="3"/>
            <w:tcBorders>
              <w:top w:val="single" w:sz="4" w:space="0" w:color="000000"/>
              <w:left w:val="single" w:sz="4" w:space="0" w:color="000000"/>
              <w:right w:val="single" w:sz="4" w:space="0" w:color="000000"/>
            </w:tcBorders>
            <w:shd w:fill="FFFFFF" w:val="clear"/>
            <w:tcMar>
              <w:bottom w:w="0" w:type="dxa"/>
            </w:tcMar>
            <w:vAlign w:val="center"/>
          </w:tcPr>
          <w:p>
            <w:pPr>
              <w:pStyle w:val="TableContents"/>
              <w:bidi w:val="0"/>
              <w:spacing w:before="0" w:after="0"/>
              <w:jc w:val="center"/>
              <w:rPr/>
            </w:pPr>
            <w:r>
              <w:rPr/>
            </w:r>
          </w:p>
        </w:tc>
      </w:tr>
      <w:tr>
        <w:trPr/>
        <w:tc>
          <w:tcPr>
            <w:tcW w:w="1590" w:type="dxa"/>
            <w:gridSpan w:val="3"/>
            <w:tcBorders>
              <w:top w:val="single" w:sz="4" w:space="0" w:color="000000"/>
              <w:left w:val="single" w:sz="4" w:space="0" w:color="000000"/>
            </w:tcBorders>
            <w:shd w:fill="E6E7E8" w:val="clear"/>
            <w:tcMar>
              <w:top w:w="30" w:type="dxa"/>
              <w:left w:w="20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Tana L. Utley</w:t>
            </w:r>
          </w:p>
        </w:tc>
        <w:tc>
          <w:tcPr>
            <w:tcW w:w="976" w:type="dxa"/>
            <w:gridSpan w:val="3"/>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X</w:t>
            </w:r>
          </w:p>
        </w:tc>
        <w:tc>
          <w:tcPr>
            <w:tcW w:w="1276" w:type="dxa"/>
            <w:gridSpan w:val="3"/>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X</w:t>
            </w:r>
          </w:p>
        </w:tc>
        <w:tc>
          <w:tcPr>
            <w:tcW w:w="2444" w:type="dxa"/>
            <w:gridSpan w:val="3"/>
            <w:tcBorders>
              <w:top w:val="single" w:sz="4" w:space="0" w:color="000000"/>
              <w:left w:val="single" w:sz="4" w:space="0" w:color="000000"/>
              <w:right w:val="single" w:sz="4" w:space="0" w:color="000000"/>
            </w:tcBorders>
            <w:shd w:fill="E6E7E8" w:val="clear"/>
            <w:tcMar>
              <w:bottom w:w="0" w:type="dxa"/>
            </w:tcMar>
            <w:vAlign w:val="center"/>
          </w:tcPr>
          <w:p>
            <w:pPr>
              <w:pStyle w:val="TableContents"/>
              <w:bidi w:val="0"/>
              <w:spacing w:before="0" w:after="0"/>
              <w:jc w:val="center"/>
              <w:rPr/>
            </w:pPr>
            <w:r>
              <w:rPr/>
            </w:r>
          </w:p>
        </w:tc>
      </w:tr>
      <w:tr>
        <w:trPr/>
        <w:tc>
          <w:tcPr>
            <w:tcW w:w="1590" w:type="dxa"/>
            <w:gridSpan w:val="3"/>
            <w:tcBorders>
              <w:top w:val="single" w:sz="4" w:space="0" w:color="000000"/>
              <w:left w:val="single" w:sz="4" w:space="0" w:color="000000"/>
            </w:tcBorders>
            <w:shd w:fill="FFFFFF" w:val="clear"/>
            <w:tcMar>
              <w:top w:w="30" w:type="dxa"/>
              <w:left w:w="20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Angel Shelton Willis</w:t>
            </w:r>
          </w:p>
        </w:tc>
        <w:tc>
          <w:tcPr>
            <w:tcW w:w="976"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X</w:t>
            </w:r>
          </w:p>
        </w:tc>
        <w:tc>
          <w:tcPr>
            <w:tcW w:w="1276"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top w:val="single" w:sz="4" w:space="0" w:color="000000"/>
              <w:left w:val="single" w:sz="4" w:space="0" w:color="000000"/>
              <w:right w:val="single" w:sz="4" w:space="0" w:color="000000"/>
            </w:tcBorders>
            <w:shd w:fill="FFFFFF" w:val="clear"/>
            <w:tcMar>
              <w:top w:w="30" w:type="dxa"/>
              <w:bottom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X</w:t>
            </w:r>
          </w:p>
        </w:tc>
      </w:tr>
      <w:tr>
        <w:trPr/>
        <w:tc>
          <w:tcPr>
            <w:tcW w:w="1590" w:type="dxa"/>
            <w:gridSpan w:val="3"/>
            <w:tcBorders>
              <w:top w:val="single" w:sz="4" w:space="0" w:color="000000"/>
              <w:left w:val="single" w:sz="4" w:space="0" w:color="000000"/>
              <w:bottom w:val="single" w:sz="4" w:space="0" w:color="000000"/>
            </w:tcBorders>
            <w:shd w:fill="E6E7E8" w:val="clear"/>
            <w:tcMar>
              <w:top w:w="30" w:type="dxa"/>
              <w:left w:w="20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Number of Meetings</w:t>
            </w:r>
          </w:p>
        </w:tc>
        <w:tc>
          <w:tcPr>
            <w:tcW w:w="976" w:type="dxa"/>
            <w:gridSpan w:val="3"/>
            <w:tcBorders>
              <w:top w:val="single" w:sz="4" w:space="0" w:color="000000"/>
              <w:left w:val="single" w:sz="4" w:space="0" w:color="000000"/>
              <w:bottom w:val="single" w:sz="4" w:space="0" w:color="000000"/>
            </w:tcBorders>
            <w:shd w:fill="E6E7E8" w:val="clear"/>
            <w:tcMar>
              <w:top w:w="30" w:type="dxa"/>
              <w:bottom w:w="30" w:type="dxa"/>
              <w:right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5</w:t>
            </w:r>
          </w:p>
        </w:tc>
        <w:tc>
          <w:tcPr>
            <w:tcW w:w="1276" w:type="dxa"/>
            <w:gridSpan w:val="3"/>
            <w:tcBorders>
              <w:top w:val="single" w:sz="4" w:space="0" w:color="000000"/>
              <w:left w:val="single" w:sz="4" w:space="0" w:color="000000"/>
              <w:bottom w:val="single" w:sz="4" w:space="0" w:color="000000"/>
            </w:tcBorders>
            <w:shd w:fill="E6E7E8" w:val="clear"/>
            <w:tcMar>
              <w:top w:w="30" w:type="dxa"/>
              <w:bottom w:w="30" w:type="dxa"/>
              <w:right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6</w:t>
            </w:r>
          </w:p>
        </w:tc>
        <w:tc>
          <w:tcPr>
            <w:tcW w:w="2444" w:type="dxa"/>
            <w:gridSpan w:val="3"/>
            <w:tcBorders>
              <w:top w:val="single" w:sz="4" w:space="0" w:color="000000"/>
              <w:left w:val="single" w:sz="4" w:space="0" w:color="000000"/>
              <w:bottom w:val="single" w:sz="4" w:space="0" w:color="000000"/>
              <w:right w:val="single" w:sz="4" w:space="0" w:color="000000"/>
            </w:tcBorders>
            <w:shd w:fill="E6E7E8" w:val="clear"/>
            <w:tcMar>
              <w:top w:w="30" w:type="dxa"/>
              <w:bottom w:w="3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4</w:t>
            </w:r>
          </w:p>
        </w:tc>
      </w:tr>
    </w:tbl>
    <w:p>
      <w:pPr>
        <w:pStyle w:val="TextBody"/>
        <w:bidi w:val="0"/>
        <w:spacing w:lineRule="auto" w:line="288" w:before="0" w:after="60"/>
        <w:jc w:val="left"/>
        <w:rPr>
          <w:rFonts w:ascii="Arial;sans-serif" w:hAnsi="Arial;sans-serif"/>
          <w:b/>
          <w:color w:val="000000"/>
          <w:sz w:val="22"/>
        </w:rPr>
      </w:pPr>
      <w:r>
        <w:rPr>
          <w:rFonts w:ascii="Arial;sans-serif" w:hAnsi="Arial;sans-serif"/>
          <w:b/>
          <w:color w:val="000000"/>
          <w:sz w:val="22"/>
        </w:rPr>
        <w:t>AUDIT COMMITTEE</w:t>
      </w:r>
    </w:p>
    <w:p>
      <w:pPr>
        <w:pStyle w:val="TextBody"/>
        <w:bidi w:val="0"/>
        <w:spacing w:lineRule="auto" w:line="288" w:before="0" w:after="60"/>
        <w:jc w:val="left"/>
        <w:rPr>
          <w:rFonts w:ascii="Arial;sans-serif" w:hAnsi="Arial;sans-serif"/>
          <w:b/>
          <w:color w:val="004C97"/>
          <w:sz w:val="20"/>
        </w:rPr>
      </w:pPr>
      <w:r>
        <w:rPr>
          <w:rFonts w:ascii="Arial;sans-serif" w:hAnsi="Arial;sans-serif"/>
          <w:b/>
          <w:color w:val="004C97"/>
          <w:sz w:val="20"/>
        </w:rPr>
        <w:t>Membership</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The Board has determined that each member of the Audit Committee is independent in accordance with our Audit Committee Charter, Corporate Governance Guidelines, and Independence Standards, as well as with the rules of the SEC and the listing standards of the NYSE. In addition, the Board has determined that each member of the Audit Committee has a working familiarity with basic finance and accounting practices, including the ability to read and understand financial statements. Finally, the Board has determined that each of Mr. Puckett and Ms. Sethna is an “audit committee financial expert” under the rules of the SEC and has accounting and/or related financial management expertise, as required by the listing standards of the NYSE.</w:t>
      </w:r>
    </w:p>
    <w:p>
      <w:pPr>
        <w:pStyle w:val="TextBody"/>
        <w:bidi w:val="0"/>
        <w:spacing w:lineRule="auto" w:line="288" w:before="0" w:after="60"/>
        <w:jc w:val="both"/>
        <w:rPr>
          <w:rFonts w:ascii="Arial;sans-serif" w:hAnsi="Arial;sans-serif"/>
          <w:b/>
          <w:color w:val="004C97"/>
          <w:sz w:val="20"/>
        </w:rPr>
      </w:pPr>
      <w:r>
        <w:rPr>
          <w:rFonts w:ascii="Arial;sans-serif" w:hAnsi="Arial;sans-serif"/>
          <w:b/>
          <w:color w:val="004C97"/>
          <w:sz w:val="20"/>
        </w:rPr>
        <w:t>Function</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The Audit Committee is responsible for ensuring the integrity of the financial information reported by our Company. The Audit Committee appoints the independent registered public accounting firm, approves the scope of audits performed by it and by the internal audit staff, and reviews the results of those audits. The Audit Committee also meets with management, the Company’s independent registered public accounting firm, and the internal audit staff to review audit and non-audit results, as well as financial, cybersecurity, accounting, compliance, and internal control matters. In addition, the Board has delegated oversight of the Company’s enterprise risk management program and cybersecurity risk management program to the Audit Committee.</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Additional information on the Audit Committee and its activities is set forth in the “Audit Committee Report” on page 65.</w:t>
      </w:r>
    </w:p>
    <w:p>
      <w:pPr>
        <w:pStyle w:val="TextBody"/>
        <w:bidi w:val="0"/>
        <w:spacing w:lineRule="auto" w:line="288" w:before="0" w:after="60"/>
        <w:jc w:val="both"/>
        <w:rPr>
          <w:rFonts w:ascii="Arial;sans-serif" w:hAnsi="Arial;sans-serif"/>
          <w:b/>
          <w:color w:val="000000"/>
          <w:sz w:val="22"/>
        </w:rPr>
      </w:pPr>
      <w:r>
        <w:rPr>
          <w:rFonts w:ascii="Arial;sans-serif" w:hAnsi="Arial;sans-serif"/>
          <w:b/>
          <w:color w:val="000000"/>
          <w:sz w:val="22"/>
        </w:rPr>
        <w:t>COMPENSATION COMMITTEE</w:t>
      </w:r>
    </w:p>
    <w:p>
      <w:pPr>
        <w:pStyle w:val="TextBody"/>
        <w:bidi w:val="0"/>
        <w:spacing w:lineRule="auto" w:line="288" w:before="0" w:after="60"/>
        <w:jc w:val="both"/>
        <w:rPr>
          <w:rFonts w:ascii="Arial;sans-serif" w:hAnsi="Arial;sans-serif"/>
          <w:b/>
          <w:color w:val="004C97"/>
          <w:sz w:val="20"/>
        </w:rPr>
      </w:pPr>
      <w:r>
        <w:rPr>
          <w:rFonts w:ascii="Arial;sans-serif" w:hAnsi="Arial;sans-serif"/>
          <w:b/>
          <w:color w:val="004C97"/>
          <w:sz w:val="20"/>
        </w:rPr>
        <w:t>Membership</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The Board has determined that each member of the Compensation Committee is independent in accordance with our Compensation Committee Charter, Corporate Governance Guidelines, and Independence Standards, as well as with the rules of the SEC and the listing standards of the NYSE. In addition, the Board has determined that each member of the Compensation Committee meets the “non-employee director” requirements as defined under Section 16(a) of the Exchange Act.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6480175" cy="739140"/>
                <wp:effectExtent l="0" t="0" r="0" b="0"/>
                <wp:wrapNone/>
                <wp:docPr id="43" name="Frame15"/>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292" w:type="dxa"/>
                              <w:jc w:val="right"/>
                              <w:tblInd w:w="0" w:type="dxa"/>
                              <w:tblLayout w:type="fixed"/>
                              <w:tblCellMar>
                                <w:top w:w="28" w:type="dxa"/>
                                <w:left w:w="28" w:type="dxa"/>
                                <w:bottom w:w="28" w:type="dxa"/>
                                <w:right w:w="28" w:type="dxa"/>
                              </w:tblCellMar>
                            </w:tblPr>
                            <w:tblGrid>
                              <w:gridCol w:w="292"/>
                              <w:gridCol w:w="256"/>
                              <w:gridCol w:w="258"/>
                              <w:gridCol w:w="704"/>
                              <w:gridCol w:w="704"/>
                              <w:gridCol w:w="706"/>
                              <w:gridCol w:w="109"/>
                              <w:gridCol w:w="109"/>
                              <w:gridCol w:w="154"/>
                            </w:tblGrid>
                            <w:tr>
                              <w:trPr/>
                              <w:tc>
                                <w:tcPr>
                                  <w:tcW w:w="29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0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44"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21" descr=""/>
                                                <pic:cNvPicPr>
                                                  <a:picLocks noChangeAspect="1" noChangeArrowheads="1"/>
                                                </pic:cNvPicPr>
                                              </pic:nvPicPr>
                                              <pic:blipFill>
                                                <a:blip r:embed="rId30"/>
                                                <a:stretch>
                                                  <a:fillRect/>
                                                </a:stretch>
                                              </pic:blipFill>
                                              <pic:spPr bwMode="auto">
                                                <a:xfrm>
                                                  <a:off x="0" y="0"/>
                                                  <a:ext cx="447675" cy="161925"/>
                                                </a:xfrm>
                                                <a:prstGeom prst="rect">
                                                  <a:avLst/>
                                                </a:prstGeom>
                                              </pic:spPr>
                                            </pic:pic>
                                          </a:graphicData>
                                        </a:graphic>
                                      </wp:inline>
                                    </w:drawing>
                                  </w:r>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2024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000000"/>
                                      <w:sz w:val="16"/>
                                    </w:rPr>
                                  </w:pPr>
                                  <w:r>
                                    <w:rPr>
                                      <w:rFonts w:ascii="Arial;sans-serif" w:hAnsi="Arial;sans-serif"/>
                                      <w:b/>
                                      <w:color w:val="000000"/>
                                      <w:sz w:val="16"/>
                                    </w:rPr>
                                    <w:t>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292" w:type="dxa"/>
                        <w:jc w:val="right"/>
                        <w:tblInd w:w="0" w:type="dxa"/>
                        <w:tblLayout w:type="fixed"/>
                        <w:tblCellMar>
                          <w:top w:w="28" w:type="dxa"/>
                          <w:left w:w="28" w:type="dxa"/>
                          <w:bottom w:w="28" w:type="dxa"/>
                          <w:right w:w="28" w:type="dxa"/>
                        </w:tblCellMar>
                      </w:tblPr>
                      <w:tblGrid>
                        <w:gridCol w:w="292"/>
                        <w:gridCol w:w="256"/>
                        <w:gridCol w:w="258"/>
                        <w:gridCol w:w="704"/>
                        <w:gridCol w:w="704"/>
                        <w:gridCol w:w="706"/>
                        <w:gridCol w:w="109"/>
                        <w:gridCol w:w="109"/>
                        <w:gridCol w:w="154"/>
                      </w:tblGrid>
                      <w:tr>
                        <w:trPr/>
                        <w:tc>
                          <w:tcPr>
                            <w:tcW w:w="29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0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45"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21" descr=""/>
                                          <pic:cNvPicPr>
                                            <a:picLocks noChangeAspect="1" noChangeArrowheads="1"/>
                                          </pic:cNvPicPr>
                                        </pic:nvPicPr>
                                        <pic:blipFill>
                                          <a:blip r:embed="rId31"/>
                                          <a:stretch>
                                            <a:fillRect/>
                                          </a:stretch>
                                        </pic:blipFill>
                                        <pic:spPr bwMode="auto">
                                          <a:xfrm>
                                            <a:off x="0" y="0"/>
                                            <a:ext cx="447675" cy="161925"/>
                                          </a:xfrm>
                                          <a:prstGeom prst="rect">
                                            <a:avLst/>
                                          </a:prstGeom>
                                        </pic:spPr>
                                      </pic:pic>
                                    </a:graphicData>
                                  </a:graphic>
                                </wp:inline>
                              </w:drawing>
                            </w:r>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2024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000000"/>
                                <w:sz w:val="16"/>
                              </w:rPr>
                            </w:pPr>
                            <w:r>
                              <w:rPr>
                                <w:rFonts w:ascii="Arial;sans-serif" w:hAnsi="Arial;sans-serif"/>
                                <w:b/>
                                <w:color w:val="000000"/>
                                <w:sz w:val="16"/>
                              </w:rPr>
                              <w:t>9</w:t>
                            </w:r>
                          </w:p>
                        </w:tc>
                      </w:tr>
                    </w:tbl>
                    <w:p>
                      <w:pPr>
                        <w:pStyle w:val="TextBody"/>
                        <w:bidi w:val="0"/>
                        <w:spacing w:before="0" w:after="283"/>
                        <w:jc w:val="left"/>
                        <w:rPr/>
                      </w:pPr>
                      <w:r>
                        <w:rPr/>
                      </w:r>
                    </w:p>
                  </w:txbxContent>
                </v:textbox>
                <w10:wrap type="none"/>
              </v:rect>
            </w:pict>
          </mc:Fallback>
        </mc:AlternateContent>
      </w:r>
    </w:p>
    <w:tbl>
      <w:tblPr>
        <w:tblW w:w="2430" w:type="dxa"/>
        <w:jc w:val="left"/>
        <w:tblInd w:w="0" w:type="dxa"/>
        <w:tblLayout w:type="fixed"/>
        <w:tblCellMar>
          <w:top w:w="28" w:type="dxa"/>
          <w:left w:w="28" w:type="dxa"/>
          <w:bottom w:w="28" w:type="dxa"/>
          <w:right w:w="28" w:type="dxa"/>
        </w:tblCellMar>
      </w:tblPr>
      <w:tblGrid>
        <w:gridCol w:w="778"/>
        <w:gridCol w:w="684"/>
        <w:gridCol w:w="968"/>
      </w:tblGrid>
      <w:tr>
        <w:trPr/>
        <w:tc>
          <w:tcPr>
            <w:tcW w:w="778"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r>
      <w:tr>
        <w:trPr/>
        <w:tc>
          <w:tcPr>
            <w:tcW w:w="2430" w:type="dxa"/>
            <w:gridSpan w:val="3"/>
            <w:tcBorders>
              <w:bottom w:val="single" w:sz="4" w:space="0" w:color="004C97"/>
            </w:tcBorders>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4C97"/>
                <w:sz w:val="16"/>
              </w:rPr>
            </w:pPr>
            <w:r>
              <w:rPr>
                <w:rFonts w:ascii="Arial;sans-serif" w:hAnsi="Arial;sans-serif"/>
                <w:b w:val="false"/>
                <w:color w:val="004C97"/>
                <w:sz w:val="16"/>
              </w:rPr>
              <w:t>CORPORATE GOVERNANCE</w:t>
            </w:r>
          </w:p>
        </w:tc>
      </w:tr>
    </w:tbl>
    <w:p>
      <w:pPr>
        <w:pStyle w:val="TextBody"/>
        <w:bidi w:val="0"/>
        <w:spacing w:lineRule="auto" w:line="288" w:before="0" w:after="60"/>
        <w:jc w:val="both"/>
        <w:rPr>
          <w:rFonts w:ascii="Arial;sans-serif" w:hAnsi="Arial;sans-serif"/>
          <w:b/>
          <w:color w:val="004C97"/>
          <w:sz w:val="20"/>
        </w:rPr>
      </w:pPr>
      <w:r>
        <w:rPr>
          <w:rFonts w:ascii="Arial;sans-serif" w:hAnsi="Arial;sans-serif"/>
          <w:b/>
          <w:color w:val="004C97"/>
          <w:sz w:val="20"/>
        </w:rPr>
        <w:t>Function</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The Compensation Committee sets the compensation for our executive officers, including agreements with our executive officers, equity grants, and other awards, and makes recommendations to the Board on these same matters for our CEO. The Committee Chair conducts the annual review of performance and objectives of the CEO. The Compensation Committee receives input regarding compensation for our executive officers, including proposed compensation, from its independent compensation consultant, as well as from our CEO for his direct reports. The Compensation Committee has delegated to our CEO the authority to issue one-time equity grants of up to $50,000 per individual and $250,000 in the aggregate annually to non-officer employees.</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The Compensation Committee has the authority under its charter to retain, terminate, and set fees and retention terms for its independent compensation consultant or such other outside advisors as it deems necessary or appropriate in its sole discretion. The Compensation Committee reviews outside consultants and advisors on at least an annual basis to determine objectivity and review performance, including a review of the total fees paid to such consultants and advisors.</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Additional information on the Compensation Committee, its activities, and its relationship with its independent compensation consultant, and on management’s role in setting compensation, is set forth in “Compensation Discussion and Analysis,” beginning on page 23.</w:t>
      </w:r>
    </w:p>
    <w:p>
      <w:pPr>
        <w:pStyle w:val="TextBody"/>
        <w:bidi w:val="0"/>
        <w:spacing w:lineRule="auto" w:line="288" w:before="0" w:after="60"/>
        <w:jc w:val="both"/>
        <w:rPr>
          <w:rFonts w:ascii="Arial;sans-serif" w:hAnsi="Arial;sans-serif"/>
          <w:b/>
          <w:color w:val="000000"/>
          <w:sz w:val="22"/>
        </w:rPr>
      </w:pPr>
      <w:r>
        <w:rPr>
          <w:rFonts w:ascii="Arial;sans-serif" w:hAnsi="Arial;sans-serif"/>
          <w:b/>
          <w:color w:val="000000"/>
          <w:sz w:val="22"/>
        </w:rPr>
        <w:t>GOVERNANCE &amp; SUSTAINABILITY COMMITTEE</w:t>
      </w:r>
    </w:p>
    <w:p>
      <w:pPr>
        <w:pStyle w:val="TextBody"/>
        <w:bidi w:val="0"/>
        <w:spacing w:lineRule="auto" w:line="288" w:before="0" w:after="60"/>
        <w:jc w:val="both"/>
        <w:rPr>
          <w:rFonts w:ascii="Arial;sans-serif" w:hAnsi="Arial;sans-serif"/>
          <w:b/>
          <w:color w:val="004C97"/>
          <w:sz w:val="20"/>
        </w:rPr>
      </w:pPr>
      <w:r>
        <w:rPr>
          <w:rFonts w:ascii="Arial;sans-serif" w:hAnsi="Arial;sans-serif"/>
          <w:b/>
          <w:color w:val="004C97"/>
          <w:sz w:val="20"/>
        </w:rPr>
        <w:t>Membership</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The Board has determined that each member of the Governance &amp; Sustainability Committee is independent in accordance with our Governance &amp; Sustainability Committee Charter, Corporate Governance Guidelines, and Independence Standards, as well as with the listing standards of the NYSE.</w:t>
      </w:r>
    </w:p>
    <w:p>
      <w:pPr>
        <w:pStyle w:val="TextBody"/>
        <w:bidi w:val="0"/>
        <w:spacing w:lineRule="auto" w:line="288" w:before="0" w:after="60"/>
        <w:jc w:val="both"/>
        <w:rPr>
          <w:rFonts w:ascii="Arial;sans-serif" w:hAnsi="Arial;sans-serif"/>
          <w:b/>
          <w:color w:val="004C97"/>
          <w:sz w:val="20"/>
        </w:rPr>
      </w:pPr>
      <w:r>
        <w:rPr>
          <w:rFonts w:ascii="Arial;sans-serif" w:hAnsi="Arial;sans-serif"/>
          <w:b/>
          <w:color w:val="004C97"/>
          <w:sz w:val="20"/>
        </w:rPr>
        <w:t>Function</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The Governance &amp; Sustainability Committee assists the Board in identifying qualified individuals to become Board members and by recommending director nominees to the Board; develops and recommends to the Board our Corporate Governance Guidelines; leads the Board in its annual review of the Board’s performance; and makes recommendations to the Board regarding the compensation of non-employee directors (including equity awards) and the assignment of individual directors to various committees. Pursuant to its charter, the Governance &amp; Sustainability Committee also oversees the governance of the Company’s sustainability program; reviews and approves our sustainability goals and targets; monitors performance against those goals; reviews and approves our annual sustainability report; and works with management to assess climate risks and opportunities.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6480175" cy="739140"/>
                <wp:effectExtent l="0" t="0" r="0" b="0"/>
                <wp:wrapNone/>
                <wp:docPr id="46" name="Frame16"/>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292" w:type="dxa"/>
                              <w:jc w:val="left"/>
                              <w:tblInd w:w="0" w:type="dxa"/>
                              <w:tblLayout w:type="fixed"/>
                              <w:tblCellMar>
                                <w:top w:w="28" w:type="dxa"/>
                                <w:left w:w="28" w:type="dxa"/>
                                <w:bottom w:w="28" w:type="dxa"/>
                                <w:right w:w="28" w:type="dxa"/>
                              </w:tblCellMar>
                            </w:tblPr>
                            <w:tblGrid>
                              <w:gridCol w:w="124"/>
                              <w:gridCol w:w="109"/>
                              <w:gridCol w:w="109"/>
                              <w:gridCol w:w="704"/>
                              <w:gridCol w:w="704"/>
                              <w:gridCol w:w="706"/>
                              <w:gridCol w:w="244"/>
                              <w:gridCol w:w="244"/>
                              <w:gridCol w:w="34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6"/>
                                    </w:rPr>
                                  </w:pPr>
                                  <w:r>
                                    <w:rPr>
                                      <w:rFonts w:ascii="Arial;sans-serif" w:hAnsi="Arial;sans-serif"/>
                                      <w:b/>
                                      <w:color w:val="000000"/>
                                      <w:sz w:val="16"/>
                                    </w:rPr>
                                    <w:t>10</w:t>
                                  </w:r>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2024 PROXY STATEMENT</w:t>
                                  </w:r>
                                </w:p>
                              </w:tc>
                              <w:tc>
                                <w:tcPr>
                                  <w:tcW w:w="83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47"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22" descr=""/>
                                                <pic:cNvPicPr>
                                                  <a:picLocks noChangeAspect="1" noChangeArrowheads="1"/>
                                                </pic:cNvPicPr>
                                              </pic:nvPicPr>
                                              <pic:blipFill>
                                                <a:blip r:embed="rId32"/>
                                                <a:stretch>
                                                  <a:fillRect/>
                                                </a:stretch>
                                              </pic:blipFill>
                                              <pic:spPr bwMode="auto">
                                                <a:xfrm>
                                                  <a:off x="0" y="0"/>
                                                  <a:ext cx="447675" cy="161925"/>
                                                </a:xfrm>
                                                <a:prstGeom prst="rect">
                                                  <a:avLst/>
                                                </a:prstGeom>
                                              </pic:spPr>
                                            </pic:pic>
                                          </a:graphicData>
                                        </a:graphic>
                                      </wp:inline>
                                    </w:drawing>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292" w:type="dxa"/>
                        <w:jc w:val="left"/>
                        <w:tblInd w:w="0" w:type="dxa"/>
                        <w:tblLayout w:type="fixed"/>
                        <w:tblCellMar>
                          <w:top w:w="28" w:type="dxa"/>
                          <w:left w:w="28" w:type="dxa"/>
                          <w:bottom w:w="28" w:type="dxa"/>
                          <w:right w:w="28" w:type="dxa"/>
                        </w:tblCellMar>
                      </w:tblPr>
                      <w:tblGrid>
                        <w:gridCol w:w="124"/>
                        <w:gridCol w:w="109"/>
                        <w:gridCol w:w="109"/>
                        <w:gridCol w:w="704"/>
                        <w:gridCol w:w="704"/>
                        <w:gridCol w:w="706"/>
                        <w:gridCol w:w="244"/>
                        <w:gridCol w:w="244"/>
                        <w:gridCol w:w="34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6"/>
                              </w:rPr>
                            </w:pPr>
                            <w:r>
                              <w:rPr>
                                <w:rFonts w:ascii="Arial;sans-serif" w:hAnsi="Arial;sans-serif"/>
                                <w:b/>
                                <w:color w:val="000000"/>
                                <w:sz w:val="16"/>
                              </w:rPr>
                              <w:t>10</w:t>
                            </w:r>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2024 PROXY STATEMENT</w:t>
                            </w:r>
                          </w:p>
                        </w:tc>
                        <w:tc>
                          <w:tcPr>
                            <w:tcW w:w="83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48"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22" descr=""/>
                                          <pic:cNvPicPr>
                                            <a:picLocks noChangeAspect="1" noChangeArrowheads="1"/>
                                          </pic:cNvPicPr>
                                        </pic:nvPicPr>
                                        <pic:blipFill>
                                          <a:blip r:embed="rId33"/>
                                          <a:stretch>
                                            <a:fillRect/>
                                          </a:stretch>
                                        </pic:blipFill>
                                        <pic:spPr bwMode="auto">
                                          <a:xfrm>
                                            <a:off x="0" y="0"/>
                                            <a:ext cx="447675" cy="161925"/>
                                          </a:xfrm>
                                          <a:prstGeom prst="rect">
                                            <a:avLst/>
                                          </a:prstGeom>
                                        </pic:spPr>
                                      </pic:pic>
                                    </a:graphicData>
                                  </a:graphic>
                                </wp:inline>
                              </w:drawing>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312" w:before="0" w:after="240"/>
        <w:jc w:val="left"/>
        <w:rPr>
          <w:rFonts w:ascii="Arial;sans-serif" w:hAnsi="Arial;sans-serif"/>
          <w:b/>
          <w:color w:val="004C97"/>
          <w:sz w:val="42"/>
        </w:rPr>
      </w:pPr>
      <w:r>
        <w:rPr>
          <w:rFonts w:ascii="Arial;sans-serif" w:hAnsi="Arial;sans-serif"/>
          <w:b/>
          <w:color w:val="004C97"/>
          <w:sz w:val="42"/>
        </w:rPr>
        <w:t>DIRECTOR COMPENSATION</w:t>
      </w:r>
    </w:p>
    <w:p>
      <w:pPr>
        <w:pStyle w:val="TextBody"/>
        <w:bidi w:val="0"/>
        <w:spacing w:lineRule="auto" w:line="288" w:before="360" w:after="283"/>
        <w:jc w:val="left"/>
        <w:rPr>
          <w:rFonts w:ascii="Arial;sans-serif" w:hAnsi="Arial;sans-serif"/>
          <w:b/>
          <w:color w:val="000000"/>
          <w:sz w:val="32"/>
        </w:rPr>
      </w:pPr>
      <w:r>
        <w:rPr>
          <w:rFonts w:ascii="Arial;sans-serif" w:hAnsi="Arial;sans-serif"/>
          <w:b/>
          <w:color w:val="000000"/>
          <w:sz w:val="32"/>
        </w:rPr>
        <w:t>Annual Compensation</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 xml:space="preserve">Our non-employee directors receive the following compensation: </w:t>
      </w:r>
    </w:p>
    <w:tbl>
      <w:tblPr>
        <w:tblW w:w="4426" w:type="dxa"/>
        <w:jc w:val="left"/>
        <w:tblInd w:w="0" w:type="dxa"/>
        <w:tblLayout w:type="fixed"/>
        <w:tblCellMar>
          <w:top w:w="28" w:type="dxa"/>
          <w:left w:w="28" w:type="dxa"/>
          <w:bottom w:w="28" w:type="dxa"/>
          <w:right w:w="28" w:type="dxa"/>
        </w:tblCellMar>
      </w:tblPr>
      <w:tblGrid>
        <w:gridCol w:w="1301"/>
        <w:gridCol w:w="1145"/>
        <w:gridCol w:w="1154"/>
        <w:gridCol w:w="241"/>
        <w:gridCol w:w="241"/>
        <w:gridCol w:w="344"/>
      </w:tblGrid>
      <w:tr>
        <w:trPr/>
        <w:tc>
          <w:tcPr>
            <w:tcW w:w="1301"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op w:val="single" w:sz="4" w:space="0" w:color="939598"/>
              <w:left w:val="single" w:sz="4" w:space="0" w:color="939598"/>
            </w:tcBorders>
            <w:shd w:fill="E6E7E8" w:val="clear"/>
            <w:tcMar>
              <w:top w:w="30" w:type="dxa"/>
              <w:left w:w="20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Annual Retainer of Cash</w:t>
            </w:r>
          </w:p>
        </w:tc>
        <w:tc>
          <w:tcPr>
            <w:tcW w:w="826" w:type="dxa"/>
            <w:gridSpan w:val="3"/>
            <w:tcBorders>
              <w:top w:val="single" w:sz="4" w:space="0" w:color="939598"/>
              <w:left w:val="single" w:sz="4" w:space="0" w:color="939598"/>
              <w:right w:val="single" w:sz="4" w:space="0" w:color="939598"/>
            </w:tcBorders>
            <w:shd w:fill="E6E7E8" w:val="clear"/>
            <w:tcMar>
              <w:top w:w="30" w:type="dxa"/>
              <w:bottom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$ 90,000</w:t>
            </w:r>
          </w:p>
        </w:tc>
      </w:tr>
      <w:tr>
        <w:trPr/>
        <w:tc>
          <w:tcPr>
            <w:tcW w:w="3600" w:type="dxa"/>
            <w:gridSpan w:val="3"/>
            <w:tcBorders>
              <w:top w:val="single" w:sz="4" w:space="0" w:color="939598"/>
              <w:left w:val="single" w:sz="4" w:space="0" w:color="939598"/>
            </w:tcBorders>
            <w:shd w:fill="FFFFFF" w:val="clear"/>
            <w:tcMar>
              <w:top w:w="30" w:type="dxa"/>
              <w:left w:w="20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Annual Equity Grant of Restricted Stock Units</w:t>
            </w:r>
          </w:p>
        </w:tc>
        <w:tc>
          <w:tcPr>
            <w:tcW w:w="826" w:type="dxa"/>
            <w:gridSpan w:val="3"/>
            <w:tcBorders>
              <w:top w:val="single" w:sz="4" w:space="0" w:color="939598"/>
              <w:left w:val="single" w:sz="4" w:space="0" w:color="939598"/>
              <w:right w:val="single" w:sz="4" w:space="0" w:color="939598"/>
            </w:tcBorders>
            <w:shd w:fill="FFFFFF" w:val="clear"/>
            <w:tcMar>
              <w:top w:w="30" w:type="dxa"/>
              <w:bottom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$130,000</w:t>
            </w:r>
          </w:p>
        </w:tc>
      </w:tr>
      <w:tr>
        <w:trPr/>
        <w:tc>
          <w:tcPr>
            <w:tcW w:w="3600" w:type="dxa"/>
            <w:gridSpan w:val="3"/>
            <w:tcBorders>
              <w:top w:val="single" w:sz="4" w:space="0" w:color="939598"/>
              <w:left w:val="single" w:sz="4" w:space="0" w:color="939598"/>
            </w:tcBorders>
            <w:shd w:fill="E6E7E8" w:val="clear"/>
            <w:tcMar>
              <w:top w:w="30" w:type="dxa"/>
              <w:left w:w="20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Additional Fees:</w:t>
            </w:r>
          </w:p>
        </w:tc>
        <w:tc>
          <w:tcPr>
            <w:tcW w:w="826" w:type="dxa"/>
            <w:gridSpan w:val="3"/>
            <w:tcBorders>
              <w:top w:val="single" w:sz="4" w:space="0" w:color="939598"/>
              <w:left w:val="single" w:sz="4" w:space="0" w:color="939598"/>
              <w:right w:val="single" w:sz="4" w:space="0" w:color="939598"/>
            </w:tcBorders>
            <w:shd w:fill="E6E7E8" w:val="clear"/>
            <w:tcMar>
              <w:bottom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top w:val="single" w:sz="4" w:space="0" w:color="939598"/>
              <w:left w:val="single" w:sz="4" w:space="0" w:color="939598"/>
            </w:tcBorders>
            <w:shd w:fill="FFFFFF" w:val="clear"/>
            <w:tcMar>
              <w:top w:w="30" w:type="dxa"/>
              <w:left w:w="38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16"/>
              </w:rPr>
            </w:pPr>
            <w:r>
              <w:rPr>
                <w:rFonts w:ascii="Arial;sans-serif" w:hAnsi="Arial;sans-serif"/>
                <w:b w:val="false"/>
                <w:i/>
                <w:color w:val="000000"/>
                <w:sz w:val="16"/>
              </w:rPr>
              <w:t>Chairman of the Board</w:t>
            </w:r>
          </w:p>
        </w:tc>
        <w:tc>
          <w:tcPr>
            <w:tcW w:w="826" w:type="dxa"/>
            <w:gridSpan w:val="3"/>
            <w:tcBorders>
              <w:top w:val="single" w:sz="4" w:space="0" w:color="939598"/>
              <w:left w:val="single" w:sz="4" w:space="0" w:color="939598"/>
              <w:right w:val="single" w:sz="4" w:space="0" w:color="939598"/>
            </w:tcBorders>
            <w:shd w:fill="FFFFFF" w:val="clear"/>
            <w:tcMar>
              <w:top w:w="30" w:type="dxa"/>
              <w:bottom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$125,000</w:t>
            </w:r>
          </w:p>
        </w:tc>
      </w:tr>
      <w:tr>
        <w:trPr/>
        <w:tc>
          <w:tcPr>
            <w:tcW w:w="3600" w:type="dxa"/>
            <w:gridSpan w:val="3"/>
            <w:tcBorders>
              <w:top w:val="single" w:sz="4" w:space="0" w:color="939598"/>
              <w:left w:val="single" w:sz="4" w:space="0" w:color="939598"/>
            </w:tcBorders>
            <w:shd w:fill="E6E7E8" w:val="clear"/>
            <w:tcMar>
              <w:top w:w="30" w:type="dxa"/>
              <w:left w:w="38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16"/>
              </w:rPr>
            </w:pPr>
            <w:r>
              <w:rPr>
                <w:rFonts w:ascii="Arial;sans-serif" w:hAnsi="Arial;sans-serif"/>
                <w:b w:val="false"/>
                <w:i/>
                <w:color w:val="000000"/>
                <w:sz w:val="16"/>
              </w:rPr>
              <w:t>Audit Committee Chair</w:t>
            </w:r>
          </w:p>
        </w:tc>
        <w:tc>
          <w:tcPr>
            <w:tcW w:w="826" w:type="dxa"/>
            <w:gridSpan w:val="3"/>
            <w:tcBorders>
              <w:top w:val="single" w:sz="4" w:space="0" w:color="939598"/>
              <w:left w:val="single" w:sz="4" w:space="0" w:color="939598"/>
              <w:right w:val="single" w:sz="4" w:space="0" w:color="939598"/>
            </w:tcBorders>
            <w:shd w:fill="E6E7E8" w:val="clear"/>
            <w:tcMar>
              <w:top w:w="30" w:type="dxa"/>
              <w:bottom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$ 20,000</w:t>
            </w:r>
          </w:p>
        </w:tc>
      </w:tr>
      <w:tr>
        <w:trPr/>
        <w:tc>
          <w:tcPr>
            <w:tcW w:w="3600" w:type="dxa"/>
            <w:gridSpan w:val="3"/>
            <w:tcBorders>
              <w:top w:val="single" w:sz="4" w:space="0" w:color="939598"/>
              <w:left w:val="single" w:sz="4" w:space="0" w:color="939598"/>
            </w:tcBorders>
            <w:shd w:fill="FFFFFF" w:val="clear"/>
            <w:tcMar>
              <w:top w:w="30" w:type="dxa"/>
              <w:left w:w="38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16"/>
              </w:rPr>
            </w:pPr>
            <w:r>
              <w:rPr>
                <w:rFonts w:ascii="Arial;sans-serif" w:hAnsi="Arial;sans-serif"/>
                <w:b w:val="false"/>
                <w:i/>
                <w:color w:val="000000"/>
                <w:sz w:val="16"/>
              </w:rPr>
              <w:t>Compensation Committee Chair</w:t>
            </w:r>
          </w:p>
        </w:tc>
        <w:tc>
          <w:tcPr>
            <w:tcW w:w="826" w:type="dxa"/>
            <w:gridSpan w:val="3"/>
            <w:tcBorders>
              <w:top w:val="single" w:sz="4" w:space="0" w:color="939598"/>
              <w:left w:val="single" w:sz="4" w:space="0" w:color="939598"/>
              <w:right w:val="single" w:sz="4" w:space="0" w:color="939598"/>
            </w:tcBorders>
            <w:shd w:fill="FFFFFF" w:val="clear"/>
            <w:tcMar>
              <w:top w:w="30" w:type="dxa"/>
              <w:bottom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$ 15,000</w:t>
            </w:r>
          </w:p>
        </w:tc>
      </w:tr>
      <w:tr>
        <w:trPr/>
        <w:tc>
          <w:tcPr>
            <w:tcW w:w="3600" w:type="dxa"/>
            <w:gridSpan w:val="3"/>
            <w:tcBorders>
              <w:top w:val="single" w:sz="4" w:space="0" w:color="939598"/>
              <w:left w:val="single" w:sz="4" w:space="0" w:color="939598"/>
              <w:bottom w:val="single" w:sz="4" w:space="0" w:color="939598"/>
            </w:tcBorders>
            <w:shd w:fill="E6E7E8" w:val="clear"/>
            <w:tcMar>
              <w:top w:w="30" w:type="dxa"/>
              <w:left w:w="380" w:type="dxa"/>
              <w:bottom w:w="30" w:type="dxa"/>
              <w:right w:w="0" w:type="dxa"/>
            </w:tcMar>
            <w:vAlign w:val="center"/>
          </w:tcPr>
          <w:p>
            <w:pPr>
              <w:pStyle w:val="TableContents"/>
              <w:bidi w:val="0"/>
              <w:spacing w:lineRule="auto" w:line="288" w:before="0" w:after="283"/>
              <w:jc w:val="left"/>
              <w:rPr>
                <w:rFonts w:ascii="Arial;sans-serif" w:hAnsi="Arial;sans-serif"/>
                <w:b w:val="false"/>
                <w:i/>
                <w:color w:val="000000"/>
                <w:sz w:val="16"/>
              </w:rPr>
            </w:pPr>
            <w:r>
              <w:rPr>
                <w:rFonts w:ascii="Arial;sans-serif" w:hAnsi="Arial;sans-serif"/>
                <w:b w:val="false"/>
                <w:i/>
                <w:color w:val="000000"/>
                <w:sz w:val="16"/>
              </w:rPr>
              <w:t>Governance and Sustainability Committee Chair</w:t>
            </w:r>
          </w:p>
        </w:tc>
        <w:tc>
          <w:tcPr>
            <w:tcW w:w="826" w:type="dxa"/>
            <w:gridSpan w:val="3"/>
            <w:tcBorders>
              <w:top w:val="single" w:sz="4" w:space="0" w:color="939598"/>
              <w:left w:val="single" w:sz="4" w:space="0" w:color="939598"/>
              <w:bottom w:val="single" w:sz="4" w:space="0" w:color="939598"/>
              <w:right w:val="single" w:sz="4" w:space="0" w:color="939598"/>
            </w:tcBorders>
            <w:shd w:fill="E6E7E8" w:val="clear"/>
            <w:tcMar>
              <w:top w:w="30" w:type="dxa"/>
              <w:bottom w:w="3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$ 15,000</w:t>
            </w:r>
          </w:p>
        </w:tc>
      </w:tr>
    </w:tbl>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We pay the annual cash retainer and any applicable additional cash fees to our non-employee directors in equal quarterly installments, paid in arrears. The portion of cash compensation for a director who has a partial quarter of service (due to joining or leaving the Board, or beginning or ending service as Chairman or a Committee Chair, during the quarter) is pro-rated. We do not pay meeting fees or additional compensation to directors for special meetings.</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The annual equity grant of restricted stock units (“RSU”) is made under the SPX 2019 Stock Compensation Plan (the “2019 Stock Plan”). The number of RSUs awarded is calculated by dividing the $130,000 annual equity retainer by the closing price of the Company’s stock on the date of grant and rounding up to a full share. The RSU award is granted in connection with our Annual Meeting and vests the day before the following annual meeting. Vesting is subject to the director’s continued service on our Board through such vesting date. The annual equity grant for a director who has a partial year of service (due to joining the Board during the year) is pro-rated.</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Our non-employee directors have the option to defer settlement and payout of vested RSU grants until six months after separating from service on our Board (or, if earlier, a Change in Control as defined in the 2019 Stock Plan). A non-employee director must generally make such deferral election in the year prior to the grant of the RSU award.</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We do not currently pay dividends or dividend equivalents with respect to the RSUs.</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Directors who are SPX employees receive no compensation for their service as directors. Mr. Lowe, our President and CEO, received no compensation for his service as a director in 2023.</w:t>
      </w:r>
    </w:p>
    <w:p>
      <w:pPr>
        <w:pStyle w:val="TextBody"/>
        <w:bidi w:val="0"/>
        <w:spacing w:lineRule="auto" w:line="288" w:before="0" w:after="60"/>
        <w:jc w:val="both"/>
        <w:rPr>
          <w:rFonts w:ascii="Arial;sans-serif" w:hAnsi="Arial;sans-serif"/>
          <w:b/>
          <w:color w:val="000000"/>
          <w:sz w:val="22"/>
        </w:rPr>
      </w:pPr>
      <w:r>
        <w:rPr>
          <w:rFonts w:ascii="Arial;sans-serif" w:hAnsi="Arial;sans-serif"/>
          <w:b/>
          <w:color w:val="000000"/>
          <w:sz w:val="22"/>
        </w:rPr>
        <w:t>OTHER BENEFITS</w:t>
      </w:r>
    </w:p>
    <w:p>
      <w:pPr>
        <w:pStyle w:val="TextBody"/>
        <w:bidi w:val="0"/>
        <w:spacing w:lineRule="auto" w:line="288" w:before="0" w:after="60"/>
        <w:jc w:val="both"/>
        <w:rPr>
          <w:rFonts w:ascii="Arial;sans-serif" w:hAnsi="Arial;sans-serif"/>
          <w:b/>
          <w:color w:val="004C97"/>
          <w:sz w:val="20"/>
        </w:rPr>
      </w:pPr>
      <w:r>
        <w:rPr>
          <w:rFonts w:ascii="Arial;sans-serif" w:hAnsi="Arial;sans-serif"/>
          <w:b/>
          <w:color w:val="004C97"/>
          <w:sz w:val="20"/>
        </w:rPr>
        <w:t>Matching Gifts Program</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We will make matching donations for qualified charitable contributions for any non-employee director up to a total of $10,000 per year.</w:t>
      </w:r>
    </w:p>
    <w:p>
      <w:pPr>
        <w:pStyle w:val="TextBody"/>
        <w:bidi w:val="0"/>
        <w:spacing w:lineRule="auto" w:line="288" w:before="0" w:after="60"/>
        <w:jc w:val="both"/>
        <w:rPr>
          <w:rFonts w:ascii="Arial;sans-serif" w:hAnsi="Arial;sans-serif"/>
          <w:b/>
          <w:color w:val="004C97"/>
          <w:sz w:val="20"/>
        </w:rPr>
      </w:pPr>
      <w:r>
        <w:rPr>
          <w:rFonts w:ascii="Arial;sans-serif" w:hAnsi="Arial;sans-serif"/>
          <w:b/>
          <w:color w:val="004C97"/>
          <w:sz w:val="20"/>
        </w:rPr>
        <w:t>Travel Reimbursements</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We reimburse non-employee directors for the reasonable expenses of attending Board and committee meetings and for expenses associated with director training and development. From time to time, a director’s spouse may accompany the director to certain business functions, including on our corporate aircraft; in such instances, the value of the spouse’s travel is imputed for income tax purposes as income to the director (determined under the U.S. Department of Transportation’s standard industry fare level (“SIFL”)) and the incremental cost to SPX, if any, is included as other compensation in our Director Compensation Table if it, together with any other personal benefits, exceeds the threshold specified under SEC rules.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6480175" cy="739140"/>
                <wp:effectExtent l="0" t="0" r="0" b="0"/>
                <wp:wrapNone/>
                <wp:docPr id="49" name="Frame17"/>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292" w:type="dxa"/>
                              <w:jc w:val="right"/>
                              <w:tblInd w:w="0" w:type="dxa"/>
                              <w:tblLayout w:type="fixed"/>
                              <w:tblCellMar>
                                <w:top w:w="28" w:type="dxa"/>
                                <w:left w:w="28" w:type="dxa"/>
                                <w:bottom w:w="28" w:type="dxa"/>
                                <w:right w:w="28" w:type="dxa"/>
                              </w:tblCellMar>
                            </w:tblPr>
                            <w:tblGrid>
                              <w:gridCol w:w="292"/>
                              <w:gridCol w:w="256"/>
                              <w:gridCol w:w="258"/>
                              <w:gridCol w:w="704"/>
                              <w:gridCol w:w="704"/>
                              <w:gridCol w:w="706"/>
                              <w:gridCol w:w="109"/>
                              <w:gridCol w:w="109"/>
                              <w:gridCol w:w="154"/>
                            </w:tblGrid>
                            <w:tr>
                              <w:trPr/>
                              <w:tc>
                                <w:tcPr>
                                  <w:tcW w:w="29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0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50"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23" descr=""/>
                                                <pic:cNvPicPr>
                                                  <a:picLocks noChangeAspect="1" noChangeArrowheads="1"/>
                                                </pic:cNvPicPr>
                                              </pic:nvPicPr>
                                              <pic:blipFill>
                                                <a:blip r:embed="rId34"/>
                                                <a:stretch>
                                                  <a:fillRect/>
                                                </a:stretch>
                                              </pic:blipFill>
                                              <pic:spPr bwMode="auto">
                                                <a:xfrm>
                                                  <a:off x="0" y="0"/>
                                                  <a:ext cx="447675" cy="161925"/>
                                                </a:xfrm>
                                                <a:prstGeom prst="rect">
                                                  <a:avLst/>
                                                </a:prstGeom>
                                              </pic:spPr>
                                            </pic:pic>
                                          </a:graphicData>
                                        </a:graphic>
                                      </wp:inline>
                                    </w:drawing>
                                  </w:r>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2024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000000"/>
                                      <w:sz w:val="16"/>
                                    </w:rPr>
                                  </w:pPr>
                                  <w:r>
                                    <w:rPr>
                                      <w:rFonts w:ascii="Arial;sans-serif" w:hAnsi="Arial;sans-serif"/>
                                      <w:b/>
                                      <w:color w:val="000000"/>
                                      <w:sz w:val="16"/>
                                    </w:rPr>
                                    <w:t>11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292" w:type="dxa"/>
                        <w:jc w:val="right"/>
                        <w:tblInd w:w="0" w:type="dxa"/>
                        <w:tblLayout w:type="fixed"/>
                        <w:tblCellMar>
                          <w:top w:w="28" w:type="dxa"/>
                          <w:left w:w="28" w:type="dxa"/>
                          <w:bottom w:w="28" w:type="dxa"/>
                          <w:right w:w="28" w:type="dxa"/>
                        </w:tblCellMar>
                      </w:tblPr>
                      <w:tblGrid>
                        <w:gridCol w:w="292"/>
                        <w:gridCol w:w="256"/>
                        <w:gridCol w:w="258"/>
                        <w:gridCol w:w="704"/>
                        <w:gridCol w:w="704"/>
                        <w:gridCol w:w="706"/>
                        <w:gridCol w:w="109"/>
                        <w:gridCol w:w="109"/>
                        <w:gridCol w:w="154"/>
                      </w:tblGrid>
                      <w:tr>
                        <w:trPr/>
                        <w:tc>
                          <w:tcPr>
                            <w:tcW w:w="29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0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51"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23" descr=""/>
                                          <pic:cNvPicPr>
                                            <a:picLocks noChangeAspect="1" noChangeArrowheads="1"/>
                                          </pic:cNvPicPr>
                                        </pic:nvPicPr>
                                        <pic:blipFill>
                                          <a:blip r:embed="rId35"/>
                                          <a:stretch>
                                            <a:fillRect/>
                                          </a:stretch>
                                        </pic:blipFill>
                                        <pic:spPr bwMode="auto">
                                          <a:xfrm>
                                            <a:off x="0" y="0"/>
                                            <a:ext cx="447675" cy="161925"/>
                                          </a:xfrm>
                                          <a:prstGeom prst="rect">
                                            <a:avLst/>
                                          </a:prstGeom>
                                        </pic:spPr>
                                      </pic:pic>
                                    </a:graphicData>
                                  </a:graphic>
                                </wp:inline>
                              </w:drawing>
                            </w:r>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2024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000000"/>
                                <w:sz w:val="16"/>
                              </w:rPr>
                            </w:pPr>
                            <w:r>
                              <w:rPr>
                                <w:rFonts w:ascii="Arial;sans-serif" w:hAnsi="Arial;sans-serif"/>
                                <w:b/>
                                <w:color w:val="000000"/>
                                <w:sz w:val="16"/>
                              </w:rPr>
                              <w:t>11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120"/>
        <w:jc w:val="left"/>
        <w:rPr>
          <w:rFonts w:ascii="Arial;sans-serif" w:hAnsi="Arial;sans-serif"/>
          <w:b/>
          <w:color w:val="0070AF"/>
          <w:sz w:val="20"/>
        </w:rPr>
      </w:pPr>
      <w:r>
        <w:rPr>
          <w:rFonts w:ascii="Arial;sans-serif" w:hAnsi="Arial;sans-serif"/>
          <w:b/>
          <w:color w:val="0070AF"/>
          <w:sz w:val="20"/>
        </w:rPr>
        <w:t>DIRECTOR COMPENSATION</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70A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both"/>
        <w:rPr>
          <w:rFonts w:ascii="Arial;sans-serif" w:hAnsi="Arial;sans-serif"/>
          <w:b/>
          <w:color w:val="000000"/>
          <w:sz w:val="22"/>
        </w:rPr>
      </w:pPr>
      <w:r>
        <w:rPr>
          <w:rFonts w:ascii="Arial;sans-serif" w:hAnsi="Arial;sans-serif"/>
          <w:b/>
          <w:color w:val="000000"/>
          <w:sz w:val="22"/>
        </w:rPr>
        <w:t>COMPENSATION EVALUATION PRACTICES</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The Governance and Sustainability Committee periodically reviews non-employee director compensation and makes recommendations to the Board. The Governance and Sustainability Committee evaluates our non-employee director compensation against our peer companies and consults with our independent compensation consultant when reviewing compensation amounts and structure.</w:t>
      </w:r>
    </w:p>
    <w:p>
      <w:pPr>
        <w:pStyle w:val="TextBody"/>
        <w:bidi w:val="0"/>
        <w:spacing w:lineRule="auto" w:line="288" w:before="0" w:after="60"/>
        <w:jc w:val="both"/>
        <w:rPr>
          <w:rFonts w:ascii="Arial;sans-serif" w:hAnsi="Arial;sans-serif"/>
          <w:b/>
          <w:color w:val="000000"/>
          <w:sz w:val="22"/>
        </w:rPr>
      </w:pPr>
      <w:r>
        <w:rPr>
          <w:rFonts w:ascii="Arial;sans-serif" w:hAnsi="Arial;sans-serif"/>
          <w:b/>
          <w:color w:val="000000"/>
          <w:sz w:val="22"/>
        </w:rPr>
        <w:t>STOCK OWNERSHIP GUIDELINES</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Our Stock Ownership Guidelines are designed to help ensure that our directors are engaged and have interests closely aligned with those of our long-term stockholders. We request that all non-employee directors achieve holdings in Company stock of five times the annual cash retainer within five years of his or her date of initial election to the Board. All of our directors were in compliance with these requirements as of March 18, 2024. For additional information on our Stock Ownership Guidelines, see “Stock Ownership Guidelines,” beginning on page 20.</w:t>
      </w:r>
    </w:p>
    <w:p>
      <w:pPr>
        <w:pStyle w:val="TextBody"/>
        <w:bidi w:val="0"/>
        <w:spacing w:lineRule="auto" w:line="288" w:before="360" w:after="283"/>
        <w:jc w:val="left"/>
        <w:rPr>
          <w:rFonts w:ascii="Arial;sans-serif" w:hAnsi="Arial;sans-serif"/>
          <w:b/>
          <w:color w:val="000000"/>
          <w:sz w:val="32"/>
        </w:rPr>
      </w:pPr>
      <w:bookmarkStart w:id="0" w:name="i8c16e1fade474442ab0fe9fbdb93c384_14758"/>
      <w:bookmarkEnd w:id="0"/>
      <w:r>
        <w:rPr>
          <w:rFonts w:ascii="Arial;sans-serif" w:hAnsi="Arial;sans-serif"/>
          <w:b/>
          <w:color w:val="000000"/>
          <w:sz w:val="32"/>
        </w:rPr>
        <w:t>Director Compensation Table</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 xml:space="preserve">The following table summarizes the compensation of our non-employee directors who served during 2023. </w:t>
      </w:r>
    </w:p>
    <w:tbl>
      <w:tblPr>
        <w:tblW w:w="6732" w:type="dxa"/>
        <w:jc w:val="left"/>
        <w:tblInd w:w="0" w:type="dxa"/>
        <w:tblLayout w:type="fixed"/>
        <w:tblCellMar>
          <w:top w:w="28" w:type="dxa"/>
          <w:left w:w="28" w:type="dxa"/>
          <w:bottom w:w="28" w:type="dxa"/>
          <w:right w:w="28" w:type="dxa"/>
        </w:tblCellMar>
      </w:tblPr>
      <w:tblGrid>
        <w:gridCol w:w="547"/>
        <w:gridCol w:w="483"/>
        <w:gridCol w:w="484"/>
        <w:gridCol w:w="444"/>
        <w:gridCol w:w="444"/>
        <w:gridCol w:w="446"/>
        <w:gridCol w:w="249"/>
        <w:gridCol w:w="249"/>
        <w:gridCol w:w="251"/>
        <w:gridCol w:w="799"/>
        <w:gridCol w:w="799"/>
        <w:gridCol w:w="801"/>
        <w:gridCol w:w="214"/>
        <w:gridCol w:w="214"/>
        <w:gridCol w:w="308"/>
      </w:tblGrid>
      <w:tr>
        <w:trPr/>
        <w:tc>
          <w:tcPr>
            <w:tcW w:w="547"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r>
      <w:tr>
        <w:trPr/>
        <w:tc>
          <w:tcPr>
            <w:tcW w:w="1514" w:type="dxa"/>
            <w:gridSpan w:val="3"/>
            <w:tcBorders>
              <w:top w:val="single" w:sz="4" w:space="0" w:color="000000"/>
              <w:left w:val="single" w:sz="4" w:space="0" w:color="000000"/>
            </w:tcBorders>
            <w:shd w:fill="004C97"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6"/>
              </w:rPr>
            </w:pPr>
            <w:r>
              <w:rPr>
                <w:rFonts w:ascii="Arial;sans-serif" w:hAnsi="Arial;sans-serif"/>
                <w:b/>
                <w:color w:val="FFFFFF"/>
                <w:sz w:val="16"/>
              </w:rPr>
              <w:t>Directors</w:t>
            </w:r>
          </w:p>
        </w:tc>
        <w:tc>
          <w:tcPr>
            <w:tcW w:w="1334" w:type="dxa"/>
            <w:gridSpan w:val="3"/>
            <w:tcBorders>
              <w:top w:val="single" w:sz="4" w:space="0" w:color="000000"/>
              <w:left w:val="single" w:sz="4" w:space="0" w:color="000000"/>
            </w:tcBorders>
            <w:shd w:fill="004C97" w:val="clear"/>
            <w:tcMar>
              <w:top w:w="30" w:type="dxa"/>
              <w:bottom w:w="0" w:type="dxa"/>
              <w:right w:w="0" w:type="dxa"/>
            </w:tcMar>
            <w:vAlign w:val="center"/>
          </w:tcPr>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 xml:space="preserve">Fees Earned or </w:t>
            </w:r>
          </w:p>
          <w:p>
            <w:pPr>
              <w:pStyle w:val="TableContents"/>
              <w:bidi w:val="0"/>
              <w:spacing w:lineRule="auto" w:line="288" w:before="0" w:after="0"/>
              <w:jc w:val="center"/>
              <w:rPr/>
            </w:pPr>
            <w:r>
              <w:rPr>
                <w:rFonts w:ascii="Arial;sans-serif" w:hAnsi="Arial;sans-serif"/>
                <w:b/>
                <w:color w:val="FFFFFF"/>
                <w:sz w:val="16"/>
              </w:rPr>
              <w:t>Paid in Cash</w:t>
              <w:br/>
              <w:t>($)</w:t>
            </w:r>
            <w:r>
              <w:rPr>
                <w:rFonts w:ascii="Arial;sans-serif" w:hAnsi="Arial;sans-serif"/>
                <w:b/>
                <w:color w:val="FFFFFF"/>
                <w:sz w:val="10"/>
              </w:rPr>
              <w:t>(1)</w:t>
            </w:r>
          </w:p>
        </w:tc>
        <w:tc>
          <w:tcPr>
            <w:tcW w:w="749" w:type="dxa"/>
            <w:gridSpan w:val="3"/>
            <w:tcBorders>
              <w:top w:val="single" w:sz="4" w:space="0" w:color="000000"/>
              <w:left w:val="single" w:sz="4" w:space="0" w:color="000000"/>
            </w:tcBorders>
            <w:shd w:fill="004C97" w:val="clear"/>
            <w:tcMar>
              <w:top w:w="30" w:type="dxa"/>
              <w:bottom w:w="0" w:type="dxa"/>
              <w:right w:w="0" w:type="dxa"/>
            </w:tcMar>
            <w:vAlign w:val="center"/>
          </w:tcPr>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 xml:space="preserve">Stock </w:t>
            </w:r>
          </w:p>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 xml:space="preserve">Awards </w:t>
            </w:r>
          </w:p>
          <w:p>
            <w:pPr>
              <w:pStyle w:val="TableContents"/>
              <w:bidi w:val="0"/>
              <w:spacing w:lineRule="auto" w:line="288" w:before="0" w:after="0"/>
              <w:jc w:val="center"/>
              <w:rPr/>
            </w:pPr>
            <w:r>
              <w:rPr>
                <w:rFonts w:ascii="Arial;sans-serif" w:hAnsi="Arial;sans-serif"/>
                <w:b/>
                <w:color w:val="FFFFFF"/>
                <w:sz w:val="16"/>
              </w:rPr>
              <w:t>($)</w:t>
            </w:r>
            <w:r>
              <w:rPr>
                <w:rFonts w:ascii="Arial;sans-serif" w:hAnsi="Arial;sans-serif"/>
                <w:b/>
                <w:color w:val="FFFFFF"/>
                <w:sz w:val="10"/>
              </w:rPr>
              <w:t>(2)</w:t>
            </w:r>
          </w:p>
        </w:tc>
        <w:tc>
          <w:tcPr>
            <w:tcW w:w="2399" w:type="dxa"/>
            <w:gridSpan w:val="3"/>
            <w:tcBorders>
              <w:top w:val="single" w:sz="4" w:space="0" w:color="000000"/>
              <w:left w:val="single" w:sz="4" w:space="0" w:color="000000"/>
            </w:tcBorders>
            <w:shd w:fill="004C97" w:val="clear"/>
            <w:tcMar>
              <w:top w:w="30" w:type="dxa"/>
              <w:bottom w:w="0" w:type="dxa"/>
              <w:right w:w="0" w:type="dxa"/>
            </w:tcMar>
            <w:vAlign w:val="center"/>
          </w:tcPr>
          <w:p>
            <w:pPr>
              <w:pStyle w:val="TableContents"/>
              <w:bidi w:val="0"/>
              <w:spacing w:lineRule="auto" w:line="288" w:before="0" w:after="0"/>
              <w:jc w:val="center"/>
              <w:rPr/>
            </w:pPr>
            <w:r>
              <w:rPr>
                <w:rFonts w:ascii="Arial;sans-serif" w:hAnsi="Arial;sans-serif"/>
                <w:b/>
                <w:color w:val="FFFFFF"/>
                <w:sz w:val="16"/>
              </w:rPr>
              <w:t>All Other Compensation ($)</w:t>
            </w:r>
            <w:r>
              <w:rPr>
                <w:rFonts w:ascii="Arial;sans-serif" w:hAnsi="Arial;sans-serif"/>
                <w:b/>
                <w:color w:val="FFFFFF"/>
                <w:sz w:val="10"/>
              </w:rPr>
              <w:t>(3)</w:t>
            </w:r>
          </w:p>
        </w:tc>
        <w:tc>
          <w:tcPr>
            <w:tcW w:w="736" w:type="dxa"/>
            <w:gridSpan w:val="3"/>
            <w:tcBorders>
              <w:top w:val="single" w:sz="4" w:space="0" w:color="000000"/>
              <w:left w:val="single" w:sz="4" w:space="0" w:color="000000"/>
              <w:right w:val="single" w:sz="4" w:space="0" w:color="000000"/>
            </w:tcBorders>
            <w:shd w:fill="004C97" w:val="clear"/>
            <w:tcMar>
              <w:top w:w="30" w:type="dxa"/>
              <w:bottom w:w="0" w:type="dxa"/>
            </w:tcMar>
            <w:vAlign w:val="center"/>
          </w:tcPr>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Total</w:t>
            </w:r>
          </w:p>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w:t>
            </w:r>
          </w:p>
        </w:tc>
      </w:tr>
      <w:tr>
        <w:trPr/>
        <w:tc>
          <w:tcPr>
            <w:tcW w:w="1514" w:type="dxa"/>
            <w:gridSpan w:val="3"/>
            <w:tcBorders>
              <w:top w:val="single" w:sz="4" w:space="0" w:color="000000"/>
              <w:left w:val="single" w:sz="4" w:space="0" w:color="000000"/>
            </w:tcBorders>
            <w:shd w:fill="E6E7E8" w:val="clear"/>
            <w:tcMar>
              <w:top w:w="30" w:type="dxa"/>
              <w:left w:w="20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Patrick J. O’Leary</w:t>
            </w:r>
          </w:p>
        </w:tc>
        <w:tc>
          <w:tcPr>
            <w:tcW w:w="1334" w:type="dxa"/>
            <w:gridSpan w:val="3"/>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0"/>
              <w:jc w:val="center"/>
              <w:rPr/>
            </w:pPr>
            <w:r>
              <w:rPr>
                <w:rFonts w:ascii="Arial;sans-serif" w:hAnsi="Arial;sans-serif"/>
                <w:b w:val="false"/>
                <w:color w:val="000000"/>
                <w:sz w:val="16"/>
              </w:rPr>
              <w:t>215,000</w:t>
            </w:r>
            <w:r>
              <w:rPr>
                <w:rFonts w:ascii="Arial;sans-serif" w:hAnsi="Arial;sans-serif"/>
                <w:b w:val="false"/>
                <w:color w:val="000000"/>
                <w:sz w:val="10"/>
              </w:rPr>
              <w:t>(a)</w:t>
            </w:r>
          </w:p>
        </w:tc>
        <w:tc>
          <w:tcPr>
            <w:tcW w:w="749" w:type="dxa"/>
            <w:gridSpan w:val="3"/>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130,060</w:t>
            </w:r>
          </w:p>
        </w:tc>
        <w:tc>
          <w:tcPr>
            <w:tcW w:w="2399" w:type="dxa"/>
            <w:gridSpan w:val="3"/>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10,000</w:t>
            </w:r>
          </w:p>
        </w:tc>
        <w:tc>
          <w:tcPr>
            <w:tcW w:w="736" w:type="dxa"/>
            <w:gridSpan w:val="3"/>
            <w:tcBorders>
              <w:top w:val="single" w:sz="4" w:space="0" w:color="000000"/>
              <w:left w:val="single" w:sz="4" w:space="0" w:color="000000"/>
              <w:right w:val="single" w:sz="4" w:space="0" w:color="000000"/>
            </w:tcBorders>
            <w:shd w:fill="E6E7E8" w:val="clear"/>
            <w:tcMar>
              <w:top w:w="30" w:type="dxa"/>
              <w:bottom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355,060</w:t>
            </w:r>
          </w:p>
        </w:tc>
      </w:tr>
      <w:tr>
        <w:trPr/>
        <w:tc>
          <w:tcPr>
            <w:tcW w:w="1514" w:type="dxa"/>
            <w:gridSpan w:val="3"/>
            <w:tcBorders>
              <w:top w:val="single" w:sz="4" w:space="0" w:color="000000"/>
              <w:left w:val="single" w:sz="4" w:space="0" w:color="000000"/>
            </w:tcBorders>
            <w:shd w:fill="FFFFFF" w:val="clear"/>
            <w:tcMar>
              <w:top w:w="30" w:type="dxa"/>
              <w:left w:w="20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Ricky D. Puckett</w:t>
            </w:r>
          </w:p>
        </w:tc>
        <w:tc>
          <w:tcPr>
            <w:tcW w:w="1334"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0"/>
              <w:jc w:val="center"/>
              <w:rPr/>
            </w:pPr>
            <w:r>
              <w:rPr>
                <w:rFonts w:ascii="Arial;sans-serif" w:hAnsi="Arial;sans-serif"/>
                <w:b w:val="false"/>
                <w:color w:val="000000"/>
                <w:sz w:val="16"/>
              </w:rPr>
              <w:t>105,000</w:t>
            </w:r>
            <w:r>
              <w:rPr>
                <w:rFonts w:ascii="Arial;sans-serif" w:hAnsi="Arial;sans-serif"/>
                <w:b w:val="false"/>
                <w:color w:val="000000"/>
                <w:sz w:val="10"/>
              </w:rPr>
              <w:t>(b)</w:t>
            </w:r>
          </w:p>
        </w:tc>
        <w:tc>
          <w:tcPr>
            <w:tcW w:w="749"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130,060</w:t>
            </w:r>
          </w:p>
        </w:tc>
        <w:tc>
          <w:tcPr>
            <w:tcW w:w="2399"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10,000</w:t>
            </w:r>
          </w:p>
        </w:tc>
        <w:tc>
          <w:tcPr>
            <w:tcW w:w="736" w:type="dxa"/>
            <w:gridSpan w:val="3"/>
            <w:tcBorders>
              <w:top w:val="single" w:sz="4" w:space="0" w:color="000000"/>
              <w:left w:val="single" w:sz="4" w:space="0" w:color="000000"/>
              <w:right w:val="single" w:sz="4" w:space="0" w:color="000000"/>
            </w:tcBorders>
            <w:shd w:fill="FFFFFF" w:val="clear"/>
            <w:tcMar>
              <w:top w:w="30" w:type="dxa"/>
              <w:bottom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245,060</w:t>
            </w:r>
          </w:p>
        </w:tc>
      </w:tr>
      <w:tr>
        <w:trPr/>
        <w:tc>
          <w:tcPr>
            <w:tcW w:w="1514" w:type="dxa"/>
            <w:gridSpan w:val="3"/>
            <w:tcBorders>
              <w:top w:val="single" w:sz="4" w:space="0" w:color="000000"/>
              <w:left w:val="single" w:sz="4" w:space="0" w:color="000000"/>
            </w:tcBorders>
            <w:shd w:fill="E6E7E8" w:val="clear"/>
            <w:tcMar>
              <w:top w:w="30" w:type="dxa"/>
              <w:left w:w="20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David A. Roberts</w:t>
            </w:r>
          </w:p>
        </w:tc>
        <w:tc>
          <w:tcPr>
            <w:tcW w:w="1334" w:type="dxa"/>
            <w:gridSpan w:val="3"/>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90,000</w:t>
            </w:r>
          </w:p>
        </w:tc>
        <w:tc>
          <w:tcPr>
            <w:tcW w:w="749" w:type="dxa"/>
            <w:gridSpan w:val="3"/>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130,060</w:t>
            </w:r>
          </w:p>
        </w:tc>
        <w:tc>
          <w:tcPr>
            <w:tcW w:w="2399" w:type="dxa"/>
            <w:gridSpan w:val="3"/>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10,000</w:t>
            </w:r>
          </w:p>
        </w:tc>
        <w:tc>
          <w:tcPr>
            <w:tcW w:w="736" w:type="dxa"/>
            <w:gridSpan w:val="3"/>
            <w:tcBorders>
              <w:top w:val="single" w:sz="4" w:space="0" w:color="000000"/>
              <w:left w:val="single" w:sz="4" w:space="0" w:color="000000"/>
              <w:right w:val="single" w:sz="4" w:space="0" w:color="000000"/>
            </w:tcBorders>
            <w:shd w:fill="E6E7E8" w:val="clear"/>
            <w:tcMar>
              <w:top w:w="30" w:type="dxa"/>
              <w:bottom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230,060</w:t>
            </w:r>
          </w:p>
        </w:tc>
      </w:tr>
      <w:tr>
        <w:trPr/>
        <w:tc>
          <w:tcPr>
            <w:tcW w:w="1514" w:type="dxa"/>
            <w:gridSpan w:val="3"/>
            <w:tcBorders>
              <w:top w:val="single" w:sz="4" w:space="0" w:color="000000"/>
              <w:left w:val="single" w:sz="4" w:space="0" w:color="000000"/>
            </w:tcBorders>
            <w:shd w:fill="FFFFFF" w:val="clear"/>
            <w:tcMar>
              <w:top w:w="30" w:type="dxa"/>
              <w:left w:w="20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Meenal A. Sethna</w:t>
            </w:r>
          </w:p>
        </w:tc>
        <w:tc>
          <w:tcPr>
            <w:tcW w:w="1334"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0"/>
              <w:jc w:val="center"/>
              <w:rPr/>
            </w:pPr>
            <w:r>
              <w:rPr>
                <w:rFonts w:ascii="Arial;sans-serif" w:hAnsi="Arial;sans-serif"/>
                <w:b w:val="false"/>
                <w:color w:val="000000"/>
                <w:sz w:val="16"/>
              </w:rPr>
              <w:t>110,000</w:t>
            </w:r>
            <w:r>
              <w:rPr>
                <w:rFonts w:ascii="Arial;sans-serif" w:hAnsi="Arial;sans-serif"/>
                <w:b w:val="false"/>
                <w:color w:val="000000"/>
                <w:sz w:val="10"/>
              </w:rPr>
              <w:t>(c)</w:t>
            </w:r>
          </w:p>
        </w:tc>
        <w:tc>
          <w:tcPr>
            <w:tcW w:w="749"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130,060</w:t>
            </w:r>
          </w:p>
        </w:tc>
        <w:tc>
          <w:tcPr>
            <w:tcW w:w="2399"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10,000</w:t>
            </w:r>
          </w:p>
        </w:tc>
        <w:tc>
          <w:tcPr>
            <w:tcW w:w="736" w:type="dxa"/>
            <w:gridSpan w:val="3"/>
            <w:tcBorders>
              <w:top w:val="single" w:sz="4" w:space="0" w:color="000000"/>
              <w:left w:val="single" w:sz="4" w:space="0" w:color="000000"/>
              <w:right w:val="single" w:sz="4" w:space="0" w:color="000000"/>
            </w:tcBorders>
            <w:shd w:fill="FFFFFF" w:val="clear"/>
            <w:tcMar>
              <w:top w:w="30" w:type="dxa"/>
              <w:bottom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250,060</w:t>
            </w:r>
          </w:p>
        </w:tc>
      </w:tr>
      <w:tr>
        <w:trPr/>
        <w:tc>
          <w:tcPr>
            <w:tcW w:w="1514" w:type="dxa"/>
            <w:gridSpan w:val="3"/>
            <w:tcBorders>
              <w:top w:val="single" w:sz="4" w:space="0" w:color="000000"/>
              <w:left w:val="single" w:sz="4" w:space="0" w:color="000000"/>
            </w:tcBorders>
            <w:shd w:fill="E6E7E8" w:val="clear"/>
            <w:tcMar>
              <w:top w:w="30" w:type="dxa"/>
              <w:left w:w="20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Ruth G. Shaw</w:t>
            </w:r>
          </w:p>
        </w:tc>
        <w:tc>
          <w:tcPr>
            <w:tcW w:w="1334" w:type="dxa"/>
            <w:gridSpan w:val="3"/>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0"/>
              <w:jc w:val="center"/>
              <w:rPr/>
            </w:pPr>
            <w:r>
              <w:rPr>
                <w:rFonts w:ascii="Arial;sans-serif" w:hAnsi="Arial;sans-serif"/>
                <w:b w:val="false"/>
                <w:color w:val="000000"/>
                <w:sz w:val="16"/>
              </w:rPr>
              <w:t>105,000</w:t>
            </w:r>
            <w:r>
              <w:rPr>
                <w:rFonts w:ascii="Arial;sans-serif" w:hAnsi="Arial;sans-serif"/>
                <w:b w:val="false"/>
                <w:color w:val="000000"/>
                <w:sz w:val="10"/>
              </w:rPr>
              <w:t>(d)</w:t>
            </w:r>
          </w:p>
        </w:tc>
        <w:tc>
          <w:tcPr>
            <w:tcW w:w="749" w:type="dxa"/>
            <w:gridSpan w:val="3"/>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130,060</w:t>
            </w:r>
          </w:p>
        </w:tc>
        <w:tc>
          <w:tcPr>
            <w:tcW w:w="2399" w:type="dxa"/>
            <w:gridSpan w:val="3"/>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10,000</w:t>
            </w:r>
          </w:p>
        </w:tc>
        <w:tc>
          <w:tcPr>
            <w:tcW w:w="736" w:type="dxa"/>
            <w:gridSpan w:val="3"/>
            <w:tcBorders>
              <w:top w:val="single" w:sz="4" w:space="0" w:color="000000"/>
              <w:left w:val="single" w:sz="4" w:space="0" w:color="000000"/>
              <w:right w:val="single" w:sz="4" w:space="0" w:color="000000"/>
            </w:tcBorders>
            <w:shd w:fill="E6E7E8" w:val="clear"/>
            <w:tcMar>
              <w:top w:w="30" w:type="dxa"/>
              <w:bottom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245,060</w:t>
            </w:r>
          </w:p>
        </w:tc>
      </w:tr>
      <w:tr>
        <w:trPr/>
        <w:tc>
          <w:tcPr>
            <w:tcW w:w="1514" w:type="dxa"/>
            <w:gridSpan w:val="3"/>
            <w:tcBorders>
              <w:top w:val="single" w:sz="4" w:space="0" w:color="000000"/>
              <w:left w:val="single" w:sz="4" w:space="0" w:color="000000"/>
            </w:tcBorders>
            <w:shd w:fill="FFFFFF" w:val="clear"/>
            <w:tcMar>
              <w:top w:w="30" w:type="dxa"/>
              <w:left w:w="20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Robert B. Toth</w:t>
            </w:r>
          </w:p>
        </w:tc>
        <w:tc>
          <w:tcPr>
            <w:tcW w:w="1334"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90,000</w:t>
            </w:r>
          </w:p>
        </w:tc>
        <w:tc>
          <w:tcPr>
            <w:tcW w:w="749"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130,060</w:t>
            </w:r>
          </w:p>
        </w:tc>
        <w:tc>
          <w:tcPr>
            <w:tcW w:w="2399"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7,500</w:t>
            </w:r>
          </w:p>
        </w:tc>
        <w:tc>
          <w:tcPr>
            <w:tcW w:w="736" w:type="dxa"/>
            <w:gridSpan w:val="3"/>
            <w:tcBorders>
              <w:top w:val="single" w:sz="4" w:space="0" w:color="000000"/>
              <w:left w:val="single" w:sz="4" w:space="0" w:color="000000"/>
              <w:right w:val="single" w:sz="4" w:space="0" w:color="000000"/>
            </w:tcBorders>
            <w:shd w:fill="FFFFFF" w:val="clear"/>
            <w:tcMar>
              <w:top w:w="30" w:type="dxa"/>
              <w:bottom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227,560</w:t>
            </w:r>
          </w:p>
        </w:tc>
      </w:tr>
      <w:tr>
        <w:trPr/>
        <w:tc>
          <w:tcPr>
            <w:tcW w:w="1514" w:type="dxa"/>
            <w:gridSpan w:val="3"/>
            <w:tcBorders>
              <w:top w:val="single" w:sz="4" w:space="0" w:color="000000"/>
              <w:left w:val="single" w:sz="4" w:space="0" w:color="000000"/>
            </w:tcBorders>
            <w:shd w:fill="E6E7E8" w:val="clear"/>
            <w:tcMar>
              <w:top w:w="30" w:type="dxa"/>
              <w:left w:w="20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Tana L. Utley</w:t>
            </w:r>
          </w:p>
        </w:tc>
        <w:tc>
          <w:tcPr>
            <w:tcW w:w="1334" w:type="dxa"/>
            <w:gridSpan w:val="3"/>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90,000</w:t>
            </w:r>
          </w:p>
        </w:tc>
        <w:tc>
          <w:tcPr>
            <w:tcW w:w="749" w:type="dxa"/>
            <w:gridSpan w:val="3"/>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130,060</w:t>
            </w:r>
          </w:p>
        </w:tc>
        <w:tc>
          <w:tcPr>
            <w:tcW w:w="2399" w:type="dxa"/>
            <w:gridSpan w:val="3"/>
            <w:tcBorders>
              <w:top w:val="single" w:sz="4" w:space="0" w:color="000000"/>
              <w:left w:val="single" w:sz="4" w:space="0" w:color="000000"/>
            </w:tcBorders>
            <w:shd w:fill="E6E7E8" w:val="clear"/>
            <w:tcMar>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4" w:space="0" w:color="000000"/>
              <w:left w:val="single" w:sz="4" w:space="0" w:color="000000"/>
              <w:right w:val="single" w:sz="4" w:space="0" w:color="000000"/>
            </w:tcBorders>
            <w:shd w:fill="E6E7E8" w:val="clear"/>
            <w:tcMar>
              <w:top w:w="30" w:type="dxa"/>
              <w:bottom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220,060</w:t>
            </w:r>
          </w:p>
        </w:tc>
      </w:tr>
      <w:tr>
        <w:trPr/>
        <w:tc>
          <w:tcPr>
            <w:tcW w:w="1514" w:type="dxa"/>
            <w:gridSpan w:val="3"/>
            <w:tcBorders>
              <w:top w:val="single" w:sz="4" w:space="0" w:color="000000"/>
              <w:left w:val="single" w:sz="4" w:space="0" w:color="000000"/>
              <w:bottom w:val="single" w:sz="4" w:space="0" w:color="000000"/>
            </w:tcBorders>
            <w:shd w:fill="FFFFFF" w:val="clear"/>
            <w:tcMar>
              <w:top w:w="30" w:type="dxa"/>
              <w:left w:w="20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Angel Shelton Willis</w:t>
            </w:r>
          </w:p>
        </w:tc>
        <w:tc>
          <w:tcPr>
            <w:tcW w:w="1334" w:type="dxa"/>
            <w:gridSpan w:val="3"/>
            <w:tcBorders>
              <w:top w:val="single" w:sz="4" w:space="0" w:color="000000"/>
              <w:left w:val="single" w:sz="4" w:space="0" w:color="000000"/>
              <w:bottom w:val="single" w:sz="4" w:space="0" w:color="000000"/>
            </w:tcBorders>
            <w:shd w:fill="FFFFFF" w:val="clear"/>
            <w:tcMar>
              <w:top w:w="30" w:type="dxa"/>
              <w:bottom w:w="30" w:type="dxa"/>
              <w:right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90,000</w:t>
            </w:r>
          </w:p>
        </w:tc>
        <w:tc>
          <w:tcPr>
            <w:tcW w:w="749" w:type="dxa"/>
            <w:gridSpan w:val="3"/>
            <w:tcBorders>
              <w:top w:val="single" w:sz="4" w:space="0" w:color="000000"/>
              <w:left w:val="single" w:sz="4" w:space="0" w:color="000000"/>
              <w:bottom w:val="single" w:sz="4" w:space="0" w:color="000000"/>
            </w:tcBorders>
            <w:shd w:fill="FFFFFF" w:val="clear"/>
            <w:tcMar>
              <w:top w:w="30" w:type="dxa"/>
              <w:bottom w:w="3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130,060</w:t>
            </w:r>
          </w:p>
        </w:tc>
        <w:tc>
          <w:tcPr>
            <w:tcW w:w="2399" w:type="dxa"/>
            <w:gridSpan w:val="3"/>
            <w:tcBorders>
              <w:top w:val="single" w:sz="4" w:space="0" w:color="000000"/>
              <w:left w:val="single" w:sz="4" w:space="0" w:color="000000"/>
              <w:bottom w:val="single" w:sz="4" w:space="0" w:color="000000"/>
            </w:tcBorders>
            <w:shd w:fill="FFFFFF" w:val="clear"/>
            <w:tcMar>
              <w:top w:w="30" w:type="dxa"/>
              <w:bottom w:w="3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10,000</w:t>
            </w:r>
          </w:p>
        </w:tc>
        <w:tc>
          <w:tcPr>
            <w:tcW w:w="736" w:type="dxa"/>
            <w:gridSpan w:val="3"/>
            <w:tcBorders>
              <w:top w:val="single" w:sz="4" w:space="0" w:color="000000"/>
              <w:left w:val="single" w:sz="4" w:space="0" w:color="000000"/>
              <w:bottom w:val="single" w:sz="4" w:space="0" w:color="000000"/>
              <w:right w:val="single" w:sz="4" w:space="0" w:color="000000"/>
            </w:tcBorders>
            <w:shd w:fill="FFFFFF" w:val="clear"/>
            <w:tcMar>
              <w:top w:w="30" w:type="dxa"/>
              <w:bottom w:w="3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230,060</w:t>
            </w:r>
          </w:p>
        </w:tc>
      </w:tr>
    </w:tbl>
    <w:p>
      <w:pPr>
        <w:pStyle w:val="TextBody"/>
        <w:bidi w:val="0"/>
        <w:spacing w:lineRule="auto" w:line="288" w:before="0" w:after="60"/>
        <w:ind w:left="0" w:right="0" w:hanging="360"/>
        <w:jc w:val="both"/>
        <w:rPr>
          <w:rFonts w:ascii="Arial;sans-serif" w:hAnsi="Arial;sans-serif"/>
          <w:b w:val="false"/>
          <w:color w:val="000000"/>
          <w:sz w:val="14"/>
        </w:rPr>
      </w:pPr>
      <w:r>
        <w:rPr>
          <w:rFonts w:ascii="Arial;sans-serif" w:hAnsi="Arial;sans-serif"/>
          <w:b w:val="false"/>
          <w:color w:val="000000"/>
          <w:sz w:val="14"/>
        </w:rPr>
        <w:t>(1)Represents annual retainer of $90,000. In addition:</w:t>
      </w:r>
    </w:p>
    <w:p>
      <w:pPr>
        <w:pStyle w:val="TextBody"/>
        <w:bidi w:val="0"/>
        <w:spacing w:lineRule="auto" w:line="288" w:before="0" w:after="60"/>
        <w:ind w:left="0" w:right="0" w:hanging="360"/>
        <w:jc w:val="both"/>
        <w:rPr>
          <w:rFonts w:ascii="Arial;sans-serif" w:hAnsi="Arial;sans-serif"/>
          <w:b w:val="false"/>
          <w:color w:val="000000"/>
          <w:sz w:val="14"/>
        </w:rPr>
      </w:pPr>
      <w:r>
        <w:rPr>
          <w:rFonts w:ascii="Arial;sans-serif" w:hAnsi="Arial;sans-serif"/>
          <w:b w:val="false"/>
          <w:color w:val="000000"/>
          <w:sz w:val="14"/>
        </w:rPr>
        <w:t>(a)Mr. O’Leary’s fees include $125,000, representing the additional fee for serving as Chairman of the Board.</w:t>
      </w:r>
    </w:p>
    <w:p>
      <w:pPr>
        <w:pStyle w:val="TextBody"/>
        <w:bidi w:val="0"/>
        <w:spacing w:lineRule="auto" w:line="288" w:before="0" w:after="60"/>
        <w:ind w:left="0" w:right="0" w:hanging="360"/>
        <w:jc w:val="both"/>
        <w:rPr>
          <w:rFonts w:ascii="Arial;sans-serif" w:hAnsi="Arial;sans-serif"/>
          <w:b w:val="false"/>
          <w:color w:val="000000"/>
          <w:sz w:val="14"/>
        </w:rPr>
      </w:pPr>
      <w:r>
        <w:rPr>
          <w:rFonts w:ascii="Arial;sans-serif" w:hAnsi="Arial;sans-serif"/>
          <w:b w:val="false"/>
          <w:color w:val="000000"/>
          <w:sz w:val="14"/>
        </w:rPr>
        <w:t>(b)Mr. Puckett’s fees include $15,000, representing the additional fee for serving as Compensation Committee Chair.</w:t>
      </w:r>
    </w:p>
    <w:p>
      <w:pPr>
        <w:pStyle w:val="TextBody"/>
        <w:bidi w:val="0"/>
        <w:spacing w:lineRule="auto" w:line="288" w:before="0" w:after="60"/>
        <w:ind w:left="0" w:right="0" w:hanging="360"/>
        <w:jc w:val="both"/>
        <w:rPr>
          <w:rFonts w:ascii="Arial;sans-serif" w:hAnsi="Arial;sans-serif"/>
          <w:b w:val="false"/>
          <w:color w:val="000000"/>
          <w:sz w:val="14"/>
        </w:rPr>
      </w:pPr>
      <w:r>
        <w:rPr>
          <w:rFonts w:ascii="Arial;sans-serif" w:hAnsi="Arial;sans-serif"/>
          <w:b w:val="false"/>
          <w:color w:val="000000"/>
          <w:sz w:val="14"/>
        </w:rPr>
        <w:t>(c)Ms. Sethna’s fees include $20,000, representing the additional fee for serving as Audit Committee Chair.</w:t>
      </w:r>
    </w:p>
    <w:p>
      <w:pPr>
        <w:pStyle w:val="TextBody"/>
        <w:bidi w:val="0"/>
        <w:spacing w:lineRule="auto" w:line="288" w:before="0" w:after="60"/>
        <w:ind w:left="0" w:right="0" w:hanging="360"/>
        <w:jc w:val="both"/>
        <w:rPr>
          <w:rFonts w:ascii="Arial;sans-serif" w:hAnsi="Arial;sans-serif"/>
          <w:b w:val="false"/>
          <w:color w:val="000000"/>
          <w:sz w:val="14"/>
        </w:rPr>
      </w:pPr>
      <w:r>
        <w:rPr>
          <w:rFonts w:ascii="Arial;sans-serif" w:hAnsi="Arial;sans-serif"/>
          <w:b w:val="false"/>
          <w:color w:val="000000"/>
          <w:sz w:val="14"/>
        </w:rPr>
        <w:t>(d)Dr. Shaw’s fees include $15,000, representing the additional fee for serving as Governance and Sustainability Committee Chair.</w:t>
      </w:r>
    </w:p>
    <w:p>
      <w:pPr>
        <w:pStyle w:val="TextBody"/>
        <w:bidi w:val="0"/>
        <w:spacing w:lineRule="auto" w:line="288" w:before="0" w:after="60"/>
        <w:ind w:left="0" w:right="0" w:hanging="360"/>
        <w:jc w:val="both"/>
        <w:rPr>
          <w:rFonts w:ascii="Arial;sans-serif" w:hAnsi="Arial;sans-serif"/>
          <w:b w:val="false"/>
          <w:color w:val="000000"/>
          <w:sz w:val="14"/>
        </w:rPr>
      </w:pPr>
      <w:r>
        <w:rPr>
          <w:rFonts w:ascii="Arial;sans-serif" w:hAnsi="Arial;sans-serif"/>
          <w:b w:val="false"/>
          <w:color w:val="000000"/>
          <w:sz w:val="14"/>
        </w:rPr>
        <w:t>(2)On May 9, 2023, each non-employee director received a RSU grant with a grant date fair value of $130,060 (1,770 RSUs) that vests the day before the next annual meeting following the grant date.</w:t>
      </w:r>
    </w:p>
    <w:p>
      <w:pPr>
        <w:pStyle w:val="TextBody"/>
        <w:bidi w:val="0"/>
        <w:spacing w:lineRule="auto" w:line="288" w:before="0" w:after="60"/>
        <w:ind w:left="0" w:right="0" w:hanging="360"/>
        <w:jc w:val="both"/>
        <w:rPr>
          <w:rFonts w:ascii="Arial;sans-serif" w:hAnsi="Arial;sans-serif"/>
          <w:b w:val="false"/>
          <w:color w:val="000000"/>
          <w:sz w:val="14"/>
        </w:rPr>
      </w:pPr>
      <w:r>
        <w:rPr>
          <w:rFonts w:ascii="Arial;sans-serif" w:hAnsi="Arial;sans-serif"/>
          <w:b w:val="false"/>
          <w:color w:val="000000"/>
          <w:sz w:val="14"/>
        </w:rPr>
        <w:t>(3)Represents matching donations for qualified charitable contributions for Mr. O’Leary, Mr. Puckett, Mr. Roberts, Ms. Sethna, Dr. Shaw, Mr. Toth, and Ms. Willis.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6480175" cy="739140"/>
                <wp:effectExtent l="0" t="0" r="0" b="0"/>
                <wp:wrapNone/>
                <wp:docPr id="52" name="Frame18"/>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292" w:type="dxa"/>
                              <w:jc w:val="left"/>
                              <w:tblInd w:w="0" w:type="dxa"/>
                              <w:tblLayout w:type="fixed"/>
                              <w:tblCellMar>
                                <w:top w:w="28" w:type="dxa"/>
                                <w:left w:w="28" w:type="dxa"/>
                                <w:bottom w:w="28" w:type="dxa"/>
                                <w:right w:w="28" w:type="dxa"/>
                              </w:tblCellMar>
                            </w:tblPr>
                            <w:tblGrid>
                              <w:gridCol w:w="124"/>
                              <w:gridCol w:w="109"/>
                              <w:gridCol w:w="109"/>
                              <w:gridCol w:w="704"/>
                              <w:gridCol w:w="704"/>
                              <w:gridCol w:w="706"/>
                              <w:gridCol w:w="244"/>
                              <w:gridCol w:w="244"/>
                              <w:gridCol w:w="34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6"/>
                                    </w:rPr>
                                  </w:pPr>
                                  <w:r>
                                    <w:rPr>
                                      <w:rFonts w:ascii="Arial;sans-serif" w:hAnsi="Arial;sans-serif"/>
                                      <w:b/>
                                      <w:color w:val="000000"/>
                                      <w:sz w:val="16"/>
                                    </w:rPr>
                                    <w:t>12</w:t>
                                  </w:r>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2024 PROXY STATEMENT</w:t>
                                  </w:r>
                                </w:p>
                              </w:tc>
                              <w:tc>
                                <w:tcPr>
                                  <w:tcW w:w="83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53"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24" descr=""/>
                                                <pic:cNvPicPr>
                                                  <a:picLocks noChangeAspect="1" noChangeArrowheads="1"/>
                                                </pic:cNvPicPr>
                                              </pic:nvPicPr>
                                              <pic:blipFill>
                                                <a:blip r:embed="rId36"/>
                                                <a:stretch>
                                                  <a:fillRect/>
                                                </a:stretch>
                                              </pic:blipFill>
                                              <pic:spPr bwMode="auto">
                                                <a:xfrm>
                                                  <a:off x="0" y="0"/>
                                                  <a:ext cx="447675" cy="161925"/>
                                                </a:xfrm>
                                                <a:prstGeom prst="rect">
                                                  <a:avLst/>
                                                </a:prstGeom>
                                              </pic:spPr>
                                            </pic:pic>
                                          </a:graphicData>
                                        </a:graphic>
                                      </wp:inline>
                                    </w:drawing>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292" w:type="dxa"/>
                        <w:jc w:val="left"/>
                        <w:tblInd w:w="0" w:type="dxa"/>
                        <w:tblLayout w:type="fixed"/>
                        <w:tblCellMar>
                          <w:top w:w="28" w:type="dxa"/>
                          <w:left w:w="28" w:type="dxa"/>
                          <w:bottom w:w="28" w:type="dxa"/>
                          <w:right w:w="28" w:type="dxa"/>
                        </w:tblCellMar>
                      </w:tblPr>
                      <w:tblGrid>
                        <w:gridCol w:w="124"/>
                        <w:gridCol w:w="109"/>
                        <w:gridCol w:w="109"/>
                        <w:gridCol w:w="704"/>
                        <w:gridCol w:w="704"/>
                        <w:gridCol w:w="706"/>
                        <w:gridCol w:w="244"/>
                        <w:gridCol w:w="244"/>
                        <w:gridCol w:w="34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6"/>
                              </w:rPr>
                            </w:pPr>
                            <w:r>
                              <w:rPr>
                                <w:rFonts w:ascii="Arial;sans-serif" w:hAnsi="Arial;sans-serif"/>
                                <w:b/>
                                <w:color w:val="000000"/>
                                <w:sz w:val="16"/>
                              </w:rPr>
                              <w:t>12</w:t>
                            </w:r>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2024 PROXY STATEMENT</w:t>
                            </w:r>
                          </w:p>
                        </w:tc>
                        <w:tc>
                          <w:tcPr>
                            <w:tcW w:w="83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5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24" descr=""/>
                                          <pic:cNvPicPr>
                                            <a:picLocks noChangeAspect="1" noChangeArrowheads="1"/>
                                          </pic:cNvPicPr>
                                        </pic:nvPicPr>
                                        <pic:blipFill>
                                          <a:blip r:embed="rId37"/>
                                          <a:stretch>
                                            <a:fillRect/>
                                          </a:stretch>
                                        </pic:blipFill>
                                        <pic:spPr bwMode="auto">
                                          <a:xfrm>
                                            <a:off x="0" y="0"/>
                                            <a:ext cx="447675" cy="161925"/>
                                          </a:xfrm>
                                          <a:prstGeom prst="rect">
                                            <a:avLst/>
                                          </a:prstGeom>
                                        </pic:spPr>
                                      </pic:pic>
                                    </a:graphicData>
                                  </a:graphic>
                                </wp:inline>
                              </w:drawing>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312" w:before="0" w:after="240"/>
        <w:jc w:val="left"/>
        <w:rPr>
          <w:rFonts w:ascii="Arial;sans-serif" w:hAnsi="Arial;sans-serif"/>
          <w:b/>
          <w:color w:val="004C97"/>
          <w:sz w:val="42"/>
        </w:rPr>
      </w:pPr>
      <w:r>
        <w:rPr>
          <w:rFonts w:ascii="Arial;sans-serif" w:hAnsi="Arial;sans-serif"/>
          <w:b/>
          <w:color w:val="004C97"/>
          <w:sz w:val="42"/>
        </w:rPr>
        <w:t>PROPOSAL 1: ELECTION OF DIRECTORS</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Our Board currently consists of nine directors. The directors are currently divided into three classes and there are three directors in each of three classes.</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At this Annual Meeting, you will be asked to elect three directors, Dr. Shaw, Mr. Toth, and Ms. Willis, for a three-year term expiring at the Annual Meeting of Stockholders to be held in 2027. Each of the director nominees is a current SPX director.</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Mr. Lowe, Mr. O’Leary, and Mr. Roberts were each elected to a three-year term by our stockholders at our 2022 Annual Meeting of Stockholders and Mr. Puckett, Ms. Sethna, and Ms. Utley were each elected to a three-year term by our stockholders at our 2023 Annual Meeting of Stockholders, and they will continue to serve on the Board as described below.</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Each director has agreed to tender, promptly following his or her election, an irrevocable resignation effective upon his or her failure to receive the required vote for re-election at the next meeting at which he or she would face re-election and the acceptance of such resignation by the Board, in accordance with our Corporate Governance Guidelines.</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The Board is proposing that, at the Annual Meeting, the stockholders approve an amendment our Certificate of Incorporation to eliminate the classification of the Board of Directors into classes serving staggered, three-year terms and to provide for the annual election of the Board of Directors. For a description of this proposal, see “Proposal 3: Approval of the Amendment to our Certificate of Incorporation to Provide for the Annual Election of the Board Of Directors” beginning on page 56. Because this amendment, if approved by the stockholders at the Annual Meeting, would become effective only following the conclusion of the Annual Meeting, director nominees will be elected at the Annual Meeting for three-year terms.</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 xml:space="preserve">Your shares will be voted as you specify on the proxy card that accompanies this Proxy Statement. If you do not specify how you want your shares voted, then we will vote them FOR the election of each of Dr. Shaw, Mr. Toth, and Ms. Willis. If unforeseen circumstances (such as death or disability of the nominee) make it necessary for the Board to substitute another person for any of the nominees, then your shares will be voted FOR that other person. The Board does not anticipate that any of the nominees will be unable to serve.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6480175" cy="739140"/>
                <wp:effectExtent l="0" t="0" r="0" b="0"/>
                <wp:wrapNone/>
                <wp:docPr id="55" name="Frame19"/>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292" w:type="dxa"/>
                              <w:jc w:val="right"/>
                              <w:tblInd w:w="0" w:type="dxa"/>
                              <w:tblLayout w:type="fixed"/>
                              <w:tblCellMar>
                                <w:top w:w="28" w:type="dxa"/>
                                <w:left w:w="28" w:type="dxa"/>
                                <w:bottom w:w="28" w:type="dxa"/>
                                <w:right w:w="28" w:type="dxa"/>
                              </w:tblCellMar>
                            </w:tblPr>
                            <w:tblGrid>
                              <w:gridCol w:w="292"/>
                              <w:gridCol w:w="256"/>
                              <w:gridCol w:w="258"/>
                              <w:gridCol w:w="704"/>
                              <w:gridCol w:w="704"/>
                              <w:gridCol w:w="706"/>
                              <w:gridCol w:w="109"/>
                              <w:gridCol w:w="109"/>
                              <w:gridCol w:w="154"/>
                            </w:tblGrid>
                            <w:tr>
                              <w:trPr/>
                              <w:tc>
                                <w:tcPr>
                                  <w:tcW w:w="29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0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56"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25" descr=""/>
                                                <pic:cNvPicPr>
                                                  <a:picLocks noChangeAspect="1" noChangeArrowheads="1"/>
                                                </pic:cNvPicPr>
                                              </pic:nvPicPr>
                                              <pic:blipFill>
                                                <a:blip r:embed="rId38"/>
                                                <a:stretch>
                                                  <a:fillRect/>
                                                </a:stretch>
                                              </pic:blipFill>
                                              <pic:spPr bwMode="auto">
                                                <a:xfrm>
                                                  <a:off x="0" y="0"/>
                                                  <a:ext cx="447675" cy="161925"/>
                                                </a:xfrm>
                                                <a:prstGeom prst="rect">
                                                  <a:avLst/>
                                                </a:prstGeom>
                                              </pic:spPr>
                                            </pic:pic>
                                          </a:graphicData>
                                        </a:graphic>
                                      </wp:inline>
                                    </w:drawing>
                                  </w:r>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2024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000000"/>
                                      <w:sz w:val="16"/>
                                    </w:rPr>
                                  </w:pPr>
                                  <w:r>
                                    <w:rPr>
                                      <w:rFonts w:ascii="Arial;sans-serif" w:hAnsi="Arial;sans-serif"/>
                                      <w:b/>
                                      <w:color w:val="000000"/>
                                      <w:sz w:val="16"/>
                                    </w:rPr>
                                    <w:t>13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292" w:type="dxa"/>
                        <w:jc w:val="right"/>
                        <w:tblInd w:w="0" w:type="dxa"/>
                        <w:tblLayout w:type="fixed"/>
                        <w:tblCellMar>
                          <w:top w:w="28" w:type="dxa"/>
                          <w:left w:w="28" w:type="dxa"/>
                          <w:bottom w:w="28" w:type="dxa"/>
                          <w:right w:w="28" w:type="dxa"/>
                        </w:tblCellMar>
                      </w:tblPr>
                      <w:tblGrid>
                        <w:gridCol w:w="292"/>
                        <w:gridCol w:w="256"/>
                        <w:gridCol w:w="258"/>
                        <w:gridCol w:w="704"/>
                        <w:gridCol w:w="704"/>
                        <w:gridCol w:w="706"/>
                        <w:gridCol w:w="109"/>
                        <w:gridCol w:w="109"/>
                        <w:gridCol w:w="154"/>
                      </w:tblGrid>
                      <w:tr>
                        <w:trPr/>
                        <w:tc>
                          <w:tcPr>
                            <w:tcW w:w="29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0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57"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25" descr=""/>
                                          <pic:cNvPicPr>
                                            <a:picLocks noChangeAspect="1" noChangeArrowheads="1"/>
                                          </pic:cNvPicPr>
                                        </pic:nvPicPr>
                                        <pic:blipFill>
                                          <a:blip r:embed="rId39"/>
                                          <a:stretch>
                                            <a:fillRect/>
                                          </a:stretch>
                                        </pic:blipFill>
                                        <pic:spPr bwMode="auto">
                                          <a:xfrm>
                                            <a:off x="0" y="0"/>
                                            <a:ext cx="447675" cy="161925"/>
                                          </a:xfrm>
                                          <a:prstGeom prst="rect">
                                            <a:avLst/>
                                          </a:prstGeom>
                                        </pic:spPr>
                                      </pic:pic>
                                    </a:graphicData>
                                  </a:graphic>
                                </wp:inline>
                              </w:drawing>
                            </w:r>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2024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000000"/>
                                <w:sz w:val="16"/>
                              </w:rPr>
                            </w:pPr>
                            <w:r>
                              <w:rPr>
                                <w:rFonts w:ascii="Arial;sans-serif" w:hAnsi="Arial;sans-serif"/>
                                <w:b/>
                                <w:color w:val="000000"/>
                                <w:sz w:val="16"/>
                              </w:rPr>
                              <w:t>13</w:t>
                            </w:r>
                          </w:p>
                        </w:tc>
                      </w:tr>
                    </w:tbl>
                    <w:p>
                      <w:pPr>
                        <w:pStyle w:val="TextBody"/>
                        <w:bidi w:val="0"/>
                        <w:spacing w:before="0" w:after="283"/>
                        <w:jc w:val="left"/>
                        <w:rPr/>
                      </w:pPr>
                      <w:r>
                        <w:rPr/>
                      </w:r>
                    </w:p>
                  </w:txbxContent>
                </v:textbox>
                <w10:wrap type="none"/>
              </v:rect>
            </w:pict>
          </mc:Fallback>
        </mc:AlternateContent>
      </w:r>
    </w:p>
    <w:tbl>
      <w:tblPr>
        <w:tblW w:w="1469" w:type="dxa"/>
        <w:jc w:val="right"/>
        <w:tblInd w:w="0" w:type="dxa"/>
        <w:tblLayout w:type="fixed"/>
        <w:tblCellMar>
          <w:top w:w="28" w:type="dxa"/>
          <w:left w:w="28" w:type="dxa"/>
          <w:bottom w:w="28" w:type="dxa"/>
          <w:right w:w="28" w:type="dxa"/>
        </w:tblCellMar>
      </w:tblPr>
      <w:tblGrid>
        <w:gridCol w:w="470"/>
        <w:gridCol w:w="413"/>
        <w:gridCol w:w="586"/>
      </w:tblGrid>
      <w:tr>
        <w:trPr/>
        <w:tc>
          <w:tcPr>
            <w:tcW w:w="47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r>
      <w:tr>
        <w:trPr/>
        <w:tc>
          <w:tcPr>
            <w:tcW w:w="1469" w:type="dxa"/>
            <w:gridSpan w:val="3"/>
            <w:tcBorders>
              <w:bottom w:val="single" w:sz="4" w:space="0" w:color="004C97"/>
            </w:tcBorders>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4C97"/>
                <w:sz w:val="16"/>
              </w:rPr>
            </w:pPr>
            <w:r>
              <w:rPr>
                <w:rFonts w:ascii="Arial;sans-serif" w:hAnsi="Arial;sans-serif"/>
                <w:b w:val="false"/>
                <w:color w:val="004C97"/>
                <w:sz w:val="16"/>
              </w:rPr>
              <w:t>PROPOSAL ONE</w:t>
            </w:r>
          </w:p>
        </w:tc>
      </w:tr>
    </w:tbl>
    <w:p>
      <w:pPr>
        <w:pStyle w:val="TextBody"/>
        <w:bidi w:val="0"/>
        <w:spacing w:lineRule="auto" w:line="288" w:before="360" w:after="180"/>
        <w:jc w:val="left"/>
        <w:rPr>
          <w:rFonts w:ascii="Arial;sans-serif" w:hAnsi="Arial;sans-serif"/>
          <w:b/>
          <w:color w:val="000000"/>
          <w:sz w:val="32"/>
        </w:rPr>
      </w:pPr>
      <w:bookmarkStart w:id="1" w:name="i72569b677e204ec5b26ca04644a188d1_34876"/>
      <w:bookmarkEnd w:id="1"/>
      <w:r>
        <w:rPr>
          <w:rFonts w:ascii="Arial;sans-serif" w:hAnsi="Arial;sans-serif"/>
          <w:b/>
          <w:color w:val="000000"/>
          <w:sz w:val="32"/>
        </w:rPr>
        <w:t>Nominees for Election to Serve Until 2027 Annual Meeting</w:t>
      </w:r>
    </w:p>
    <w:tbl>
      <w:tblPr>
        <w:tblW w:w="10205" w:type="dxa"/>
        <w:jc w:val="left"/>
        <w:tblInd w:w="0" w:type="dxa"/>
        <w:tblLayout w:type="fixed"/>
        <w:tblCellMar>
          <w:top w:w="28" w:type="dxa"/>
          <w:left w:w="28" w:type="dxa"/>
          <w:bottom w:w="28" w:type="dxa"/>
          <w:right w:w="28" w:type="dxa"/>
        </w:tblCellMar>
      </w:tblPr>
      <w:tblGrid>
        <w:gridCol w:w="415"/>
        <w:gridCol w:w="365"/>
        <w:gridCol w:w="365"/>
        <w:gridCol w:w="365"/>
        <w:gridCol w:w="365"/>
        <w:gridCol w:w="369"/>
        <w:gridCol w:w="2330"/>
        <w:gridCol w:w="2330"/>
        <w:gridCol w:w="3301"/>
      </w:tblGrid>
      <w:tr>
        <w:trPr/>
        <w:tc>
          <w:tcPr>
            <w:tcW w:w="415"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2330" w:type="dxa"/>
            <w:tcBorders/>
            <w:vAlign w:val="center"/>
          </w:tcPr>
          <w:p>
            <w:pPr>
              <w:pStyle w:val="TableContents"/>
              <w:bidi w:val="0"/>
              <w:spacing w:before="0" w:after="283"/>
              <w:jc w:val="left"/>
              <w:rPr>
                <w:sz w:val="4"/>
                <w:szCs w:val="4"/>
              </w:rPr>
            </w:pPr>
            <w:r>
              <w:rPr>
                <w:sz w:val="4"/>
                <w:szCs w:val="4"/>
              </w:rPr>
            </w:r>
          </w:p>
        </w:tc>
        <w:tc>
          <w:tcPr>
            <w:tcW w:w="2330" w:type="dxa"/>
            <w:tcBorders/>
            <w:vAlign w:val="center"/>
          </w:tcPr>
          <w:p>
            <w:pPr>
              <w:pStyle w:val="TableContents"/>
              <w:bidi w:val="0"/>
              <w:spacing w:before="0" w:after="283"/>
              <w:jc w:val="left"/>
              <w:rPr>
                <w:sz w:val="4"/>
                <w:szCs w:val="4"/>
              </w:rPr>
            </w:pPr>
            <w:r>
              <w:rPr>
                <w:sz w:val="4"/>
                <w:szCs w:val="4"/>
              </w:rPr>
            </w:r>
          </w:p>
        </w:tc>
        <w:tc>
          <w:tcPr>
            <w:tcW w:w="3301" w:type="dxa"/>
            <w:tcBorders/>
            <w:vAlign w:val="center"/>
          </w:tcPr>
          <w:p>
            <w:pPr>
              <w:pStyle w:val="TableContents"/>
              <w:bidi w:val="0"/>
              <w:spacing w:before="0" w:after="283"/>
              <w:jc w:val="left"/>
              <w:rPr>
                <w:sz w:val="4"/>
                <w:szCs w:val="4"/>
              </w:rPr>
            </w:pPr>
            <w:r>
              <w:rPr>
                <w:sz w:val="4"/>
                <w:szCs w:val="4"/>
              </w:rPr>
            </w:r>
          </w:p>
        </w:tc>
      </w:tr>
      <w:tr>
        <w:trPr/>
        <w:tc>
          <w:tcPr>
            <w:tcW w:w="2244" w:type="dxa"/>
            <w:gridSpan w:val="6"/>
            <w:vMerge w:val="restart"/>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333500" cy="1666875"/>
                  <wp:effectExtent l="0" t="0" r="0" b="0"/>
                  <wp:docPr id="58"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26" descr=""/>
                          <pic:cNvPicPr>
                            <a:picLocks noChangeAspect="1" noChangeArrowheads="1"/>
                          </pic:cNvPicPr>
                        </pic:nvPicPr>
                        <pic:blipFill>
                          <a:blip r:embed="rId40"/>
                          <a:stretch>
                            <a:fillRect/>
                          </a:stretch>
                        </pic:blipFill>
                        <pic:spPr bwMode="auto">
                          <a:xfrm>
                            <a:off x="0" y="0"/>
                            <a:ext cx="1333500" cy="1666875"/>
                          </a:xfrm>
                          <a:prstGeom prst="rect">
                            <a:avLst/>
                          </a:prstGeom>
                        </pic:spPr>
                      </pic:pic>
                    </a:graphicData>
                  </a:graphic>
                </wp:inline>
              </w:drawing>
            </w:r>
          </w:p>
          <w:p>
            <w:pPr>
              <w:pStyle w:val="TableContents"/>
              <w:bidi w:val="0"/>
              <w:spacing w:lineRule="auto" w:line="288" w:before="0" w:after="180"/>
              <w:jc w:val="left"/>
              <w:rPr>
                <w:rFonts w:ascii="Arial;sans-serif" w:hAnsi="Arial;sans-serif"/>
                <w:b/>
                <w:color w:val="004C97"/>
                <w:sz w:val="22"/>
              </w:rPr>
            </w:pPr>
            <w:r>
              <w:rPr>
                <w:rFonts w:ascii="Arial;sans-serif" w:hAnsi="Arial;sans-serif"/>
                <w:b/>
                <w:color w:val="004C97"/>
                <w:sz w:val="22"/>
              </w:rPr>
              <w:t>Ruth Shaw</w:t>
            </w:r>
          </w:p>
          <w:p>
            <w:pPr>
              <w:pStyle w:val="TableContents"/>
              <w:bidi w:val="0"/>
              <w:spacing w:lineRule="auto" w:line="288" w:before="0" w:after="0"/>
              <w:jc w:val="left"/>
              <w:rPr>
                <w:rFonts w:ascii="Arial;sans-serif" w:hAnsi="Arial;sans-serif"/>
                <w:b w:val="false"/>
                <w:color w:val="004C97"/>
                <w:sz w:val="16"/>
              </w:rPr>
            </w:pPr>
            <w:r>
              <w:rPr>
                <w:rFonts w:ascii="Arial;sans-serif" w:hAnsi="Arial;sans-serif"/>
                <w:b w:val="false"/>
                <w:color w:val="004C97"/>
                <w:sz w:val="16"/>
              </w:rPr>
              <w:t>Retired Group Executive</w:t>
            </w:r>
          </w:p>
          <w:p>
            <w:pPr>
              <w:pStyle w:val="TableContents"/>
              <w:bidi w:val="0"/>
              <w:spacing w:lineRule="auto" w:line="288" w:before="0" w:after="0"/>
              <w:jc w:val="left"/>
              <w:rPr>
                <w:rFonts w:ascii="Arial;sans-serif" w:hAnsi="Arial;sans-serif"/>
                <w:b w:val="false"/>
                <w:color w:val="004C97"/>
                <w:sz w:val="16"/>
              </w:rPr>
            </w:pPr>
            <w:r>
              <w:rPr>
                <w:rFonts w:ascii="Arial;sans-serif" w:hAnsi="Arial;sans-serif"/>
                <w:b w:val="false"/>
                <w:color w:val="004C97"/>
                <w:sz w:val="16"/>
              </w:rPr>
              <w:t>for Public Policy and</w:t>
            </w:r>
          </w:p>
          <w:p>
            <w:pPr>
              <w:pStyle w:val="TableContents"/>
              <w:bidi w:val="0"/>
              <w:spacing w:lineRule="auto" w:line="288" w:before="0" w:after="0"/>
              <w:jc w:val="left"/>
              <w:rPr>
                <w:rFonts w:ascii="Arial;sans-serif" w:hAnsi="Arial;sans-serif"/>
                <w:b w:val="false"/>
                <w:color w:val="004C97"/>
                <w:sz w:val="16"/>
              </w:rPr>
            </w:pPr>
            <w:r>
              <w:rPr>
                <w:rFonts w:ascii="Arial;sans-serif" w:hAnsi="Arial;sans-serif"/>
                <w:b w:val="false"/>
                <w:color w:val="004C97"/>
                <w:sz w:val="16"/>
              </w:rPr>
              <w:t>President of</w:t>
            </w:r>
          </w:p>
          <w:p>
            <w:pPr>
              <w:pStyle w:val="TableContents"/>
              <w:bidi w:val="0"/>
              <w:spacing w:lineRule="auto" w:line="288" w:before="0" w:after="0"/>
              <w:jc w:val="left"/>
              <w:rPr>
                <w:rFonts w:ascii="Arial;sans-serif" w:hAnsi="Arial;sans-serif"/>
                <w:b w:val="false"/>
                <w:color w:val="004C97"/>
                <w:sz w:val="16"/>
              </w:rPr>
            </w:pPr>
            <w:r>
              <w:rPr>
                <w:rFonts w:ascii="Arial;sans-serif" w:hAnsi="Arial;sans-serif"/>
                <w:b w:val="false"/>
                <w:color w:val="004C97"/>
                <w:sz w:val="16"/>
              </w:rPr>
              <w:t>Duke Nuclear, Duke Energy Corporation</w:t>
            </w:r>
          </w:p>
          <w:p>
            <w:pPr>
              <w:pStyle w:val="TableContents"/>
              <w:bidi w:val="0"/>
              <w:spacing w:lineRule="auto" w:line="288" w:before="0" w:after="0"/>
              <w:jc w:val="left"/>
              <w:rPr/>
            </w:pPr>
            <w:r>
              <w:rPr>
                <w:rFonts w:ascii="Arial;sans-serif" w:hAnsi="Arial;sans-serif"/>
                <w:b/>
                <w:color w:val="004C97"/>
                <w:sz w:val="16"/>
              </w:rPr>
              <w:t>Age:</w:t>
            </w:r>
            <w:r>
              <w:rPr>
                <w:color w:val="004C97"/>
              </w:rPr>
              <w:t xml:space="preserve"> </w:t>
            </w:r>
            <w:r>
              <w:rPr>
                <w:rFonts w:ascii="Arial;sans-serif" w:hAnsi="Arial;sans-serif"/>
                <w:b w:val="false"/>
                <w:color w:val="004C97"/>
                <w:sz w:val="16"/>
              </w:rPr>
              <w:t>76</w:t>
            </w:r>
          </w:p>
          <w:p>
            <w:pPr>
              <w:pStyle w:val="TableContents"/>
              <w:bidi w:val="0"/>
              <w:spacing w:lineRule="auto" w:line="288" w:before="0" w:after="0"/>
              <w:jc w:val="left"/>
              <w:rPr/>
            </w:pPr>
            <w:r>
              <w:rPr>
                <w:rFonts w:ascii="Arial;sans-serif" w:hAnsi="Arial;sans-serif"/>
                <w:b/>
                <w:color w:val="004C97"/>
                <w:sz w:val="16"/>
              </w:rPr>
              <w:t>Director since</w:t>
            </w:r>
            <w:r>
              <w:rPr>
                <w:rFonts w:ascii="Arial;sans-serif" w:hAnsi="Arial;sans-serif"/>
                <w:b w:val="false"/>
                <w:color w:val="004C97"/>
                <w:sz w:val="16"/>
              </w:rPr>
              <w:t>: 2015</w:t>
            </w:r>
          </w:p>
          <w:p>
            <w:pPr>
              <w:pStyle w:val="TableContents"/>
              <w:bidi w:val="0"/>
              <w:spacing w:lineRule="auto" w:line="288" w:before="0" w:after="0"/>
              <w:jc w:val="left"/>
              <w:rPr>
                <w:rFonts w:ascii="Arial;sans-serif" w:hAnsi="Arial;sans-serif"/>
                <w:b/>
                <w:color w:val="004C97"/>
                <w:sz w:val="16"/>
              </w:rPr>
            </w:pPr>
            <w:r>
              <w:rPr>
                <w:rFonts w:ascii="Arial;sans-serif" w:hAnsi="Arial;sans-serif"/>
                <w:b/>
                <w:color w:val="004C97"/>
                <w:sz w:val="16"/>
              </w:rPr>
              <w:t>Committees:</w:t>
            </w:r>
          </w:p>
          <w:p>
            <w:pPr>
              <w:pStyle w:val="TableContents"/>
              <w:bidi w:val="0"/>
              <w:spacing w:lineRule="auto" w:line="288" w:before="0" w:after="0"/>
              <w:ind w:left="0" w:right="0" w:hanging="216"/>
              <w:jc w:val="both"/>
              <w:rPr/>
            </w:pPr>
            <w:r>
              <w:rPr>
                <w:color w:val="000000"/>
              </w:rPr>
              <w:t>•</w:t>
            </w:r>
            <w:r>
              <w:rPr>
                <w:rFonts w:ascii="Arial;sans-serif" w:hAnsi="Arial;sans-serif"/>
                <w:b w:val="false"/>
                <w:color w:val="004C97"/>
                <w:sz w:val="16"/>
              </w:rPr>
              <w:t>Compensation</w:t>
            </w:r>
          </w:p>
          <w:p>
            <w:pPr>
              <w:pStyle w:val="TableContents"/>
              <w:bidi w:val="0"/>
              <w:spacing w:lineRule="auto" w:line="288" w:before="0" w:after="0"/>
              <w:ind w:left="0" w:right="0" w:hanging="216"/>
              <w:jc w:val="both"/>
              <w:rPr/>
            </w:pPr>
            <w:r>
              <w:rPr>
                <w:color w:val="000000"/>
              </w:rPr>
              <w:t>•</w:t>
            </w:r>
            <w:r>
              <w:rPr>
                <w:rFonts w:ascii="Arial;sans-serif" w:hAnsi="Arial;sans-serif"/>
                <w:b w:val="false"/>
                <w:color w:val="004C97"/>
                <w:sz w:val="16"/>
              </w:rPr>
              <w:t>Gov. &amp; Sustainability (Chair)</w:t>
            </w:r>
          </w:p>
        </w:tc>
        <w:tc>
          <w:tcPr>
            <w:tcW w:w="79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4" w:type="dxa"/>
            <w:gridSpan w:val="6"/>
            <w:vMerge w:val="continue"/>
            <w:tcBorders/>
            <w:tcMar>
              <w:top w:w="0" w:type="dxa"/>
              <w:left w:w="0" w:type="dxa"/>
              <w:bottom w:w="0" w:type="dxa"/>
              <w:right w:w="0" w:type="dxa"/>
            </w:tcMar>
            <w:vAlign w:val="center"/>
          </w:tcPr>
          <w:p>
            <w:pPr>
              <w:pStyle w:val="Normal"/>
              <w:bidi w:val="0"/>
              <w:jc w:val="left"/>
              <w:rPr/>
            </w:pPr>
            <w:r>
              <w:rPr/>
            </w:r>
          </w:p>
        </w:tc>
        <w:tc>
          <w:tcPr>
            <w:tcW w:w="7961"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Arial;sans-serif" w:hAnsi="Arial;sans-serif"/>
                <w:b/>
                <w:color w:val="000000"/>
                <w:sz w:val="18"/>
              </w:rPr>
            </w:pPr>
            <w:r>
              <w:rPr>
                <w:rFonts w:ascii="Arial;sans-serif" w:hAnsi="Arial;sans-serif"/>
                <w:b/>
                <w:color w:val="000000"/>
                <w:sz w:val="18"/>
              </w:rPr>
              <w:t>PROFESSIONAL HIGHLIGHTS</w:t>
            </w:r>
          </w:p>
          <w:p>
            <w:pPr>
              <w:pStyle w:val="TableContents"/>
              <w:bidi w:val="0"/>
              <w:spacing w:lineRule="auto" w:line="288" w:before="0" w:after="180"/>
              <w:jc w:val="both"/>
              <w:rPr/>
            </w:pPr>
            <w:r>
              <w:rPr>
                <w:rFonts w:ascii="Arial;sans-serif" w:hAnsi="Arial;sans-serif"/>
                <w:b/>
                <w:color w:val="000000"/>
                <w:sz w:val="18"/>
              </w:rPr>
              <w:t>Ruth G. Shaw</w:t>
            </w:r>
            <w:r>
              <w:rPr>
                <w:color w:val="000000"/>
              </w:rPr>
              <w:t xml:space="preserve"> </w:t>
            </w:r>
            <w:r>
              <w:rPr>
                <w:rFonts w:ascii="Arial;sans-serif" w:hAnsi="Arial;sans-serif"/>
                <w:b w:val="false"/>
                <w:color w:val="000000"/>
                <w:sz w:val="18"/>
              </w:rPr>
              <w:t>retired in 2007 from Duke Energy Corporation, an electricity and natural gas provider, and remained an Executive Advisor to the company until 2009. At Duke, she served as Group Executive for Public Policy and President, Duke Nuclear, from 2006 to 2007; President and Chief Executive Officer, Duke Power Company, from 2003 to 2006; Executive Vice President and Chief Administrative Officer from 1997 to 2003; and in various other roles from 1992 to 1997. She was also President of The Duke Energy Foundation from 1994 to 2003.Dr. Shaw has extensive corporate board experience, including as lead director at DTE Energy; and serving as a board committee chair at Dow, Inc, Wachovia, Southwire and others. She has been a director and chair of the boards of the University of North Carolina Charlotte; the UNCC Charlotte Foundation; the Foundation for the Carolinas; The Carolina Thread Trail; the United Way of Central Carolinas; and the Arts &amp; Science Council. She is a former member of the executive committees of the Nuclear Energy Institute and the Institute of Nuclear Power Operations. Throughout her years of service, Dr. Shaw has chaired Sustainability Committees, Compensation Committees, Governance Committees, and served on Audit, Finance and Risk Committees. She earned her bachelor’s degree and M.A. from East Carolina University and her Ph.D. from the University of Texas at Austin.</w:t>
            </w:r>
          </w:p>
          <w:p>
            <w:pPr>
              <w:pStyle w:val="TableContents"/>
              <w:bidi w:val="0"/>
              <w:spacing w:lineRule="auto" w:line="288" w:before="0" w:after="180"/>
              <w:jc w:val="left"/>
              <w:rPr>
                <w:rFonts w:ascii="Arial;sans-serif" w:hAnsi="Arial;sans-serif"/>
                <w:b/>
                <w:color w:val="000000"/>
                <w:sz w:val="18"/>
              </w:rPr>
            </w:pPr>
            <w:r>
              <w:rPr>
                <w:rFonts w:ascii="Arial;sans-serif" w:hAnsi="Arial;sans-serif"/>
                <w:b/>
                <w:color w:val="000000"/>
                <w:sz w:val="18"/>
              </w:rPr>
              <w:t>SKILLS AND QUALIFICATIONS</w:t>
            </w:r>
          </w:p>
          <w:p>
            <w:pPr>
              <w:pStyle w:val="TableContents"/>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Dr. Shaw contributes a deep understanding of multiple industries; corporate governance; human resources management; executive compensation; information technology; communications and public relations; environment, health and safety management; sustainability; procurement; and diversity to our Board.</w:t>
            </w:r>
          </w:p>
        </w:tc>
      </w:tr>
    </w:tbl>
    <w:tbl>
      <w:tblPr>
        <w:tblW w:w="10205" w:type="dxa"/>
        <w:jc w:val="left"/>
        <w:tblInd w:w="0" w:type="dxa"/>
        <w:tblLayout w:type="fixed"/>
        <w:tblCellMar>
          <w:top w:w="28" w:type="dxa"/>
          <w:left w:w="28" w:type="dxa"/>
          <w:bottom w:w="28" w:type="dxa"/>
          <w:right w:w="28" w:type="dxa"/>
        </w:tblCellMar>
      </w:tblPr>
      <w:tblGrid>
        <w:gridCol w:w="407"/>
        <w:gridCol w:w="358"/>
        <w:gridCol w:w="358"/>
        <w:gridCol w:w="358"/>
        <w:gridCol w:w="358"/>
        <w:gridCol w:w="362"/>
        <w:gridCol w:w="2344"/>
        <w:gridCol w:w="2344"/>
        <w:gridCol w:w="3316"/>
      </w:tblGrid>
      <w:tr>
        <w:trPr/>
        <w:tc>
          <w:tcPr>
            <w:tcW w:w="407"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2344" w:type="dxa"/>
            <w:tcBorders/>
            <w:vAlign w:val="center"/>
          </w:tcPr>
          <w:p>
            <w:pPr>
              <w:pStyle w:val="TableContents"/>
              <w:bidi w:val="0"/>
              <w:spacing w:before="0" w:after="283"/>
              <w:jc w:val="left"/>
              <w:rPr>
                <w:sz w:val="4"/>
                <w:szCs w:val="4"/>
              </w:rPr>
            </w:pPr>
            <w:r>
              <w:rPr>
                <w:sz w:val="4"/>
                <w:szCs w:val="4"/>
              </w:rPr>
            </w:r>
          </w:p>
        </w:tc>
        <w:tc>
          <w:tcPr>
            <w:tcW w:w="2344"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2201" w:type="dxa"/>
            <w:gridSpan w:val="6"/>
            <w:vMerge w:val="restart"/>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333500" cy="1666875"/>
                  <wp:effectExtent l="0" t="0" r="0" b="0"/>
                  <wp:docPr id="59"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27" descr=""/>
                          <pic:cNvPicPr>
                            <a:picLocks noChangeAspect="1" noChangeArrowheads="1"/>
                          </pic:cNvPicPr>
                        </pic:nvPicPr>
                        <pic:blipFill>
                          <a:blip r:embed="rId41"/>
                          <a:stretch>
                            <a:fillRect/>
                          </a:stretch>
                        </pic:blipFill>
                        <pic:spPr bwMode="auto">
                          <a:xfrm>
                            <a:off x="0" y="0"/>
                            <a:ext cx="1333500" cy="1666875"/>
                          </a:xfrm>
                          <a:prstGeom prst="rect">
                            <a:avLst/>
                          </a:prstGeom>
                        </pic:spPr>
                      </pic:pic>
                    </a:graphicData>
                  </a:graphic>
                </wp:inline>
              </w:drawing>
            </w:r>
          </w:p>
          <w:p>
            <w:pPr>
              <w:pStyle w:val="TableContents"/>
              <w:bidi w:val="0"/>
              <w:spacing w:lineRule="auto" w:line="288" w:before="0" w:after="180"/>
              <w:jc w:val="left"/>
              <w:rPr>
                <w:rFonts w:ascii="Arial;sans-serif" w:hAnsi="Arial;sans-serif"/>
                <w:b/>
                <w:color w:val="004C97"/>
                <w:sz w:val="22"/>
              </w:rPr>
            </w:pPr>
            <w:r>
              <w:rPr>
                <w:rFonts w:ascii="Arial;sans-serif" w:hAnsi="Arial;sans-serif"/>
                <w:b/>
                <w:color w:val="004C97"/>
                <w:sz w:val="22"/>
              </w:rPr>
              <w:t>Bob Toth</w:t>
            </w:r>
          </w:p>
          <w:p>
            <w:pPr>
              <w:pStyle w:val="TableContents"/>
              <w:bidi w:val="0"/>
              <w:spacing w:lineRule="auto" w:line="288" w:before="0" w:after="0"/>
              <w:jc w:val="left"/>
              <w:rPr>
                <w:rFonts w:ascii="Arial;sans-serif" w:hAnsi="Arial;sans-serif"/>
                <w:b w:val="false"/>
                <w:color w:val="004C97"/>
                <w:sz w:val="16"/>
              </w:rPr>
            </w:pPr>
            <w:r>
              <w:rPr>
                <w:rFonts w:ascii="Arial;sans-serif" w:hAnsi="Arial;sans-serif"/>
                <w:b w:val="false"/>
                <w:color w:val="004C97"/>
                <w:sz w:val="16"/>
              </w:rPr>
              <w:t>Former Chairman, Chief</w:t>
            </w:r>
          </w:p>
          <w:p>
            <w:pPr>
              <w:pStyle w:val="TableContents"/>
              <w:bidi w:val="0"/>
              <w:spacing w:lineRule="auto" w:line="288" w:before="0" w:after="0"/>
              <w:jc w:val="left"/>
              <w:rPr>
                <w:rFonts w:ascii="Arial;sans-serif" w:hAnsi="Arial;sans-serif"/>
                <w:b w:val="false"/>
                <w:color w:val="004C97"/>
                <w:sz w:val="16"/>
              </w:rPr>
            </w:pPr>
            <w:r>
              <w:rPr>
                <w:rFonts w:ascii="Arial;sans-serif" w:hAnsi="Arial;sans-serif"/>
                <w:b w:val="false"/>
                <w:color w:val="004C97"/>
                <w:sz w:val="16"/>
              </w:rPr>
              <w:t>Executive Officer and</w:t>
            </w:r>
          </w:p>
          <w:p>
            <w:pPr>
              <w:pStyle w:val="TableContents"/>
              <w:bidi w:val="0"/>
              <w:spacing w:lineRule="auto" w:line="288" w:before="0" w:after="0"/>
              <w:jc w:val="left"/>
              <w:rPr>
                <w:rFonts w:ascii="Arial;sans-serif" w:hAnsi="Arial;sans-serif"/>
                <w:b w:val="false"/>
                <w:color w:val="004C97"/>
                <w:sz w:val="16"/>
              </w:rPr>
            </w:pPr>
            <w:r>
              <w:rPr>
                <w:rFonts w:ascii="Arial;sans-serif" w:hAnsi="Arial;sans-serif"/>
                <w:b w:val="false"/>
                <w:color w:val="004C97"/>
                <w:sz w:val="16"/>
              </w:rPr>
              <w:t>President, Polypore</w:t>
            </w:r>
          </w:p>
          <w:p>
            <w:pPr>
              <w:pStyle w:val="TableContents"/>
              <w:bidi w:val="0"/>
              <w:spacing w:lineRule="auto" w:line="288" w:before="0" w:after="0"/>
              <w:jc w:val="left"/>
              <w:rPr>
                <w:rFonts w:ascii="Arial;sans-serif" w:hAnsi="Arial;sans-serif"/>
                <w:b w:val="false"/>
                <w:color w:val="004C97"/>
                <w:sz w:val="16"/>
              </w:rPr>
            </w:pPr>
            <w:r>
              <w:rPr>
                <w:rFonts w:ascii="Arial;sans-serif" w:hAnsi="Arial;sans-serif"/>
                <w:b w:val="false"/>
                <w:color w:val="004C97"/>
                <w:sz w:val="16"/>
              </w:rPr>
              <w:t>International, Inc.</w:t>
            </w:r>
          </w:p>
          <w:p>
            <w:pPr>
              <w:pStyle w:val="TableContents"/>
              <w:bidi w:val="0"/>
              <w:spacing w:lineRule="auto" w:line="288" w:before="0" w:after="0"/>
              <w:jc w:val="left"/>
              <w:rPr/>
            </w:pPr>
            <w:r>
              <w:rPr>
                <w:rFonts w:ascii="Arial;sans-serif" w:hAnsi="Arial;sans-serif"/>
                <w:b/>
                <w:color w:val="004C97"/>
                <w:sz w:val="16"/>
              </w:rPr>
              <w:t>Age</w:t>
            </w:r>
            <w:r>
              <w:rPr>
                <w:rFonts w:ascii="Arial;sans-serif" w:hAnsi="Arial;sans-serif"/>
                <w:b w:val="false"/>
                <w:color w:val="004C97"/>
                <w:sz w:val="16"/>
              </w:rPr>
              <w:t>: 63</w:t>
            </w:r>
          </w:p>
          <w:p>
            <w:pPr>
              <w:pStyle w:val="TableContents"/>
              <w:bidi w:val="0"/>
              <w:spacing w:lineRule="auto" w:line="288" w:before="0" w:after="0"/>
              <w:jc w:val="left"/>
              <w:rPr/>
            </w:pPr>
            <w:r>
              <w:rPr>
                <w:rFonts w:ascii="Arial;sans-serif" w:hAnsi="Arial;sans-serif"/>
                <w:b/>
                <w:color w:val="004C97"/>
                <w:sz w:val="16"/>
              </w:rPr>
              <w:t>Director since</w:t>
            </w:r>
            <w:r>
              <w:rPr>
                <w:rFonts w:ascii="Arial;sans-serif" w:hAnsi="Arial;sans-serif"/>
                <w:b w:val="false"/>
                <w:color w:val="004C97"/>
                <w:sz w:val="16"/>
              </w:rPr>
              <w:t>: 2017</w:t>
            </w:r>
          </w:p>
          <w:p>
            <w:pPr>
              <w:pStyle w:val="TableContents"/>
              <w:bidi w:val="0"/>
              <w:spacing w:lineRule="auto" w:line="288" w:before="0" w:after="0"/>
              <w:jc w:val="left"/>
              <w:rPr/>
            </w:pPr>
            <w:r>
              <w:rPr>
                <w:rFonts w:ascii="Arial;sans-serif" w:hAnsi="Arial;sans-serif"/>
                <w:b/>
                <w:color w:val="004C97"/>
                <w:sz w:val="16"/>
              </w:rPr>
              <w:t>Committees</w:t>
            </w:r>
            <w:r>
              <w:rPr>
                <w:rFonts w:ascii="Arial;sans-serif" w:hAnsi="Arial;sans-serif"/>
                <w:b w:val="false"/>
                <w:color w:val="004C97"/>
                <w:sz w:val="16"/>
              </w:rPr>
              <w:t>:</w:t>
            </w:r>
          </w:p>
          <w:p>
            <w:pPr>
              <w:pStyle w:val="TableContents"/>
              <w:bidi w:val="0"/>
              <w:spacing w:lineRule="auto" w:line="288" w:before="0" w:after="0"/>
              <w:ind w:left="0" w:right="0" w:hanging="216"/>
              <w:jc w:val="both"/>
              <w:rPr/>
            </w:pPr>
            <w:r>
              <w:rPr>
                <w:color w:val="000000"/>
              </w:rPr>
              <w:t>•</w:t>
            </w:r>
            <w:r>
              <w:rPr>
                <w:rFonts w:ascii="Arial;sans-serif" w:hAnsi="Arial;sans-serif"/>
                <w:b w:val="false"/>
                <w:color w:val="004C97"/>
                <w:sz w:val="16"/>
              </w:rPr>
              <w:t>Audit</w:t>
            </w:r>
          </w:p>
          <w:p>
            <w:pPr>
              <w:pStyle w:val="TableContents"/>
              <w:bidi w:val="0"/>
              <w:spacing w:lineRule="auto" w:line="288" w:before="0" w:after="0"/>
              <w:ind w:left="0" w:right="0" w:hanging="216"/>
              <w:jc w:val="both"/>
              <w:rPr/>
            </w:pPr>
            <w:r>
              <w:rPr>
                <w:color w:val="000000"/>
              </w:rPr>
              <w:t>•</w:t>
            </w:r>
            <w:r>
              <w:rPr>
                <w:rFonts w:ascii="Arial;sans-serif" w:hAnsi="Arial;sans-serif"/>
                <w:b w:val="false"/>
                <w:color w:val="004C97"/>
                <w:sz w:val="16"/>
              </w:rPr>
              <w:t>Compensation</w:t>
            </w:r>
          </w:p>
        </w:tc>
        <w:tc>
          <w:tcPr>
            <w:tcW w:w="80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1" w:type="dxa"/>
            <w:gridSpan w:val="6"/>
            <w:vMerge w:val="continue"/>
            <w:tcBorders/>
            <w:tcMar>
              <w:top w:w="0" w:type="dxa"/>
              <w:left w:w="0" w:type="dxa"/>
              <w:bottom w:w="0" w:type="dxa"/>
              <w:right w:w="0" w:type="dxa"/>
            </w:tcMar>
            <w:vAlign w:val="center"/>
          </w:tcPr>
          <w:p>
            <w:pPr>
              <w:pStyle w:val="Normal"/>
              <w:bidi w:val="0"/>
              <w:jc w:val="left"/>
              <w:rPr/>
            </w:pPr>
            <w:r>
              <w:rPr/>
            </w:r>
          </w:p>
        </w:tc>
        <w:tc>
          <w:tcPr>
            <w:tcW w:w="8004"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Arial;sans-serif" w:hAnsi="Arial;sans-serif"/>
                <w:b/>
                <w:color w:val="000000"/>
                <w:sz w:val="18"/>
              </w:rPr>
            </w:pPr>
            <w:r>
              <w:rPr>
                <w:rFonts w:ascii="Arial;sans-serif" w:hAnsi="Arial;sans-serif"/>
                <w:b/>
                <w:color w:val="000000"/>
                <w:sz w:val="18"/>
              </w:rPr>
              <w:t>PROFESSIONAL HIGHLIGHTS</w:t>
            </w:r>
          </w:p>
          <w:p>
            <w:pPr>
              <w:pStyle w:val="TableContents"/>
              <w:bidi w:val="0"/>
              <w:spacing w:lineRule="auto" w:line="288" w:before="0" w:after="180"/>
              <w:jc w:val="both"/>
              <w:rPr/>
            </w:pPr>
            <w:r>
              <w:rPr>
                <w:rFonts w:ascii="Arial;sans-serif" w:hAnsi="Arial;sans-serif"/>
                <w:b/>
                <w:color w:val="000000"/>
                <w:sz w:val="18"/>
              </w:rPr>
              <w:t xml:space="preserve">Robert B. Toth </w:t>
            </w:r>
            <w:r>
              <w:rPr>
                <w:rFonts w:ascii="Arial;sans-serif" w:hAnsi="Arial;sans-serif"/>
                <w:b w:val="false"/>
                <w:color w:val="000000"/>
                <w:sz w:val="18"/>
              </w:rPr>
              <w:t>currently serves as an independent advisor to several private equity firms. Mr. Toth has more than 30 years of experience in leadership roles at global industrial and manufacturing companies, as well as in private equity, most recently as a Managing Director at CCMP Capital Advisors, LLC from 2016 until 2019. Prior to CCMP, Mr. Toth served as the Chairman, Chief Executive Officer and President of Polypore International, Inc., a leading global high technology filtration company, where he optimized the business portfolio and positioned the company for accelerated growth, resulting in a substantial increase in enterprise value. Prior to Polypore, Mr. Toth served as President, Chief Executive Officer and Board Director of CP Kelco ApS, where he led the business through a comprehensive turnaround and successful sale. He also spent 19 years at Monsanto Company and its spin-off, Solutia Inc., where he held a variety of executive and managerial roles. Mr. Toth is currently a Director at Materion Corporation. He earned a bachelor’s degree in Industrial Management with a field of study in Industrial Engineering from Purdue University and MBA from the John M. Olin School of Business at Washington University, St. Louis, Missouri.</w:t>
            </w:r>
          </w:p>
          <w:p>
            <w:pPr>
              <w:pStyle w:val="TableContents"/>
              <w:bidi w:val="0"/>
              <w:spacing w:lineRule="auto" w:line="288" w:before="0" w:after="180"/>
              <w:jc w:val="left"/>
              <w:rPr>
                <w:rFonts w:ascii="Arial;sans-serif" w:hAnsi="Arial;sans-serif"/>
                <w:b/>
                <w:color w:val="000000"/>
                <w:sz w:val="18"/>
              </w:rPr>
            </w:pPr>
            <w:r>
              <w:rPr>
                <w:rFonts w:ascii="Arial;sans-serif" w:hAnsi="Arial;sans-serif"/>
                <w:b/>
                <w:color w:val="000000"/>
                <w:sz w:val="18"/>
              </w:rPr>
              <w:t>SKILLS AND QUALIFICATIONS</w:t>
            </w:r>
          </w:p>
          <w:p>
            <w:pPr>
              <w:pStyle w:val="TableContents"/>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Mr. Toth contributes significant insight on mergers and acquisitions and on strategic portfolio management and related strategic and operational issues. Mr. Toth also brings extensive experience leading companies in the manufacturing sector, including knowledge and skills in senior management, finance, and operations.</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6480175" cy="739140"/>
                <wp:effectExtent l="0" t="0" r="0" b="0"/>
                <wp:wrapNone/>
                <wp:docPr id="60" name="Frame20"/>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292" w:type="dxa"/>
                              <w:jc w:val="left"/>
                              <w:tblInd w:w="0" w:type="dxa"/>
                              <w:tblLayout w:type="fixed"/>
                              <w:tblCellMar>
                                <w:top w:w="28" w:type="dxa"/>
                                <w:left w:w="28" w:type="dxa"/>
                                <w:bottom w:w="28" w:type="dxa"/>
                                <w:right w:w="28" w:type="dxa"/>
                              </w:tblCellMar>
                            </w:tblPr>
                            <w:tblGrid>
                              <w:gridCol w:w="124"/>
                              <w:gridCol w:w="109"/>
                              <w:gridCol w:w="109"/>
                              <w:gridCol w:w="704"/>
                              <w:gridCol w:w="704"/>
                              <w:gridCol w:w="706"/>
                              <w:gridCol w:w="244"/>
                              <w:gridCol w:w="244"/>
                              <w:gridCol w:w="34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6"/>
                                    </w:rPr>
                                  </w:pPr>
                                  <w:r>
                                    <w:rPr>
                                      <w:rFonts w:ascii="Arial;sans-serif" w:hAnsi="Arial;sans-serif"/>
                                      <w:b/>
                                      <w:color w:val="000000"/>
                                      <w:sz w:val="16"/>
                                    </w:rPr>
                                    <w:t>14</w:t>
                                  </w:r>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2024 PROXY STATEMENT</w:t>
                                  </w:r>
                                </w:p>
                              </w:tc>
                              <w:tc>
                                <w:tcPr>
                                  <w:tcW w:w="83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61"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28" descr=""/>
                                                <pic:cNvPicPr>
                                                  <a:picLocks noChangeAspect="1" noChangeArrowheads="1"/>
                                                </pic:cNvPicPr>
                                              </pic:nvPicPr>
                                              <pic:blipFill>
                                                <a:blip r:embed="rId42"/>
                                                <a:stretch>
                                                  <a:fillRect/>
                                                </a:stretch>
                                              </pic:blipFill>
                                              <pic:spPr bwMode="auto">
                                                <a:xfrm>
                                                  <a:off x="0" y="0"/>
                                                  <a:ext cx="447675" cy="161925"/>
                                                </a:xfrm>
                                                <a:prstGeom prst="rect">
                                                  <a:avLst/>
                                                </a:prstGeom>
                                              </pic:spPr>
                                            </pic:pic>
                                          </a:graphicData>
                                        </a:graphic>
                                      </wp:inline>
                                    </w:drawing>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292" w:type="dxa"/>
                        <w:jc w:val="left"/>
                        <w:tblInd w:w="0" w:type="dxa"/>
                        <w:tblLayout w:type="fixed"/>
                        <w:tblCellMar>
                          <w:top w:w="28" w:type="dxa"/>
                          <w:left w:w="28" w:type="dxa"/>
                          <w:bottom w:w="28" w:type="dxa"/>
                          <w:right w:w="28" w:type="dxa"/>
                        </w:tblCellMar>
                      </w:tblPr>
                      <w:tblGrid>
                        <w:gridCol w:w="124"/>
                        <w:gridCol w:w="109"/>
                        <w:gridCol w:w="109"/>
                        <w:gridCol w:w="704"/>
                        <w:gridCol w:w="704"/>
                        <w:gridCol w:w="706"/>
                        <w:gridCol w:w="244"/>
                        <w:gridCol w:w="244"/>
                        <w:gridCol w:w="34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6"/>
                              </w:rPr>
                            </w:pPr>
                            <w:r>
                              <w:rPr>
                                <w:rFonts w:ascii="Arial;sans-serif" w:hAnsi="Arial;sans-serif"/>
                                <w:b/>
                                <w:color w:val="000000"/>
                                <w:sz w:val="16"/>
                              </w:rPr>
                              <w:t>14</w:t>
                            </w:r>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2024 PROXY STATEMENT</w:t>
                            </w:r>
                          </w:p>
                        </w:tc>
                        <w:tc>
                          <w:tcPr>
                            <w:tcW w:w="83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62"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28" descr=""/>
                                          <pic:cNvPicPr>
                                            <a:picLocks noChangeAspect="1" noChangeArrowheads="1"/>
                                          </pic:cNvPicPr>
                                        </pic:nvPicPr>
                                        <pic:blipFill>
                                          <a:blip r:embed="rId43"/>
                                          <a:stretch>
                                            <a:fillRect/>
                                          </a:stretch>
                                        </pic:blipFill>
                                        <pic:spPr bwMode="auto">
                                          <a:xfrm>
                                            <a:off x="0" y="0"/>
                                            <a:ext cx="447675" cy="161925"/>
                                          </a:xfrm>
                                          <a:prstGeom prst="rect">
                                            <a:avLst/>
                                          </a:prstGeom>
                                        </pic:spPr>
                                      </pic:pic>
                                    </a:graphicData>
                                  </a:graphic>
                                </wp:inline>
                              </w:drawing>
                            </w:r>
                          </w:p>
                        </w:tc>
                      </w:tr>
                    </w:tbl>
                    <w:p>
                      <w:pPr>
                        <w:pStyle w:val="TextBody"/>
                        <w:bidi w:val="0"/>
                        <w:spacing w:before="0" w:after="283"/>
                        <w:jc w:val="left"/>
                        <w:rPr/>
                      </w:pPr>
                      <w:r>
                        <w:rPr/>
                      </w:r>
                    </w:p>
                  </w:txbxContent>
                </v:textbox>
                <w10:wrap type="none"/>
              </v:rect>
            </w:pict>
          </mc:Fallback>
        </mc:AlternateContent>
      </w:r>
    </w:p>
    <w:tbl>
      <w:tblPr>
        <w:tblW w:w="1469" w:type="dxa"/>
        <w:jc w:val="right"/>
        <w:tblInd w:w="0" w:type="dxa"/>
        <w:tblLayout w:type="fixed"/>
        <w:tblCellMar>
          <w:top w:w="28" w:type="dxa"/>
          <w:left w:w="28" w:type="dxa"/>
          <w:bottom w:w="28" w:type="dxa"/>
          <w:right w:w="28" w:type="dxa"/>
        </w:tblCellMar>
      </w:tblPr>
      <w:tblGrid>
        <w:gridCol w:w="470"/>
        <w:gridCol w:w="413"/>
        <w:gridCol w:w="586"/>
      </w:tblGrid>
      <w:tr>
        <w:trPr/>
        <w:tc>
          <w:tcPr>
            <w:tcW w:w="47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r>
      <w:tr>
        <w:trPr/>
        <w:tc>
          <w:tcPr>
            <w:tcW w:w="1469" w:type="dxa"/>
            <w:gridSpan w:val="3"/>
            <w:tcBorders>
              <w:bottom w:val="single" w:sz="4" w:space="0" w:color="004C97"/>
            </w:tcBorders>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4C97"/>
                <w:sz w:val="16"/>
              </w:rPr>
            </w:pPr>
            <w:r>
              <w:rPr>
                <w:rFonts w:ascii="Arial;sans-serif" w:hAnsi="Arial;sans-serif"/>
                <w:b w:val="false"/>
                <w:color w:val="004C97"/>
                <w:sz w:val="16"/>
              </w:rPr>
              <w:t>PROPOSAL ONE</w:t>
            </w:r>
          </w:p>
        </w:tc>
      </w:tr>
    </w:tbl>
    <w:tbl>
      <w:tblPr>
        <w:tblW w:w="10205" w:type="dxa"/>
        <w:jc w:val="left"/>
        <w:tblInd w:w="0" w:type="dxa"/>
        <w:tblLayout w:type="fixed"/>
        <w:tblCellMar>
          <w:top w:w="28" w:type="dxa"/>
          <w:left w:w="28" w:type="dxa"/>
          <w:bottom w:w="28" w:type="dxa"/>
          <w:right w:w="28" w:type="dxa"/>
        </w:tblCellMar>
      </w:tblPr>
      <w:tblGrid>
        <w:gridCol w:w="407"/>
        <w:gridCol w:w="358"/>
        <w:gridCol w:w="358"/>
        <w:gridCol w:w="358"/>
        <w:gridCol w:w="358"/>
        <w:gridCol w:w="362"/>
        <w:gridCol w:w="2343"/>
        <w:gridCol w:w="2343"/>
        <w:gridCol w:w="3318"/>
      </w:tblGrid>
      <w:tr>
        <w:trPr/>
        <w:tc>
          <w:tcPr>
            <w:tcW w:w="407"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2343" w:type="dxa"/>
            <w:tcBorders/>
            <w:vAlign w:val="center"/>
          </w:tcPr>
          <w:p>
            <w:pPr>
              <w:pStyle w:val="TableContents"/>
              <w:bidi w:val="0"/>
              <w:spacing w:before="0" w:after="283"/>
              <w:jc w:val="left"/>
              <w:rPr>
                <w:sz w:val="4"/>
                <w:szCs w:val="4"/>
              </w:rPr>
            </w:pPr>
            <w:r>
              <w:rPr>
                <w:sz w:val="4"/>
                <w:szCs w:val="4"/>
              </w:rPr>
            </w:r>
          </w:p>
        </w:tc>
        <w:tc>
          <w:tcPr>
            <w:tcW w:w="2343" w:type="dxa"/>
            <w:tcBorders/>
            <w:vAlign w:val="center"/>
          </w:tcPr>
          <w:p>
            <w:pPr>
              <w:pStyle w:val="TableContents"/>
              <w:bidi w:val="0"/>
              <w:spacing w:before="0" w:after="283"/>
              <w:jc w:val="left"/>
              <w:rPr>
                <w:sz w:val="4"/>
                <w:szCs w:val="4"/>
              </w:rPr>
            </w:pPr>
            <w:r>
              <w:rPr>
                <w:sz w:val="4"/>
                <w:szCs w:val="4"/>
              </w:rPr>
            </w:r>
          </w:p>
        </w:tc>
        <w:tc>
          <w:tcPr>
            <w:tcW w:w="3318" w:type="dxa"/>
            <w:tcBorders/>
            <w:vAlign w:val="center"/>
          </w:tcPr>
          <w:p>
            <w:pPr>
              <w:pStyle w:val="TableContents"/>
              <w:bidi w:val="0"/>
              <w:spacing w:before="0" w:after="283"/>
              <w:jc w:val="left"/>
              <w:rPr>
                <w:sz w:val="4"/>
                <w:szCs w:val="4"/>
              </w:rPr>
            </w:pPr>
            <w:r>
              <w:rPr>
                <w:sz w:val="4"/>
                <w:szCs w:val="4"/>
              </w:rPr>
            </w:r>
          </w:p>
        </w:tc>
      </w:tr>
      <w:tr>
        <w:trPr/>
        <w:tc>
          <w:tcPr>
            <w:tcW w:w="2201" w:type="dxa"/>
            <w:gridSpan w:val="6"/>
            <w:vMerge w:val="restart"/>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333500" cy="1666875"/>
                  <wp:effectExtent l="0" t="0" r="0" b="0"/>
                  <wp:docPr id="63"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29" descr=""/>
                          <pic:cNvPicPr>
                            <a:picLocks noChangeAspect="1" noChangeArrowheads="1"/>
                          </pic:cNvPicPr>
                        </pic:nvPicPr>
                        <pic:blipFill>
                          <a:blip r:embed="rId44"/>
                          <a:stretch>
                            <a:fillRect/>
                          </a:stretch>
                        </pic:blipFill>
                        <pic:spPr bwMode="auto">
                          <a:xfrm>
                            <a:off x="0" y="0"/>
                            <a:ext cx="1333500" cy="1666875"/>
                          </a:xfrm>
                          <a:prstGeom prst="rect">
                            <a:avLst/>
                          </a:prstGeom>
                        </pic:spPr>
                      </pic:pic>
                    </a:graphicData>
                  </a:graphic>
                </wp:inline>
              </w:drawing>
            </w:r>
          </w:p>
          <w:p>
            <w:pPr>
              <w:pStyle w:val="TableContents"/>
              <w:bidi w:val="0"/>
              <w:spacing w:lineRule="auto" w:line="288" w:before="0" w:after="180"/>
              <w:jc w:val="left"/>
              <w:rPr>
                <w:rFonts w:ascii="Arial;sans-serif" w:hAnsi="Arial;sans-serif"/>
                <w:b/>
                <w:color w:val="004C97"/>
                <w:sz w:val="22"/>
              </w:rPr>
            </w:pPr>
            <w:r>
              <w:rPr>
                <w:rFonts w:ascii="Arial;sans-serif" w:hAnsi="Arial;sans-serif"/>
                <w:b/>
                <w:color w:val="004C97"/>
                <w:sz w:val="22"/>
              </w:rPr>
              <w:t>Angel Shelton Willis</w:t>
            </w:r>
          </w:p>
          <w:p>
            <w:pPr>
              <w:pStyle w:val="TableContents"/>
              <w:bidi w:val="0"/>
              <w:spacing w:lineRule="auto" w:line="288" w:before="0" w:after="0"/>
              <w:jc w:val="left"/>
              <w:rPr>
                <w:rFonts w:ascii="Arial;sans-serif" w:hAnsi="Arial;sans-serif"/>
                <w:b w:val="false"/>
                <w:color w:val="004C97"/>
                <w:sz w:val="16"/>
              </w:rPr>
            </w:pPr>
            <w:r>
              <w:rPr>
                <w:rFonts w:ascii="Arial;sans-serif" w:hAnsi="Arial;sans-serif"/>
                <w:b w:val="false"/>
                <w:color w:val="004C97"/>
                <w:sz w:val="16"/>
              </w:rPr>
              <w:t>Vice President, General</w:t>
            </w:r>
          </w:p>
          <w:p>
            <w:pPr>
              <w:pStyle w:val="TableContents"/>
              <w:bidi w:val="0"/>
              <w:spacing w:lineRule="auto" w:line="288" w:before="0" w:after="0"/>
              <w:jc w:val="left"/>
              <w:rPr>
                <w:rFonts w:ascii="Arial;sans-serif" w:hAnsi="Arial;sans-serif"/>
                <w:b w:val="false"/>
                <w:color w:val="004C97"/>
                <w:sz w:val="16"/>
              </w:rPr>
            </w:pPr>
            <w:r>
              <w:rPr>
                <w:rFonts w:ascii="Arial;sans-serif" w:hAnsi="Arial;sans-serif"/>
                <w:b w:val="false"/>
                <w:color w:val="004C97"/>
                <w:sz w:val="16"/>
              </w:rPr>
              <w:t xml:space="preserve">Counsel &amp; Secretary, Sealed </w:t>
            </w:r>
          </w:p>
          <w:p>
            <w:pPr>
              <w:pStyle w:val="TableContents"/>
              <w:bidi w:val="0"/>
              <w:spacing w:lineRule="auto" w:line="288" w:before="0" w:after="60"/>
              <w:jc w:val="left"/>
              <w:rPr>
                <w:rFonts w:ascii="Arial;sans-serif" w:hAnsi="Arial;sans-serif"/>
                <w:b w:val="false"/>
                <w:color w:val="004C97"/>
                <w:sz w:val="16"/>
              </w:rPr>
            </w:pPr>
            <w:r>
              <w:rPr>
                <w:rFonts w:ascii="Arial;sans-serif" w:hAnsi="Arial;sans-serif"/>
                <w:b w:val="false"/>
                <w:color w:val="004C97"/>
                <w:sz w:val="16"/>
              </w:rPr>
              <w:t>Air Corporation</w:t>
            </w:r>
          </w:p>
          <w:p>
            <w:pPr>
              <w:pStyle w:val="TableContents"/>
              <w:bidi w:val="0"/>
              <w:spacing w:lineRule="auto" w:line="288" w:before="0" w:after="0"/>
              <w:jc w:val="left"/>
              <w:rPr/>
            </w:pPr>
            <w:r>
              <w:rPr>
                <w:rFonts w:ascii="Arial;sans-serif" w:hAnsi="Arial;sans-serif"/>
                <w:b/>
                <w:color w:val="004C97"/>
                <w:sz w:val="16"/>
              </w:rPr>
              <w:t>Age</w:t>
            </w:r>
            <w:r>
              <w:rPr>
                <w:rFonts w:ascii="Arial;sans-serif" w:hAnsi="Arial;sans-serif"/>
                <w:b w:val="false"/>
                <w:color w:val="004C97"/>
                <w:sz w:val="16"/>
              </w:rPr>
              <w:t>: 53</w:t>
            </w:r>
          </w:p>
          <w:p>
            <w:pPr>
              <w:pStyle w:val="TableContents"/>
              <w:bidi w:val="0"/>
              <w:spacing w:lineRule="auto" w:line="288" w:before="0" w:after="0"/>
              <w:jc w:val="left"/>
              <w:rPr/>
            </w:pPr>
            <w:r>
              <w:rPr>
                <w:rFonts w:ascii="Arial;sans-serif" w:hAnsi="Arial;sans-serif"/>
                <w:b/>
                <w:color w:val="004C97"/>
                <w:sz w:val="16"/>
              </w:rPr>
              <w:t>Director Since</w:t>
            </w:r>
            <w:r>
              <w:rPr>
                <w:rFonts w:ascii="Arial;sans-serif" w:hAnsi="Arial;sans-serif"/>
                <w:b w:val="false"/>
                <w:color w:val="004C97"/>
                <w:sz w:val="16"/>
              </w:rPr>
              <w:t>: 2021</w:t>
            </w:r>
          </w:p>
          <w:p>
            <w:pPr>
              <w:pStyle w:val="TableContents"/>
              <w:bidi w:val="0"/>
              <w:spacing w:lineRule="auto" w:line="288" w:before="0" w:after="0"/>
              <w:jc w:val="left"/>
              <w:rPr/>
            </w:pPr>
            <w:r>
              <w:rPr>
                <w:rFonts w:ascii="Arial;sans-serif" w:hAnsi="Arial;sans-serif"/>
                <w:b/>
                <w:color w:val="004C97"/>
                <w:sz w:val="16"/>
              </w:rPr>
              <w:t>Committees</w:t>
            </w:r>
            <w:r>
              <w:rPr>
                <w:rFonts w:ascii="Arial;sans-serif" w:hAnsi="Arial;sans-serif"/>
                <w:b w:val="false"/>
                <w:color w:val="004C97"/>
                <w:sz w:val="16"/>
              </w:rPr>
              <w:t>:</w:t>
            </w:r>
          </w:p>
          <w:p>
            <w:pPr>
              <w:pStyle w:val="TableContents"/>
              <w:bidi w:val="0"/>
              <w:spacing w:lineRule="auto" w:line="288" w:before="0" w:after="0"/>
              <w:ind w:left="0" w:right="0" w:hanging="216"/>
              <w:jc w:val="both"/>
              <w:rPr/>
            </w:pPr>
            <w:r>
              <w:rPr>
                <w:color w:val="000000"/>
              </w:rPr>
              <w:t>•</w:t>
            </w:r>
            <w:r>
              <w:rPr>
                <w:rFonts w:ascii="Arial;sans-serif" w:hAnsi="Arial;sans-serif"/>
                <w:b w:val="false"/>
                <w:color w:val="004C97"/>
                <w:sz w:val="16"/>
              </w:rPr>
              <w:t>Audit</w:t>
            </w:r>
          </w:p>
          <w:p>
            <w:pPr>
              <w:pStyle w:val="TableContents"/>
              <w:bidi w:val="0"/>
              <w:spacing w:lineRule="auto" w:line="288" w:before="0" w:after="0"/>
              <w:ind w:left="0" w:right="0" w:hanging="216"/>
              <w:jc w:val="both"/>
              <w:rPr/>
            </w:pPr>
            <w:r>
              <w:rPr>
                <w:color w:val="000000"/>
              </w:rPr>
              <w:t>•</w:t>
            </w:r>
            <w:r>
              <w:rPr>
                <w:rFonts w:ascii="Arial;sans-serif" w:hAnsi="Arial;sans-serif"/>
                <w:b w:val="false"/>
                <w:color w:val="004C97"/>
                <w:sz w:val="16"/>
              </w:rPr>
              <w:t>Gov. &amp; Sustainability</w:t>
            </w:r>
          </w:p>
        </w:tc>
        <w:tc>
          <w:tcPr>
            <w:tcW w:w="80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1" w:type="dxa"/>
            <w:gridSpan w:val="6"/>
            <w:vMerge w:val="continue"/>
            <w:tcBorders/>
            <w:tcMar>
              <w:top w:w="0" w:type="dxa"/>
              <w:left w:w="0" w:type="dxa"/>
              <w:bottom w:w="0" w:type="dxa"/>
              <w:right w:w="0" w:type="dxa"/>
            </w:tcMar>
            <w:vAlign w:val="center"/>
          </w:tcPr>
          <w:p>
            <w:pPr>
              <w:pStyle w:val="Normal"/>
              <w:bidi w:val="0"/>
              <w:jc w:val="left"/>
              <w:rPr/>
            </w:pPr>
            <w:r>
              <w:rPr/>
            </w:r>
          </w:p>
        </w:tc>
        <w:tc>
          <w:tcPr>
            <w:tcW w:w="8004"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Arial;sans-serif" w:hAnsi="Arial;sans-serif"/>
                <w:b/>
                <w:color w:val="000000"/>
                <w:sz w:val="18"/>
              </w:rPr>
            </w:pPr>
            <w:r>
              <w:rPr>
                <w:rFonts w:ascii="Arial;sans-serif" w:hAnsi="Arial;sans-serif"/>
                <w:b/>
                <w:color w:val="000000"/>
                <w:sz w:val="18"/>
              </w:rPr>
              <w:t>PROFESSIONAL HIGHLIGHTS</w:t>
            </w:r>
          </w:p>
          <w:p>
            <w:pPr>
              <w:pStyle w:val="TableContents"/>
              <w:bidi w:val="0"/>
              <w:spacing w:lineRule="auto" w:line="288" w:before="0" w:after="180"/>
              <w:jc w:val="both"/>
              <w:rPr/>
            </w:pPr>
            <w:r>
              <w:rPr>
                <w:rFonts w:ascii="Arial;sans-serif" w:hAnsi="Arial;sans-serif"/>
                <w:b/>
                <w:color w:val="000000"/>
                <w:sz w:val="18"/>
              </w:rPr>
              <w:t>Angel Shelton Willis</w:t>
            </w:r>
            <w:r>
              <w:rPr>
                <w:color w:val="000000"/>
              </w:rPr>
              <w:t xml:space="preserve"> </w:t>
            </w:r>
            <w:r>
              <w:rPr>
                <w:rFonts w:ascii="Arial;sans-serif" w:hAnsi="Arial;sans-serif"/>
                <w:b w:val="false"/>
                <w:color w:val="000000"/>
                <w:sz w:val="18"/>
              </w:rPr>
              <w:t>has served as Vice President, General Counsel &amp; Secretary of Sealed Air Corporation, a global leader in sustainable, automated and digital packaging solutions, since 2019. She currently oversees all aspects of its global legal compliance and regulatory affairs, including commercial transactions, mergers &amp; acquisitions, litigation, labor &amp; employment, intellectual property, ethics and compliance, regulatory and corporate governance matters. Prior to joining Sealed Air in 2019, from 2005 to 2018, Ms. Willis served in a number of leadership roles of increasing responsibility at the then Ingersoll Rand Company, including Deputy General Counsel, Mergers and Acquisitions, Finance &amp; Restructuring and General Counsel, Climate Solutions. Prior to Ingersoll Rand, Ms. Willis served as Corporate Counsel at Cummins Inc. She began her career as an Associate at Ice Miller, a full service law firm serving Fortune 500 companies, municipalities, and nonprofits. Ms. Willis received both her bachelor’s degree in Political Science and Economics and her MBA from Clemson University, and her J.D. from the University of Illinois. She is licensed to practice law in the states of North Carolina and Indiana.</w:t>
            </w:r>
          </w:p>
          <w:p>
            <w:pPr>
              <w:pStyle w:val="TableContents"/>
              <w:bidi w:val="0"/>
              <w:spacing w:lineRule="auto" w:line="288" w:before="0" w:after="180"/>
              <w:jc w:val="left"/>
              <w:rPr>
                <w:rFonts w:ascii="Arial;sans-serif" w:hAnsi="Arial;sans-serif"/>
                <w:b/>
                <w:color w:val="000000"/>
                <w:sz w:val="18"/>
              </w:rPr>
            </w:pPr>
            <w:r>
              <w:rPr>
                <w:rFonts w:ascii="Arial;sans-serif" w:hAnsi="Arial;sans-serif"/>
                <w:b/>
                <w:color w:val="000000"/>
                <w:sz w:val="18"/>
              </w:rPr>
              <w:t>SKILLS AND QUALIFICATIONS</w:t>
            </w:r>
          </w:p>
          <w:p>
            <w:pPr>
              <w:pStyle w:val="TableContents"/>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In addition to Ms. Willis’s extensive legal background, she brings deep experience in global industrial and manufacturing sectors, mergers and acquisitions, regulatory, tax, risk management, communications, crisis management, and corporate governance.</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313"/>
        <w:gridCol w:w="313"/>
        <w:gridCol w:w="315"/>
        <w:gridCol w:w="2848"/>
        <w:gridCol w:w="2848"/>
        <w:gridCol w:w="2853"/>
        <w:gridCol w:w="109"/>
        <w:gridCol w:w="109"/>
        <w:gridCol w:w="15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2848" w:type="dxa"/>
            <w:tcBorders/>
            <w:vAlign w:val="center"/>
          </w:tcPr>
          <w:p>
            <w:pPr>
              <w:pStyle w:val="TableContents"/>
              <w:bidi w:val="0"/>
              <w:spacing w:before="0" w:after="283"/>
              <w:jc w:val="left"/>
              <w:rPr>
                <w:sz w:val="4"/>
                <w:szCs w:val="4"/>
              </w:rPr>
            </w:pPr>
            <w:r>
              <w:rPr>
                <w:sz w:val="4"/>
                <w:szCs w:val="4"/>
              </w:rPr>
            </w:r>
          </w:p>
        </w:tc>
        <w:tc>
          <w:tcPr>
            <w:tcW w:w="2848" w:type="dxa"/>
            <w:tcBorders/>
            <w:vAlign w:val="center"/>
          </w:tcPr>
          <w:p>
            <w:pPr>
              <w:pStyle w:val="TableContents"/>
              <w:bidi w:val="0"/>
              <w:spacing w:before="0" w:after="283"/>
              <w:jc w:val="left"/>
              <w:rPr>
                <w:sz w:val="4"/>
                <w:szCs w:val="4"/>
              </w:rPr>
            </w:pPr>
            <w:r>
              <w:rPr>
                <w:sz w:val="4"/>
                <w:szCs w:val="4"/>
              </w:rPr>
            </w:r>
          </w:p>
        </w:tc>
        <w:tc>
          <w:tcPr>
            <w:tcW w:w="28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4C97"/>
              <w:left w:val="single" w:sz="8" w:space="0" w:color="004C97"/>
              <w:bottom w:val="single" w:sz="8" w:space="0" w:color="004C97"/>
            </w:tcBorders>
            <w:tcMar>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top w:val="single" w:sz="8" w:space="0" w:color="004C97"/>
              <w:bottom w:val="single" w:sz="8" w:space="0" w:color="004C97"/>
            </w:tcBorders>
            <w:tcMar>
              <w:left w:w="0" w:type="dxa"/>
              <w:right w:w="0" w:type="dxa"/>
            </w:tcMar>
            <w:vAlign w:val="center"/>
          </w:tcPr>
          <w:p>
            <w:pPr>
              <w:pStyle w:val="TableContents"/>
              <w:bidi w:val="0"/>
              <w:spacing w:before="0" w:after="0"/>
              <w:jc w:val="center"/>
              <w:rPr/>
            </w:pPr>
            <w:r>
              <w:rPr/>
              <w:drawing>
                <wp:inline distT="0" distB="0" distL="0" distR="0">
                  <wp:extent cx="542925" cy="542925"/>
                  <wp:effectExtent l="0" t="0" r="0" b="0"/>
                  <wp:docPr id="64"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30" descr=""/>
                          <pic:cNvPicPr>
                            <a:picLocks noChangeAspect="1" noChangeArrowheads="1"/>
                          </pic:cNvPicPr>
                        </pic:nvPicPr>
                        <pic:blipFill>
                          <a:blip r:embed="rId45"/>
                          <a:stretch>
                            <a:fillRect/>
                          </a:stretch>
                        </pic:blipFill>
                        <pic:spPr bwMode="auto">
                          <a:xfrm>
                            <a:off x="0" y="0"/>
                            <a:ext cx="542925" cy="542925"/>
                          </a:xfrm>
                          <a:prstGeom prst="rect">
                            <a:avLst/>
                          </a:prstGeom>
                        </pic:spPr>
                      </pic:pic>
                    </a:graphicData>
                  </a:graphic>
                </wp:inline>
              </w:drawing>
            </w:r>
          </w:p>
        </w:tc>
        <w:tc>
          <w:tcPr>
            <w:tcW w:w="8549" w:type="dxa"/>
            <w:gridSpan w:val="3"/>
            <w:tcBorders>
              <w:top w:val="single" w:sz="8" w:space="0" w:color="004C97"/>
              <w:bottom w:val="single" w:sz="8" w:space="0" w:color="004C97"/>
            </w:tcBorders>
            <w:tcMar>
              <w:top w:w="30" w:type="dxa"/>
              <w:left w:w="0" w:type="dxa"/>
              <w:bottom w:w="30" w:type="dxa"/>
              <w:right w:w="0" w:type="dxa"/>
            </w:tcMar>
            <w:vAlign w:val="center"/>
          </w:tcPr>
          <w:p>
            <w:pPr>
              <w:pStyle w:val="TableContents"/>
              <w:bidi w:val="0"/>
              <w:spacing w:lineRule="auto" w:line="288" w:before="0" w:after="0"/>
              <w:jc w:val="left"/>
              <w:rPr/>
            </w:pPr>
            <w:r>
              <w:rPr>
                <w:rFonts w:ascii="Arial;sans-serif" w:hAnsi="Arial;sans-serif"/>
                <w:b w:val="false"/>
                <w:color w:val="004C97"/>
                <w:sz w:val="20"/>
              </w:rPr>
              <w:t xml:space="preserve">YOUR BOARD OF DIRECTORS UNANIMOUSLY RECOMMENDS A VOTE </w:t>
            </w:r>
            <w:r>
              <w:rPr>
                <w:color w:val="004C97"/>
              </w:rPr>
              <w:t>“</w:t>
            </w:r>
            <w:r>
              <w:rPr>
                <w:rFonts w:ascii="Arial;sans-serif" w:hAnsi="Arial;sans-serif"/>
                <w:b/>
                <w:color w:val="004C97"/>
                <w:sz w:val="20"/>
              </w:rPr>
              <w:t xml:space="preserve">FOR” </w:t>
            </w:r>
            <w:r>
              <w:rPr>
                <w:rFonts w:ascii="Arial;sans-serif" w:hAnsi="Arial;sans-serif"/>
                <w:b w:val="false"/>
                <w:color w:val="004C97"/>
                <w:sz w:val="20"/>
              </w:rPr>
              <w:t>THE ELECTION OF DR. SHAW, MR. TOTH AND MS. WILLIS AS DIRECTORS FOR A THREE YEAR TERM EXPIRING AT THE ANNUAL MEETING OF STOCKHOLDERS IN 2027.</w:t>
            </w:r>
          </w:p>
        </w:tc>
        <w:tc>
          <w:tcPr>
            <w:tcW w:w="373" w:type="dxa"/>
            <w:gridSpan w:val="3"/>
            <w:tcBorders>
              <w:top w:val="single" w:sz="8" w:space="0" w:color="004C97"/>
              <w:bottom w:val="single" w:sz="8" w:space="0" w:color="004C97"/>
              <w:right w:val="single" w:sz="8" w:space="0" w:color="004C97"/>
            </w:tcBorders>
            <w:tcMar>
              <w:lef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6480175" cy="739140"/>
                <wp:effectExtent l="0" t="0" r="0" b="0"/>
                <wp:wrapNone/>
                <wp:docPr id="65" name="Frame21"/>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292" w:type="dxa"/>
                              <w:jc w:val="right"/>
                              <w:tblInd w:w="0" w:type="dxa"/>
                              <w:tblLayout w:type="fixed"/>
                              <w:tblCellMar>
                                <w:top w:w="28" w:type="dxa"/>
                                <w:left w:w="28" w:type="dxa"/>
                                <w:bottom w:w="28" w:type="dxa"/>
                                <w:right w:w="28" w:type="dxa"/>
                              </w:tblCellMar>
                            </w:tblPr>
                            <w:tblGrid>
                              <w:gridCol w:w="292"/>
                              <w:gridCol w:w="256"/>
                              <w:gridCol w:w="258"/>
                              <w:gridCol w:w="704"/>
                              <w:gridCol w:w="704"/>
                              <w:gridCol w:w="706"/>
                              <w:gridCol w:w="109"/>
                              <w:gridCol w:w="109"/>
                              <w:gridCol w:w="154"/>
                            </w:tblGrid>
                            <w:tr>
                              <w:trPr/>
                              <w:tc>
                                <w:tcPr>
                                  <w:tcW w:w="29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0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66"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31" descr=""/>
                                                <pic:cNvPicPr>
                                                  <a:picLocks noChangeAspect="1" noChangeArrowheads="1"/>
                                                </pic:cNvPicPr>
                                              </pic:nvPicPr>
                                              <pic:blipFill>
                                                <a:blip r:embed="rId46"/>
                                                <a:stretch>
                                                  <a:fillRect/>
                                                </a:stretch>
                                              </pic:blipFill>
                                              <pic:spPr bwMode="auto">
                                                <a:xfrm>
                                                  <a:off x="0" y="0"/>
                                                  <a:ext cx="447675" cy="161925"/>
                                                </a:xfrm>
                                                <a:prstGeom prst="rect">
                                                  <a:avLst/>
                                                </a:prstGeom>
                                              </pic:spPr>
                                            </pic:pic>
                                          </a:graphicData>
                                        </a:graphic>
                                      </wp:inline>
                                    </w:drawing>
                                  </w:r>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2024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000000"/>
                                      <w:sz w:val="16"/>
                                    </w:rPr>
                                  </w:pPr>
                                  <w:r>
                                    <w:rPr>
                                      <w:rFonts w:ascii="Arial;sans-serif" w:hAnsi="Arial;sans-serif"/>
                                      <w:b/>
                                      <w:color w:val="000000"/>
                                      <w:sz w:val="16"/>
                                    </w:rPr>
                                    <w:t>15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292" w:type="dxa"/>
                        <w:jc w:val="right"/>
                        <w:tblInd w:w="0" w:type="dxa"/>
                        <w:tblLayout w:type="fixed"/>
                        <w:tblCellMar>
                          <w:top w:w="28" w:type="dxa"/>
                          <w:left w:w="28" w:type="dxa"/>
                          <w:bottom w:w="28" w:type="dxa"/>
                          <w:right w:w="28" w:type="dxa"/>
                        </w:tblCellMar>
                      </w:tblPr>
                      <w:tblGrid>
                        <w:gridCol w:w="292"/>
                        <w:gridCol w:w="256"/>
                        <w:gridCol w:w="258"/>
                        <w:gridCol w:w="704"/>
                        <w:gridCol w:w="704"/>
                        <w:gridCol w:w="706"/>
                        <w:gridCol w:w="109"/>
                        <w:gridCol w:w="109"/>
                        <w:gridCol w:w="154"/>
                      </w:tblGrid>
                      <w:tr>
                        <w:trPr/>
                        <w:tc>
                          <w:tcPr>
                            <w:tcW w:w="29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0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67"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31" descr=""/>
                                          <pic:cNvPicPr>
                                            <a:picLocks noChangeAspect="1" noChangeArrowheads="1"/>
                                          </pic:cNvPicPr>
                                        </pic:nvPicPr>
                                        <pic:blipFill>
                                          <a:blip r:embed="rId47"/>
                                          <a:stretch>
                                            <a:fillRect/>
                                          </a:stretch>
                                        </pic:blipFill>
                                        <pic:spPr bwMode="auto">
                                          <a:xfrm>
                                            <a:off x="0" y="0"/>
                                            <a:ext cx="447675" cy="161925"/>
                                          </a:xfrm>
                                          <a:prstGeom prst="rect">
                                            <a:avLst/>
                                          </a:prstGeom>
                                        </pic:spPr>
                                      </pic:pic>
                                    </a:graphicData>
                                  </a:graphic>
                                </wp:inline>
                              </w:drawing>
                            </w:r>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2024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000000"/>
                                <w:sz w:val="16"/>
                              </w:rPr>
                            </w:pPr>
                            <w:r>
                              <w:rPr>
                                <w:rFonts w:ascii="Arial;sans-serif" w:hAnsi="Arial;sans-serif"/>
                                <w:b/>
                                <w:color w:val="000000"/>
                                <w:sz w:val="16"/>
                              </w:rPr>
                              <w:t>15</w:t>
                            </w:r>
                          </w:p>
                        </w:tc>
                      </w:tr>
                    </w:tbl>
                    <w:p>
                      <w:pPr>
                        <w:pStyle w:val="TextBody"/>
                        <w:bidi w:val="0"/>
                        <w:spacing w:before="0" w:after="283"/>
                        <w:jc w:val="left"/>
                        <w:rPr/>
                      </w:pPr>
                      <w:r>
                        <w:rPr/>
                      </w:r>
                    </w:p>
                  </w:txbxContent>
                </v:textbox>
                <w10:wrap type="none"/>
              </v:rect>
            </w:pict>
          </mc:Fallback>
        </mc:AlternateContent>
      </w:r>
    </w:p>
    <w:tbl>
      <w:tblPr>
        <w:tblW w:w="1469" w:type="dxa"/>
        <w:jc w:val="right"/>
        <w:tblInd w:w="0" w:type="dxa"/>
        <w:tblLayout w:type="fixed"/>
        <w:tblCellMar>
          <w:top w:w="28" w:type="dxa"/>
          <w:left w:w="28" w:type="dxa"/>
          <w:bottom w:w="28" w:type="dxa"/>
          <w:right w:w="28" w:type="dxa"/>
        </w:tblCellMar>
      </w:tblPr>
      <w:tblGrid>
        <w:gridCol w:w="470"/>
        <w:gridCol w:w="413"/>
        <w:gridCol w:w="586"/>
      </w:tblGrid>
      <w:tr>
        <w:trPr/>
        <w:tc>
          <w:tcPr>
            <w:tcW w:w="47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r>
      <w:tr>
        <w:trPr/>
        <w:tc>
          <w:tcPr>
            <w:tcW w:w="1469" w:type="dxa"/>
            <w:gridSpan w:val="3"/>
            <w:tcBorders>
              <w:bottom w:val="single" w:sz="4" w:space="0" w:color="004C97"/>
            </w:tcBorders>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4C97"/>
                <w:sz w:val="16"/>
              </w:rPr>
            </w:pPr>
            <w:r>
              <w:rPr>
                <w:rFonts w:ascii="Arial;sans-serif" w:hAnsi="Arial;sans-serif"/>
                <w:b w:val="false"/>
                <w:color w:val="004C97"/>
                <w:sz w:val="16"/>
              </w:rPr>
              <w:t>PROPOSAL ONE</w:t>
            </w:r>
          </w:p>
        </w:tc>
      </w:tr>
    </w:tbl>
    <w:p>
      <w:pPr>
        <w:pStyle w:val="TextBody"/>
        <w:bidi w:val="0"/>
        <w:spacing w:lineRule="auto" w:line="288" w:before="360" w:after="300"/>
        <w:jc w:val="left"/>
        <w:rPr>
          <w:rFonts w:ascii="Arial;sans-serif" w:hAnsi="Arial;sans-serif"/>
          <w:b/>
          <w:color w:val="000000"/>
          <w:sz w:val="32"/>
        </w:rPr>
      </w:pPr>
      <w:bookmarkStart w:id="2" w:name="i72569b677e204ec5b26ca04644a188d1_34877"/>
      <w:bookmarkEnd w:id="2"/>
      <w:r>
        <w:rPr>
          <w:rFonts w:ascii="Arial;sans-serif" w:hAnsi="Arial;sans-serif"/>
          <w:b/>
          <w:color w:val="000000"/>
          <w:sz w:val="32"/>
        </w:rPr>
        <w:t>Directors Continuing to Serve Until 2025 Annual Meeting</w:t>
      </w:r>
    </w:p>
    <w:tbl>
      <w:tblPr>
        <w:tblW w:w="10205" w:type="dxa"/>
        <w:jc w:val="left"/>
        <w:tblInd w:w="0" w:type="dxa"/>
        <w:tblLayout w:type="fixed"/>
        <w:tblCellMar>
          <w:top w:w="28" w:type="dxa"/>
          <w:left w:w="28" w:type="dxa"/>
          <w:bottom w:w="28" w:type="dxa"/>
          <w:right w:w="28" w:type="dxa"/>
        </w:tblCellMar>
      </w:tblPr>
      <w:tblGrid>
        <w:gridCol w:w="798"/>
        <w:gridCol w:w="701"/>
        <w:gridCol w:w="702"/>
        <w:gridCol w:w="2344"/>
        <w:gridCol w:w="2344"/>
        <w:gridCol w:w="3316"/>
      </w:tblGrid>
      <w:tr>
        <w:trPr/>
        <w:tc>
          <w:tcPr>
            <w:tcW w:w="798"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2344" w:type="dxa"/>
            <w:tcBorders/>
            <w:vAlign w:val="center"/>
          </w:tcPr>
          <w:p>
            <w:pPr>
              <w:pStyle w:val="TableContents"/>
              <w:bidi w:val="0"/>
              <w:spacing w:before="0" w:after="283"/>
              <w:jc w:val="left"/>
              <w:rPr>
                <w:sz w:val="4"/>
                <w:szCs w:val="4"/>
              </w:rPr>
            </w:pPr>
            <w:r>
              <w:rPr>
                <w:sz w:val="4"/>
                <w:szCs w:val="4"/>
              </w:rPr>
            </w:r>
          </w:p>
        </w:tc>
        <w:tc>
          <w:tcPr>
            <w:tcW w:w="2344"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2201" w:type="dxa"/>
            <w:gridSpan w:val="3"/>
            <w:vMerge w:val="restart"/>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333500" cy="1666875"/>
                  <wp:effectExtent l="0" t="0" r="0" b="0"/>
                  <wp:docPr id="68"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32" descr=""/>
                          <pic:cNvPicPr>
                            <a:picLocks noChangeAspect="1" noChangeArrowheads="1"/>
                          </pic:cNvPicPr>
                        </pic:nvPicPr>
                        <pic:blipFill>
                          <a:blip r:embed="rId48"/>
                          <a:stretch>
                            <a:fillRect/>
                          </a:stretch>
                        </pic:blipFill>
                        <pic:spPr bwMode="auto">
                          <a:xfrm>
                            <a:off x="0" y="0"/>
                            <a:ext cx="1333500" cy="1666875"/>
                          </a:xfrm>
                          <a:prstGeom prst="rect">
                            <a:avLst/>
                          </a:prstGeom>
                        </pic:spPr>
                      </pic:pic>
                    </a:graphicData>
                  </a:graphic>
                </wp:inline>
              </w:drawing>
            </w:r>
          </w:p>
          <w:p>
            <w:pPr>
              <w:pStyle w:val="TableContents"/>
              <w:bidi w:val="0"/>
              <w:spacing w:lineRule="auto" w:line="288" w:before="0" w:after="180"/>
              <w:jc w:val="left"/>
              <w:rPr>
                <w:rFonts w:ascii="Arial;sans-serif" w:hAnsi="Arial;sans-serif"/>
                <w:b/>
                <w:color w:val="004C97"/>
                <w:sz w:val="22"/>
              </w:rPr>
            </w:pPr>
            <w:r>
              <w:rPr>
                <w:rFonts w:ascii="Arial;sans-serif" w:hAnsi="Arial;sans-serif"/>
                <w:b/>
                <w:color w:val="004C97"/>
                <w:sz w:val="22"/>
              </w:rPr>
              <w:t>Gene Lowe</w:t>
            </w:r>
          </w:p>
          <w:p>
            <w:pPr>
              <w:pStyle w:val="TableContents"/>
              <w:bidi w:val="0"/>
              <w:spacing w:lineRule="auto" w:line="288" w:before="0" w:after="0"/>
              <w:jc w:val="both"/>
              <w:rPr>
                <w:rFonts w:ascii="Arial;sans-serif" w:hAnsi="Arial;sans-serif"/>
                <w:b w:val="false"/>
                <w:color w:val="004C97"/>
                <w:sz w:val="16"/>
              </w:rPr>
            </w:pPr>
            <w:r>
              <w:rPr>
                <w:rFonts w:ascii="Arial;sans-serif" w:hAnsi="Arial;sans-serif"/>
                <w:b w:val="false"/>
                <w:color w:val="004C97"/>
                <w:sz w:val="16"/>
              </w:rPr>
              <w:t>President and CEO,</w:t>
            </w:r>
          </w:p>
          <w:p>
            <w:pPr>
              <w:pStyle w:val="TableContents"/>
              <w:bidi w:val="0"/>
              <w:spacing w:lineRule="auto" w:line="288" w:before="0" w:after="0"/>
              <w:jc w:val="both"/>
              <w:rPr>
                <w:rFonts w:ascii="Arial;sans-serif" w:hAnsi="Arial;sans-serif"/>
                <w:b w:val="false"/>
                <w:color w:val="004C97"/>
                <w:sz w:val="16"/>
              </w:rPr>
            </w:pPr>
            <w:r>
              <w:rPr>
                <w:rFonts w:ascii="Arial;sans-serif" w:hAnsi="Arial;sans-serif"/>
                <w:b w:val="false"/>
                <w:color w:val="004C97"/>
                <w:sz w:val="16"/>
              </w:rPr>
              <w:t>SPX Technologies, Inc.</w:t>
            </w:r>
          </w:p>
          <w:p>
            <w:pPr>
              <w:pStyle w:val="TableContents"/>
              <w:bidi w:val="0"/>
              <w:spacing w:lineRule="auto" w:line="288" w:before="0" w:after="0"/>
              <w:jc w:val="left"/>
              <w:rPr/>
            </w:pPr>
            <w:r>
              <w:rPr>
                <w:rFonts w:ascii="Arial;sans-serif" w:hAnsi="Arial;sans-serif"/>
                <w:b/>
                <w:color w:val="004C97"/>
                <w:sz w:val="16"/>
              </w:rPr>
              <w:t>Age</w:t>
            </w:r>
            <w:r>
              <w:rPr>
                <w:rFonts w:ascii="Arial;sans-serif" w:hAnsi="Arial;sans-serif"/>
                <w:b w:val="false"/>
                <w:color w:val="004C97"/>
                <w:sz w:val="16"/>
              </w:rPr>
              <w:t>: 56</w:t>
            </w:r>
          </w:p>
          <w:p>
            <w:pPr>
              <w:pStyle w:val="TableContents"/>
              <w:bidi w:val="0"/>
              <w:spacing w:lineRule="auto" w:line="288" w:before="0" w:after="0"/>
              <w:jc w:val="left"/>
              <w:rPr/>
            </w:pPr>
            <w:r>
              <w:rPr>
                <w:rFonts w:ascii="Arial;sans-serif" w:hAnsi="Arial;sans-serif"/>
                <w:b/>
                <w:color w:val="004C97"/>
                <w:sz w:val="16"/>
              </w:rPr>
              <w:t>Director since</w:t>
            </w:r>
            <w:r>
              <w:rPr>
                <w:rFonts w:ascii="Arial;sans-serif" w:hAnsi="Arial;sans-serif"/>
                <w:b w:val="false"/>
                <w:color w:val="004C97"/>
                <w:sz w:val="16"/>
              </w:rPr>
              <w:t>: 2015</w:t>
            </w:r>
          </w:p>
          <w:p>
            <w:pPr>
              <w:pStyle w:val="TableContents"/>
              <w:bidi w:val="0"/>
              <w:spacing w:lineRule="auto" w:line="288" w:before="0" w:after="0"/>
              <w:jc w:val="left"/>
              <w:rPr/>
            </w:pPr>
            <w:r>
              <w:rPr>
                <w:rFonts w:ascii="Arial;sans-serif" w:hAnsi="Arial;sans-serif"/>
                <w:b/>
                <w:color w:val="004C97"/>
                <w:sz w:val="16"/>
              </w:rPr>
              <w:t>Committees</w:t>
            </w:r>
            <w:r>
              <w:rPr>
                <w:rFonts w:ascii="Arial;sans-serif" w:hAnsi="Arial;sans-serif"/>
                <w:b w:val="false"/>
                <w:color w:val="004C97"/>
                <w:sz w:val="16"/>
              </w:rPr>
              <w:t>:</w:t>
            </w:r>
          </w:p>
          <w:p>
            <w:pPr>
              <w:pStyle w:val="TableContents"/>
              <w:bidi w:val="0"/>
              <w:spacing w:lineRule="auto" w:line="288" w:before="0" w:after="0"/>
              <w:ind w:left="0" w:right="0" w:hanging="216"/>
              <w:jc w:val="both"/>
              <w:rPr/>
            </w:pPr>
            <w:r>
              <w:rPr>
                <w:color w:val="000000"/>
              </w:rPr>
              <w:t>•</w:t>
            </w:r>
            <w:r>
              <w:rPr>
                <w:rFonts w:ascii="Arial;sans-serif" w:hAnsi="Arial;sans-serif"/>
                <w:b w:val="false"/>
                <w:color w:val="004C97"/>
                <w:sz w:val="16"/>
              </w:rPr>
              <w:t>None</w:t>
            </w:r>
          </w:p>
        </w:tc>
        <w:tc>
          <w:tcPr>
            <w:tcW w:w="80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1" w:type="dxa"/>
            <w:gridSpan w:val="3"/>
            <w:vMerge w:val="continue"/>
            <w:tcBorders/>
            <w:tcMar>
              <w:top w:w="0" w:type="dxa"/>
              <w:left w:w="0" w:type="dxa"/>
              <w:bottom w:w="0" w:type="dxa"/>
              <w:right w:w="0" w:type="dxa"/>
            </w:tcMar>
            <w:vAlign w:val="center"/>
          </w:tcPr>
          <w:p>
            <w:pPr>
              <w:pStyle w:val="Normal"/>
              <w:bidi w:val="0"/>
              <w:jc w:val="left"/>
              <w:rPr/>
            </w:pPr>
            <w:r>
              <w:rPr/>
            </w:r>
          </w:p>
        </w:tc>
        <w:tc>
          <w:tcPr>
            <w:tcW w:w="8004"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Arial;sans-serif" w:hAnsi="Arial;sans-serif"/>
                <w:b/>
                <w:color w:val="000000"/>
                <w:sz w:val="18"/>
              </w:rPr>
            </w:pPr>
            <w:r>
              <w:rPr>
                <w:rFonts w:ascii="Arial;sans-serif" w:hAnsi="Arial;sans-serif"/>
                <w:b/>
                <w:color w:val="000000"/>
                <w:sz w:val="18"/>
              </w:rPr>
              <w:t>PROFESSIONAL HIGHLIGHTS</w:t>
            </w:r>
          </w:p>
          <w:p>
            <w:pPr>
              <w:pStyle w:val="TableContents"/>
              <w:bidi w:val="0"/>
              <w:spacing w:lineRule="auto" w:line="288" w:before="0" w:after="180"/>
              <w:jc w:val="both"/>
              <w:rPr/>
            </w:pPr>
            <w:r>
              <w:rPr>
                <w:rFonts w:ascii="Arial;sans-serif" w:hAnsi="Arial;sans-serif"/>
                <w:b/>
                <w:color w:val="000000"/>
                <w:sz w:val="18"/>
              </w:rPr>
              <w:t>Eugene J. Lowe, III</w:t>
            </w:r>
            <w:r>
              <w:rPr>
                <w:color w:val="000000"/>
              </w:rPr>
              <w:t xml:space="preserve"> </w:t>
            </w:r>
            <w:r>
              <w:rPr>
                <w:rFonts w:ascii="Arial;sans-serif" w:hAnsi="Arial;sans-serif"/>
                <w:b w:val="false"/>
                <w:color w:val="000000"/>
                <w:sz w:val="18"/>
              </w:rPr>
              <w:t>has served as President and Chief Executive Officer of SPX since September 2015. He was appointed an officer of SPX in 2014 and previously served as Segment President, Thermal Equipment and Services, from 2013 to 2015; President, Global Evaporative Cooling, from 2010 to 2013; and Vice President of Global Business Development and Marketing, Thermal Equipment and Services, from 2008 to 2010. Prior to joining SPX, Mr. Lowe held positions with Milliken &amp; Company, Lazard Technology Partners, Bain &amp; Company, and Andersen Consulting. Mr. Lowe is currently a director of Federal Signal Corporation. He earned his bachelor’s degree in Management Science from Virginia Tech and his MBA from Dartmouth’s Tuck School of Business.</w:t>
            </w:r>
          </w:p>
          <w:p>
            <w:pPr>
              <w:pStyle w:val="TableContents"/>
              <w:bidi w:val="0"/>
              <w:spacing w:lineRule="auto" w:line="288" w:before="0" w:after="180"/>
              <w:jc w:val="left"/>
              <w:rPr>
                <w:rFonts w:ascii="Arial;sans-serif" w:hAnsi="Arial;sans-serif"/>
                <w:b/>
                <w:color w:val="000000"/>
                <w:sz w:val="18"/>
              </w:rPr>
            </w:pPr>
            <w:r>
              <w:rPr>
                <w:rFonts w:ascii="Arial;sans-serif" w:hAnsi="Arial;sans-serif"/>
                <w:b/>
                <w:color w:val="000000"/>
                <w:sz w:val="18"/>
              </w:rPr>
              <w:t>SKILLS AND QUALIFICATIONS</w:t>
            </w:r>
          </w:p>
          <w:p>
            <w:pPr>
              <w:pStyle w:val="TableContents"/>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Mr. Lowe brings valuable operations, strategic planning, marketing, and business development experience to our Board. As the only member of SPX management to serve on the Board, Mr. Lowe also contributes a level of understanding of our Company not easily attained by an outside director.</w:t>
            </w:r>
          </w:p>
        </w:tc>
      </w:tr>
    </w:tbl>
    <w:tbl>
      <w:tblPr>
        <w:tblW w:w="10205" w:type="dxa"/>
        <w:jc w:val="left"/>
        <w:tblInd w:w="0" w:type="dxa"/>
        <w:tblLayout w:type="fixed"/>
        <w:tblCellMar>
          <w:top w:w="28" w:type="dxa"/>
          <w:left w:w="28" w:type="dxa"/>
          <w:bottom w:w="28" w:type="dxa"/>
          <w:right w:w="28" w:type="dxa"/>
        </w:tblCellMar>
      </w:tblPr>
      <w:tblGrid>
        <w:gridCol w:w="798"/>
        <w:gridCol w:w="701"/>
        <w:gridCol w:w="702"/>
        <w:gridCol w:w="2344"/>
        <w:gridCol w:w="2344"/>
        <w:gridCol w:w="3316"/>
      </w:tblGrid>
      <w:tr>
        <w:trPr/>
        <w:tc>
          <w:tcPr>
            <w:tcW w:w="798"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2344" w:type="dxa"/>
            <w:tcBorders/>
            <w:vAlign w:val="center"/>
          </w:tcPr>
          <w:p>
            <w:pPr>
              <w:pStyle w:val="TableContents"/>
              <w:bidi w:val="0"/>
              <w:spacing w:before="0" w:after="283"/>
              <w:jc w:val="left"/>
              <w:rPr>
                <w:sz w:val="4"/>
                <w:szCs w:val="4"/>
              </w:rPr>
            </w:pPr>
            <w:r>
              <w:rPr>
                <w:sz w:val="4"/>
                <w:szCs w:val="4"/>
              </w:rPr>
            </w:r>
          </w:p>
        </w:tc>
        <w:tc>
          <w:tcPr>
            <w:tcW w:w="2344"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2201" w:type="dxa"/>
            <w:gridSpan w:val="3"/>
            <w:vMerge w:val="restart"/>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333500" cy="1666875"/>
                  <wp:effectExtent l="0" t="0" r="0" b="0"/>
                  <wp:docPr id="69"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33" descr=""/>
                          <pic:cNvPicPr>
                            <a:picLocks noChangeAspect="1" noChangeArrowheads="1"/>
                          </pic:cNvPicPr>
                        </pic:nvPicPr>
                        <pic:blipFill>
                          <a:blip r:embed="rId49"/>
                          <a:stretch>
                            <a:fillRect/>
                          </a:stretch>
                        </pic:blipFill>
                        <pic:spPr bwMode="auto">
                          <a:xfrm>
                            <a:off x="0" y="0"/>
                            <a:ext cx="1333500" cy="1666875"/>
                          </a:xfrm>
                          <a:prstGeom prst="rect">
                            <a:avLst/>
                          </a:prstGeom>
                        </pic:spPr>
                      </pic:pic>
                    </a:graphicData>
                  </a:graphic>
                </wp:inline>
              </w:drawing>
            </w:r>
          </w:p>
          <w:p>
            <w:pPr>
              <w:pStyle w:val="TableContents"/>
              <w:bidi w:val="0"/>
              <w:spacing w:lineRule="auto" w:line="288" w:before="0" w:after="180"/>
              <w:jc w:val="left"/>
              <w:rPr>
                <w:rFonts w:ascii="Arial;sans-serif" w:hAnsi="Arial;sans-serif"/>
                <w:b/>
                <w:color w:val="004C97"/>
                <w:sz w:val="22"/>
              </w:rPr>
            </w:pPr>
            <w:r>
              <w:rPr>
                <w:rFonts w:ascii="Arial;sans-serif" w:hAnsi="Arial;sans-serif"/>
                <w:b/>
                <w:color w:val="004C97"/>
                <w:sz w:val="22"/>
              </w:rPr>
              <w:t>Patrick O’Leary</w:t>
            </w:r>
          </w:p>
          <w:p>
            <w:pPr>
              <w:pStyle w:val="TableContents"/>
              <w:bidi w:val="0"/>
              <w:spacing w:lineRule="auto" w:line="288" w:before="0" w:after="0"/>
              <w:jc w:val="both"/>
              <w:rPr>
                <w:rFonts w:ascii="Arial;sans-serif" w:hAnsi="Arial;sans-serif"/>
                <w:b w:val="false"/>
                <w:color w:val="004C97"/>
                <w:sz w:val="16"/>
              </w:rPr>
            </w:pPr>
            <w:r>
              <w:rPr>
                <w:rFonts w:ascii="Arial;sans-serif" w:hAnsi="Arial;sans-serif"/>
                <w:b w:val="false"/>
                <w:color w:val="004C97"/>
                <w:sz w:val="16"/>
              </w:rPr>
              <w:t>Retired Executive</w:t>
            </w:r>
          </w:p>
          <w:p>
            <w:pPr>
              <w:pStyle w:val="TableContents"/>
              <w:bidi w:val="0"/>
              <w:spacing w:lineRule="auto" w:line="288" w:before="0" w:after="0"/>
              <w:jc w:val="both"/>
              <w:rPr>
                <w:rFonts w:ascii="Arial;sans-serif" w:hAnsi="Arial;sans-serif"/>
                <w:b w:val="false"/>
                <w:color w:val="004C97"/>
                <w:sz w:val="16"/>
              </w:rPr>
            </w:pPr>
            <w:r>
              <w:rPr>
                <w:rFonts w:ascii="Arial;sans-serif" w:hAnsi="Arial;sans-serif"/>
                <w:b w:val="false"/>
                <w:color w:val="004C97"/>
                <w:sz w:val="16"/>
              </w:rPr>
              <w:t>Vice President, Finance,</w:t>
            </w:r>
          </w:p>
          <w:p>
            <w:pPr>
              <w:pStyle w:val="TableContents"/>
              <w:bidi w:val="0"/>
              <w:spacing w:lineRule="auto" w:line="288" w:before="0" w:after="0"/>
              <w:jc w:val="both"/>
              <w:rPr>
                <w:rFonts w:ascii="Arial;sans-serif" w:hAnsi="Arial;sans-serif"/>
                <w:b w:val="false"/>
                <w:color w:val="004C97"/>
                <w:sz w:val="16"/>
              </w:rPr>
            </w:pPr>
            <w:r>
              <w:rPr>
                <w:rFonts w:ascii="Arial;sans-serif" w:hAnsi="Arial;sans-serif"/>
                <w:b w:val="false"/>
                <w:color w:val="004C97"/>
                <w:sz w:val="16"/>
              </w:rPr>
              <w:t>Treasurer and CFO,</w:t>
            </w:r>
          </w:p>
          <w:p>
            <w:pPr>
              <w:pStyle w:val="TableContents"/>
              <w:bidi w:val="0"/>
              <w:spacing w:lineRule="auto" w:line="288" w:before="0" w:after="0"/>
              <w:jc w:val="both"/>
              <w:rPr>
                <w:rFonts w:ascii="Arial;sans-serif" w:hAnsi="Arial;sans-serif"/>
                <w:b w:val="false"/>
                <w:color w:val="004C97"/>
                <w:sz w:val="16"/>
              </w:rPr>
            </w:pPr>
            <w:r>
              <w:rPr>
                <w:rFonts w:ascii="Arial;sans-serif" w:hAnsi="Arial;sans-serif"/>
                <w:b w:val="false"/>
                <w:color w:val="004C97"/>
                <w:sz w:val="16"/>
              </w:rPr>
              <w:t>SPX Corporation</w:t>
            </w:r>
          </w:p>
          <w:p>
            <w:pPr>
              <w:pStyle w:val="TableContents"/>
              <w:bidi w:val="0"/>
              <w:spacing w:lineRule="auto" w:line="288" w:before="0" w:after="0"/>
              <w:jc w:val="left"/>
              <w:rPr/>
            </w:pPr>
            <w:r>
              <w:rPr>
                <w:rFonts w:ascii="Arial;sans-serif" w:hAnsi="Arial;sans-serif"/>
                <w:b/>
                <w:color w:val="004C97"/>
                <w:sz w:val="16"/>
              </w:rPr>
              <w:t>Age</w:t>
            </w:r>
            <w:r>
              <w:rPr>
                <w:rFonts w:ascii="Arial;sans-serif" w:hAnsi="Arial;sans-serif"/>
                <w:b w:val="false"/>
                <w:color w:val="004C97"/>
                <w:sz w:val="16"/>
              </w:rPr>
              <w:t>: 66</w:t>
            </w:r>
          </w:p>
          <w:p>
            <w:pPr>
              <w:pStyle w:val="TableContents"/>
              <w:bidi w:val="0"/>
              <w:spacing w:lineRule="auto" w:line="288" w:before="0" w:after="0"/>
              <w:jc w:val="left"/>
              <w:rPr/>
            </w:pPr>
            <w:r>
              <w:rPr>
                <w:rFonts w:ascii="Arial;sans-serif" w:hAnsi="Arial;sans-serif"/>
                <w:b/>
                <w:color w:val="004C97"/>
                <w:sz w:val="16"/>
              </w:rPr>
              <w:t>Director since</w:t>
            </w:r>
            <w:r>
              <w:rPr>
                <w:rFonts w:ascii="Arial;sans-serif" w:hAnsi="Arial;sans-serif"/>
                <w:b w:val="false"/>
                <w:color w:val="004C97"/>
                <w:sz w:val="16"/>
              </w:rPr>
              <w:t>: 2015</w:t>
            </w:r>
          </w:p>
          <w:p>
            <w:pPr>
              <w:pStyle w:val="TableContents"/>
              <w:bidi w:val="0"/>
              <w:spacing w:lineRule="auto" w:line="288" w:before="0" w:after="0"/>
              <w:jc w:val="left"/>
              <w:rPr/>
            </w:pPr>
            <w:r>
              <w:rPr>
                <w:rFonts w:ascii="Arial;sans-serif" w:hAnsi="Arial;sans-serif"/>
                <w:b/>
                <w:color w:val="004C97"/>
                <w:sz w:val="16"/>
              </w:rPr>
              <w:t>Committees</w:t>
            </w:r>
            <w:r>
              <w:rPr>
                <w:rFonts w:ascii="Arial;sans-serif" w:hAnsi="Arial;sans-serif"/>
                <w:b w:val="false"/>
                <w:color w:val="004C97"/>
                <w:sz w:val="16"/>
              </w:rPr>
              <w:t>:</w:t>
            </w:r>
          </w:p>
          <w:p>
            <w:pPr>
              <w:pStyle w:val="TableContents"/>
              <w:bidi w:val="0"/>
              <w:spacing w:lineRule="auto" w:line="288" w:before="0" w:after="0"/>
              <w:ind w:left="0" w:right="0" w:hanging="216"/>
              <w:jc w:val="both"/>
              <w:rPr/>
            </w:pPr>
            <w:r>
              <w:rPr>
                <w:color w:val="000000"/>
              </w:rPr>
              <w:t>•</w:t>
            </w:r>
            <w:r>
              <w:rPr>
                <w:rFonts w:ascii="Arial;sans-serif" w:hAnsi="Arial;sans-serif"/>
                <w:b w:val="false"/>
                <w:color w:val="004C97"/>
                <w:sz w:val="16"/>
              </w:rPr>
              <w:t>Gov. &amp; Sustainability</w:t>
            </w:r>
          </w:p>
        </w:tc>
        <w:tc>
          <w:tcPr>
            <w:tcW w:w="80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1" w:type="dxa"/>
            <w:gridSpan w:val="3"/>
            <w:vMerge w:val="continue"/>
            <w:tcBorders/>
            <w:tcMar>
              <w:top w:w="0" w:type="dxa"/>
              <w:left w:w="0" w:type="dxa"/>
              <w:bottom w:w="0" w:type="dxa"/>
              <w:right w:w="0" w:type="dxa"/>
            </w:tcMar>
            <w:vAlign w:val="center"/>
          </w:tcPr>
          <w:p>
            <w:pPr>
              <w:pStyle w:val="Normal"/>
              <w:bidi w:val="0"/>
              <w:jc w:val="left"/>
              <w:rPr/>
            </w:pPr>
            <w:r>
              <w:rPr/>
            </w:r>
          </w:p>
        </w:tc>
        <w:tc>
          <w:tcPr>
            <w:tcW w:w="8004"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Arial;sans-serif" w:hAnsi="Arial;sans-serif"/>
                <w:b/>
                <w:color w:val="000000"/>
                <w:sz w:val="18"/>
              </w:rPr>
            </w:pPr>
            <w:r>
              <w:rPr>
                <w:rFonts w:ascii="Arial;sans-serif" w:hAnsi="Arial;sans-serif"/>
                <w:b/>
                <w:color w:val="000000"/>
                <w:sz w:val="18"/>
              </w:rPr>
              <w:t>PROFESSIONAL HIGHLIGHTS</w:t>
            </w:r>
          </w:p>
          <w:p>
            <w:pPr>
              <w:pStyle w:val="TableContents"/>
              <w:bidi w:val="0"/>
              <w:spacing w:lineRule="auto" w:line="288" w:before="0" w:after="180"/>
              <w:jc w:val="both"/>
              <w:rPr/>
            </w:pPr>
            <w:r>
              <w:rPr>
                <w:rFonts w:ascii="Arial;sans-serif" w:hAnsi="Arial;sans-serif"/>
                <w:b/>
                <w:color w:val="000000"/>
                <w:sz w:val="18"/>
              </w:rPr>
              <w:t>Patrick J. O’Leary</w:t>
            </w:r>
            <w:r>
              <w:rPr>
                <w:color w:val="000000"/>
              </w:rPr>
              <w:t xml:space="preserve"> </w:t>
            </w:r>
            <w:r>
              <w:rPr>
                <w:rFonts w:ascii="Arial;sans-serif" w:hAnsi="Arial;sans-serif"/>
                <w:b w:val="false"/>
                <w:color w:val="000000"/>
                <w:sz w:val="18"/>
              </w:rPr>
              <w:t>retired in August 2012 from SPX, having served as Vice President, Finance, Treasurer and Chief Financial Officer from 1996, and later as Executive Vice President in 2004. During his more than 15 years with SPX, he was a principal architect of the Company’s transformation until his retirement. Prior to joining SPX, Mr. O’Leary served as Chief Financial Officer and a director of Carlisle Plastics, Inc., from 1994 to 1996. He began his career with Deloitte &amp; Touche LLP, where he held various roles of increasing responsibility from 1978 to 1994, including Partner in the firm’s Boston office from 1988 to 1994. Mr. O’Leary is currently a director of Avanos Medical Inc. He earned his bachelor’s degree in Accountancy and Law from the University of Southampton, England.</w:t>
            </w:r>
          </w:p>
          <w:p>
            <w:pPr>
              <w:pStyle w:val="TableContents"/>
              <w:bidi w:val="0"/>
              <w:spacing w:lineRule="auto" w:line="288" w:before="0" w:after="180"/>
              <w:jc w:val="left"/>
              <w:rPr>
                <w:rFonts w:ascii="Arial;sans-serif" w:hAnsi="Arial;sans-serif"/>
                <w:b/>
                <w:color w:val="000000"/>
                <w:sz w:val="18"/>
              </w:rPr>
            </w:pPr>
            <w:r>
              <w:rPr>
                <w:rFonts w:ascii="Arial;sans-serif" w:hAnsi="Arial;sans-serif"/>
                <w:b/>
                <w:color w:val="000000"/>
                <w:sz w:val="18"/>
              </w:rPr>
              <w:t>SKILLS AND QUALIFICATIONS</w:t>
            </w:r>
          </w:p>
          <w:p>
            <w:pPr>
              <w:pStyle w:val="TableContents"/>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Mr. O’Leary contributes a deep understanding of SPX history and businesses to our Board. In addition, he brings broad financial strategy expertise, including strong financial acumen, and mergers and acquisition and governance experience. Mr. O’Leary also contributes leadership skills developed through his experience serving on various public company boards.</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480175" cy="739140"/>
                <wp:effectExtent l="0" t="0" r="0" b="0"/>
                <wp:wrapNone/>
                <wp:docPr id="70" name="Frame22"/>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292" w:type="dxa"/>
                              <w:jc w:val="left"/>
                              <w:tblInd w:w="0" w:type="dxa"/>
                              <w:tblLayout w:type="fixed"/>
                              <w:tblCellMar>
                                <w:top w:w="28" w:type="dxa"/>
                                <w:left w:w="28" w:type="dxa"/>
                                <w:bottom w:w="28" w:type="dxa"/>
                                <w:right w:w="28" w:type="dxa"/>
                              </w:tblCellMar>
                            </w:tblPr>
                            <w:tblGrid>
                              <w:gridCol w:w="124"/>
                              <w:gridCol w:w="109"/>
                              <w:gridCol w:w="109"/>
                              <w:gridCol w:w="704"/>
                              <w:gridCol w:w="704"/>
                              <w:gridCol w:w="706"/>
                              <w:gridCol w:w="244"/>
                              <w:gridCol w:w="244"/>
                              <w:gridCol w:w="34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6"/>
                                    </w:rPr>
                                  </w:pPr>
                                  <w:r>
                                    <w:rPr>
                                      <w:rFonts w:ascii="Arial;sans-serif" w:hAnsi="Arial;sans-serif"/>
                                      <w:b/>
                                      <w:color w:val="000000"/>
                                      <w:sz w:val="16"/>
                                    </w:rPr>
                                    <w:t>16</w:t>
                                  </w:r>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2024 PROXY STATEMENT</w:t>
                                  </w:r>
                                </w:p>
                              </w:tc>
                              <w:tc>
                                <w:tcPr>
                                  <w:tcW w:w="83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71"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34" descr=""/>
                                                <pic:cNvPicPr>
                                                  <a:picLocks noChangeAspect="1" noChangeArrowheads="1"/>
                                                </pic:cNvPicPr>
                                              </pic:nvPicPr>
                                              <pic:blipFill>
                                                <a:blip r:embed="rId50"/>
                                                <a:stretch>
                                                  <a:fillRect/>
                                                </a:stretch>
                                              </pic:blipFill>
                                              <pic:spPr bwMode="auto">
                                                <a:xfrm>
                                                  <a:off x="0" y="0"/>
                                                  <a:ext cx="447675" cy="161925"/>
                                                </a:xfrm>
                                                <a:prstGeom prst="rect">
                                                  <a:avLst/>
                                                </a:prstGeom>
                                              </pic:spPr>
                                            </pic:pic>
                                          </a:graphicData>
                                        </a:graphic>
                                      </wp:inline>
                                    </w:drawing>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292" w:type="dxa"/>
                        <w:jc w:val="left"/>
                        <w:tblInd w:w="0" w:type="dxa"/>
                        <w:tblLayout w:type="fixed"/>
                        <w:tblCellMar>
                          <w:top w:w="28" w:type="dxa"/>
                          <w:left w:w="28" w:type="dxa"/>
                          <w:bottom w:w="28" w:type="dxa"/>
                          <w:right w:w="28" w:type="dxa"/>
                        </w:tblCellMar>
                      </w:tblPr>
                      <w:tblGrid>
                        <w:gridCol w:w="124"/>
                        <w:gridCol w:w="109"/>
                        <w:gridCol w:w="109"/>
                        <w:gridCol w:w="704"/>
                        <w:gridCol w:w="704"/>
                        <w:gridCol w:w="706"/>
                        <w:gridCol w:w="244"/>
                        <w:gridCol w:w="244"/>
                        <w:gridCol w:w="34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6"/>
                              </w:rPr>
                            </w:pPr>
                            <w:r>
                              <w:rPr>
                                <w:rFonts w:ascii="Arial;sans-serif" w:hAnsi="Arial;sans-serif"/>
                                <w:b/>
                                <w:color w:val="000000"/>
                                <w:sz w:val="16"/>
                              </w:rPr>
                              <w:t>16</w:t>
                            </w:r>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2024 PROXY STATEMENT</w:t>
                            </w:r>
                          </w:p>
                        </w:tc>
                        <w:tc>
                          <w:tcPr>
                            <w:tcW w:w="83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72"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34" descr=""/>
                                          <pic:cNvPicPr>
                                            <a:picLocks noChangeAspect="1" noChangeArrowheads="1"/>
                                          </pic:cNvPicPr>
                                        </pic:nvPicPr>
                                        <pic:blipFill>
                                          <a:blip r:embed="rId51"/>
                                          <a:stretch>
                                            <a:fillRect/>
                                          </a:stretch>
                                        </pic:blipFill>
                                        <pic:spPr bwMode="auto">
                                          <a:xfrm>
                                            <a:off x="0" y="0"/>
                                            <a:ext cx="447675" cy="161925"/>
                                          </a:xfrm>
                                          <a:prstGeom prst="rect">
                                            <a:avLst/>
                                          </a:prstGeom>
                                        </pic:spPr>
                                      </pic:pic>
                                    </a:graphicData>
                                  </a:graphic>
                                </wp:inline>
                              </w:drawing>
                            </w:r>
                          </w:p>
                        </w:tc>
                      </w:tr>
                    </w:tbl>
                    <w:p>
                      <w:pPr>
                        <w:pStyle w:val="TextBody"/>
                        <w:bidi w:val="0"/>
                        <w:spacing w:before="0" w:after="283"/>
                        <w:jc w:val="left"/>
                        <w:rPr/>
                      </w:pPr>
                      <w:r>
                        <w:rPr/>
                      </w:r>
                    </w:p>
                  </w:txbxContent>
                </v:textbox>
                <w10:wrap type="none"/>
              </v:rect>
            </w:pict>
          </mc:Fallback>
        </mc:AlternateContent>
      </w:r>
    </w:p>
    <w:tbl>
      <w:tblPr>
        <w:tblW w:w="1469" w:type="dxa"/>
        <w:jc w:val="right"/>
        <w:tblInd w:w="0" w:type="dxa"/>
        <w:tblLayout w:type="fixed"/>
        <w:tblCellMar>
          <w:top w:w="28" w:type="dxa"/>
          <w:left w:w="28" w:type="dxa"/>
          <w:bottom w:w="28" w:type="dxa"/>
          <w:right w:w="28" w:type="dxa"/>
        </w:tblCellMar>
      </w:tblPr>
      <w:tblGrid>
        <w:gridCol w:w="470"/>
        <w:gridCol w:w="413"/>
        <w:gridCol w:w="586"/>
      </w:tblGrid>
      <w:tr>
        <w:trPr/>
        <w:tc>
          <w:tcPr>
            <w:tcW w:w="47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r>
      <w:tr>
        <w:trPr/>
        <w:tc>
          <w:tcPr>
            <w:tcW w:w="1469" w:type="dxa"/>
            <w:gridSpan w:val="3"/>
            <w:tcBorders>
              <w:bottom w:val="single" w:sz="4" w:space="0" w:color="004C97"/>
            </w:tcBorders>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4C97"/>
                <w:sz w:val="16"/>
              </w:rPr>
            </w:pPr>
            <w:r>
              <w:rPr>
                <w:rFonts w:ascii="Arial;sans-serif" w:hAnsi="Arial;sans-serif"/>
                <w:b w:val="false"/>
                <w:color w:val="004C97"/>
                <w:sz w:val="16"/>
              </w:rPr>
              <w:t>PROPOSAL ONE</w:t>
            </w:r>
          </w:p>
        </w:tc>
      </w:tr>
    </w:tbl>
    <w:tbl>
      <w:tblPr>
        <w:tblW w:w="10205" w:type="dxa"/>
        <w:jc w:val="left"/>
        <w:tblInd w:w="0" w:type="dxa"/>
        <w:tblLayout w:type="fixed"/>
        <w:tblCellMar>
          <w:top w:w="28" w:type="dxa"/>
          <w:left w:w="28" w:type="dxa"/>
          <w:bottom w:w="28" w:type="dxa"/>
          <w:right w:w="28" w:type="dxa"/>
        </w:tblCellMar>
      </w:tblPr>
      <w:tblGrid>
        <w:gridCol w:w="809"/>
        <w:gridCol w:w="711"/>
        <w:gridCol w:w="712"/>
        <w:gridCol w:w="2334"/>
        <w:gridCol w:w="2334"/>
        <w:gridCol w:w="3305"/>
      </w:tblGrid>
      <w:tr>
        <w:trPr/>
        <w:tc>
          <w:tcPr>
            <w:tcW w:w="809"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2334" w:type="dxa"/>
            <w:tcBorders/>
            <w:vAlign w:val="center"/>
          </w:tcPr>
          <w:p>
            <w:pPr>
              <w:pStyle w:val="TableContents"/>
              <w:bidi w:val="0"/>
              <w:spacing w:before="0" w:after="283"/>
              <w:jc w:val="left"/>
              <w:rPr>
                <w:sz w:val="4"/>
                <w:szCs w:val="4"/>
              </w:rPr>
            </w:pPr>
            <w:r>
              <w:rPr>
                <w:sz w:val="4"/>
                <w:szCs w:val="4"/>
              </w:rPr>
            </w:r>
          </w:p>
        </w:tc>
        <w:tc>
          <w:tcPr>
            <w:tcW w:w="2334" w:type="dxa"/>
            <w:tcBorders/>
            <w:vAlign w:val="center"/>
          </w:tcPr>
          <w:p>
            <w:pPr>
              <w:pStyle w:val="TableContents"/>
              <w:bidi w:val="0"/>
              <w:spacing w:before="0" w:after="283"/>
              <w:jc w:val="left"/>
              <w:rPr>
                <w:sz w:val="4"/>
                <w:szCs w:val="4"/>
              </w:rPr>
            </w:pPr>
            <w:r>
              <w:rPr>
                <w:sz w:val="4"/>
                <w:szCs w:val="4"/>
              </w:rPr>
            </w:r>
          </w:p>
        </w:tc>
        <w:tc>
          <w:tcPr>
            <w:tcW w:w="3305" w:type="dxa"/>
            <w:tcBorders/>
            <w:vAlign w:val="center"/>
          </w:tcPr>
          <w:p>
            <w:pPr>
              <w:pStyle w:val="TableContents"/>
              <w:bidi w:val="0"/>
              <w:spacing w:before="0" w:after="283"/>
              <w:jc w:val="left"/>
              <w:rPr>
                <w:sz w:val="4"/>
                <w:szCs w:val="4"/>
              </w:rPr>
            </w:pPr>
            <w:r>
              <w:rPr>
                <w:sz w:val="4"/>
                <w:szCs w:val="4"/>
              </w:rPr>
            </w:r>
          </w:p>
        </w:tc>
      </w:tr>
      <w:tr>
        <w:trPr/>
        <w:tc>
          <w:tcPr>
            <w:tcW w:w="2232" w:type="dxa"/>
            <w:gridSpan w:val="3"/>
            <w:vMerge w:val="restart"/>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333500" cy="1666875"/>
                  <wp:effectExtent l="0" t="0" r="0" b="0"/>
                  <wp:docPr id="73"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35" descr=""/>
                          <pic:cNvPicPr>
                            <a:picLocks noChangeAspect="1" noChangeArrowheads="1"/>
                          </pic:cNvPicPr>
                        </pic:nvPicPr>
                        <pic:blipFill>
                          <a:blip r:embed="rId52"/>
                          <a:stretch>
                            <a:fillRect/>
                          </a:stretch>
                        </pic:blipFill>
                        <pic:spPr bwMode="auto">
                          <a:xfrm>
                            <a:off x="0" y="0"/>
                            <a:ext cx="1333500" cy="1666875"/>
                          </a:xfrm>
                          <a:prstGeom prst="rect">
                            <a:avLst/>
                          </a:prstGeom>
                        </pic:spPr>
                      </pic:pic>
                    </a:graphicData>
                  </a:graphic>
                </wp:inline>
              </w:drawing>
            </w:r>
          </w:p>
          <w:p>
            <w:pPr>
              <w:pStyle w:val="TableContents"/>
              <w:bidi w:val="0"/>
              <w:spacing w:lineRule="auto" w:line="288" w:before="0" w:after="180"/>
              <w:jc w:val="left"/>
              <w:rPr>
                <w:rFonts w:ascii="Arial;sans-serif" w:hAnsi="Arial;sans-serif"/>
                <w:b/>
                <w:color w:val="004C97"/>
                <w:sz w:val="22"/>
              </w:rPr>
            </w:pPr>
            <w:r>
              <w:rPr>
                <w:rFonts w:ascii="Arial;sans-serif" w:hAnsi="Arial;sans-serif"/>
                <w:b/>
                <w:color w:val="004C97"/>
                <w:sz w:val="22"/>
              </w:rPr>
              <w:t>Dave Roberts</w:t>
            </w:r>
          </w:p>
          <w:p>
            <w:pPr>
              <w:pStyle w:val="TableContents"/>
              <w:bidi w:val="0"/>
              <w:spacing w:lineRule="auto" w:line="288" w:before="0" w:after="0"/>
              <w:jc w:val="both"/>
              <w:rPr>
                <w:rFonts w:ascii="Arial;sans-serif" w:hAnsi="Arial;sans-serif"/>
                <w:b w:val="false"/>
                <w:color w:val="004C97"/>
                <w:sz w:val="16"/>
              </w:rPr>
            </w:pPr>
            <w:r>
              <w:rPr>
                <w:rFonts w:ascii="Arial;sans-serif" w:hAnsi="Arial;sans-serif"/>
                <w:b w:val="false"/>
                <w:color w:val="004C97"/>
                <w:sz w:val="16"/>
              </w:rPr>
              <w:t>Retired Chairman of the Board and</w:t>
            </w:r>
          </w:p>
          <w:p>
            <w:pPr>
              <w:pStyle w:val="TableContents"/>
              <w:bidi w:val="0"/>
              <w:spacing w:lineRule="auto" w:line="288" w:before="0" w:after="0"/>
              <w:jc w:val="both"/>
              <w:rPr>
                <w:rFonts w:ascii="Arial;sans-serif" w:hAnsi="Arial;sans-serif"/>
                <w:b w:val="false"/>
                <w:color w:val="004C97"/>
                <w:sz w:val="16"/>
              </w:rPr>
            </w:pPr>
            <w:r>
              <w:rPr>
                <w:rFonts w:ascii="Arial;sans-serif" w:hAnsi="Arial;sans-serif"/>
                <w:b w:val="false"/>
                <w:color w:val="004C97"/>
                <w:sz w:val="16"/>
              </w:rPr>
              <w:t>Executive Chairman,</w:t>
            </w:r>
          </w:p>
          <w:p>
            <w:pPr>
              <w:pStyle w:val="TableContents"/>
              <w:bidi w:val="0"/>
              <w:spacing w:lineRule="auto" w:line="288" w:before="0" w:after="0"/>
              <w:jc w:val="both"/>
              <w:rPr>
                <w:rFonts w:ascii="Arial;sans-serif" w:hAnsi="Arial;sans-serif"/>
                <w:b w:val="false"/>
                <w:color w:val="004C97"/>
                <w:sz w:val="16"/>
              </w:rPr>
            </w:pPr>
            <w:r>
              <w:rPr>
                <w:rFonts w:ascii="Arial;sans-serif" w:hAnsi="Arial;sans-serif"/>
                <w:b w:val="false"/>
                <w:color w:val="004C97"/>
                <w:sz w:val="16"/>
              </w:rPr>
              <w:t>President and CEO,</w:t>
            </w:r>
          </w:p>
          <w:p>
            <w:pPr>
              <w:pStyle w:val="TableContents"/>
              <w:bidi w:val="0"/>
              <w:spacing w:lineRule="auto" w:line="288" w:before="0" w:after="0"/>
              <w:jc w:val="both"/>
              <w:rPr>
                <w:rFonts w:ascii="Arial;sans-serif" w:hAnsi="Arial;sans-serif"/>
                <w:b w:val="false"/>
                <w:color w:val="004C97"/>
                <w:sz w:val="16"/>
              </w:rPr>
            </w:pPr>
            <w:r>
              <w:rPr>
                <w:rFonts w:ascii="Arial;sans-serif" w:hAnsi="Arial;sans-serif"/>
                <w:b w:val="false"/>
                <w:color w:val="004C97"/>
                <w:sz w:val="16"/>
              </w:rPr>
              <w:t>Carlisle Companies, Inc.</w:t>
            </w:r>
          </w:p>
          <w:p>
            <w:pPr>
              <w:pStyle w:val="TableContents"/>
              <w:bidi w:val="0"/>
              <w:spacing w:lineRule="auto" w:line="288" w:before="0" w:after="0"/>
              <w:jc w:val="left"/>
              <w:rPr/>
            </w:pPr>
            <w:r>
              <w:rPr>
                <w:rFonts w:ascii="Arial;sans-serif" w:hAnsi="Arial;sans-serif"/>
                <w:b/>
                <w:color w:val="004C97"/>
                <w:sz w:val="16"/>
              </w:rPr>
              <w:t>Age</w:t>
            </w:r>
            <w:r>
              <w:rPr>
                <w:rFonts w:ascii="Arial;sans-serif" w:hAnsi="Arial;sans-serif"/>
                <w:b w:val="false"/>
                <w:color w:val="004C97"/>
                <w:sz w:val="16"/>
              </w:rPr>
              <w:t>: 76</w:t>
            </w:r>
          </w:p>
          <w:p>
            <w:pPr>
              <w:pStyle w:val="TableContents"/>
              <w:bidi w:val="0"/>
              <w:spacing w:lineRule="auto" w:line="288" w:before="0" w:after="0"/>
              <w:jc w:val="left"/>
              <w:rPr>
                <w:rFonts w:ascii="Arial;sans-serif" w:hAnsi="Arial;sans-serif"/>
                <w:b/>
                <w:color w:val="004C97"/>
                <w:sz w:val="16"/>
              </w:rPr>
            </w:pPr>
            <w:r>
              <w:rPr>
                <w:rFonts w:ascii="Arial;sans-serif" w:hAnsi="Arial;sans-serif"/>
                <w:b/>
                <w:color w:val="004C97"/>
                <w:sz w:val="16"/>
              </w:rPr>
              <w:t>Director since: 2015</w:t>
            </w:r>
          </w:p>
          <w:p>
            <w:pPr>
              <w:pStyle w:val="TableContents"/>
              <w:bidi w:val="0"/>
              <w:spacing w:lineRule="auto" w:line="288" w:before="0" w:after="0"/>
              <w:jc w:val="left"/>
              <w:rPr/>
            </w:pPr>
            <w:r>
              <w:rPr>
                <w:rFonts w:ascii="Arial;sans-serif" w:hAnsi="Arial;sans-serif"/>
                <w:b/>
                <w:color w:val="004C97"/>
                <w:sz w:val="16"/>
              </w:rPr>
              <w:t>Committees</w:t>
            </w:r>
            <w:r>
              <w:rPr>
                <w:rFonts w:ascii="Arial;sans-serif" w:hAnsi="Arial;sans-serif"/>
                <w:b w:val="false"/>
                <w:color w:val="004C97"/>
                <w:sz w:val="16"/>
              </w:rPr>
              <w:t>:</w:t>
            </w:r>
          </w:p>
          <w:p>
            <w:pPr>
              <w:pStyle w:val="TableContents"/>
              <w:bidi w:val="0"/>
              <w:spacing w:lineRule="auto" w:line="288" w:before="0" w:after="0"/>
              <w:ind w:left="0" w:right="0" w:hanging="216"/>
              <w:jc w:val="both"/>
              <w:rPr/>
            </w:pPr>
            <w:r>
              <w:rPr>
                <w:color w:val="000000"/>
              </w:rPr>
              <w:t>•</w:t>
            </w:r>
            <w:r>
              <w:rPr>
                <w:rFonts w:ascii="Arial;sans-serif" w:hAnsi="Arial;sans-serif"/>
                <w:b w:val="false"/>
                <w:color w:val="004C97"/>
                <w:sz w:val="16"/>
              </w:rPr>
              <w:t>Compensation</w:t>
            </w:r>
          </w:p>
          <w:p>
            <w:pPr>
              <w:pStyle w:val="TableContents"/>
              <w:bidi w:val="0"/>
              <w:spacing w:lineRule="auto" w:line="288" w:before="0" w:after="0"/>
              <w:ind w:left="0" w:right="0" w:hanging="216"/>
              <w:jc w:val="both"/>
              <w:rPr/>
            </w:pPr>
            <w:r>
              <w:rPr>
                <w:color w:val="000000"/>
              </w:rPr>
              <w:t>•</w:t>
            </w:r>
            <w:r>
              <w:rPr>
                <w:rFonts w:ascii="Arial;sans-serif" w:hAnsi="Arial;sans-serif"/>
                <w:b w:val="false"/>
                <w:color w:val="004C97"/>
                <w:sz w:val="16"/>
              </w:rPr>
              <w:t>Gov. &amp; Sustainability</w:t>
            </w:r>
          </w:p>
        </w:tc>
        <w:tc>
          <w:tcPr>
            <w:tcW w:w="79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2" w:type="dxa"/>
            <w:gridSpan w:val="3"/>
            <w:vMerge w:val="continue"/>
            <w:tcBorders/>
            <w:tcMar>
              <w:top w:w="0" w:type="dxa"/>
              <w:left w:w="0" w:type="dxa"/>
              <w:bottom w:w="0" w:type="dxa"/>
              <w:right w:w="0" w:type="dxa"/>
            </w:tcMar>
            <w:vAlign w:val="center"/>
          </w:tcPr>
          <w:p>
            <w:pPr>
              <w:pStyle w:val="Normal"/>
              <w:bidi w:val="0"/>
              <w:jc w:val="left"/>
              <w:rPr/>
            </w:pPr>
            <w:r>
              <w:rPr/>
            </w:r>
          </w:p>
        </w:tc>
        <w:tc>
          <w:tcPr>
            <w:tcW w:w="7973"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Arial;sans-serif" w:hAnsi="Arial;sans-serif"/>
                <w:b/>
                <w:color w:val="000000"/>
                <w:sz w:val="18"/>
              </w:rPr>
            </w:pPr>
            <w:r>
              <w:rPr>
                <w:rFonts w:ascii="Arial;sans-serif" w:hAnsi="Arial;sans-serif"/>
                <w:b/>
                <w:color w:val="000000"/>
                <w:sz w:val="18"/>
              </w:rPr>
              <w:t>PROFESSIONAL HIGHLIGHTS</w:t>
            </w:r>
          </w:p>
          <w:p>
            <w:pPr>
              <w:pStyle w:val="TableContents"/>
              <w:bidi w:val="0"/>
              <w:spacing w:lineRule="auto" w:line="288" w:before="0" w:after="180"/>
              <w:jc w:val="both"/>
              <w:rPr/>
            </w:pPr>
            <w:r>
              <w:rPr>
                <w:rFonts w:ascii="Arial;sans-serif" w:hAnsi="Arial;sans-serif"/>
                <w:b/>
                <w:color w:val="000000"/>
                <w:sz w:val="18"/>
              </w:rPr>
              <w:t>David A. Roberts</w:t>
            </w:r>
            <w:r>
              <w:rPr>
                <w:color w:val="000000"/>
              </w:rPr>
              <w:t xml:space="preserve"> </w:t>
            </w:r>
            <w:r>
              <w:rPr>
                <w:rFonts w:ascii="Arial;sans-serif" w:hAnsi="Arial;sans-serif"/>
                <w:b w:val="false"/>
                <w:color w:val="000000"/>
                <w:sz w:val="18"/>
              </w:rPr>
              <w:t>retired in 2020 as Chairman of the Board of Carlisle Companies, Inc., a diversified manufacturing company, a position he held since 2017. He previously served as Carlisle’s Executive Chairman of the Board, in 2016; its Chairman and Chief Executive Officer, from 2014 to 2015; and its Chairman, President and Chief Executive Officer, from 2007 to 2014. Prior to joining Carlisle, Mr. Roberts served as Chairman, President and Chief Executive Officer of Graco, Inc., a fluid handling system provider, from 2001 to 2007. Prior to that, Mr. Roberts served as a Group Vice President of The Marmon Group, LLC, a diversified industrial holding company, from 1995 to 2001. He began his career serving in a variety of manufacturing, engineering, and general management positions with The Budd Company, Pitney Bowes, and FMC Corporation. Mr. Roberts previously served as a director of Franklin Electric Co., Inc. and Horizon Global Corporation. He earned his bachelor’s degree from Purdue University and his MBA from Indiana University.</w:t>
            </w:r>
          </w:p>
          <w:p>
            <w:pPr>
              <w:pStyle w:val="TableContents"/>
              <w:bidi w:val="0"/>
              <w:spacing w:lineRule="auto" w:line="288" w:before="0" w:after="180"/>
              <w:jc w:val="left"/>
              <w:rPr>
                <w:rFonts w:ascii="Arial;sans-serif" w:hAnsi="Arial;sans-serif"/>
                <w:b/>
                <w:color w:val="000000"/>
                <w:sz w:val="18"/>
              </w:rPr>
            </w:pPr>
            <w:r>
              <w:rPr>
                <w:rFonts w:ascii="Arial;sans-serif" w:hAnsi="Arial;sans-serif"/>
                <w:b/>
                <w:color w:val="000000"/>
                <w:sz w:val="18"/>
              </w:rPr>
              <w:t>SKILLS AND QUALIFICATIONS</w:t>
            </w:r>
          </w:p>
          <w:p>
            <w:pPr>
              <w:pStyle w:val="TableContents"/>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Mr. Roberts brings extensive experience in senior management of multinational companies, including expertise in the industrial and manufacturing sectors, and mergers and acquisitions, to our Board. Mr. Roberts also contributes strong financial acumen and experience from his service on various public company boards.</w:t>
            </w:r>
          </w:p>
        </w:tc>
      </w:tr>
    </w:tbl>
    <w:p>
      <w:pPr>
        <w:pStyle w:val="TextBody"/>
        <w:bidi w:val="0"/>
        <w:spacing w:lineRule="auto" w:line="288" w:before="360" w:after="300"/>
        <w:jc w:val="left"/>
        <w:rPr>
          <w:rFonts w:ascii="Arial;sans-serif" w:hAnsi="Arial;sans-serif"/>
          <w:b/>
          <w:color w:val="000000"/>
          <w:sz w:val="32"/>
        </w:rPr>
      </w:pPr>
      <w:bookmarkStart w:id="3" w:name="i72569b677e204ec5b26ca04644a188d1_34878"/>
      <w:bookmarkEnd w:id="3"/>
      <w:r>
        <w:rPr>
          <w:rFonts w:ascii="Arial;sans-serif" w:hAnsi="Arial;sans-serif"/>
          <w:b/>
          <w:color w:val="000000"/>
          <w:sz w:val="32"/>
        </w:rPr>
        <w:t xml:space="preserve">Directors Continuing to Serve Until 2026 Annual Meeting </w:t>
      </w:r>
    </w:p>
    <w:tbl>
      <w:tblPr>
        <w:tblW w:w="10205" w:type="dxa"/>
        <w:jc w:val="left"/>
        <w:tblInd w:w="0" w:type="dxa"/>
        <w:tblLayout w:type="fixed"/>
        <w:tblCellMar>
          <w:top w:w="28" w:type="dxa"/>
          <w:left w:w="28" w:type="dxa"/>
          <w:bottom w:w="28" w:type="dxa"/>
          <w:right w:w="28" w:type="dxa"/>
        </w:tblCellMar>
      </w:tblPr>
      <w:tblGrid>
        <w:gridCol w:w="798"/>
        <w:gridCol w:w="701"/>
        <w:gridCol w:w="702"/>
        <w:gridCol w:w="2344"/>
        <w:gridCol w:w="2344"/>
        <w:gridCol w:w="3316"/>
      </w:tblGrid>
      <w:tr>
        <w:trPr/>
        <w:tc>
          <w:tcPr>
            <w:tcW w:w="798"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2344" w:type="dxa"/>
            <w:tcBorders/>
            <w:vAlign w:val="center"/>
          </w:tcPr>
          <w:p>
            <w:pPr>
              <w:pStyle w:val="TableContents"/>
              <w:bidi w:val="0"/>
              <w:spacing w:before="0" w:after="283"/>
              <w:jc w:val="left"/>
              <w:rPr>
                <w:sz w:val="4"/>
                <w:szCs w:val="4"/>
              </w:rPr>
            </w:pPr>
            <w:r>
              <w:rPr>
                <w:sz w:val="4"/>
                <w:szCs w:val="4"/>
              </w:rPr>
            </w:r>
          </w:p>
        </w:tc>
        <w:tc>
          <w:tcPr>
            <w:tcW w:w="2344"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2201" w:type="dxa"/>
            <w:gridSpan w:val="3"/>
            <w:vMerge w:val="restart"/>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333500" cy="1666875"/>
                  <wp:effectExtent l="0" t="0" r="0" b="0"/>
                  <wp:docPr id="74"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36" descr=""/>
                          <pic:cNvPicPr>
                            <a:picLocks noChangeAspect="1" noChangeArrowheads="1"/>
                          </pic:cNvPicPr>
                        </pic:nvPicPr>
                        <pic:blipFill>
                          <a:blip r:embed="rId53"/>
                          <a:stretch>
                            <a:fillRect/>
                          </a:stretch>
                        </pic:blipFill>
                        <pic:spPr bwMode="auto">
                          <a:xfrm>
                            <a:off x="0" y="0"/>
                            <a:ext cx="1333500" cy="1666875"/>
                          </a:xfrm>
                          <a:prstGeom prst="rect">
                            <a:avLst/>
                          </a:prstGeom>
                        </pic:spPr>
                      </pic:pic>
                    </a:graphicData>
                  </a:graphic>
                </wp:inline>
              </w:drawing>
            </w:r>
          </w:p>
          <w:p>
            <w:pPr>
              <w:pStyle w:val="TableContents"/>
              <w:bidi w:val="0"/>
              <w:spacing w:lineRule="auto" w:line="288" w:before="0" w:after="180"/>
              <w:jc w:val="left"/>
              <w:rPr>
                <w:rFonts w:ascii="Arial;sans-serif" w:hAnsi="Arial;sans-serif"/>
                <w:b/>
                <w:color w:val="004C97"/>
                <w:sz w:val="22"/>
              </w:rPr>
            </w:pPr>
            <w:r>
              <w:rPr>
                <w:rFonts w:ascii="Arial;sans-serif" w:hAnsi="Arial;sans-serif"/>
                <w:b/>
                <w:color w:val="004C97"/>
                <w:sz w:val="22"/>
              </w:rPr>
              <w:t>Rick Puckett</w:t>
            </w:r>
          </w:p>
          <w:p>
            <w:pPr>
              <w:pStyle w:val="TableContents"/>
              <w:bidi w:val="0"/>
              <w:spacing w:lineRule="auto" w:line="288" w:before="0" w:after="0"/>
              <w:jc w:val="both"/>
              <w:rPr>
                <w:rFonts w:ascii="Arial;sans-serif" w:hAnsi="Arial;sans-serif"/>
                <w:b w:val="false"/>
                <w:color w:val="004C97"/>
                <w:sz w:val="16"/>
              </w:rPr>
            </w:pPr>
            <w:r>
              <w:rPr>
                <w:rFonts w:ascii="Arial;sans-serif" w:hAnsi="Arial;sans-serif"/>
                <w:b w:val="false"/>
                <w:color w:val="004C97"/>
                <w:sz w:val="16"/>
              </w:rPr>
              <w:t>Retired Executive</w:t>
            </w:r>
          </w:p>
          <w:p>
            <w:pPr>
              <w:pStyle w:val="TableContents"/>
              <w:bidi w:val="0"/>
              <w:spacing w:lineRule="auto" w:line="288" w:before="0" w:after="0"/>
              <w:jc w:val="both"/>
              <w:rPr>
                <w:rFonts w:ascii="Arial;sans-serif" w:hAnsi="Arial;sans-serif"/>
                <w:b w:val="false"/>
                <w:color w:val="004C97"/>
                <w:sz w:val="16"/>
              </w:rPr>
            </w:pPr>
            <w:r>
              <w:rPr>
                <w:rFonts w:ascii="Arial;sans-serif" w:hAnsi="Arial;sans-serif"/>
                <w:b w:val="false"/>
                <w:color w:val="004C97"/>
                <w:sz w:val="16"/>
              </w:rPr>
              <w:t>Vice President, CFO,</w:t>
            </w:r>
          </w:p>
          <w:p>
            <w:pPr>
              <w:pStyle w:val="TableContents"/>
              <w:bidi w:val="0"/>
              <w:spacing w:lineRule="auto" w:line="288" w:before="0" w:after="0"/>
              <w:jc w:val="both"/>
              <w:rPr>
                <w:rFonts w:ascii="Arial;sans-serif" w:hAnsi="Arial;sans-serif"/>
                <w:b w:val="false"/>
                <w:color w:val="004C97"/>
                <w:sz w:val="16"/>
              </w:rPr>
            </w:pPr>
            <w:r>
              <w:rPr>
                <w:rFonts w:ascii="Arial;sans-serif" w:hAnsi="Arial;sans-serif"/>
                <w:b w:val="false"/>
                <w:color w:val="004C97"/>
                <w:sz w:val="16"/>
              </w:rPr>
              <w:t>Treasurer and Chief</w:t>
            </w:r>
          </w:p>
          <w:p>
            <w:pPr>
              <w:pStyle w:val="TableContents"/>
              <w:bidi w:val="0"/>
              <w:spacing w:lineRule="auto" w:line="288" w:before="0" w:after="0"/>
              <w:jc w:val="both"/>
              <w:rPr>
                <w:rFonts w:ascii="Arial;sans-serif" w:hAnsi="Arial;sans-serif"/>
                <w:b w:val="false"/>
                <w:color w:val="004C97"/>
                <w:sz w:val="16"/>
              </w:rPr>
            </w:pPr>
            <w:r>
              <w:rPr>
                <w:rFonts w:ascii="Arial;sans-serif" w:hAnsi="Arial;sans-serif"/>
                <w:b w:val="false"/>
                <w:color w:val="004C97"/>
                <w:sz w:val="16"/>
              </w:rPr>
              <w:t>Administrative Officer,</w:t>
            </w:r>
          </w:p>
          <w:p>
            <w:pPr>
              <w:pStyle w:val="TableContents"/>
              <w:bidi w:val="0"/>
              <w:spacing w:lineRule="auto" w:line="288" w:before="0" w:after="0"/>
              <w:jc w:val="both"/>
              <w:rPr>
                <w:rFonts w:ascii="Arial;sans-serif" w:hAnsi="Arial;sans-serif"/>
                <w:b w:val="false"/>
                <w:color w:val="004C97"/>
                <w:sz w:val="16"/>
              </w:rPr>
            </w:pPr>
            <w:r>
              <w:rPr>
                <w:rFonts w:ascii="Arial;sans-serif" w:hAnsi="Arial;sans-serif"/>
                <w:b w:val="false"/>
                <w:color w:val="004C97"/>
                <w:sz w:val="16"/>
              </w:rPr>
              <w:t>Snyder’s-Lance, Inc.</w:t>
            </w:r>
          </w:p>
          <w:p>
            <w:pPr>
              <w:pStyle w:val="TableContents"/>
              <w:bidi w:val="0"/>
              <w:spacing w:lineRule="auto" w:line="288" w:before="0" w:after="0"/>
              <w:jc w:val="left"/>
              <w:rPr/>
            </w:pPr>
            <w:r>
              <w:rPr>
                <w:rFonts w:ascii="Arial;sans-serif" w:hAnsi="Arial;sans-serif"/>
                <w:b/>
                <w:color w:val="004C97"/>
                <w:sz w:val="16"/>
              </w:rPr>
              <w:t>Age</w:t>
            </w:r>
            <w:r>
              <w:rPr>
                <w:rFonts w:ascii="Arial;sans-serif" w:hAnsi="Arial;sans-serif"/>
                <w:b w:val="false"/>
                <w:color w:val="004C97"/>
                <w:sz w:val="16"/>
              </w:rPr>
              <w:t>: 70</w:t>
            </w:r>
          </w:p>
          <w:p>
            <w:pPr>
              <w:pStyle w:val="TableContents"/>
              <w:bidi w:val="0"/>
              <w:spacing w:lineRule="auto" w:line="288" w:before="0" w:after="0"/>
              <w:jc w:val="left"/>
              <w:rPr/>
            </w:pPr>
            <w:r>
              <w:rPr>
                <w:rFonts w:ascii="Arial;sans-serif" w:hAnsi="Arial;sans-serif"/>
                <w:b/>
                <w:color w:val="004C97"/>
                <w:sz w:val="16"/>
              </w:rPr>
              <w:t>Director since</w:t>
            </w:r>
            <w:r>
              <w:rPr>
                <w:rFonts w:ascii="Arial;sans-serif" w:hAnsi="Arial;sans-serif"/>
                <w:b w:val="false"/>
                <w:color w:val="004C97"/>
                <w:sz w:val="16"/>
              </w:rPr>
              <w:t>: 2015</w:t>
            </w:r>
          </w:p>
          <w:p>
            <w:pPr>
              <w:pStyle w:val="TableContents"/>
              <w:bidi w:val="0"/>
              <w:spacing w:lineRule="auto" w:line="288" w:before="0" w:after="0"/>
              <w:jc w:val="left"/>
              <w:rPr/>
            </w:pPr>
            <w:r>
              <w:rPr>
                <w:rFonts w:ascii="Arial;sans-serif" w:hAnsi="Arial;sans-serif"/>
                <w:b/>
                <w:color w:val="004C97"/>
                <w:sz w:val="16"/>
              </w:rPr>
              <w:t>Committees</w:t>
            </w:r>
            <w:r>
              <w:rPr>
                <w:rFonts w:ascii="Arial;sans-serif" w:hAnsi="Arial;sans-serif"/>
                <w:b w:val="false"/>
                <w:color w:val="004C97"/>
                <w:sz w:val="16"/>
              </w:rPr>
              <w:t>:</w:t>
            </w:r>
          </w:p>
          <w:p>
            <w:pPr>
              <w:pStyle w:val="TableContents"/>
              <w:bidi w:val="0"/>
              <w:spacing w:lineRule="auto" w:line="288" w:before="0" w:after="0"/>
              <w:ind w:left="0" w:right="0" w:hanging="216"/>
              <w:jc w:val="both"/>
              <w:rPr/>
            </w:pPr>
            <w:r>
              <w:rPr>
                <w:color w:val="000000"/>
              </w:rPr>
              <w:t>•</w:t>
            </w:r>
            <w:r>
              <w:rPr>
                <w:rFonts w:ascii="Arial;sans-serif" w:hAnsi="Arial;sans-serif"/>
                <w:b w:val="false"/>
                <w:color w:val="004C97"/>
                <w:sz w:val="16"/>
              </w:rPr>
              <w:t>Audit</w:t>
            </w:r>
          </w:p>
          <w:p>
            <w:pPr>
              <w:pStyle w:val="TableContents"/>
              <w:bidi w:val="0"/>
              <w:spacing w:lineRule="auto" w:line="288" w:before="0" w:after="0"/>
              <w:ind w:left="0" w:right="0" w:hanging="216"/>
              <w:jc w:val="both"/>
              <w:rPr/>
            </w:pPr>
            <w:r>
              <w:rPr>
                <w:color w:val="000000"/>
              </w:rPr>
              <w:t>•</w:t>
            </w:r>
            <w:r>
              <w:rPr>
                <w:rFonts w:ascii="Arial;sans-serif" w:hAnsi="Arial;sans-serif"/>
                <w:b w:val="false"/>
                <w:color w:val="004C97"/>
                <w:sz w:val="16"/>
              </w:rPr>
              <w:t>Compensation (Chair)</w:t>
            </w:r>
          </w:p>
        </w:tc>
        <w:tc>
          <w:tcPr>
            <w:tcW w:w="80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1" w:type="dxa"/>
            <w:gridSpan w:val="3"/>
            <w:vMerge w:val="continue"/>
            <w:tcBorders/>
            <w:tcMar>
              <w:top w:w="0" w:type="dxa"/>
              <w:left w:w="0" w:type="dxa"/>
              <w:bottom w:w="0" w:type="dxa"/>
              <w:right w:w="0" w:type="dxa"/>
            </w:tcMar>
            <w:vAlign w:val="center"/>
          </w:tcPr>
          <w:p>
            <w:pPr>
              <w:pStyle w:val="Normal"/>
              <w:bidi w:val="0"/>
              <w:jc w:val="left"/>
              <w:rPr/>
            </w:pPr>
            <w:r>
              <w:rPr/>
            </w:r>
          </w:p>
        </w:tc>
        <w:tc>
          <w:tcPr>
            <w:tcW w:w="8004"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Arial;sans-serif" w:hAnsi="Arial;sans-serif"/>
                <w:b/>
                <w:color w:val="000000"/>
                <w:sz w:val="18"/>
              </w:rPr>
            </w:pPr>
            <w:r>
              <w:rPr>
                <w:rFonts w:ascii="Arial;sans-serif" w:hAnsi="Arial;sans-serif"/>
                <w:b/>
                <w:color w:val="000000"/>
                <w:sz w:val="18"/>
              </w:rPr>
              <w:t>PROFESSIONAL HIGHLIGHTS</w:t>
            </w:r>
          </w:p>
          <w:p>
            <w:pPr>
              <w:pStyle w:val="TableContents"/>
              <w:bidi w:val="0"/>
              <w:spacing w:lineRule="auto" w:line="288" w:before="0" w:after="180"/>
              <w:jc w:val="both"/>
              <w:rPr/>
            </w:pPr>
            <w:r>
              <w:rPr>
                <w:rFonts w:ascii="Arial;sans-serif" w:hAnsi="Arial;sans-serif"/>
                <w:b/>
                <w:color w:val="000000"/>
                <w:sz w:val="18"/>
              </w:rPr>
              <w:t>Ricky D. Puckett</w:t>
            </w:r>
            <w:r>
              <w:rPr>
                <w:color w:val="000000"/>
              </w:rPr>
              <w:t xml:space="preserve"> </w:t>
            </w:r>
            <w:r>
              <w:rPr>
                <w:rFonts w:ascii="Arial;sans-serif" w:hAnsi="Arial;sans-serif"/>
                <w:b w:val="false"/>
                <w:color w:val="000000"/>
                <w:sz w:val="18"/>
              </w:rPr>
              <w:t>retired in December 2017 from Snyder’s-Lance, Inc., a snack foods manufacturer, where he had served as Executive Vice President, Chief Financial Officer and Treasurer since December 2010, adding the role of Chief Administrative Officer, with responsibility for Human Resources and Legal, in 2014. Mr. Puckett served as Executive Vice President, Chief Financial Officer and Treasurer of Lance, Inc., from 2006 until its merger with Snyder’s-Lance, Inc. in 2010. Prior to joining Lance, Inc., Mr. Puckett served as Executive Vice President, Chief Financial Officer, Secretary and Treasurer of United Natural Foods, Inc., a wholesale distributor of natural and organic products, from 2005 to 2006; and as Senior Vice President, Chief Financial Officer and Treasurer of United Natural Foods, Inc., from 2003 to 2005. Mr. Puckett is a director of, and serves as audit committee chair of, each of Whitehorse Finance, Inc. and Driven Brands Inc. He has served on the board of the North Carolina Blumenthal Performing Arts Center and the Wake Forest Graduate School in Charlotte. He received his BA in Accounting and his MBA from the University of Kentucky and is a Certified Public Accountant in New Jersey.</w:t>
            </w:r>
          </w:p>
          <w:p>
            <w:pPr>
              <w:pStyle w:val="TableContents"/>
              <w:bidi w:val="0"/>
              <w:spacing w:lineRule="auto" w:line="288" w:before="0" w:after="180"/>
              <w:jc w:val="left"/>
              <w:rPr>
                <w:rFonts w:ascii="Arial;sans-serif" w:hAnsi="Arial;sans-serif"/>
                <w:b/>
                <w:color w:val="000000"/>
                <w:sz w:val="18"/>
              </w:rPr>
            </w:pPr>
            <w:r>
              <w:rPr>
                <w:rFonts w:ascii="Arial;sans-serif" w:hAnsi="Arial;sans-serif"/>
                <w:b/>
                <w:color w:val="000000"/>
                <w:sz w:val="18"/>
              </w:rPr>
              <w:t>SKILLS AND QUALIFICATIONS</w:t>
            </w:r>
          </w:p>
          <w:p>
            <w:pPr>
              <w:pStyle w:val="TableContents"/>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Mr. Puckett brings extensive accounting and financial experience, including financial strategy and governance to our Board. In addition, he offers a deep understanding of mergers and acquisitions; strategic planning and analysis; commodity risk management; strategic information technology; organizational development; human resources, compensation management; and investor relations.</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739140"/>
                <wp:effectExtent l="0" t="0" r="0" b="0"/>
                <wp:wrapNone/>
                <wp:docPr id="75" name="Frame23"/>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292" w:type="dxa"/>
                              <w:jc w:val="right"/>
                              <w:tblInd w:w="0" w:type="dxa"/>
                              <w:tblLayout w:type="fixed"/>
                              <w:tblCellMar>
                                <w:top w:w="28" w:type="dxa"/>
                                <w:left w:w="28" w:type="dxa"/>
                                <w:bottom w:w="28" w:type="dxa"/>
                                <w:right w:w="28" w:type="dxa"/>
                              </w:tblCellMar>
                            </w:tblPr>
                            <w:tblGrid>
                              <w:gridCol w:w="292"/>
                              <w:gridCol w:w="256"/>
                              <w:gridCol w:w="258"/>
                              <w:gridCol w:w="704"/>
                              <w:gridCol w:w="704"/>
                              <w:gridCol w:w="706"/>
                              <w:gridCol w:w="109"/>
                              <w:gridCol w:w="109"/>
                              <w:gridCol w:w="154"/>
                            </w:tblGrid>
                            <w:tr>
                              <w:trPr/>
                              <w:tc>
                                <w:tcPr>
                                  <w:tcW w:w="29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0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76"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37" descr=""/>
                                                <pic:cNvPicPr>
                                                  <a:picLocks noChangeAspect="1" noChangeArrowheads="1"/>
                                                </pic:cNvPicPr>
                                              </pic:nvPicPr>
                                              <pic:blipFill>
                                                <a:blip r:embed="rId54"/>
                                                <a:stretch>
                                                  <a:fillRect/>
                                                </a:stretch>
                                              </pic:blipFill>
                                              <pic:spPr bwMode="auto">
                                                <a:xfrm>
                                                  <a:off x="0" y="0"/>
                                                  <a:ext cx="447675" cy="161925"/>
                                                </a:xfrm>
                                                <a:prstGeom prst="rect">
                                                  <a:avLst/>
                                                </a:prstGeom>
                                              </pic:spPr>
                                            </pic:pic>
                                          </a:graphicData>
                                        </a:graphic>
                                      </wp:inline>
                                    </w:drawing>
                                  </w:r>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2024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000000"/>
                                      <w:sz w:val="16"/>
                                    </w:rPr>
                                  </w:pPr>
                                  <w:r>
                                    <w:rPr>
                                      <w:rFonts w:ascii="Arial;sans-serif" w:hAnsi="Arial;sans-serif"/>
                                      <w:b/>
                                      <w:color w:val="000000"/>
                                      <w:sz w:val="16"/>
                                    </w:rPr>
                                    <w:t>17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292" w:type="dxa"/>
                        <w:jc w:val="right"/>
                        <w:tblInd w:w="0" w:type="dxa"/>
                        <w:tblLayout w:type="fixed"/>
                        <w:tblCellMar>
                          <w:top w:w="28" w:type="dxa"/>
                          <w:left w:w="28" w:type="dxa"/>
                          <w:bottom w:w="28" w:type="dxa"/>
                          <w:right w:w="28" w:type="dxa"/>
                        </w:tblCellMar>
                      </w:tblPr>
                      <w:tblGrid>
                        <w:gridCol w:w="292"/>
                        <w:gridCol w:w="256"/>
                        <w:gridCol w:w="258"/>
                        <w:gridCol w:w="704"/>
                        <w:gridCol w:w="704"/>
                        <w:gridCol w:w="706"/>
                        <w:gridCol w:w="109"/>
                        <w:gridCol w:w="109"/>
                        <w:gridCol w:w="154"/>
                      </w:tblGrid>
                      <w:tr>
                        <w:trPr/>
                        <w:tc>
                          <w:tcPr>
                            <w:tcW w:w="29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0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7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37" descr=""/>
                                          <pic:cNvPicPr>
                                            <a:picLocks noChangeAspect="1" noChangeArrowheads="1"/>
                                          </pic:cNvPicPr>
                                        </pic:nvPicPr>
                                        <pic:blipFill>
                                          <a:blip r:embed="rId55"/>
                                          <a:stretch>
                                            <a:fillRect/>
                                          </a:stretch>
                                        </pic:blipFill>
                                        <pic:spPr bwMode="auto">
                                          <a:xfrm>
                                            <a:off x="0" y="0"/>
                                            <a:ext cx="447675" cy="161925"/>
                                          </a:xfrm>
                                          <a:prstGeom prst="rect">
                                            <a:avLst/>
                                          </a:prstGeom>
                                        </pic:spPr>
                                      </pic:pic>
                                    </a:graphicData>
                                  </a:graphic>
                                </wp:inline>
                              </w:drawing>
                            </w:r>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2024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000000"/>
                                <w:sz w:val="16"/>
                              </w:rPr>
                            </w:pPr>
                            <w:r>
                              <w:rPr>
                                <w:rFonts w:ascii="Arial;sans-serif" w:hAnsi="Arial;sans-serif"/>
                                <w:b/>
                                <w:color w:val="000000"/>
                                <w:sz w:val="16"/>
                              </w:rPr>
                              <w:t>17</w:t>
                            </w:r>
                          </w:p>
                        </w:tc>
                      </w:tr>
                    </w:tbl>
                    <w:p>
                      <w:pPr>
                        <w:pStyle w:val="TextBody"/>
                        <w:bidi w:val="0"/>
                        <w:spacing w:before="0" w:after="283"/>
                        <w:jc w:val="left"/>
                        <w:rPr/>
                      </w:pPr>
                      <w:r>
                        <w:rPr/>
                      </w:r>
                    </w:p>
                  </w:txbxContent>
                </v:textbox>
                <w10:wrap type="none"/>
              </v:rect>
            </w:pict>
          </mc:Fallback>
        </mc:AlternateContent>
      </w:r>
    </w:p>
    <w:tbl>
      <w:tblPr>
        <w:tblW w:w="1469" w:type="dxa"/>
        <w:jc w:val="right"/>
        <w:tblInd w:w="0" w:type="dxa"/>
        <w:tblLayout w:type="fixed"/>
        <w:tblCellMar>
          <w:top w:w="28" w:type="dxa"/>
          <w:left w:w="28" w:type="dxa"/>
          <w:bottom w:w="28" w:type="dxa"/>
          <w:right w:w="28" w:type="dxa"/>
        </w:tblCellMar>
      </w:tblPr>
      <w:tblGrid>
        <w:gridCol w:w="470"/>
        <w:gridCol w:w="413"/>
        <w:gridCol w:w="586"/>
      </w:tblGrid>
      <w:tr>
        <w:trPr/>
        <w:tc>
          <w:tcPr>
            <w:tcW w:w="47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r>
      <w:tr>
        <w:trPr/>
        <w:tc>
          <w:tcPr>
            <w:tcW w:w="1469" w:type="dxa"/>
            <w:gridSpan w:val="3"/>
            <w:tcBorders>
              <w:bottom w:val="single" w:sz="4" w:space="0" w:color="004C97"/>
            </w:tcBorders>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4C97"/>
                <w:sz w:val="16"/>
              </w:rPr>
            </w:pPr>
            <w:r>
              <w:rPr>
                <w:rFonts w:ascii="Arial;sans-serif" w:hAnsi="Arial;sans-serif"/>
                <w:b w:val="false"/>
                <w:color w:val="004C97"/>
                <w:sz w:val="16"/>
              </w:rPr>
              <w:t>PROPOSAL ONE</w:t>
            </w:r>
          </w:p>
        </w:tc>
      </w:tr>
    </w:tbl>
    <w:tbl>
      <w:tblPr>
        <w:tblW w:w="10205" w:type="dxa"/>
        <w:jc w:val="left"/>
        <w:tblInd w:w="0" w:type="dxa"/>
        <w:tblLayout w:type="fixed"/>
        <w:tblCellMar>
          <w:top w:w="28" w:type="dxa"/>
          <w:left w:w="28" w:type="dxa"/>
          <w:bottom w:w="28" w:type="dxa"/>
          <w:right w:w="28" w:type="dxa"/>
        </w:tblCellMar>
      </w:tblPr>
      <w:tblGrid>
        <w:gridCol w:w="798"/>
        <w:gridCol w:w="701"/>
        <w:gridCol w:w="702"/>
        <w:gridCol w:w="2344"/>
        <w:gridCol w:w="2344"/>
        <w:gridCol w:w="3316"/>
      </w:tblGrid>
      <w:tr>
        <w:trPr/>
        <w:tc>
          <w:tcPr>
            <w:tcW w:w="798"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2344" w:type="dxa"/>
            <w:tcBorders/>
            <w:vAlign w:val="center"/>
          </w:tcPr>
          <w:p>
            <w:pPr>
              <w:pStyle w:val="TableContents"/>
              <w:bidi w:val="0"/>
              <w:spacing w:before="0" w:after="283"/>
              <w:jc w:val="left"/>
              <w:rPr>
                <w:sz w:val="4"/>
                <w:szCs w:val="4"/>
              </w:rPr>
            </w:pPr>
            <w:r>
              <w:rPr>
                <w:sz w:val="4"/>
                <w:szCs w:val="4"/>
              </w:rPr>
            </w:r>
          </w:p>
        </w:tc>
        <w:tc>
          <w:tcPr>
            <w:tcW w:w="2344"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2201" w:type="dxa"/>
            <w:gridSpan w:val="3"/>
            <w:vMerge w:val="restart"/>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333500" cy="1666875"/>
                  <wp:effectExtent l="0" t="0" r="0" b="0"/>
                  <wp:docPr id="7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38" descr=""/>
                          <pic:cNvPicPr>
                            <a:picLocks noChangeAspect="1" noChangeArrowheads="1"/>
                          </pic:cNvPicPr>
                        </pic:nvPicPr>
                        <pic:blipFill>
                          <a:blip r:embed="rId56"/>
                          <a:stretch>
                            <a:fillRect/>
                          </a:stretch>
                        </pic:blipFill>
                        <pic:spPr bwMode="auto">
                          <a:xfrm>
                            <a:off x="0" y="0"/>
                            <a:ext cx="1333500" cy="1666875"/>
                          </a:xfrm>
                          <a:prstGeom prst="rect">
                            <a:avLst/>
                          </a:prstGeom>
                        </pic:spPr>
                      </pic:pic>
                    </a:graphicData>
                  </a:graphic>
                </wp:inline>
              </w:drawing>
            </w:r>
          </w:p>
          <w:p>
            <w:pPr>
              <w:pStyle w:val="TableContents"/>
              <w:bidi w:val="0"/>
              <w:spacing w:lineRule="auto" w:line="288" w:before="0" w:after="180"/>
              <w:jc w:val="left"/>
              <w:rPr>
                <w:rFonts w:ascii="Arial;sans-serif" w:hAnsi="Arial;sans-serif"/>
                <w:b/>
                <w:color w:val="004C97"/>
                <w:sz w:val="22"/>
              </w:rPr>
            </w:pPr>
            <w:r>
              <w:rPr>
                <w:rFonts w:ascii="Arial;sans-serif" w:hAnsi="Arial;sans-serif"/>
                <w:b/>
                <w:color w:val="004C97"/>
                <w:sz w:val="22"/>
              </w:rPr>
              <w:t>Meenal Sethna</w:t>
            </w:r>
          </w:p>
          <w:p>
            <w:pPr>
              <w:pStyle w:val="TableContents"/>
              <w:bidi w:val="0"/>
              <w:spacing w:lineRule="auto" w:line="288" w:before="0" w:after="0"/>
              <w:jc w:val="both"/>
              <w:rPr>
                <w:rFonts w:ascii="Arial;sans-serif" w:hAnsi="Arial;sans-serif"/>
                <w:b w:val="false"/>
                <w:color w:val="004C97"/>
                <w:sz w:val="16"/>
              </w:rPr>
            </w:pPr>
            <w:r>
              <w:rPr>
                <w:rFonts w:ascii="Arial;sans-serif" w:hAnsi="Arial;sans-serif"/>
                <w:b w:val="false"/>
                <w:color w:val="004C97"/>
                <w:sz w:val="16"/>
              </w:rPr>
              <w:t>Executive Vice President</w:t>
            </w:r>
          </w:p>
          <w:p>
            <w:pPr>
              <w:pStyle w:val="TableContents"/>
              <w:bidi w:val="0"/>
              <w:spacing w:lineRule="auto" w:line="288" w:before="0" w:after="0"/>
              <w:jc w:val="both"/>
              <w:rPr>
                <w:rFonts w:ascii="Arial;sans-serif" w:hAnsi="Arial;sans-serif"/>
                <w:b w:val="false"/>
                <w:color w:val="004C97"/>
                <w:sz w:val="16"/>
              </w:rPr>
            </w:pPr>
            <w:r>
              <w:rPr>
                <w:rFonts w:ascii="Arial;sans-serif" w:hAnsi="Arial;sans-serif"/>
                <w:b w:val="false"/>
                <w:color w:val="004C97"/>
                <w:sz w:val="16"/>
              </w:rPr>
              <w:t>and Chief Financial Officer,</w:t>
            </w:r>
          </w:p>
          <w:p>
            <w:pPr>
              <w:pStyle w:val="TableContents"/>
              <w:bidi w:val="0"/>
              <w:spacing w:lineRule="auto" w:line="288" w:before="0" w:after="0"/>
              <w:jc w:val="both"/>
              <w:rPr>
                <w:rFonts w:ascii="Arial;sans-serif" w:hAnsi="Arial;sans-serif"/>
                <w:b w:val="false"/>
                <w:color w:val="004C97"/>
                <w:sz w:val="16"/>
              </w:rPr>
            </w:pPr>
            <w:r>
              <w:rPr>
                <w:rFonts w:ascii="Arial;sans-serif" w:hAnsi="Arial;sans-serif"/>
                <w:b w:val="false"/>
                <w:color w:val="004C97"/>
                <w:sz w:val="16"/>
              </w:rPr>
              <w:t>Littelfuse, Inc.</w:t>
            </w:r>
          </w:p>
          <w:p>
            <w:pPr>
              <w:pStyle w:val="TableContents"/>
              <w:bidi w:val="0"/>
              <w:spacing w:lineRule="auto" w:line="288" w:before="0" w:after="0"/>
              <w:jc w:val="left"/>
              <w:rPr/>
            </w:pPr>
            <w:r>
              <w:rPr>
                <w:rFonts w:ascii="Arial;sans-serif" w:hAnsi="Arial;sans-serif"/>
                <w:b/>
                <w:color w:val="004C97"/>
                <w:sz w:val="16"/>
              </w:rPr>
              <w:t>Age</w:t>
            </w:r>
            <w:r>
              <w:rPr>
                <w:rFonts w:ascii="Arial;sans-serif" w:hAnsi="Arial;sans-serif"/>
                <w:b w:val="false"/>
                <w:color w:val="004C97"/>
                <w:sz w:val="16"/>
              </w:rPr>
              <w:t>: 54</w:t>
            </w:r>
          </w:p>
          <w:p>
            <w:pPr>
              <w:pStyle w:val="TableContents"/>
              <w:bidi w:val="0"/>
              <w:spacing w:lineRule="auto" w:line="288" w:before="0" w:after="0"/>
              <w:jc w:val="left"/>
              <w:rPr/>
            </w:pPr>
            <w:r>
              <w:rPr>
                <w:rFonts w:ascii="Arial;sans-serif" w:hAnsi="Arial;sans-serif"/>
                <w:b/>
                <w:color w:val="004C97"/>
                <w:sz w:val="16"/>
              </w:rPr>
              <w:t>Director since</w:t>
            </w:r>
            <w:r>
              <w:rPr>
                <w:rFonts w:ascii="Arial;sans-serif" w:hAnsi="Arial;sans-serif"/>
                <w:b w:val="false"/>
                <w:color w:val="004C97"/>
                <w:sz w:val="16"/>
              </w:rPr>
              <w:t>: 2019</w:t>
            </w:r>
          </w:p>
          <w:p>
            <w:pPr>
              <w:pStyle w:val="TableContents"/>
              <w:bidi w:val="0"/>
              <w:spacing w:lineRule="auto" w:line="288" w:before="0" w:after="0"/>
              <w:jc w:val="left"/>
              <w:rPr/>
            </w:pPr>
            <w:r>
              <w:rPr>
                <w:rFonts w:ascii="Arial;sans-serif" w:hAnsi="Arial;sans-serif"/>
                <w:b/>
                <w:color w:val="004C97"/>
                <w:sz w:val="16"/>
              </w:rPr>
              <w:t>Committees</w:t>
            </w:r>
            <w:r>
              <w:rPr>
                <w:rFonts w:ascii="Arial;sans-serif" w:hAnsi="Arial;sans-serif"/>
                <w:b w:val="false"/>
                <w:color w:val="004C97"/>
                <w:sz w:val="16"/>
              </w:rPr>
              <w:t>:</w:t>
            </w:r>
          </w:p>
          <w:p>
            <w:pPr>
              <w:pStyle w:val="TableContents"/>
              <w:bidi w:val="0"/>
              <w:spacing w:lineRule="auto" w:line="288" w:before="0" w:after="0"/>
              <w:ind w:left="0" w:right="0" w:hanging="216"/>
              <w:jc w:val="both"/>
              <w:rPr/>
            </w:pPr>
            <w:r>
              <w:rPr>
                <w:color w:val="000000"/>
              </w:rPr>
              <w:t>•</w:t>
            </w:r>
            <w:r>
              <w:rPr>
                <w:rFonts w:ascii="Arial;sans-serif" w:hAnsi="Arial;sans-serif"/>
                <w:b w:val="false"/>
                <w:color w:val="004C97"/>
                <w:sz w:val="16"/>
              </w:rPr>
              <w:t>Audit (Chair)</w:t>
            </w:r>
          </w:p>
          <w:p>
            <w:pPr>
              <w:pStyle w:val="TableContents"/>
              <w:bidi w:val="0"/>
              <w:spacing w:lineRule="auto" w:line="288" w:before="0" w:after="0"/>
              <w:ind w:left="0" w:right="0" w:hanging="216"/>
              <w:jc w:val="both"/>
              <w:rPr/>
            </w:pPr>
            <w:r>
              <w:rPr>
                <w:color w:val="000000"/>
              </w:rPr>
              <w:t>•</w:t>
            </w:r>
            <w:r>
              <w:rPr>
                <w:rFonts w:ascii="Arial;sans-serif" w:hAnsi="Arial;sans-serif"/>
                <w:b w:val="false"/>
                <w:color w:val="004C97"/>
                <w:sz w:val="16"/>
              </w:rPr>
              <w:t>Gov. &amp; Sustainability</w:t>
            </w:r>
          </w:p>
        </w:tc>
        <w:tc>
          <w:tcPr>
            <w:tcW w:w="80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1" w:type="dxa"/>
            <w:gridSpan w:val="3"/>
            <w:vMerge w:val="continue"/>
            <w:tcBorders/>
            <w:tcMar>
              <w:top w:w="0" w:type="dxa"/>
              <w:left w:w="0" w:type="dxa"/>
              <w:bottom w:w="0" w:type="dxa"/>
              <w:right w:w="0" w:type="dxa"/>
            </w:tcMar>
            <w:vAlign w:val="center"/>
          </w:tcPr>
          <w:p>
            <w:pPr>
              <w:pStyle w:val="Normal"/>
              <w:bidi w:val="0"/>
              <w:jc w:val="left"/>
              <w:rPr/>
            </w:pPr>
            <w:r>
              <w:rPr/>
            </w:r>
          </w:p>
        </w:tc>
        <w:tc>
          <w:tcPr>
            <w:tcW w:w="8004"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Arial;sans-serif" w:hAnsi="Arial;sans-serif"/>
                <w:b/>
                <w:color w:val="000000"/>
                <w:sz w:val="18"/>
              </w:rPr>
            </w:pPr>
            <w:r>
              <w:rPr>
                <w:rFonts w:ascii="Arial;sans-serif" w:hAnsi="Arial;sans-serif"/>
                <w:b/>
                <w:color w:val="000000"/>
                <w:sz w:val="18"/>
              </w:rPr>
              <w:t>PROFESSIONAL HIGHLIGHTS</w:t>
            </w:r>
          </w:p>
          <w:p>
            <w:pPr>
              <w:pStyle w:val="TableContents"/>
              <w:bidi w:val="0"/>
              <w:spacing w:lineRule="auto" w:line="288" w:before="0" w:after="180"/>
              <w:jc w:val="both"/>
              <w:rPr/>
            </w:pPr>
            <w:r>
              <w:rPr>
                <w:rFonts w:ascii="Arial;sans-serif" w:hAnsi="Arial;sans-serif"/>
                <w:b/>
                <w:color w:val="000000"/>
                <w:sz w:val="18"/>
              </w:rPr>
              <w:t>Meenal A. Sethna</w:t>
            </w:r>
            <w:r>
              <w:rPr>
                <w:color w:val="000000"/>
              </w:rPr>
              <w:t xml:space="preserve"> </w:t>
            </w:r>
            <w:r>
              <w:rPr>
                <w:rFonts w:ascii="Arial;sans-serif" w:hAnsi="Arial;sans-serif"/>
                <w:b w:val="false"/>
                <w:color w:val="000000"/>
                <w:sz w:val="18"/>
              </w:rPr>
              <w:t>has served as Executive Vice President and Chief Financial Officer of Littelfuse, Inc., a diversified, industrial technology manufacturing company, since 2016 and is responsible for finance and accounting, tax and treasury, investor relations, digital and information technology and internal audit as well as supply chain operations. Prior to joining Littelfuse in May, 2015, Ms. Sethna spent four years at Illinois Tool Works as Vice President and Corporate Controller. Previous to that, she worked at Motorola Inc., most recently as Vice President, Finance. She began her career at Baxter International, holding a variety of finance roles during her tenure. Ms. Sethna is a graduate of the Kellogg School of Management at Northwestern University and the University of Illinois-Urbana, and is a Certified Public Accountant in Illinois.</w:t>
            </w:r>
          </w:p>
          <w:p>
            <w:pPr>
              <w:pStyle w:val="TableContents"/>
              <w:bidi w:val="0"/>
              <w:spacing w:lineRule="auto" w:line="288" w:before="0" w:after="180"/>
              <w:jc w:val="left"/>
              <w:rPr>
                <w:rFonts w:ascii="Arial;sans-serif" w:hAnsi="Arial;sans-serif"/>
                <w:b/>
                <w:color w:val="000000"/>
                <w:sz w:val="18"/>
              </w:rPr>
            </w:pPr>
            <w:r>
              <w:rPr>
                <w:rFonts w:ascii="Arial;sans-serif" w:hAnsi="Arial;sans-serif"/>
                <w:b/>
                <w:color w:val="000000"/>
                <w:sz w:val="18"/>
              </w:rPr>
              <w:t>SKILLS AND QUALIFICATIONS</w:t>
            </w:r>
          </w:p>
          <w:p>
            <w:pPr>
              <w:pStyle w:val="TableContents"/>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Ms. Sethna brings a rich background in accounting and finance to our Board. In addition, she has deep experience in strategic planning; mergers &amp; acquisitions; business growth; investor relations; risk management; and information technology.</w:t>
            </w:r>
          </w:p>
        </w:tc>
      </w:tr>
    </w:tbl>
    <w:tbl>
      <w:tblPr>
        <w:tblW w:w="10205" w:type="dxa"/>
        <w:jc w:val="left"/>
        <w:tblInd w:w="0" w:type="dxa"/>
        <w:tblLayout w:type="fixed"/>
        <w:tblCellMar>
          <w:top w:w="28" w:type="dxa"/>
          <w:left w:w="28" w:type="dxa"/>
          <w:bottom w:w="28" w:type="dxa"/>
          <w:right w:w="28" w:type="dxa"/>
        </w:tblCellMar>
      </w:tblPr>
      <w:tblGrid>
        <w:gridCol w:w="804"/>
        <w:gridCol w:w="706"/>
        <w:gridCol w:w="707"/>
        <w:gridCol w:w="2339"/>
        <w:gridCol w:w="2339"/>
        <w:gridCol w:w="3310"/>
      </w:tblGrid>
      <w:tr>
        <w:trPr/>
        <w:tc>
          <w:tcPr>
            <w:tcW w:w="8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2339" w:type="dxa"/>
            <w:tcBorders/>
            <w:vAlign w:val="center"/>
          </w:tcPr>
          <w:p>
            <w:pPr>
              <w:pStyle w:val="TableContents"/>
              <w:bidi w:val="0"/>
              <w:spacing w:before="0" w:after="283"/>
              <w:jc w:val="left"/>
              <w:rPr>
                <w:sz w:val="4"/>
                <w:szCs w:val="4"/>
              </w:rPr>
            </w:pPr>
            <w:r>
              <w:rPr>
                <w:sz w:val="4"/>
                <w:szCs w:val="4"/>
              </w:rPr>
            </w:r>
          </w:p>
        </w:tc>
        <w:tc>
          <w:tcPr>
            <w:tcW w:w="2339" w:type="dxa"/>
            <w:tcBorders/>
            <w:vAlign w:val="center"/>
          </w:tcPr>
          <w:p>
            <w:pPr>
              <w:pStyle w:val="TableContents"/>
              <w:bidi w:val="0"/>
              <w:spacing w:before="0" w:after="283"/>
              <w:jc w:val="left"/>
              <w:rPr>
                <w:sz w:val="4"/>
                <w:szCs w:val="4"/>
              </w:rPr>
            </w:pPr>
            <w:r>
              <w:rPr>
                <w:sz w:val="4"/>
                <w:szCs w:val="4"/>
              </w:rPr>
            </w:r>
          </w:p>
        </w:tc>
        <w:tc>
          <w:tcPr>
            <w:tcW w:w="3310" w:type="dxa"/>
            <w:tcBorders/>
            <w:vAlign w:val="center"/>
          </w:tcPr>
          <w:p>
            <w:pPr>
              <w:pStyle w:val="TableContents"/>
              <w:bidi w:val="0"/>
              <w:spacing w:before="0" w:after="283"/>
              <w:jc w:val="left"/>
              <w:rPr>
                <w:sz w:val="4"/>
                <w:szCs w:val="4"/>
              </w:rPr>
            </w:pPr>
            <w:r>
              <w:rPr>
                <w:sz w:val="4"/>
                <w:szCs w:val="4"/>
              </w:rPr>
            </w:r>
          </w:p>
        </w:tc>
      </w:tr>
      <w:tr>
        <w:trPr/>
        <w:tc>
          <w:tcPr>
            <w:tcW w:w="2217" w:type="dxa"/>
            <w:gridSpan w:val="3"/>
            <w:vMerge w:val="restart"/>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333500" cy="1666875"/>
                  <wp:effectExtent l="0" t="0" r="0" b="0"/>
                  <wp:docPr id="7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39" descr=""/>
                          <pic:cNvPicPr>
                            <a:picLocks noChangeAspect="1" noChangeArrowheads="1"/>
                          </pic:cNvPicPr>
                        </pic:nvPicPr>
                        <pic:blipFill>
                          <a:blip r:embed="rId57"/>
                          <a:stretch>
                            <a:fillRect/>
                          </a:stretch>
                        </pic:blipFill>
                        <pic:spPr bwMode="auto">
                          <a:xfrm>
                            <a:off x="0" y="0"/>
                            <a:ext cx="1333500" cy="1666875"/>
                          </a:xfrm>
                          <a:prstGeom prst="rect">
                            <a:avLst/>
                          </a:prstGeom>
                        </pic:spPr>
                      </pic:pic>
                    </a:graphicData>
                  </a:graphic>
                </wp:inline>
              </w:drawing>
            </w:r>
          </w:p>
          <w:p>
            <w:pPr>
              <w:pStyle w:val="TableContents"/>
              <w:bidi w:val="0"/>
              <w:spacing w:lineRule="auto" w:line="288" w:before="0" w:after="180"/>
              <w:jc w:val="left"/>
              <w:rPr>
                <w:rFonts w:ascii="Arial;sans-serif" w:hAnsi="Arial;sans-serif"/>
                <w:b/>
                <w:color w:val="004C97"/>
                <w:sz w:val="22"/>
              </w:rPr>
            </w:pPr>
            <w:r>
              <w:rPr>
                <w:rFonts w:ascii="Arial;sans-serif" w:hAnsi="Arial;sans-serif"/>
                <w:b/>
                <w:color w:val="004C97"/>
                <w:sz w:val="22"/>
              </w:rPr>
              <w:t>Tana Utley</w:t>
            </w:r>
          </w:p>
          <w:p>
            <w:pPr>
              <w:pStyle w:val="TableContents"/>
              <w:bidi w:val="0"/>
              <w:spacing w:lineRule="auto" w:line="288" w:before="0" w:after="0"/>
              <w:jc w:val="both"/>
              <w:rPr>
                <w:rFonts w:ascii="Arial;sans-serif" w:hAnsi="Arial;sans-serif"/>
                <w:b w:val="false"/>
                <w:color w:val="004C97"/>
                <w:sz w:val="16"/>
              </w:rPr>
            </w:pPr>
            <w:r>
              <w:rPr>
                <w:rFonts w:ascii="Arial;sans-serif" w:hAnsi="Arial;sans-serif"/>
                <w:b w:val="false"/>
                <w:color w:val="004C97"/>
                <w:sz w:val="16"/>
              </w:rPr>
              <w:t>Retired Vice President of</w:t>
            </w:r>
          </w:p>
          <w:p>
            <w:pPr>
              <w:pStyle w:val="TableContents"/>
              <w:bidi w:val="0"/>
              <w:spacing w:lineRule="auto" w:line="288" w:before="0" w:after="0"/>
              <w:jc w:val="both"/>
              <w:rPr>
                <w:rFonts w:ascii="Arial;sans-serif" w:hAnsi="Arial;sans-serif"/>
                <w:b w:val="false"/>
                <w:color w:val="004C97"/>
                <w:sz w:val="16"/>
              </w:rPr>
            </w:pPr>
            <w:r>
              <w:rPr>
                <w:rFonts w:ascii="Arial;sans-serif" w:hAnsi="Arial;sans-serif"/>
                <w:b w:val="false"/>
                <w:color w:val="004C97"/>
                <w:sz w:val="16"/>
              </w:rPr>
              <w:t>Large Power Systems Division,</w:t>
            </w:r>
          </w:p>
          <w:p>
            <w:pPr>
              <w:pStyle w:val="TableContents"/>
              <w:bidi w:val="0"/>
              <w:spacing w:lineRule="auto" w:line="288" w:before="0" w:after="0"/>
              <w:jc w:val="both"/>
              <w:rPr>
                <w:rFonts w:ascii="Arial;sans-serif" w:hAnsi="Arial;sans-serif"/>
                <w:b w:val="false"/>
                <w:color w:val="004C97"/>
                <w:sz w:val="16"/>
              </w:rPr>
            </w:pPr>
            <w:r>
              <w:rPr>
                <w:rFonts w:ascii="Arial;sans-serif" w:hAnsi="Arial;sans-serif"/>
                <w:b w:val="false"/>
                <w:color w:val="004C97"/>
                <w:sz w:val="16"/>
              </w:rPr>
              <w:t>Caterpillar Inc.</w:t>
            </w:r>
          </w:p>
          <w:p>
            <w:pPr>
              <w:pStyle w:val="TableContents"/>
              <w:bidi w:val="0"/>
              <w:spacing w:lineRule="auto" w:line="288" w:before="0" w:after="0"/>
              <w:jc w:val="left"/>
              <w:rPr/>
            </w:pPr>
            <w:r>
              <w:rPr>
                <w:rFonts w:ascii="Arial;sans-serif" w:hAnsi="Arial;sans-serif"/>
                <w:b/>
                <w:color w:val="004C97"/>
                <w:sz w:val="16"/>
              </w:rPr>
              <w:t>Age</w:t>
            </w:r>
            <w:r>
              <w:rPr>
                <w:rFonts w:ascii="Arial;sans-serif" w:hAnsi="Arial;sans-serif"/>
                <w:b w:val="false"/>
                <w:color w:val="004C97"/>
                <w:sz w:val="16"/>
              </w:rPr>
              <w:t>: 60</w:t>
            </w:r>
          </w:p>
          <w:p>
            <w:pPr>
              <w:pStyle w:val="TableContents"/>
              <w:bidi w:val="0"/>
              <w:spacing w:lineRule="auto" w:line="288" w:before="0" w:after="0"/>
              <w:jc w:val="left"/>
              <w:rPr/>
            </w:pPr>
            <w:r>
              <w:rPr>
                <w:rFonts w:ascii="Arial;sans-serif" w:hAnsi="Arial;sans-serif"/>
                <w:b/>
                <w:color w:val="004C97"/>
                <w:sz w:val="16"/>
              </w:rPr>
              <w:t>Director since</w:t>
            </w:r>
            <w:r>
              <w:rPr>
                <w:rFonts w:ascii="Arial;sans-serif" w:hAnsi="Arial;sans-serif"/>
                <w:b w:val="false"/>
                <w:color w:val="004C97"/>
                <w:sz w:val="16"/>
              </w:rPr>
              <w:t>: 2015</w:t>
            </w:r>
          </w:p>
          <w:p>
            <w:pPr>
              <w:pStyle w:val="TableContents"/>
              <w:bidi w:val="0"/>
              <w:spacing w:lineRule="auto" w:line="288" w:before="0" w:after="0"/>
              <w:jc w:val="left"/>
              <w:rPr/>
            </w:pPr>
            <w:r>
              <w:rPr>
                <w:rFonts w:ascii="Arial;sans-serif" w:hAnsi="Arial;sans-serif"/>
                <w:b/>
                <w:color w:val="004C97"/>
                <w:sz w:val="16"/>
              </w:rPr>
              <w:t>Committees</w:t>
            </w:r>
            <w:r>
              <w:rPr>
                <w:rFonts w:ascii="Arial;sans-serif" w:hAnsi="Arial;sans-serif"/>
                <w:b w:val="false"/>
                <w:color w:val="004C97"/>
                <w:sz w:val="16"/>
              </w:rPr>
              <w:t>:</w:t>
            </w:r>
          </w:p>
          <w:p>
            <w:pPr>
              <w:pStyle w:val="TableContents"/>
              <w:bidi w:val="0"/>
              <w:spacing w:lineRule="auto" w:line="288" w:before="0" w:after="0"/>
              <w:ind w:left="0" w:right="0" w:hanging="216"/>
              <w:jc w:val="both"/>
              <w:rPr/>
            </w:pPr>
            <w:r>
              <w:rPr>
                <w:color w:val="000000"/>
              </w:rPr>
              <w:t>•</w:t>
            </w:r>
            <w:r>
              <w:rPr>
                <w:rFonts w:ascii="Arial;sans-serif" w:hAnsi="Arial;sans-serif"/>
                <w:b w:val="false"/>
                <w:color w:val="004C97"/>
                <w:sz w:val="16"/>
              </w:rPr>
              <w:t>Audit</w:t>
            </w:r>
          </w:p>
          <w:p>
            <w:pPr>
              <w:pStyle w:val="TableContents"/>
              <w:bidi w:val="0"/>
              <w:spacing w:lineRule="auto" w:line="288" w:before="0" w:after="0"/>
              <w:ind w:left="0" w:right="0" w:hanging="216"/>
              <w:jc w:val="both"/>
              <w:rPr/>
            </w:pPr>
            <w:r>
              <w:rPr>
                <w:color w:val="000000"/>
              </w:rPr>
              <w:t>•</w:t>
            </w:r>
            <w:r>
              <w:rPr>
                <w:rFonts w:ascii="Arial;sans-serif" w:hAnsi="Arial;sans-serif"/>
                <w:b w:val="false"/>
                <w:color w:val="004C97"/>
                <w:sz w:val="16"/>
              </w:rPr>
              <w:t>Compensation</w:t>
            </w:r>
          </w:p>
        </w:tc>
        <w:tc>
          <w:tcPr>
            <w:tcW w:w="79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7" w:type="dxa"/>
            <w:gridSpan w:val="3"/>
            <w:vMerge w:val="continue"/>
            <w:tcBorders/>
            <w:tcMar>
              <w:top w:w="0" w:type="dxa"/>
              <w:left w:w="0" w:type="dxa"/>
              <w:bottom w:w="0" w:type="dxa"/>
              <w:right w:w="0" w:type="dxa"/>
            </w:tcMar>
            <w:vAlign w:val="center"/>
          </w:tcPr>
          <w:p>
            <w:pPr>
              <w:pStyle w:val="Normal"/>
              <w:bidi w:val="0"/>
              <w:jc w:val="left"/>
              <w:rPr/>
            </w:pPr>
            <w:r>
              <w:rPr/>
            </w:r>
          </w:p>
        </w:tc>
        <w:tc>
          <w:tcPr>
            <w:tcW w:w="7988"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Arial;sans-serif" w:hAnsi="Arial;sans-serif"/>
                <w:b/>
                <w:color w:val="000000"/>
                <w:sz w:val="18"/>
              </w:rPr>
            </w:pPr>
            <w:r>
              <w:rPr>
                <w:rFonts w:ascii="Arial;sans-serif" w:hAnsi="Arial;sans-serif"/>
                <w:b/>
                <w:color w:val="000000"/>
                <w:sz w:val="18"/>
              </w:rPr>
              <w:t>PROFESSIONAL HIGHLIGHTS</w:t>
            </w:r>
          </w:p>
          <w:p>
            <w:pPr>
              <w:pStyle w:val="TableContents"/>
              <w:bidi w:val="0"/>
              <w:spacing w:lineRule="auto" w:line="288" w:before="0" w:after="180"/>
              <w:jc w:val="both"/>
              <w:rPr/>
            </w:pPr>
            <w:r>
              <w:rPr>
                <w:rFonts w:ascii="Arial;sans-serif" w:hAnsi="Arial;sans-serif"/>
                <w:b/>
                <w:color w:val="000000"/>
                <w:sz w:val="18"/>
              </w:rPr>
              <w:t>Tana L. Utley</w:t>
            </w:r>
            <w:r>
              <w:rPr>
                <w:color w:val="000000"/>
              </w:rPr>
              <w:t xml:space="preserve"> </w:t>
            </w:r>
            <w:r>
              <w:rPr>
                <w:rFonts w:ascii="Arial;sans-serif" w:hAnsi="Arial;sans-serif"/>
                <w:b w:val="false"/>
                <w:color w:val="000000"/>
                <w:sz w:val="18"/>
              </w:rPr>
              <w:t>is a retired Vice President for Caterpillar Inc., a manufacturer of construction and mining equipment, engines, turbines, and locomotives. She was an officer for the company for over 13 years of her 36 year tenure. She was appointed an officer and as Chief Technology Officer of Caterpillar in 2007, having joined that company in 1986. Previously, she held a number of roles with Caterpillar, including a variety of engineering and general management positions. Ms. Utley has served in key engineering and leadership roles in the development of near zero-emissions engines, and she has held general management positions in Caterpillar’s components and engines businesses. Ms. Utley also serves as a director of Woodward, Inc. She earned her bachelor’s degree in Mechanical Engineering from Bradley University and her M.S. in Management from the Massachusetts Institute of Technology.</w:t>
            </w:r>
          </w:p>
          <w:p>
            <w:pPr>
              <w:pStyle w:val="TableContents"/>
              <w:bidi w:val="0"/>
              <w:spacing w:lineRule="auto" w:line="288" w:before="0" w:after="180"/>
              <w:jc w:val="left"/>
              <w:rPr>
                <w:rFonts w:ascii="Arial;sans-serif" w:hAnsi="Arial;sans-serif"/>
                <w:b/>
                <w:color w:val="000000"/>
                <w:sz w:val="18"/>
              </w:rPr>
            </w:pPr>
            <w:r>
              <w:rPr>
                <w:rFonts w:ascii="Arial;sans-serif" w:hAnsi="Arial;sans-serif"/>
                <w:b/>
                <w:color w:val="000000"/>
                <w:sz w:val="18"/>
              </w:rPr>
              <w:t>SKILLS AND QUALIFICATIONS</w:t>
            </w:r>
          </w:p>
          <w:p>
            <w:pPr>
              <w:pStyle w:val="TableContents"/>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Ms. Utley brings a wealth of knowledge in engineering, operations, continuous improvement, and implementation of new programs to our Board. Ms. Utley also brings a depth of understanding of technology and cybersecurity, multi-industrial manufacturing, and how to minimize the environmental impact of manufacturing companies.</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6480175" cy="739140"/>
                <wp:effectExtent l="0" t="0" r="0" b="0"/>
                <wp:wrapNone/>
                <wp:docPr id="80" name="Frame24"/>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292" w:type="dxa"/>
                              <w:jc w:val="left"/>
                              <w:tblInd w:w="0" w:type="dxa"/>
                              <w:tblLayout w:type="fixed"/>
                              <w:tblCellMar>
                                <w:top w:w="28" w:type="dxa"/>
                                <w:left w:w="28" w:type="dxa"/>
                                <w:bottom w:w="28" w:type="dxa"/>
                                <w:right w:w="28" w:type="dxa"/>
                              </w:tblCellMar>
                            </w:tblPr>
                            <w:tblGrid>
                              <w:gridCol w:w="124"/>
                              <w:gridCol w:w="109"/>
                              <w:gridCol w:w="109"/>
                              <w:gridCol w:w="704"/>
                              <w:gridCol w:w="704"/>
                              <w:gridCol w:w="706"/>
                              <w:gridCol w:w="244"/>
                              <w:gridCol w:w="244"/>
                              <w:gridCol w:w="34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6"/>
                                    </w:rPr>
                                  </w:pPr>
                                  <w:r>
                                    <w:rPr>
                                      <w:rFonts w:ascii="Arial;sans-serif" w:hAnsi="Arial;sans-serif"/>
                                      <w:b/>
                                      <w:color w:val="000000"/>
                                      <w:sz w:val="16"/>
                                    </w:rPr>
                                    <w:t>18</w:t>
                                  </w:r>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2024 PROXY STATEMENT</w:t>
                                  </w:r>
                                </w:p>
                              </w:tc>
                              <w:tc>
                                <w:tcPr>
                                  <w:tcW w:w="83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81"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40" descr=""/>
                                                <pic:cNvPicPr>
                                                  <a:picLocks noChangeAspect="1" noChangeArrowheads="1"/>
                                                </pic:cNvPicPr>
                                              </pic:nvPicPr>
                                              <pic:blipFill>
                                                <a:blip r:embed="rId58"/>
                                                <a:stretch>
                                                  <a:fillRect/>
                                                </a:stretch>
                                              </pic:blipFill>
                                              <pic:spPr bwMode="auto">
                                                <a:xfrm>
                                                  <a:off x="0" y="0"/>
                                                  <a:ext cx="447675" cy="161925"/>
                                                </a:xfrm>
                                                <a:prstGeom prst="rect">
                                                  <a:avLst/>
                                                </a:prstGeom>
                                              </pic:spPr>
                                            </pic:pic>
                                          </a:graphicData>
                                        </a:graphic>
                                      </wp:inline>
                                    </w:drawing>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292" w:type="dxa"/>
                        <w:jc w:val="left"/>
                        <w:tblInd w:w="0" w:type="dxa"/>
                        <w:tblLayout w:type="fixed"/>
                        <w:tblCellMar>
                          <w:top w:w="28" w:type="dxa"/>
                          <w:left w:w="28" w:type="dxa"/>
                          <w:bottom w:w="28" w:type="dxa"/>
                          <w:right w:w="28" w:type="dxa"/>
                        </w:tblCellMar>
                      </w:tblPr>
                      <w:tblGrid>
                        <w:gridCol w:w="124"/>
                        <w:gridCol w:w="109"/>
                        <w:gridCol w:w="109"/>
                        <w:gridCol w:w="704"/>
                        <w:gridCol w:w="704"/>
                        <w:gridCol w:w="706"/>
                        <w:gridCol w:w="244"/>
                        <w:gridCol w:w="244"/>
                        <w:gridCol w:w="34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6"/>
                              </w:rPr>
                            </w:pPr>
                            <w:r>
                              <w:rPr>
                                <w:rFonts w:ascii="Arial;sans-serif" w:hAnsi="Arial;sans-serif"/>
                                <w:b/>
                                <w:color w:val="000000"/>
                                <w:sz w:val="16"/>
                              </w:rPr>
                              <w:t>18</w:t>
                            </w:r>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2024 PROXY STATEMENT</w:t>
                            </w:r>
                          </w:p>
                        </w:tc>
                        <w:tc>
                          <w:tcPr>
                            <w:tcW w:w="83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82"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40" descr=""/>
                                          <pic:cNvPicPr>
                                            <a:picLocks noChangeAspect="1" noChangeArrowheads="1"/>
                                          </pic:cNvPicPr>
                                        </pic:nvPicPr>
                                        <pic:blipFill>
                                          <a:blip r:embed="rId59"/>
                                          <a:stretch>
                                            <a:fillRect/>
                                          </a:stretch>
                                        </pic:blipFill>
                                        <pic:spPr bwMode="auto">
                                          <a:xfrm>
                                            <a:off x="0" y="0"/>
                                            <a:ext cx="447675" cy="161925"/>
                                          </a:xfrm>
                                          <a:prstGeom prst="rect">
                                            <a:avLst/>
                                          </a:prstGeom>
                                        </pic:spPr>
                                      </pic:pic>
                                    </a:graphicData>
                                  </a:graphic>
                                </wp:inline>
                              </w:drawing>
                            </w:r>
                          </w:p>
                        </w:tc>
                      </w:tr>
                    </w:tbl>
                    <w:p>
                      <w:pPr>
                        <w:pStyle w:val="TextBody"/>
                        <w:bidi w:val="0"/>
                        <w:spacing w:before="0" w:after="283"/>
                        <w:jc w:val="left"/>
                        <w:rPr/>
                      </w:pPr>
                      <w:r>
                        <w:rPr/>
                      </w:r>
                    </w:p>
                  </w:txbxContent>
                </v:textbox>
                <w10:wrap type="none"/>
              </v:rect>
            </w:pict>
          </mc:Fallback>
        </mc:AlternateContent>
      </w:r>
    </w:p>
    <w:tbl>
      <w:tblPr>
        <w:tblW w:w="1469" w:type="dxa"/>
        <w:jc w:val="right"/>
        <w:tblInd w:w="0" w:type="dxa"/>
        <w:tblLayout w:type="fixed"/>
        <w:tblCellMar>
          <w:top w:w="28" w:type="dxa"/>
          <w:left w:w="28" w:type="dxa"/>
          <w:bottom w:w="28" w:type="dxa"/>
          <w:right w:w="28" w:type="dxa"/>
        </w:tblCellMar>
      </w:tblPr>
      <w:tblGrid>
        <w:gridCol w:w="470"/>
        <w:gridCol w:w="413"/>
        <w:gridCol w:w="586"/>
      </w:tblGrid>
      <w:tr>
        <w:trPr/>
        <w:tc>
          <w:tcPr>
            <w:tcW w:w="47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r>
      <w:tr>
        <w:trPr/>
        <w:tc>
          <w:tcPr>
            <w:tcW w:w="1469" w:type="dxa"/>
            <w:gridSpan w:val="3"/>
            <w:tcBorders>
              <w:bottom w:val="single" w:sz="4" w:space="0" w:color="004C97"/>
            </w:tcBorders>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4C97"/>
                <w:sz w:val="16"/>
              </w:rPr>
            </w:pPr>
            <w:r>
              <w:rPr>
                <w:rFonts w:ascii="Arial;sans-serif" w:hAnsi="Arial;sans-serif"/>
                <w:b w:val="false"/>
                <w:color w:val="004C97"/>
                <w:sz w:val="16"/>
              </w:rPr>
              <w:t>PROPOSAL ONE</w:t>
            </w:r>
          </w:p>
        </w:tc>
      </w:tr>
    </w:tbl>
    <w:p>
      <w:pPr>
        <w:pStyle w:val="TextBody"/>
        <w:bidi w:val="0"/>
        <w:spacing w:lineRule="auto" w:line="288" w:before="360" w:after="283"/>
        <w:jc w:val="left"/>
        <w:rPr>
          <w:rFonts w:ascii="Arial;sans-serif" w:hAnsi="Arial;sans-serif"/>
          <w:b/>
          <w:color w:val="000000"/>
          <w:sz w:val="32"/>
        </w:rPr>
      </w:pPr>
      <w:bookmarkStart w:id="4" w:name="i72569b677e204ec5b26ca04644a188d1_34879"/>
      <w:bookmarkEnd w:id="4"/>
      <w:r>
        <w:rPr>
          <w:rFonts w:ascii="Arial;sans-serif" w:hAnsi="Arial;sans-serif"/>
          <w:b/>
          <w:color w:val="000000"/>
          <w:sz w:val="32"/>
        </w:rPr>
        <w:t>Director and Nominee Skills and Experience</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Under the leadership of our Governance &amp; Sustainability Committee, our Board developed and maintains a list of key areas of expertise and experience that the Board believes contribute to an effective and well-functioning board and that the Board as a whole should possess.</w:t>
      </w:r>
    </w:p>
    <w:p>
      <w:pPr>
        <w:pStyle w:val="TextBody"/>
        <w:bidi w:val="0"/>
        <w:spacing w:lineRule="auto" w:line="288" w:before="0" w:after="240"/>
        <w:jc w:val="both"/>
        <w:rPr>
          <w:rFonts w:ascii="Arial;sans-serif" w:hAnsi="Arial;sans-serif"/>
          <w:b w:val="false"/>
          <w:color w:val="000000"/>
          <w:sz w:val="18"/>
        </w:rPr>
      </w:pPr>
      <w:r>
        <w:rPr>
          <w:rFonts w:ascii="Arial;sans-serif" w:hAnsi="Arial;sans-serif"/>
          <w:b w:val="false"/>
          <w:color w:val="000000"/>
          <w:sz w:val="18"/>
        </w:rPr>
        <w:t>The Governance &amp; Sustainability Committee and the Board use this information to identify areas for director training and as a tool to maintain a balanced and well-rounded board. In addition, the Governance &amp; Sustainability Committee considers these and other criteria as a guide, but not as a minimum set of requirements, when evaluating potential candidates for the Board. Together, this variety of skill sets, experiences, and personal backgrounds allows our directors to provide the diversity of thought that is critical to the Board’s decision-making and oversight process. The following chart indicates the director has gained experience in the attribute through a current or prior position other than his or her service on the SPX Board. For a better understanding of our Board qualifications and diversity, we encourage you to read “Director Nominees, Qualifications, and Diversity” beginning on page 5.</w:t>
      </w:r>
    </w:p>
    <w:p>
      <w:pPr>
        <w:pStyle w:val="TextBody"/>
        <w:bidi w:val="0"/>
        <w:spacing w:before="0" w:after="240"/>
        <w:jc w:val="center"/>
        <w:rPr/>
      </w:pPr>
      <w:r>
        <w:rPr/>
        <w:drawing>
          <wp:inline distT="0" distB="0" distL="0" distR="0">
            <wp:extent cx="6667500" cy="1905000"/>
            <wp:effectExtent l="0" t="0" r="0" b="0"/>
            <wp:docPr id="83"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Image41" descr=""/>
                    <pic:cNvPicPr>
                      <a:picLocks noChangeAspect="1" noChangeArrowheads="1"/>
                    </pic:cNvPicPr>
                  </pic:nvPicPr>
                  <pic:blipFill>
                    <a:blip r:embed="rId60"/>
                    <a:stretch>
                      <a:fillRect/>
                    </a:stretch>
                  </pic:blipFill>
                  <pic:spPr bwMode="auto">
                    <a:xfrm>
                      <a:off x="0" y="0"/>
                      <a:ext cx="6667500" cy="1905000"/>
                    </a:xfrm>
                    <a:prstGeom prst="rect">
                      <a:avLst/>
                    </a:prstGeom>
                  </pic:spPr>
                </pic:pic>
              </a:graphicData>
            </a:graphic>
          </wp:inline>
        </w:drawing>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While each director has had involvement in the management of Technology and Software, Mr. Lowe and Ms. Utley have additionally completed specific certification coursework in Cybersecurity with the National Association of Corporate Directors. In addition, Mr. Puckett and Ms. Sethna either had or currently have direct responsibility for their organization’s Information Technology functions, including oversight of Cybersecurity Risks.</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Dr. Shaw, Ms. Sethna, and Ms. Willis all have extensive experience working with their organization’s sustainability programs.</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left"/>
        <w:rPr>
          <w:rFonts w:ascii="Arial;sans-serif" w:hAnsi="Arial;sans-serif"/>
          <w:b/>
          <w:color w:val="000000"/>
          <w:sz w:val="22"/>
        </w:rPr>
      </w:pPr>
      <w:r>
        <w:rPr>
          <w:rFonts w:ascii="Arial;sans-serif" w:hAnsi="Arial;sans-serif"/>
          <w:b/>
          <w:color w:val="000000"/>
          <w:sz w:val="22"/>
        </w:rPr>
        <w:t>Board Diversity</w:t>
      </w:r>
    </w:p>
    <w:p>
      <w:pPr>
        <w:pStyle w:val="TextBody"/>
        <w:bidi w:val="0"/>
        <w:spacing w:lineRule="auto" w:line="288" w:before="0" w:after="240"/>
        <w:jc w:val="both"/>
        <w:rPr>
          <w:rFonts w:ascii="Arial;sans-serif" w:hAnsi="Arial;sans-serif"/>
          <w:b w:val="false"/>
          <w:color w:val="000000"/>
          <w:sz w:val="18"/>
        </w:rPr>
      </w:pPr>
      <w:r>
        <w:rPr>
          <w:rFonts w:ascii="Arial;sans-serif" w:hAnsi="Arial;sans-serif"/>
          <w:b w:val="false"/>
          <w:color w:val="000000"/>
          <w:sz w:val="18"/>
        </w:rPr>
        <w:t xml:space="preserve">As noted under “Director Nominees, Qualifications, and Diversity” on page 5, our Board believes individuals with diverse backgrounds and experience will be best suited for providing balanced leadership for the Company. The Board has achieved diversity in both gender and ethnicity aligned with these objectives. </w:t>
      </w:r>
    </w:p>
    <w:p>
      <w:pPr>
        <w:pStyle w:val="TextBody"/>
        <w:bidi w:val="0"/>
        <w:spacing w:before="0" w:after="180"/>
        <w:jc w:val="center"/>
        <w:rPr/>
      </w:pPr>
      <w:r>
        <w:rPr/>
        <w:drawing>
          <wp:inline distT="0" distB="0" distL="0" distR="0">
            <wp:extent cx="2381250" cy="1666875"/>
            <wp:effectExtent l="0" t="0" r="0" b="0"/>
            <wp:docPr id="84"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42" descr=""/>
                    <pic:cNvPicPr>
                      <a:picLocks noChangeAspect="1" noChangeArrowheads="1"/>
                    </pic:cNvPicPr>
                  </pic:nvPicPr>
                  <pic:blipFill>
                    <a:blip r:embed="rId61"/>
                    <a:stretch>
                      <a:fillRect/>
                    </a:stretch>
                  </pic:blipFill>
                  <pic:spPr bwMode="auto">
                    <a:xfrm>
                      <a:off x="0" y="0"/>
                      <a:ext cx="2381250" cy="1666875"/>
                    </a:xfrm>
                    <a:prstGeom prst="rect">
                      <a:avLst/>
                    </a:prstGeom>
                  </pic:spPr>
                </pic:pic>
              </a:graphicData>
            </a:graphic>
          </wp:inline>
        </w:drawing>
      </w:r>
    </w:p>
    <w:p>
      <w:pPr>
        <w:pStyle w:val="TextBody"/>
        <w:bidi w:val="0"/>
        <w:spacing w:before="0" w:after="180"/>
        <w:jc w:val="center"/>
        <w:rPr/>
      </w:pPr>
      <w:r>
        <w:rPr/>
        <w:drawing>
          <wp:inline distT="0" distB="0" distL="0" distR="0">
            <wp:extent cx="2381250" cy="1666875"/>
            <wp:effectExtent l="0" t="0" r="0" b="0"/>
            <wp:docPr id="85"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Image43" descr=""/>
                    <pic:cNvPicPr>
                      <a:picLocks noChangeAspect="1" noChangeArrowheads="1"/>
                    </pic:cNvPicPr>
                  </pic:nvPicPr>
                  <pic:blipFill>
                    <a:blip r:embed="rId62"/>
                    <a:stretch>
                      <a:fillRect/>
                    </a:stretch>
                  </pic:blipFill>
                  <pic:spPr bwMode="auto">
                    <a:xfrm>
                      <a:off x="0" y="0"/>
                      <a:ext cx="2381250" cy="1666875"/>
                    </a:xfrm>
                    <a:prstGeom prst="rect">
                      <a:avLst/>
                    </a:prstGeom>
                  </pic:spPr>
                </pic:pic>
              </a:graphicData>
            </a:graphic>
          </wp:inline>
        </w:drawing>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6480175" cy="739140"/>
                <wp:effectExtent l="0" t="0" r="0" b="0"/>
                <wp:wrapNone/>
                <wp:docPr id="86" name="Frame25"/>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292" w:type="dxa"/>
                              <w:jc w:val="right"/>
                              <w:tblInd w:w="0" w:type="dxa"/>
                              <w:tblLayout w:type="fixed"/>
                              <w:tblCellMar>
                                <w:top w:w="28" w:type="dxa"/>
                                <w:left w:w="28" w:type="dxa"/>
                                <w:bottom w:w="28" w:type="dxa"/>
                                <w:right w:w="28" w:type="dxa"/>
                              </w:tblCellMar>
                            </w:tblPr>
                            <w:tblGrid>
                              <w:gridCol w:w="292"/>
                              <w:gridCol w:w="256"/>
                              <w:gridCol w:w="258"/>
                              <w:gridCol w:w="704"/>
                              <w:gridCol w:w="704"/>
                              <w:gridCol w:w="706"/>
                              <w:gridCol w:w="109"/>
                              <w:gridCol w:w="109"/>
                              <w:gridCol w:w="154"/>
                            </w:tblGrid>
                            <w:tr>
                              <w:trPr/>
                              <w:tc>
                                <w:tcPr>
                                  <w:tcW w:w="29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0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87"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Image44" descr=""/>
                                                <pic:cNvPicPr>
                                                  <a:picLocks noChangeAspect="1" noChangeArrowheads="1"/>
                                                </pic:cNvPicPr>
                                              </pic:nvPicPr>
                                              <pic:blipFill>
                                                <a:blip r:embed="rId63"/>
                                                <a:stretch>
                                                  <a:fillRect/>
                                                </a:stretch>
                                              </pic:blipFill>
                                              <pic:spPr bwMode="auto">
                                                <a:xfrm>
                                                  <a:off x="0" y="0"/>
                                                  <a:ext cx="447675" cy="161925"/>
                                                </a:xfrm>
                                                <a:prstGeom prst="rect">
                                                  <a:avLst/>
                                                </a:prstGeom>
                                              </pic:spPr>
                                            </pic:pic>
                                          </a:graphicData>
                                        </a:graphic>
                                      </wp:inline>
                                    </w:drawing>
                                  </w:r>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2024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000000"/>
                                      <w:sz w:val="16"/>
                                    </w:rPr>
                                  </w:pPr>
                                  <w:r>
                                    <w:rPr>
                                      <w:rFonts w:ascii="Arial;sans-serif" w:hAnsi="Arial;sans-serif"/>
                                      <w:b/>
                                      <w:color w:val="000000"/>
                                      <w:sz w:val="16"/>
                                    </w:rPr>
                                    <w:t>19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292" w:type="dxa"/>
                        <w:jc w:val="right"/>
                        <w:tblInd w:w="0" w:type="dxa"/>
                        <w:tblLayout w:type="fixed"/>
                        <w:tblCellMar>
                          <w:top w:w="28" w:type="dxa"/>
                          <w:left w:w="28" w:type="dxa"/>
                          <w:bottom w:w="28" w:type="dxa"/>
                          <w:right w:w="28" w:type="dxa"/>
                        </w:tblCellMar>
                      </w:tblPr>
                      <w:tblGrid>
                        <w:gridCol w:w="292"/>
                        <w:gridCol w:w="256"/>
                        <w:gridCol w:w="258"/>
                        <w:gridCol w:w="704"/>
                        <w:gridCol w:w="704"/>
                        <w:gridCol w:w="706"/>
                        <w:gridCol w:w="109"/>
                        <w:gridCol w:w="109"/>
                        <w:gridCol w:w="154"/>
                      </w:tblGrid>
                      <w:tr>
                        <w:trPr/>
                        <w:tc>
                          <w:tcPr>
                            <w:tcW w:w="29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0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88"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44" descr=""/>
                                          <pic:cNvPicPr>
                                            <a:picLocks noChangeAspect="1" noChangeArrowheads="1"/>
                                          </pic:cNvPicPr>
                                        </pic:nvPicPr>
                                        <pic:blipFill>
                                          <a:blip r:embed="rId64"/>
                                          <a:stretch>
                                            <a:fillRect/>
                                          </a:stretch>
                                        </pic:blipFill>
                                        <pic:spPr bwMode="auto">
                                          <a:xfrm>
                                            <a:off x="0" y="0"/>
                                            <a:ext cx="447675" cy="161925"/>
                                          </a:xfrm>
                                          <a:prstGeom prst="rect">
                                            <a:avLst/>
                                          </a:prstGeom>
                                        </pic:spPr>
                                      </pic:pic>
                                    </a:graphicData>
                                  </a:graphic>
                                </wp:inline>
                              </w:drawing>
                            </w:r>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2024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000000"/>
                                <w:sz w:val="16"/>
                              </w:rPr>
                            </w:pPr>
                            <w:r>
                              <w:rPr>
                                <w:rFonts w:ascii="Arial;sans-serif" w:hAnsi="Arial;sans-serif"/>
                                <w:b/>
                                <w:color w:val="000000"/>
                                <w:sz w:val="16"/>
                              </w:rPr>
                              <w:t>19</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312" w:before="0" w:after="240"/>
        <w:jc w:val="left"/>
        <w:rPr>
          <w:rFonts w:ascii="Arial;sans-serif" w:hAnsi="Arial;sans-serif"/>
          <w:b/>
          <w:color w:val="004C97"/>
          <w:sz w:val="42"/>
        </w:rPr>
      </w:pPr>
      <w:r>
        <w:rPr>
          <w:rFonts w:ascii="Arial;sans-serif" w:hAnsi="Arial;sans-serif"/>
          <w:b/>
          <w:color w:val="004C97"/>
          <w:sz w:val="42"/>
        </w:rPr>
        <w:t>OWNERSHIP OF COMMON STOCK</w:t>
      </w:r>
    </w:p>
    <w:p>
      <w:pPr>
        <w:pStyle w:val="TextBody"/>
        <w:bidi w:val="0"/>
        <w:spacing w:lineRule="auto" w:line="288" w:before="360" w:after="283"/>
        <w:jc w:val="left"/>
        <w:rPr>
          <w:rFonts w:ascii="Arial;sans-serif" w:hAnsi="Arial;sans-serif"/>
          <w:b/>
          <w:color w:val="000000"/>
          <w:sz w:val="32"/>
        </w:rPr>
      </w:pPr>
      <w:bookmarkStart w:id="5" w:name="ic8205a2860284f95b5a0a3c78248fae0_25902"/>
      <w:bookmarkEnd w:id="5"/>
      <w:r>
        <w:rPr>
          <w:rFonts w:ascii="Arial;sans-serif" w:hAnsi="Arial;sans-serif"/>
          <w:b/>
          <w:color w:val="000000"/>
          <w:sz w:val="32"/>
        </w:rPr>
        <w:t>Stock Ownership Guidelines</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We maintain Stock Ownership Guidelines to emphasize the importance of substantive, long-term share ownership by our directors and officers to align their financial interests with those of our stockholders.</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The guidelines are:</w:t>
      </w:r>
    </w:p>
    <w:tbl>
      <w:tblPr>
        <w:tblW w:w="3719" w:type="dxa"/>
        <w:jc w:val="left"/>
        <w:tblInd w:w="0" w:type="dxa"/>
        <w:tblLayout w:type="fixed"/>
        <w:tblCellMar>
          <w:top w:w="28" w:type="dxa"/>
          <w:left w:w="28" w:type="dxa"/>
          <w:bottom w:w="28" w:type="dxa"/>
          <w:right w:w="28" w:type="dxa"/>
        </w:tblCellMar>
      </w:tblPr>
      <w:tblGrid>
        <w:gridCol w:w="820"/>
        <w:gridCol w:w="719"/>
        <w:gridCol w:w="726"/>
        <w:gridCol w:w="424"/>
        <w:gridCol w:w="424"/>
        <w:gridCol w:w="606"/>
      </w:tblGrid>
      <w:tr>
        <w:trPr/>
        <w:tc>
          <w:tcPr>
            <w:tcW w:w="820"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top w:val="single" w:sz="4" w:space="0" w:color="000000"/>
              <w:left w:val="single" w:sz="4" w:space="0" w:color="000000"/>
            </w:tcBorders>
            <w:shd w:fill="004C97" w:val="clear"/>
            <w:tcMar>
              <w:top w:w="30" w:type="dxa"/>
              <w:bottom w:w="0" w:type="dxa"/>
              <w:right w:w="0" w:type="dxa"/>
            </w:tcMar>
            <w:vAlign w:val="center"/>
          </w:tcPr>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Position</w:t>
            </w:r>
          </w:p>
        </w:tc>
        <w:tc>
          <w:tcPr>
            <w:tcW w:w="1454" w:type="dxa"/>
            <w:gridSpan w:val="3"/>
            <w:tcBorders>
              <w:top w:val="single" w:sz="4" w:space="0" w:color="000000"/>
              <w:left w:val="single" w:sz="4" w:space="0" w:color="000000"/>
              <w:right w:val="single" w:sz="4" w:space="0" w:color="000000"/>
            </w:tcBorders>
            <w:shd w:fill="004C97" w:val="clear"/>
            <w:tcMar>
              <w:top w:w="30" w:type="dxa"/>
              <w:left w:w="200" w:type="dxa"/>
              <w:bottom w:w="0" w:type="dxa"/>
            </w:tcMar>
            <w:vAlign w:val="center"/>
          </w:tcPr>
          <w:p>
            <w:pPr>
              <w:pStyle w:val="TableContents"/>
              <w:bidi w:val="0"/>
              <w:spacing w:lineRule="auto" w:line="288" w:before="0" w:after="283"/>
              <w:jc w:val="left"/>
              <w:rPr>
                <w:rFonts w:ascii="Arial;sans-serif" w:hAnsi="Arial;sans-serif"/>
                <w:b w:val="false"/>
                <w:color w:val="FFFFFF"/>
                <w:sz w:val="16"/>
              </w:rPr>
            </w:pPr>
            <w:r>
              <w:rPr>
                <w:rFonts w:ascii="Arial;sans-serif" w:hAnsi="Arial;sans-serif"/>
                <w:b w:val="false"/>
                <w:color w:val="FFFFFF"/>
                <w:sz w:val="16"/>
              </w:rPr>
              <w:t>Target Value</w:t>
            </w:r>
          </w:p>
        </w:tc>
      </w:tr>
      <w:tr>
        <w:trPr/>
        <w:tc>
          <w:tcPr>
            <w:tcW w:w="2265" w:type="dxa"/>
            <w:gridSpan w:val="3"/>
            <w:tcBorders>
              <w:top w:val="single" w:sz="4" w:space="0" w:color="000000"/>
              <w:left w:val="single" w:sz="4" w:space="0" w:color="000000"/>
            </w:tcBorders>
            <w:shd w:fill="E6E7E8" w:val="clear"/>
            <w:tcMar>
              <w:top w:w="30" w:type="dxa"/>
              <w:left w:w="20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Non-Employee Directors</w:t>
            </w:r>
          </w:p>
        </w:tc>
        <w:tc>
          <w:tcPr>
            <w:tcW w:w="1454" w:type="dxa"/>
            <w:gridSpan w:val="3"/>
            <w:tcBorders>
              <w:top w:val="single" w:sz="4" w:space="0" w:color="000000"/>
              <w:left w:val="single" w:sz="4" w:space="0" w:color="000000"/>
              <w:right w:val="single" w:sz="4" w:space="0" w:color="000000"/>
            </w:tcBorders>
            <w:shd w:fill="E6E7E8" w:val="clear"/>
            <w:tcMar>
              <w:top w:w="30" w:type="dxa"/>
              <w:left w:w="200" w:type="dxa"/>
              <w:bottom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5x annual retainer</w:t>
            </w:r>
          </w:p>
        </w:tc>
      </w:tr>
      <w:tr>
        <w:trPr/>
        <w:tc>
          <w:tcPr>
            <w:tcW w:w="2265" w:type="dxa"/>
            <w:gridSpan w:val="3"/>
            <w:tcBorders>
              <w:top w:val="single" w:sz="4" w:space="0" w:color="000000"/>
              <w:left w:val="single" w:sz="4" w:space="0" w:color="000000"/>
            </w:tcBorders>
            <w:tcMar>
              <w:top w:w="30" w:type="dxa"/>
              <w:left w:w="20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Chief Executive Officer</w:t>
            </w:r>
          </w:p>
        </w:tc>
        <w:tc>
          <w:tcPr>
            <w:tcW w:w="1454" w:type="dxa"/>
            <w:gridSpan w:val="3"/>
            <w:tcBorders>
              <w:top w:val="single" w:sz="4" w:space="0" w:color="000000"/>
              <w:left w:val="single" w:sz="4" w:space="0" w:color="000000"/>
              <w:right w:val="single" w:sz="4" w:space="0" w:color="000000"/>
            </w:tcBorders>
            <w:tcMar>
              <w:top w:w="30" w:type="dxa"/>
              <w:left w:w="200" w:type="dxa"/>
              <w:bottom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5x annual salary</w:t>
            </w:r>
          </w:p>
        </w:tc>
      </w:tr>
      <w:tr>
        <w:trPr/>
        <w:tc>
          <w:tcPr>
            <w:tcW w:w="2265" w:type="dxa"/>
            <w:gridSpan w:val="3"/>
            <w:tcBorders>
              <w:top w:val="single" w:sz="4" w:space="0" w:color="000000"/>
              <w:left w:val="single" w:sz="4" w:space="0" w:color="000000"/>
            </w:tcBorders>
            <w:shd w:fill="E6E7E8" w:val="clear"/>
            <w:tcMar>
              <w:top w:w="30" w:type="dxa"/>
              <w:left w:w="20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Chief Operating Officer*</w:t>
            </w:r>
          </w:p>
        </w:tc>
        <w:tc>
          <w:tcPr>
            <w:tcW w:w="1454" w:type="dxa"/>
            <w:gridSpan w:val="3"/>
            <w:tcBorders>
              <w:top w:val="single" w:sz="4" w:space="0" w:color="000000"/>
              <w:left w:val="single" w:sz="4" w:space="0" w:color="000000"/>
              <w:right w:val="single" w:sz="4" w:space="0" w:color="000000"/>
            </w:tcBorders>
            <w:shd w:fill="E6E7E8" w:val="clear"/>
            <w:tcMar>
              <w:top w:w="30" w:type="dxa"/>
              <w:left w:w="200" w:type="dxa"/>
              <w:bottom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4x annual salary</w:t>
            </w:r>
          </w:p>
        </w:tc>
      </w:tr>
      <w:tr>
        <w:trPr/>
        <w:tc>
          <w:tcPr>
            <w:tcW w:w="2265" w:type="dxa"/>
            <w:gridSpan w:val="3"/>
            <w:tcBorders>
              <w:top w:val="single" w:sz="4" w:space="0" w:color="000000"/>
              <w:left w:val="single" w:sz="4" w:space="0" w:color="000000"/>
            </w:tcBorders>
            <w:tcMar>
              <w:top w:w="30" w:type="dxa"/>
              <w:left w:w="20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Other Executive Officers</w:t>
            </w:r>
          </w:p>
        </w:tc>
        <w:tc>
          <w:tcPr>
            <w:tcW w:w="1454" w:type="dxa"/>
            <w:gridSpan w:val="3"/>
            <w:tcBorders>
              <w:top w:val="single" w:sz="4" w:space="0" w:color="000000"/>
              <w:left w:val="single" w:sz="4" w:space="0" w:color="000000"/>
              <w:right w:val="single" w:sz="4" w:space="0" w:color="000000"/>
            </w:tcBorders>
            <w:tcMar>
              <w:top w:w="30" w:type="dxa"/>
              <w:left w:w="200" w:type="dxa"/>
              <w:bottom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3x annual salary</w:t>
            </w:r>
          </w:p>
        </w:tc>
      </w:tr>
      <w:tr>
        <w:trPr/>
        <w:tc>
          <w:tcPr>
            <w:tcW w:w="2265" w:type="dxa"/>
            <w:gridSpan w:val="3"/>
            <w:tcBorders>
              <w:top w:val="single" w:sz="4" w:space="0" w:color="000000"/>
              <w:left w:val="single" w:sz="4" w:space="0" w:color="000000"/>
              <w:bottom w:val="single" w:sz="4" w:space="0" w:color="000000"/>
            </w:tcBorders>
            <w:shd w:fill="E6E7E8" w:val="clear"/>
            <w:tcMar>
              <w:top w:w="30" w:type="dxa"/>
              <w:left w:w="20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Other Designated Executives</w:t>
            </w:r>
          </w:p>
        </w:tc>
        <w:tc>
          <w:tcPr>
            <w:tcW w:w="1454" w:type="dxa"/>
            <w:gridSpan w:val="3"/>
            <w:tcBorders>
              <w:top w:val="single" w:sz="4" w:space="0" w:color="000000"/>
              <w:left w:val="single" w:sz="4" w:space="0" w:color="000000"/>
              <w:bottom w:val="single" w:sz="4" w:space="0" w:color="000000"/>
              <w:right w:val="single" w:sz="4" w:space="0" w:color="000000"/>
            </w:tcBorders>
            <w:shd w:fill="E6E7E8" w:val="clear"/>
            <w:tcMar>
              <w:top w:w="30" w:type="dxa"/>
              <w:left w:w="200" w:type="dxa"/>
              <w:bottom w:w="3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1x annual salary</w:t>
            </w:r>
          </w:p>
        </w:tc>
      </w:tr>
    </w:tbl>
    <w:p>
      <w:pPr>
        <w:pStyle w:val="TextBody"/>
        <w:bidi w:val="0"/>
        <w:spacing w:lineRule="auto" w:line="288" w:before="0" w:after="60"/>
        <w:jc w:val="both"/>
        <w:rPr>
          <w:rFonts w:ascii="Arial;sans-serif" w:hAnsi="Arial;sans-serif"/>
          <w:b w:val="false"/>
          <w:color w:val="000000"/>
          <w:sz w:val="14"/>
        </w:rPr>
      </w:pPr>
      <w:r>
        <w:rPr>
          <w:rFonts w:ascii="Arial;sans-serif" w:hAnsi="Arial;sans-serif"/>
          <w:b w:val="false"/>
          <w:color w:val="000000"/>
          <w:sz w:val="14"/>
        </w:rPr>
        <w:t>* SPX does not currently have the COO position.</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Shares held in family trusts and shares held in retirement plan accounts are deemed to be owned shares for purposes of these guidelines. Unvested time-based stock (and stock unit awards) are deemed to be owned shares for purposes of these guidelines. Unexercised stock options and unvested performance-based stock (and stock unit awards) are excluded for purposes of these guidelines. We ask non-employee directors and executive leaders to attain the desired level of stock ownership within five years of initial election as a director or appointment to the officer position.</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Once a non-employee director or executive leader attains the desired level of share ownership, he or she will continue to be in compliance with these guidelines even if he or she later falls below the guideline, as long as he or she retains at least 50% of the net shares acquired upon exercise of stock options and at least 50% of the net shares acquired pursuant to vested restricted equity awards and vested restricted stock unit grants until he or she again meets or exceeds the guidelines. “Net shares” means the shares remaining after disposition of shares necessary to pay the related tax liability and, if applicable, the stock option exercise price.</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 xml:space="preserve">Each non-employee director and named executive officer was in compliance with these requirements as of March 18, 2024.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6480175" cy="739140"/>
                <wp:effectExtent l="0" t="0" r="0" b="0"/>
                <wp:wrapNone/>
                <wp:docPr id="89" name="Frame26"/>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292" w:type="dxa"/>
                              <w:jc w:val="left"/>
                              <w:tblInd w:w="0" w:type="dxa"/>
                              <w:tblLayout w:type="fixed"/>
                              <w:tblCellMar>
                                <w:top w:w="28" w:type="dxa"/>
                                <w:left w:w="28" w:type="dxa"/>
                                <w:bottom w:w="28" w:type="dxa"/>
                                <w:right w:w="28" w:type="dxa"/>
                              </w:tblCellMar>
                            </w:tblPr>
                            <w:tblGrid>
                              <w:gridCol w:w="124"/>
                              <w:gridCol w:w="109"/>
                              <w:gridCol w:w="109"/>
                              <w:gridCol w:w="704"/>
                              <w:gridCol w:w="704"/>
                              <w:gridCol w:w="706"/>
                              <w:gridCol w:w="244"/>
                              <w:gridCol w:w="244"/>
                              <w:gridCol w:w="34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6"/>
                                    </w:rPr>
                                  </w:pPr>
                                  <w:r>
                                    <w:rPr>
                                      <w:rFonts w:ascii="Arial;sans-serif" w:hAnsi="Arial;sans-serif"/>
                                      <w:b/>
                                      <w:color w:val="000000"/>
                                      <w:sz w:val="16"/>
                                    </w:rPr>
                                    <w:t>20</w:t>
                                  </w:r>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2024 PROXY STATEMENT</w:t>
                                  </w:r>
                                </w:p>
                              </w:tc>
                              <w:tc>
                                <w:tcPr>
                                  <w:tcW w:w="83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90"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Image45" descr=""/>
                                                <pic:cNvPicPr>
                                                  <a:picLocks noChangeAspect="1" noChangeArrowheads="1"/>
                                                </pic:cNvPicPr>
                                              </pic:nvPicPr>
                                              <pic:blipFill>
                                                <a:blip r:embed="rId65"/>
                                                <a:stretch>
                                                  <a:fillRect/>
                                                </a:stretch>
                                              </pic:blipFill>
                                              <pic:spPr bwMode="auto">
                                                <a:xfrm>
                                                  <a:off x="0" y="0"/>
                                                  <a:ext cx="447675" cy="161925"/>
                                                </a:xfrm>
                                                <a:prstGeom prst="rect">
                                                  <a:avLst/>
                                                </a:prstGeom>
                                              </pic:spPr>
                                            </pic:pic>
                                          </a:graphicData>
                                        </a:graphic>
                                      </wp:inline>
                                    </w:drawing>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292" w:type="dxa"/>
                        <w:jc w:val="left"/>
                        <w:tblInd w:w="0" w:type="dxa"/>
                        <w:tblLayout w:type="fixed"/>
                        <w:tblCellMar>
                          <w:top w:w="28" w:type="dxa"/>
                          <w:left w:w="28" w:type="dxa"/>
                          <w:bottom w:w="28" w:type="dxa"/>
                          <w:right w:w="28" w:type="dxa"/>
                        </w:tblCellMar>
                      </w:tblPr>
                      <w:tblGrid>
                        <w:gridCol w:w="124"/>
                        <w:gridCol w:w="109"/>
                        <w:gridCol w:w="109"/>
                        <w:gridCol w:w="704"/>
                        <w:gridCol w:w="704"/>
                        <w:gridCol w:w="706"/>
                        <w:gridCol w:w="244"/>
                        <w:gridCol w:w="244"/>
                        <w:gridCol w:w="34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6"/>
                              </w:rPr>
                            </w:pPr>
                            <w:r>
                              <w:rPr>
                                <w:rFonts w:ascii="Arial;sans-serif" w:hAnsi="Arial;sans-serif"/>
                                <w:b/>
                                <w:color w:val="000000"/>
                                <w:sz w:val="16"/>
                              </w:rPr>
                              <w:t>20</w:t>
                            </w:r>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2024 PROXY STATEMENT</w:t>
                            </w:r>
                          </w:p>
                        </w:tc>
                        <w:tc>
                          <w:tcPr>
                            <w:tcW w:w="83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91"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Image45" descr=""/>
                                          <pic:cNvPicPr>
                                            <a:picLocks noChangeAspect="1" noChangeArrowheads="1"/>
                                          </pic:cNvPicPr>
                                        </pic:nvPicPr>
                                        <pic:blipFill>
                                          <a:blip r:embed="rId66"/>
                                          <a:stretch>
                                            <a:fillRect/>
                                          </a:stretch>
                                        </pic:blipFill>
                                        <pic:spPr bwMode="auto">
                                          <a:xfrm>
                                            <a:off x="0" y="0"/>
                                            <a:ext cx="447675" cy="161925"/>
                                          </a:xfrm>
                                          <a:prstGeom prst="rect">
                                            <a:avLst/>
                                          </a:prstGeom>
                                        </pic:spPr>
                                      </pic:pic>
                                    </a:graphicData>
                                  </a:graphic>
                                </wp:inline>
                              </w:drawing>
                            </w:r>
                          </w:p>
                        </w:tc>
                      </w:tr>
                    </w:tbl>
                    <w:p>
                      <w:pPr>
                        <w:pStyle w:val="TextBody"/>
                        <w:bidi w:val="0"/>
                        <w:spacing w:before="0" w:after="283"/>
                        <w:jc w:val="left"/>
                        <w:rPr/>
                      </w:pPr>
                      <w:r>
                        <w:rPr/>
                      </w:r>
                    </w:p>
                  </w:txbxContent>
                </v:textbox>
                <w10:wrap type="none"/>
              </v:rect>
            </w:pict>
          </mc:Fallback>
        </mc:AlternateContent>
      </w:r>
    </w:p>
    <w:tbl>
      <w:tblPr>
        <w:tblW w:w="2894" w:type="dxa"/>
        <w:jc w:val="right"/>
        <w:tblInd w:w="0" w:type="dxa"/>
        <w:tblLayout w:type="fixed"/>
        <w:tblCellMar>
          <w:top w:w="28" w:type="dxa"/>
          <w:left w:w="28" w:type="dxa"/>
          <w:bottom w:w="28" w:type="dxa"/>
          <w:right w:w="28" w:type="dxa"/>
        </w:tblCellMar>
      </w:tblPr>
      <w:tblGrid>
        <w:gridCol w:w="927"/>
        <w:gridCol w:w="813"/>
        <w:gridCol w:w="1154"/>
      </w:tblGrid>
      <w:tr>
        <w:trPr/>
        <w:tc>
          <w:tcPr>
            <w:tcW w:w="927"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r>
      <w:tr>
        <w:trPr/>
        <w:tc>
          <w:tcPr>
            <w:tcW w:w="2894" w:type="dxa"/>
            <w:gridSpan w:val="3"/>
            <w:tcBorders>
              <w:bottom w:val="single" w:sz="4" w:space="0" w:color="004C97"/>
            </w:tcBorders>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4C97"/>
                <w:sz w:val="16"/>
              </w:rPr>
            </w:pPr>
            <w:r>
              <w:rPr>
                <w:rFonts w:ascii="Arial;sans-serif" w:hAnsi="Arial;sans-serif"/>
                <w:b w:val="false"/>
                <w:color w:val="004C97"/>
                <w:sz w:val="16"/>
              </w:rPr>
              <w:t>OWNERSHIP OF COMMON STOCK</w:t>
            </w:r>
          </w:p>
        </w:tc>
      </w:tr>
    </w:tbl>
    <w:p>
      <w:pPr>
        <w:pStyle w:val="TextBody"/>
        <w:bidi w:val="0"/>
        <w:spacing w:lineRule="auto" w:line="288" w:before="0" w:after="0"/>
        <w:jc w:val="left"/>
        <w:rPr>
          <w:rFonts w:ascii="Arial;sans-serif" w:hAnsi="Arial;sans-serif"/>
          <w:b/>
          <w:color w:val="000000"/>
          <w:sz w:val="32"/>
        </w:rPr>
      </w:pPr>
      <w:bookmarkStart w:id="6" w:name="ic8205a2860284f95b5a0a3c78248fae0_25903"/>
      <w:bookmarkEnd w:id="6"/>
      <w:r>
        <w:rPr>
          <w:rFonts w:ascii="Arial;sans-serif" w:hAnsi="Arial;sans-serif"/>
          <w:b/>
          <w:color w:val="000000"/>
          <w:sz w:val="32"/>
        </w:rPr>
        <w:t>Ownership of Common Stock</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left"/>
        <w:rPr>
          <w:rFonts w:ascii="Arial;sans-serif" w:hAnsi="Arial;sans-serif"/>
          <w:b/>
          <w:color w:val="000000"/>
          <w:sz w:val="22"/>
        </w:rPr>
      </w:pPr>
      <w:bookmarkStart w:id="7" w:name="ic8205a2860284f95b5a0a3c78248fae0_25904"/>
      <w:bookmarkEnd w:id="7"/>
      <w:r>
        <w:rPr>
          <w:rFonts w:ascii="Arial;sans-serif" w:hAnsi="Arial;sans-serif"/>
          <w:b/>
          <w:color w:val="000000"/>
          <w:sz w:val="22"/>
        </w:rPr>
        <w:t>DIRECTORS AND EXECUTIVE OFFICERS</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The following table includes information about how much of our common stock (our only outstanding class of equity securities) is beneficially owned by:</w:t>
      </w:r>
    </w:p>
    <w:p>
      <w:pPr>
        <w:pStyle w:val="TextBody"/>
        <w:bidi w:val="0"/>
        <w:spacing w:lineRule="auto" w:line="288" w:before="0" w:after="180"/>
        <w:ind w:left="0" w:right="0" w:hanging="216"/>
        <w:jc w:val="both"/>
        <w:rPr/>
      </w:pPr>
      <w:r>
        <w:rPr>
          <w:color w:val="000000"/>
        </w:rPr>
        <w:t>•</w:t>
      </w:r>
      <w:r>
        <w:rPr>
          <w:rFonts w:ascii="Arial;sans-serif" w:hAnsi="Arial;sans-serif"/>
          <w:b w:val="false"/>
          <w:color w:val="000000"/>
          <w:sz w:val="18"/>
        </w:rPr>
        <w:t>Each director and nominee for director;</w:t>
      </w:r>
    </w:p>
    <w:p>
      <w:pPr>
        <w:pStyle w:val="TextBody"/>
        <w:bidi w:val="0"/>
        <w:spacing w:lineRule="auto" w:line="288" w:before="0" w:after="180"/>
        <w:ind w:left="0" w:right="0" w:hanging="216"/>
        <w:jc w:val="both"/>
        <w:rPr/>
      </w:pPr>
      <w:r>
        <w:rPr>
          <w:color w:val="000000"/>
        </w:rPr>
        <w:t>•</w:t>
      </w:r>
      <w:r>
        <w:rPr>
          <w:rFonts w:ascii="Arial;sans-serif" w:hAnsi="Arial;sans-serif"/>
          <w:b w:val="false"/>
          <w:color w:val="000000"/>
          <w:sz w:val="18"/>
        </w:rPr>
        <w:t>Each named executive officer included in the Summary Compensation Table on page 38; and</w:t>
      </w:r>
    </w:p>
    <w:p>
      <w:pPr>
        <w:pStyle w:val="TextBody"/>
        <w:bidi w:val="0"/>
        <w:spacing w:lineRule="auto" w:line="288" w:before="0" w:after="180"/>
        <w:ind w:left="0" w:right="0" w:hanging="216"/>
        <w:jc w:val="both"/>
        <w:rPr/>
      </w:pPr>
      <w:r>
        <w:rPr>
          <w:color w:val="000000"/>
        </w:rPr>
        <w:t>•</w:t>
      </w:r>
      <w:r>
        <w:rPr>
          <w:rFonts w:ascii="Arial;sans-serif" w:hAnsi="Arial;sans-serif"/>
          <w:b w:val="false"/>
          <w:color w:val="000000"/>
          <w:sz w:val="18"/>
        </w:rPr>
        <w:t>All directors and executive officers as a group.</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Unless otherwise noted, amounts and percentages are as of March 18, 2024.</w:t>
      </w:r>
    </w:p>
    <w:tbl>
      <w:tblPr>
        <w:tblW w:w="10205" w:type="dxa"/>
        <w:jc w:val="left"/>
        <w:tblInd w:w="0" w:type="dxa"/>
        <w:tblLayout w:type="fixed"/>
        <w:tblCellMar>
          <w:top w:w="28" w:type="dxa"/>
          <w:left w:w="28" w:type="dxa"/>
          <w:bottom w:w="28" w:type="dxa"/>
          <w:right w:w="28" w:type="dxa"/>
        </w:tblCellMar>
      </w:tblPr>
      <w:tblGrid>
        <w:gridCol w:w="950"/>
        <w:gridCol w:w="753"/>
        <w:gridCol w:w="671"/>
        <w:gridCol w:w="558"/>
        <w:gridCol w:w="423"/>
        <w:gridCol w:w="424"/>
        <w:gridCol w:w="510"/>
        <w:gridCol w:w="509"/>
        <w:gridCol w:w="510"/>
        <w:gridCol w:w="714"/>
        <w:gridCol w:w="707"/>
        <w:gridCol w:w="709"/>
        <w:gridCol w:w="714"/>
        <w:gridCol w:w="558"/>
        <w:gridCol w:w="560"/>
        <w:gridCol w:w="240"/>
        <w:gridCol w:w="241"/>
        <w:gridCol w:w="454"/>
      </w:tblGrid>
      <w:tr>
        <w:trPr/>
        <w:tc>
          <w:tcPr>
            <w:tcW w:w="950"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r>
      <w:tr>
        <w:trPr/>
        <w:tc>
          <w:tcPr>
            <w:tcW w:w="2374" w:type="dxa"/>
            <w:gridSpan w:val="3"/>
            <w:tcBorders>
              <w:top w:val="single" w:sz="4" w:space="0" w:color="000000"/>
              <w:left w:val="single" w:sz="4" w:space="0" w:color="000000"/>
            </w:tcBorders>
            <w:shd w:fill="004C97" w:val="clear"/>
            <w:tcMar>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top w:val="single" w:sz="4" w:space="0" w:color="000000"/>
              <w:left w:val="single" w:sz="4" w:space="0" w:color="000000"/>
              <w:bottom w:val="single" w:sz="4" w:space="0" w:color="000000"/>
            </w:tcBorders>
            <w:shd w:fill="004C97" w:val="clear"/>
            <w:tcMar>
              <w:top w:w="30" w:type="dxa"/>
              <w:bottom w:w="30" w:type="dxa"/>
              <w:right w:w="0" w:type="dxa"/>
            </w:tcMar>
            <w:vAlign w:val="center"/>
          </w:tcPr>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 xml:space="preserve">Number of </w:t>
            </w:r>
          </w:p>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 xml:space="preserve">Shares of Common </w:t>
            </w:r>
          </w:p>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 xml:space="preserve">Stock </w:t>
            </w:r>
          </w:p>
          <w:p>
            <w:pPr>
              <w:pStyle w:val="TableContents"/>
              <w:bidi w:val="0"/>
              <w:spacing w:lineRule="auto" w:line="288" w:before="0" w:after="0"/>
              <w:jc w:val="center"/>
              <w:rPr/>
            </w:pPr>
            <w:r>
              <w:rPr>
                <w:rFonts w:ascii="Arial;sans-serif" w:hAnsi="Arial;sans-serif"/>
                <w:b/>
                <w:color w:val="FFFFFF"/>
                <w:sz w:val="16"/>
              </w:rPr>
              <w:t>Beneficially Owned</w:t>
            </w:r>
            <w:r>
              <w:rPr>
                <w:rFonts w:ascii="Arial;sans-serif" w:hAnsi="Arial;sans-serif"/>
                <w:b/>
                <w:color w:val="FFFFFF"/>
                <w:sz w:val="10"/>
              </w:rPr>
              <w:t>(1)</w:t>
            </w:r>
          </w:p>
        </w:tc>
        <w:tc>
          <w:tcPr>
            <w:tcW w:w="1529" w:type="dxa"/>
            <w:gridSpan w:val="3"/>
            <w:tcBorders>
              <w:top w:val="single" w:sz="4" w:space="0" w:color="000000"/>
              <w:left w:val="single" w:sz="4" w:space="0" w:color="000000"/>
              <w:bottom w:val="single" w:sz="4" w:space="0" w:color="000000"/>
            </w:tcBorders>
            <w:shd w:fill="004C97" w:val="clear"/>
            <w:tcMar>
              <w:top w:w="30" w:type="dxa"/>
              <w:bottom w:w="30" w:type="dxa"/>
              <w:right w:w="0" w:type="dxa"/>
            </w:tcMar>
            <w:vAlign w:val="center"/>
          </w:tcPr>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 xml:space="preserve">Right to </w:t>
            </w:r>
          </w:p>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 xml:space="preserve">Acquire </w:t>
            </w:r>
          </w:p>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 xml:space="preserve">Beneficial Ownership </w:t>
            </w:r>
          </w:p>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 xml:space="preserve">Under Options Exercisable/ </w:t>
            </w:r>
          </w:p>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 xml:space="preserve">Stock Units Distributable </w:t>
            </w:r>
          </w:p>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Within 60</w:t>
            </w:r>
          </w:p>
          <w:p>
            <w:pPr>
              <w:pStyle w:val="TableContents"/>
              <w:bidi w:val="0"/>
              <w:spacing w:lineRule="auto" w:line="288" w:before="0" w:after="0"/>
              <w:jc w:val="center"/>
              <w:rPr/>
            </w:pPr>
            <w:r>
              <w:rPr>
                <w:rFonts w:ascii="Arial;sans-serif" w:hAnsi="Arial;sans-serif"/>
                <w:b/>
                <w:color w:val="FFFFFF"/>
                <w:sz w:val="16"/>
              </w:rPr>
              <w:t>Days</w:t>
            </w:r>
            <w:r>
              <w:rPr>
                <w:rFonts w:ascii="Arial;sans-serif" w:hAnsi="Arial;sans-serif"/>
                <w:b/>
                <w:color w:val="FFFFFF"/>
                <w:sz w:val="10"/>
              </w:rPr>
              <w:t>(2)(3)</w:t>
            </w:r>
          </w:p>
        </w:tc>
        <w:tc>
          <w:tcPr>
            <w:tcW w:w="2130" w:type="dxa"/>
            <w:gridSpan w:val="3"/>
            <w:tcBorders>
              <w:top w:val="single" w:sz="4" w:space="0" w:color="000000"/>
              <w:left w:val="single" w:sz="4" w:space="0" w:color="000000"/>
              <w:bottom w:val="single" w:sz="4" w:space="0" w:color="000000"/>
            </w:tcBorders>
            <w:shd w:fill="004C97" w:val="clear"/>
            <w:tcMar>
              <w:top w:w="30" w:type="dxa"/>
              <w:bottom w:w="30" w:type="dxa"/>
              <w:right w:w="0" w:type="dxa"/>
            </w:tcMar>
            <w:vAlign w:val="center"/>
          </w:tcPr>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 xml:space="preserve">Right to </w:t>
            </w:r>
          </w:p>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 xml:space="preserve">Acquire Beneficial Ownership Under Vested Deferred </w:t>
            </w:r>
          </w:p>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 xml:space="preserve">Stock </w:t>
            </w:r>
          </w:p>
          <w:p>
            <w:pPr>
              <w:pStyle w:val="TableContents"/>
              <w:bidi w:val="0"/>
              <w:spacing w:lineRule="auto" w:line="288" w:before="0" w:after="0"/>
              <w:jc w:val="center"/>
              <w:rPr/>
            </w:pPr>
            <w:r>
              <w:rPr>
                <w:rFonts w:ascii="Arial;sans-serif" w:hAnsi="Arial;sans-serif"/>
                <w:b/>
                <w:color w:val="FFFFFF"/>
                <w:sz w:val="16"/>
              </w:rPr>
              <w:t>Units</w:t>
            </w:r>
            <w:r>
              <w:rPr>
                <w:rFonts w:ascii="Arial;sans-serif" w:hAnsi="Arial;sans-serif"/>
                <w:b/>
                <w:color w:val="FFFFFF"/>
                <w:sz w:val="10"/>
              </w:rPr>
              <w:t>(4)</w:t>
            </w:r>
          </w:p>
        </w:tc>
        <w:tc>
          <w:tcPr>
            <w:tcW w:w="1832" w:type="dxa"/>
            <w:gridSpan w:val="3"/>
            <w:tcBorders>
              <w:top w:val="single" w:sz="4" w:space="0" w:color="000000"/>
              <w:left w:val="single" w:sz="4" w:space="0" w:color="000000"/>
              <w:bottom w:val="single" w:sz="4" w:space="0" w:color="000000"/>
            </w:tcBorders>
            <w:shd w:fill="004C97" w:val="clear"/>
            <w:tcMar>
              <w:top w:w="30" w:type="dxa"/>
              <w:bottom w:w="30" w:type="dxa"/>
              <w:right w:w="0" w:type="dxa"/>
            </w:tcMar>
            <w:vAlign w:val="center"/>
          </w:tcPr>
          <w:p>
            <w:pPr>
              <w:pStyle w:val="TableContents"/>
              <w:bidi w:val="0"/>
              <w:spacing w:lineRule="auto" w:line="288" w:before="0" w:after="0"/>
              <w:jc w:val="center"/>
              <w:rPr/>
            </w:pPr>
            <w:r>
              <w:rPr>
                <w:rFonts w:ascii="Arial;sans-serif" w:hAnsi="Arial;sans-serif"/>
                <w:b/>
                <w:color w:val="FFFFFF"/>
                <w:sz w:val="16"/>
              </w:rPr>
              <w:t>Total Ownership of Common Stock</w:t>
            </w:r>
            <w:r>
              <w:rPr>
                <w:rFonts w:ascii="Arial;sans-serif" w:hAnsi="Arial;sans-serif"/>
                <w:b/>
                <w:color w:val="FFFFFF"/>
                <w:sz w:val="10"/>
              </w:rPr>
              <w:t>(5)</w:t>
            </w:r>
          </w:p>
        </w:tc>
        <w:tc>
          <w:tcPr>
            <w:tcW w:w="935" w:type="dxa"/>
            <w:gridSpan w:val="3"/>
            <w:tcBorders>
              <w:top w:val="single" w:sz="4" w:space="0" w:color="000000"/>
              <w:left w:val="single" w:sz="4" w:space="0" w:color="000000"/>
              <w:bottom w:val="single" w:sz="4" w:space="0" w:color="000000"/>
              <w:right w:val="single" w:sz="4" w:space="0" w:color="000000"/>
            </w:tcBorders>
            <w:shd w:fill="004C97" w:val="clear"/>
            <w:tcMar>
              <w:top w:w="30" w:type="dxa"/>
              <w:bottom w:w="30" w:type="dxa"/>
            </w:tcMar>
            <w:vAlign w:val="center"/>
          </w:tcPr>
          <w:p>
            <w:pPr>
              <w:pStyle w:val="TableContents"/>
              <w:bidi w:val="0"/>
              <w:spacing w:lineRule="auto" w:line="288" w:before="0" w:after="283"/>
              <w:jc w:val="center"/>
              <w:rPr>
                <w:rFonts w:ascii="Arial;sans-serif" w:hAnsi="Arial;sans-serif"/>
                <w:b/>
                <w:color w:val="FFFFFF"/>
                <w:sz w:val="16"/>
              </w:rPr>
            </w:pPr>
            <w:r>
              <w:rPr>
                <w:rFonts w:ascii="Arial;sans-serif" w:hAnsi="Arial;sans-serif"/>
                <w:b/>
                <w:color w:val="FFFFFF"/>
                <w:sz w:val="16"/>
              </w:rPr>
              <w:t xml:space="preserve">Percent </w:t>
              <w:br/>
              <w:t xml:space="preserve">of </w:t>
              <w:br/>
              <w:t>Class</w:t>
            </w:r>
          </w:p>
        </w:tc>
      </w:tr>
      <w:tr>
        <w:trPr/>
        <w:tc>
          <w:tcPr>
            <w:tcW w:w="10205" w:type="dxa"/>
            <w:gridSpan w:val="18"/>
            <w:tcBorders>
              <w:top w:val="single" w:sz="4" w:space="0" w:color="000000"/>
              <w:left w:val="single" w:sz="4" w:space="0" w:color="000000"/>
              <w:right w:val="single" w:sz="4" w:space="0" w:color="000000"/>
            </w:tcBorders>
            <w:shd w:fill="E6E7E8" w:val="clear"/>
            <w:tcMar>
              <w:top w:w="30" w:type="dxa"/>
              <w:left w:w="110" w:type="dxa"/>
              <w:bottom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DIRECTORS AND DIRECTOR NOMINEES WHO ARE NOT NAMED EXECUTIVE OFFICERS</w:t>
            </w:r>
          </w:p>
        </w:tc>
      </w:tr>
      <w:tr>
        <w:trPr/>
        <w:tc>
          <w:tcPr>
            <w:tcW w:w="2374" w:type="dxa"/>
            <w:gridSpan w:val="3"/>
            <w:tcBorders>
              <w:top w:val="single" w:sz="4" w:space="0" w:color="000000"/>
              <w:left w:val="single" w:sz="4" w:space="0" w:color="000000"/>
            </w:tcBorders>
            <w:shd w:fill="FFFFFF" w:val="clear"/>
            <w:tcMar>
              <w:top w:w="30" w:type="dxa"/>
              <w:left w:w="29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Patrick J. O’Leary</w:t>
            </w:r>
          </w:p>
        </w:tc>
        <w:tc>
          <w:tcPr>
            <w:tcW w:w="981" w:type="dxa"/>
            <w:gridSpan w:val="2"/>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15,382 </w:t>
            </w:r>
          </w:p>
        </w:tc>
        <w:tc>
          <w:tcPr>
            <w:tcW w:w="42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10"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2"/>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23,321 </w:t>
            </w:r>
          </w:p>
        </w:tc>
        <w:tc>
          <w:tcPr>
            <w:tcW w:w="7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38,703 </w:t>
            </w:r>
          </w:p>
        </w:tc>
        <w:tc>
          <w:tcPr>
            <w:tcW w:w="560"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single" w:sz="4" w:space="0" w:color="000000"/>
              <w:left w:val="single" w:sz="4" w:space="0" w:color="000000"/>
              <w:right w:val="single" w:sz="4" w:space="0" w:color="000000"/>
            </w:tcBorders>
            <w:shd w:fill="FFFFFF" w:val="clear"/>
            <w:tcMar>
              <w:top w:w="30" w:type="dxa"/>
              <w:bottom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374" w:type="dxa"/>
            <w:gridSpan w:val="3"/>
            <w:tcBorders>
              <w:top w:val="single" w:sz="4" w:space="0" w:color="000000"/>
              <w:left w:val="single" w:sz="4" w:space="0" w:color="000000"/>
            </w:tcBorders>
            <w:shd w:fill="E6E7E8" w:val="clear"/>
            <w:tcMar>
              <w:top w:w="30" w:type="dxa"/>
              <w:left w:w="29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Ricky D. Puckett</w:t>
            </w:r>
          </w:p>
        </w:tc>
        <w:tc>
          <w:tcPr>
            <w:tcW w:w="981" w:type="dxa"/>
            <w:gridSpan w:val="2"/>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26,168 </w:t>
            </w:r>
          </w:p>
        </w:tc>
        <w:tc>
          <w:tcPr>
            <w:tcW w:w="424" w:type="dxa"/>
            <w:tcBorders>
              <w:top w:val="single" w:sz="4" w:space="0" w:color="000000"/>
            </w:tcBorders>
            <w:shd w:fill="E6E7E8"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10" w:type="dxa"/>
            <w:tcBorders>
              <w:top w:val="single" w:sz="4" w:space="0" w:color="000000"/>
            </w:tcBorders>
            <w:shd w:fill="E6E7E8"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2"/>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12,535 </w:t>
            </w:r>
          </w:p>
        </w:tc>
        <w:tc>
          <w:tcPr>
            <w:tcW w:w="709" w:type="dxa"/>
            <w:tcBorders>
              <w:top w:val="single" w:sz="4" w:space="0" w:color="000000"/>
            </w:tcBorders>
            <w:shd w:fill="E6E7E8"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38,703 </w:t>
            </w:r>
          </w:p>
        </w:tc>
        <w:tc>
          <w:tcPr>
            <w:tcW w:w="560" w:type="dxa"/>
            <w:tcBorders>
              <w:top w:val="single" w:sz="4" w:space="0" w:color="000000"/>
            </w:tcBorders>
            <w:shd w:fill="E6E7E8"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single" w:sz="4" w:space="0" w:color="000000"/>
              <w:left w:val="single" w:sz="4" w:space="0" w:color="000000"/>
              <w:right w:val="single" w:sz="4" w:space="0" w:color="000000"/>
            </w:tcBorders>
            <w:shd w:fill="E6E7E8" w:val="clear"/>
            <w:tcMar>
              <w:top w:w="30" w:type="dxa"/>
              <w:bottom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374" w:type="dxa"/>
            <w:gridSpan w:val="3"/>
            <w:tcBorders>
              <w:top w:val="single" w:sz="4" w:space="0" w:color="000000"/>
              <w:left w:val="single" w:sz="4" w:space="0" w:color="000000"/>
            </w:tcBorders>
            <w:shd w:fill="FFFFFF" w:val="clear"/>
            <w:tcMar>
              <w:top w:w="30" w:type="dxa"/>
              <w:left w:w="29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David A. Roberts</w:t>
            </w:r>
          </w:p>
        </w:tc>
        <w:tc>
          <w:tcPr>
            <w:tcW w:w="981" w:type="dxa"/>
            <w:gridSpan w:val="2"/>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30,055 </w:t>
            </w:r>
          </w:p>
        </w:tc>
        <w:tc>
          <w:tcPr>
            <w:tcW w:w="42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10"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2"/>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8,648 </w:t>
            </w:r>
          </w:p>
        </w:tc>
        <w:tc>
          <w:tcPr>
            <w:tcW w:w="7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38,703 </w:t>
            </w:r>
          </w:p>
        </w:tc>
        <w:tc>
          <w:tcPr>
            <w:tcW w:w="560"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single" w:sz="4" w:space="0" w:color="000000"/>
              <w:left w:val="single" w:sz="4" w:space="0" w:color="000000"/>
              <w:right w:val="single" w:sz="4" w:space="0" w:color="000000"/>
            </w:tcBorders>
            <w:shd w:fill="FFFFFF" w:val="clear"/>
            <w:tcMar>
              <w:top w:w="30" w:type="dxa"/>
              <w:bottom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374" w:type="dxa"/>
            <w:gridSpan w:val="3"/>
            <w:tcBorders>
              <w:top w:val="single" w:sz="4" w:space="0" w:color="000000"/>
              <w:left w:val="single" w:sz="4" w:space="0" w:color="000000"/>
            </w:tcBorders>
            <w:shd w:fill="E6E7E8" w:val="clear"/>
            <w:tcMar>
              <w:top w:w="30" w:type="dxa"/>
              <w:left w:w="29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Meenal A. Sethna</w:t>
            </w:r>
          </w:p>
        </w:tc>
        <w:tc>
          <w:tcPr>
            <w:tcW w:w="981" w:type="dxa"/>
            <w:gridSpan w:val="2"/>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4,652 </w:t>
            </w:r>
          </w:p>
        </w:tc>
        <w:tc>
          <w:tcPr>
            <w:tcW w:w="424" w:type="dxa"/>
            <w:tcBorders>
              <w:top w:val="single" w:sz="4" w:space="0" w:color="000000"/>
            </w:tcBorders>
            <w:shd w:fill="E6E7E8"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1,770 </w:t>
            </w:r>
          </w:p>
        </w:tc>
        <w:tc>
          <w:tcPr>
            <w:tcW w:w="510" w:type="dxa"/>
            <w:tcBorders>
              <w:top w:val="single" w:sz="4" w:space="0" w:color="000000"/>
            </w:tcBorders>
            <w:shd w:fill="E6E7E8"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2"/>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7,672 </w:t>
            </w:r>
          </w:p>
        </w:tc>
        <w:tc>
          <w:tcPr>
            <w:tcW w:w="709" w:type="dxa"/>
            <w:tcBorders>
              <w:top w:val="single" w:sz="4" w:space="0" w:color="000000"/>
            </w:tcBorders>
            <w:shd w:fill="E6E7E8"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12,324 </w:t>
            </w:r>
          </w:p>
        </w:tc>
        <w:tc>
          <w:tcPr>
            <w:tcW w:w="560" w:type="dxa"/>
            <w:tcBorders>
              <w:top w:val="single" w:sz="4" w:space="0" w:color="000000"/>
            </w:tcBorders>
            <w:shd w:fill="E6E7E8"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single" w:sz="4" w:space="0" w:color="000000"/>
              <w:left w:val="single" w:sz="4" w:space="0" w:color="000000"/>
              <w:right w:val="single" w:sz="4" w:space="0" w:color="000000"/>
            </w:tcBorders>
            <w:shd w:fill="E6E7E8" w:val="clear"/>
            <w:tcMar>
              <w:top w:w="30" w:type="dxa"/>
              <w:bottom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374" w:type="dxa"/>
            <w:gridSpan w:val="3"/>
            <w:tcBorders>
              <w:top w:val="single" w:sz="4" w:space="0" w:color="000000"/>
              <w:left w:val="single" w:sz="4" w:space="0" w:color="000000"/>
            </w:tcBorders>
            <w:shd w:fill="FFFFFF" w:val="clear"/>
            <w:tcMar>
              <w:top w:w="30" w:type="dxa"/>
              <w:left w:w="29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Ruth G. Shaw</w:t>
            </w:r>
          </w:p>
        </w:tc>
        <w:tc>
          <w:tcPr>
            <w:tcW w:w="981" w:type="dxa"/>
            <w:gridSpan w:val="2"/>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36,635 </w:t>
            </w:r>
          </w:p>
        </w:tc>
        <w:tc>
          <w:tcPr>
            <w:tcW w:w="42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1,770 </w:t>
            </w:r>
          </w:p>
        </w:tc>
        <w:tc>
          <w:tcPr>
            <w:tcW w:w="510"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2"/>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2,068 </w:t>
            </w:r>
          </w:p>
        </w:tc>
        <w:tc>
          <w:tcPr>
            <w:tcW w:w="7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38,703 </w:t>
            </w:r>
          </w:p>
        </w:tc>
        <w:tc>
          <w:tcPr>
            <w:tcW w:w="560"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single" w:sz="4" w:space="0" w:color="000000"/>
              <w:left w:val="single" w:sz="4" w:space="0" w:color="000000"/>
              <w:right w:val="single" w:sz="4" w:space="0" w:color="000000"/>
            </w:tcBorders>
            <w:shd w:fill="FFFFFF" w:val="clear"/>
            <w:tcMar>
              <w:top w:w="30" w:type="dxa"/>
              <w:bottom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374" w:type="dxa"/>
            <w:gridSpan w:val="3"/>
            <w:tcBorders>
              <w:top w:val="single" w:sz="4" w:space="0" w:color="000000"/>
              <w:left w:val="single" w:sz="4" w:space="0" w:color="000000"/>
            </w:tcBorders>
            <w:shd w:fill="E6E7E8" w:val="clear"/>
            <w:tcMar>
              <w:top w:w="30" w:type="dxa"/>
              <w:left w:w="29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Robert B. Toth</w:t>
            </w:r>
          </w:p>
        </w:tc>
        <w:tc>
          <w:tcPr>
            <w:tcW w:w="981" w:type="dxa"/>
            <w:gridSpan w:val="2"/>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23,002 </w:t>
            </w:r>
          </w:p>
        </w:tc>
        <w:tc>
          <w:tcPr>
            <w:tcW w:w="424" w:type="dxa"/>
            <w:tcBorders>
              <w:top w:val="single" w:sz="4" w:space="0" w:color="000000"/>
            </w:tcBorders>
            <w:shd w:fill="E6E7E8"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1,770 </w:t>
            </w:r>
          </w:p>
        </w:tc>
        <w:tc>
          <w:tcPr>
            <w:tcW w:w="510" w:type="dxa"/>
            <w:tcBorders>
              <w:top w:val="single" w:sz="4" w:space="0" w:color="000000"/>
            </w:tcBorders>
            <w:shd w:fill="E6E7E8"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2"/>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709" w:type="dxa"/>
            <w:tcBorders>
              <w:top w:val="single" w:sz="4" w:space="0" w:color="000000"/>
            </w:tcBorders>
            <w:shd w:fill="E6E7E8"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23,002 </w:t>
            </w:r>
          </w:p>
        </w:tc>
        <w:tc>
          <w:tcPr>
            <w:tcW w:w="560" w:type="dxa"/>
            <w:tcBorders>
              <w:top w:val="single" w:sz="4" w:space="0" w:color="000000"/>
            </w:tcBorders>
            <w:shd w:fill="E6E7E8"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single" w:sz="4" w:space="0" w:color="000000"/>
              <w:left w:val="single" w:sz="4" w:space="0" w:color="000000"/>
              <w:right w:val="single" w:sz="4" w:space="0" w:color="000000"/>
            </w:tcBorders>
            <w:shd w:fill="E6E7E8" w:val="clear"/>
            <w:tcMar>
              <w:top w:w="30" w:type="dxa"/>
              <w:bottom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374" w:type="dxa"/>
            <w:gridSpan w:val="3"/>
            <w:tcBorders>
              <w:top w:val="single" w:sz="4" w:space="0" w:color="000000"/>
              <w:left w:val="single" w:sz="4" w:space="0" w:color="000000"/>
            </w:tcBorders>
            <w:shd w:fill="FFFFFF" w:val="clear"/>
            <w:tcMar>
              <w:top w:w="30" w:type="dxa"/>
              <w:left w:w="29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Tana L. Utley</w:t>
            </w:r>
          </w:p>
        </w:tc>
        <w:tc>
          <w:tcPr>
            <w:tcW w:w="981" w:type="dxa"/>
            <w:gridSpan w:val="2"/>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15,382 </w:t>
            </w:r>
          </w:p>
        </w:tc>
        <w:tc>
          <w:tcPr>
            <w:tcW w:w="42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10"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2"/>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23,321 </w:t>
            </w:r>
          </w:p>
        </w:tc>
        <w:tc>
          <w:tcPr>
            <w:tcW w:w="7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38,703 </w:t>
            </w:r>
          </w:p>
        </w:tc>
        <w:tc>
          <w:tcPr>
            <w:tcW w:w="560"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single" w:sz="4" w:space="0" w:color="000000"/>
              <w:left w:val="single" w:sz="4" w:space="0" w:color="000000"/>
              <w:right w:val="single" w:sz="4" w:space="0" w:color="000000"/>
            </w:tcBorders>
            <w:shd w:fill="FFFFFF" w:val="clear"/>
            <w:tcMar>
              <w:top w:w="30" w:type="dxa"/>
              <w:bottom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374" w:type="dxa"/>
            <w:gridSpan w:val="3"/>
            <w:tcBorders>
              <w:top w:val="single" w:sz="4" w:space="0" w:color="000000"/>
              <w:left w:val="single" w:sz="4" w:space="0" w:color="000000"/>
            </w:tcBorders>
            <w:shd w:fill="E6E7E8" w:val="clear"/>
            <w:tcMar>
              <w:top w:w="30" w:type="dxa"/>
              <w:left w:w="29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Angel Shelton Willis</w:t>
            </w:r>
          </w:p>
        </w:tc>
        <w:tc>
          <w:tcPr>
            <w:tcW w:w="981" w:type="dxa"/>
            <w:gridSpan w:val="2"/>
            <w:tcBorders>
              <w:top w:val="single" w:sz="4" w:space="0" w:color="000000"/>
              <w:left w:val="single" w:sz="4" w:space="0" w:color="000000"/>
              <w:bottom w:val="single" w:sz="4" w:space="0" w:color="000000"/>
            </w:tcBorders>
            <w:shd w:fill="E6E7E8" w:val="clear"/>
            <w:tcMar>
              <w:top w:w="3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6,720 </w:t>
            </w:r>
          </w:p>
        </w:tc>
        <w:tc>
          <w:tcPr>
            <w:tcW w:w="424" w:type="dxa"/>
            <w:tcBorders>
              <w:top w:val="single" w:sz="4" w:space="0" w:color="000000"/>
              <w:bottom w:val="single" w:sz="4" w:space="0" w:color="000000"/>
            </w:tcBorders>
            <w:shd w:fill="E6E7E8"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top w:val="single" w:sz="4" w:space="0" w:color="000000"/>
              <w:left w:val="single" w:sz="4" w:space="0" w:color="000000"/>
              <w:bottom w:val="single" w:sz="4" w:space="0" w:color="000000"/>
            </w:tcBorders>
            <w:shd w:fill="E6E7E8" w:val="clear"/>
            <w:tcMar>
              <w:top w:w="3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1,770 </w:t>
            </w:r>
          </w:p>
        </w:tc>
        <w:tc>
          <w:tcPr>
            <w:tcW w:w="510" w:type="dxa"/>
            <w:tcBorders>
              <w:top w:val="single" w:sz="4" w:space="0" w:color="000000"/>
              <w:bottom w:val="single" w:sz="4" w:space="0" w:color="000000"/>
            </w:tcBorders>
            <w:shd w:fill="E6E7E8"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421" w:type="dxa"/>
            <w:gridSpan w:val="2"/>
            <w:tcBorders>
              <w:top w:val="single" w:sz="4" w:space="0" w:color="000000"/>
              <w:left w:val="single" w:sz="4" w:space="0" w:color="000000"/>
              <w:bottom w:val="single" w:sz="4" w:space="0" w:color="000000"/>
            </w:tcBorders>
            <w:shd w:fill="E6E7E8" w:val="clear"/>
            <w:tcMar>
              <w:top w:w="3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709" w:type="dxa"/>
            <w:tcBorders>
              <w:top w:val="single" w:sz="4" w:space="0" w:color="000000"/>
              <w:bottom w:val="single" w:sz="4" w:space="0" w:color="000000"/>
            </w:tcBorders>
            <w:shd w:fill="E6E7E8"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top w:val="single" w:sz="4" w:space="0" w:color="000000"/>
              <w:left w:val="single" w:sz="4" w:space="0" w:color="000000"/>
              <w:bottom w:val="single" w:sz="4" w:space="0" w:color="000000"/>
            </w:tcBorders>
            <w:shd w:fill="E6E7E8" w:val="clear"/>
            <w:tcMar>
              <w:top w:w="3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6,720 </w:t>
            </w:r>
          </w:p>
        </w:tc>
        <w:tc>
          <w:tcPr>
            <w:tcW w:w="560" w:type="dxa"/>
            <w:tcBorders>
              <w:top w:val="single" w:sz="4" w:space="0" w:color="000000"/>
              <w:bottom w:val="single" w:sz="4" w:space="0" w:color="000000"/>
            </w:tcBorders>
            <w:shd w:fill="E6E7E8"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single" w:sz="4" w:space="0" w:color="000000"/>
              <w:left w:val="single" w:sz="4" w:space="0" w:color="000000"/>
              <w:bottom w:val="single" w:sz="4" w:space="0" w:color="000000"/>
              <w:right w:val="single" w:sz="4" w:space="0" w:color="000000"/>
            </w:tcBorders>
            <w:shd w:fill="E6E7E8" w:val="clear"/>
            <w:tcMar>
              <w:top w:w="30" w:type="dxa"/>
              <w:bottom w:w="3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0205" w:type="dxa"/>
            <w:gridSpan w:val="18"/>
            <w:tcBorders>
              <w:top w:val="single" w:sz="4" w:space="0" w:color="000000"/>
              <w:left w:val="single" w:sz="4" w:space="0" w:color="000000"/>
              <w:right w:val="single" w:sz="4" w:space="0" w:color="000000"/>
            </w:tcBorders>
            <w:shd w:fill="FFFFFF" w:val="clear"/>
            <w:tcMar>
              <w:top w:w="30" w:type="dxa"/>
              <w:bottom w:w="0" w:type="dxa"/>
            </w:tcMar>
            <w:vAlign w:val="center"/>
          </w:tcPr>
          <w:p>
            <w:pPr>
              <w:pStyle w:val="TableContents"/>
              <w:bidi w:val="0"/>
              <w:spacing w:lineRule="auto" w:line="288" w:before="0" w:after="0"/>
              <w:jc w:val="left"/>
              <w:rPr>
                <w:rFonts w:ascii="Arial;sans-serif" w:hAnsi="Arial;sans-serif"/>
                <w:b/>
                <w:color w:val="000000"/>
                <w:sz w:val="16"/>
              </w:rPr>
            </w:pPr>
            <w:r>
              <w:rPr>
                <w:rFonts w:ascii="Arial;sans-serif" w:hAnsi="Arial;sans-serif"/>
                <w:b/>
                <w:color w:val="000000"/>
                <w:sz w:val="16"/>
              </w:rPr>
              <w:t>NAMED EXECUTIVE OFFICERS</w:t>
            </w:r>
          </w:p>
        </w:tc>
      </w:tr>
      <w:tr>
        <w:trPr/>
        <w:tc>
          <w:tcPr>
            <w:tcW w:w="2374" w:type="dxa"/>
            <w:gridSpan w:val="3"/>
            <w:tcBorders>
              <w:top w:val="single" w:sz="4" w:space="0" w:color="000000"/>
              <w:left w:val="single" w:sz="4" w:space="0" w:color="000000"/>
            </w:tcBorders>
            <w:shd w:fill="E6E7E8" w:val="clear"/>
            <w:tcMar>
              <w:top w:w="30" w:type="dxa"/>
              <w:left w:w="29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Eugene J. Lowe, III</w:t>
            </w:r>
          </w:p>
        </w:tc>
        <w:tc>
          <w:tcPr>
            <w:tcW w:w="981" w:type="dxa"/>
            <w:gridSpan w:val="2"/>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1,118,705 </w:t>
            </w:r>
          </w:p>
        </w:tc>
        <w:tc>
          <w:tcPr>
            <w:tcW w:w="424" w:type="dxa"/>
            <w:tcBorders>
              <w:top w:val="single" w:sz="4" w:space="0" w:color="000000"/>
            </w:tcBorders>
            <w:shd w:fill="E6E7E8"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562,994 </w:t>
            </w:r>
          </w:p>
        </w:tc>
        <w:tc>
          <w:tcPr>
            <w:tcW w:w="510" w:type="dxa"/>
            <w:tcBorders>
              <w:top w:val="single" w:sz="4" w:space="0" w:color="000000"/>
            </w:tcBorders>
            <w:shd w:fill="E6E7E8"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2"/>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709" w:type="dxa"/>
            <w:tcBorders>
              <w:top w:val="single" w:sz="4" w:space="0" w:color="000000"/>
            </w:tcBorders>
            <w:shd w:fill="E6E7E8"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1,118,705 </w:t>
            </w:r>
          </w:p>
        </w:tc>
        <w:tc>
          <w:tcPr>
            <w:tcW w:w="560" w:type="dxa"/>
            <w:tcBorders>
              <w:top w:val="single" w:sz="4" w:space="0" w:color="000000"/>
            </w:tcBorders>
            <w:shd w:fill="E6E7E8"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2.39 </w:t>
            </w:r>
          </w:p>
        </w:tc>
        <w:tc>
          <w:tcPr>
            <w:tcW w:w="454" w:type="dxa"/>
            <w:tcBorders>
              <w:top w:val="single" w:sz="4" w:space="0" w:color="000000"/>
              <w:right w:val="single" w:sz="4" w:space="0" w:color="000000"/>
            </w:tcBorders>
            <w:shd w:fill="E6E7E8" w:val="clear"/>
            <w:tcMar>
              <w:top w:w="30" w:type="dxa"/>
              <w:left w:w="0" w:type="dxa"/>
              <w:bottom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374" w:type="dxa"/>
            <w:gridSpan w:val="3"/>
            <w:tcBorders>
              <w:top w:val="single" w:sz="4" w:space="0" w:color="000000"/>
              <w:left w:val="single" w:sz="4" w:space="0" w:color="000000"/>
            </w:tcBorders>
            <w:shd w:fill="FFFFFF" w:val="clear"/>
            <w:tcMar>
              <w:top w:w="30" w:type="dxa"/>
              <w:left w:w="29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Mark A. Carano</w:t>
            </w:r>
          </w:p>
        </w:tc>
        <w:tc>
          <w:tcPr>
            <w:tcW w:w="981" w:type="dxa"/>
            <w:gridSpan w:val="2"/>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3,285 </w:t>
            </w:r>
          </w:p>
        </w:tc>
        <w:tc>
          <w:tcPr>
            <w:tcW w:w="42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1,850 </w:t>
            </w:r>
          </w:p>
        </w:tc>
        <w:tc>
          <w:tcPr>
            <w:tcW w:w="510"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2"/>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7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3,285 </w:t>
            </w:r>
          </w:p>
        </w:tc>
        <w:tc>
          <w:tcPr>
            <w:tcW w:w="560"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single" w:sz="4" w:space="0" w:color="000000"/>
              <w:left w:val="single" w:sz="4" w:space="0" w:color="000000"/>
              <w:right w:val="single" w:sz="4" w:space="0" w:color="000000"/>
            </w:tcBorders>
            <w:shd w:fill="FFFFFF" w:val="clear"/>
            <w:tcMar>
              <w:top w:w="30" w:type="dxa"/>
              <w:bottom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374" w:type="dxa"/>
            <w:gridSpan w:val="3"/>
            <w:tcBorders>
              <w:top w:val="single" w:sz="4" w:space="0" w:color="000000"/>
              <w:left w:val="single" w:sz="4" w:space="0" w:color="000000"/>
            </w:tcBorders>
            <w:shd w:fill="E6E7E8" w:val="clear"/>
            <w:tcMar>
              <w:top w:w="30" w:type="dxa"/>
              <w:left w:w="29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J. Randall Data</w:t>
            </w:r>
          </w:p>
        </w:tc>
        <w:tc>
          <w:tcPr>
            <w:tcW w:w="981" w:type="dxa"/>
            <w:gridSpan w:val="2"/>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72,487 </w:t>
            </w:r>
          </w:p>
        </w:tc>
        <w:tc>
          <w:tcPr>
            <w:tcW w:w="424" w:type="dxa"/>
            <w:tcBorders>
              <w:top w:val="single" w:sz="4" w:space="0" w:color="000000"/>
            </w:tcBorders>
            <w:shd w:fill="E6E7E8"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29,513 </w:t>
            </w:r>
          </w:p>
        </w:tc>
        <w:tc>
          <w:tcPr>
            <w:tcW w:w="510" w:type="dxa"/>
            <w:tcBorders>
              <w:top w:val="single" w:sz="4" w:space="0" w:color="000000"/>
            </w:tcBorders>
            <w:shd w:fill="E6E7E8"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2"/>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709" w:type="dxa"/>
            <w:tcBorders>
              <w:top w:val="single" w:sz="4" w:space="0" w:color="000000"/>
            </w:tcBorders>
            <w:shd w:fill="E6E7E8"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72,487 </w:t>
            </w:r>
          </w:p>
        </w:tc>
        <w:tc>
          <w:tcPr>
            <w:tcW w:w="560" w:type="dxa"/>
            <w:tcBorders>
              <w:top w:val="single" w:sz="4" w:space="0" w:color="000000"/>
            </w:tcBorders>
            <w:shd w:fill="E6E7E8"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single" w:sz="4" w:space="0" w:color="000000"/>
              <w:left w:val="single" w:sz="4" w:space="0" w:color="000000"/>
              <w:right w:val="single" w:sz="4" w:space="0" w:color="000000"/>
            </w:tcBorders>
            <w:shd w:fill="E6E7E8" w:val="clear"/>
            <w:tcMar>
              <w:top w:w="30" w:type="dxa"/>
              <w:bottom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374" w:type="dxa"/>
            <w:gridSpan w:val="3"/>
            <w:tcBorders>
              <w:top w:val="single" w:sz="4" w:space="0" w:color="000000"/>
              <w:left w:val="single" w:sz="4" w:space="0" w:color="000000"/>
            </w:tcBorders>
            <w:shd w:fill="FFFFFF" w:val="clear"/>
            <w:tcMar>
              <w:top w:w="30" w:type="dxa"/>
              <w:left w:w="29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John W. Swann, III</w:t>
            </w:r>
          </w:p>
        </w:tc>
        <w:tc>
          <w:tcPr>
            <w:tcW w:w="981" w:type="dxa"/>
            <w:gridSpan w:val="2"/>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125,299 </w:t>
            </w:r>
          </w:p>
        </w:tc>
        <w:tc>
          <w:tcPr>
            <w:tcW w:w="42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52,312 </w:t>
            </w:r>
          </w:p>
        </w:tc>
        <w:tc>
          <w:tcPr>
            <w:tcW w:w="510"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2"/>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7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125,299 </w:t>
            </w:r>
          </w:p>
        </w:tc>
        <w:tc>
          <w:tcPr>
            <w:tcW w:w="560"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single" w:sz="4" w:space="0" w:color="000000"/>
              <w:left w:val="single" w:sz="4" w:space="0" w:color="000000"/>
              <w:right w:val="single" w:sz="4" w:space="0" w:color="000000"/>
            </w:tcBorders>
            <w:shd w:fill="FFFFFF" w:val="clear"/>
            <w:tcMar>
              <w:top w:w="30" w:type="dxa"/>
              <w:bottom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374" w:type="dxa"/>
            <w:gridSpan w:val="3"/>
            <w:tcBorders>
              <w:top w:val="single" w:sz="4" w:space="0" w:color="000000"/>
              <w:left w:val="single" w:sz="4" w:space="0" w:color="000000"/>
            </w:tcBorders>
            <w:shd w:fill="E6E7E8" w:val="clear"/>
            <w:tcMar>
              <w:top w:w="30" w:type="dxa"/>
              <w:left w:w="29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Sean McClenaghan</w:t>
            </w:r>
          </w:p>
        </w:tc>
        <w:tc>
          <w:tcPr>
            <w:tcW w:w="981" w:type="dxa"/>
            <w:gridSpan w:val="2"/>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61,432 </w:t>
            </w:r>
          </w:p>
        </w:tc>
        <w:tc>
          <w:tcPr>
            <w:tcW w:w="424" w:type="dxa"/>
            <w:tcBorders>
              <w:top w:val="single" w:sz="4" w:space="0" w:color="000000"/>
            </w:tcBorders>
            <w:shd w:fill="E6E7E8"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8,843 </w:t>
            </w:r>
          </w:p>
        </w:tc>
        <w:tc>
          <w:tcPr>
            <w:tcW w:w="510" w:type="dxa"/>
            <w:tcBorders>
              <w:top w:val="single" w:sz="4" w:space="0" w:color="000000"/>
            </w:tcBorders>
            <w:shd w:fill="E6E7E8"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2"/>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709" w:type="dxa"/>
            <w:tcBorders>
              <w:top w:val="single" w:sz="4" w:space="0" w:color="000000"/>
            </w:tcBorders>
            <w:shd w:fill="E6E7E8"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61,432 </w:t>
            </w:r>
          </w:p>
        </w:tc>
        <w:tc>
          <w:tcPr>
            <w:tcW w:w="560" w:type="dxa"/>
            <w:tcBorders>
              <w:top w:val="single" w:sz="4" w:space="0" w:color="000000"/>
            </w:tcBorders>
            <w:shd w:fill="E6E7E8"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single" w:sz="4" w:space="0" w:color="000000"/>
              <w:left w:val="single" w:sz="4" w:space="0" w:color="000000"/>
              <w:right w:val="single" w:sz="4" w:space="0" w:color="000000"/>
            </w:tcBorders>
            <w:shd w:fill="E6E7E8" w:val="clear"/>
            <w:tcMar>
              <w:top w:w="30" w:type="dxa"/>
              <w:bottom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374" w:type="dxa"/>
            <w:gridSpan w:val="3"/>
            <w:tcBorders>
              <w:top w:val="single" w:sz="4" w:space="0" w:color="000000"/>
              <w:left w:val="single" w:sz="4" w:space="0" w:color="000000"/>
            </w:tcBorders>
            <w:shd w:fill="FFFFFF" w:val="clear"/>
            <w:tcMar>
              <w:top w:w="30" w:type="dxa"/>
              <w:left w:w="29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Michael A. Reilly</w:t>
            </w:r>
          </w:p>
        </w:tc>
        <w:tc>
          <w:tcPr>
            <w:tcW w:w="981" w:type="dxa"/>
            <w:gridSpan w:val="2"/>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18,414 </w:t>
            </w:r>
          </w:p>
        </w:tc>
        <w:tc>
          <w:tcPr>
            <w:tcW w:w="42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10,257 </w:t>
            </w:r>
          </w:p>
        </w:tc>
        <w:tc>
          <w:tcPr>
            <w:tcW w:w="510"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2"/>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7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18,414 </w:t>
            </w:r>
          </w:p>
        </w:tc>
        <w:tc>
          <w:tcPr>
            <w:tcW w:w="560"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single" w:sz="4" w:space="0" w:color="000000"/>
              <w:left w:val="single" w:sz="4" w:space="0" w:color="000000"/>
              <w:right w:val="single" w:sz="4" w:space="0" w:color="000000"/>
            </w:tcBorders>
            <w:shd w:fill="FFFFFF" w:val="clear"/>
            <w:tcMar>
              <w:top w:w="30" w:type="dxa"/>
              <w:bottom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37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0" w:after="0"/>
              <w:jc w:val="left"/>
              <w:rPr>
                <w:rFonts w:ascii="Arial;sans-serif" w:hAnsi="Arial;sans-serif"/>
                <w:b/>
                <w:color w:val="000000"/>
                <w:sz w:val="16"/>
              </w:rPr>
            </w:pPr>
            <w:r>
              <w:rPr>
                <w:rFonts w:ascii="Arial;sans-serif" w:hAnsi="Arial;sans-serif"/>
                <w:b/>
                <w:color w:val="000000"/>
                <w:sz w:val="16"/>
              </w:rPr>
              <w:t>All directors and executive officers as a group (15 persons)</w:t>
            </w:r>
          </w:p>
        </w:tc>
        <w:tc>
          <w:tcPr>
            <w:tcW w:w="981" w:type="dxa"/>
            <w:gridSpan w:val="2"/>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1,659,538</w:t>
            </w:r>
            <w:r>
              <w:rPr>
                <w:color w:val="000000"/>
              </w:rPr>
              <w:t> </w:t>
            </w:r>
          </w:p>
        </w:tc>
        <w:tc>
          <w:tcPr>
            <w:tcW w:w="424"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731,864</w:t>
            </w:r>
            <w:r>
              <w:rPr>
                <w:color w:val="000000"/>
              </w:rPr>
              <w:t> </w:t>
            </w:r>
          </w:p>
        </w:tc>
        <w:tc>
          <w:tcPr>
            <w:tcW w:w="510"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421" w:type="dxa"/>
            <w:gridSpan w:val="2"/>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77,565</w:t>
            </w:r>
            <w:r>
              <w:rPr>
                <w:color w:val="000000"/>
              </w:rPr>
              <w:t> </w:t>
            </w:r>
          </w:p>
        </w:tc>
        <w:tc>
          <w:tcPr>
            <w:tcW w:w="709"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1,737,103</w:t>
            </w:r>
            <w:r>
              <w:rPr>
                <w:color w:val="000000"/>
              </w:rPr>
              <w:t> </w:t>
            </w:r>
          </w:p>
        </w:tc>
        <w:tc>
          <w:tcPr>
            <w:tcW w:w="560"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3.53</w:t>
            </w:r>
            <w:r>
              <w:rPr>
                <w:color w:val="000000"/>
              </w:rPr>
              <w:t> </w:t>
            </w:r>
          </w:p>
        </w:tc>
        <w:tc>
          <w:tcPr>
            <w:tcW w:w="454" w:type="dxa"/>
            <w:tcBorders>
              <w:top w:val="single" w:sz="4" w:space="0" w:color="000000"/>
              <w:bottom w:val="single" w:sz="4" w:space="0" w:color="000000"/>
              <w:right w:val="single" w:sz="4" w:space="0" w:color="000000"/>
            </w:tcBorders>
            <w:tcMar>
              <w:top w:w="30" w:type="dxa"/>
              <w:left w:w="0" w:type="dxa"/>
              <w:bottom w:w="3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w:t>
            </w:r>
          </w:p>
        </w:tc>
      </w:tr>
    </w:tbl>
    <w:p>
      <w:pPr>
        <w:pStyle w:val="TextBody"/>
        <w:bidi w:val="0"/>
        <w:spacing w:before="0" w:after="0"/>
        <w:jc w:val="left"/>
        <w:rPr/>
      </w:pPr>
      <w:r>
        <w:rPr/>
      </w:r>
    </w:p>
    <w:p>
      <w:pPr>
        <w:pStyle w:val="TextBody"/>
        <w:bidi w:val="0"/>
        <w:spacing w:lineRule="auto" w:line="288" w:before="0" w:after="60"/>
        <w:jc w:val="left"/>
        <w:rPr>
          <w:rFonts w:ascii="Arial;sans-serif" w:hAnsi="Arial;sans-serif"/>
          <w:b w:val="false"/>
          <w:color w:val="000000"/>
          <w:sz w:val="14"/>
        </w:rPr>
      </w:pPr>
      <w:r>
        <w:rPr>
          <w:rFonts w:ascii="Arial;sans-serif" w:hAnsi="Arial;sans-serif"/>
          <w:b w:val="false"/>
          <w:color w:val="000000"/>
          <w:sz w:val="14"/>
        </w:rPr>
        <w:t>* Less than 1.0%</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6480175" cy="739140"/>
                <wp:effectExtent l="0" t="0" r="0" b="0"/>
                <wp:wrapNone/>
                <wp:docPr id="92" name="Frame27"/>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292" w:type="dxa"/>
                              <w:jc w:val="right"/>
                              <w:tblInd w:w="0" w:type="dxa"/>
                              <w:tblLayout w:type="fixed"/>
                              <w:tblCellMar>
                                <w:top w:w="28" w:type="dxa"/>
                                <w:left w:w="28" w:type="dxa"/>
                                <w:bottom w:w="28" w:type="dxa"/>
                                <w:right w:w="28" w:type="dxa"/>
                              </w:tblCellMar>
                            </w:tblPr>
                            <w:tblGrid>
                              <w:gridCol w:w="292"/>
                              <w:gridCol w:w="256"/>
                              <w:gridCol w:w="258"/>
                              <w:gridCol w:w="704"/>
                              <w:gridCol w:w="704"/>
                              <w:gridCol w:w="706"/>
                              <w:gridCol w:w="109"/>
                              <w:gridCol w:w="109"/>
                              <w:gridCol w:w="154"/>
                            </w:tblGrid>
                            <w:tr>
                              <w:trPr/>
                              <w:tc>
                                <w:tcPr>
                                  <w:tcW w:w="29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0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93"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Image46" descr=""/>
                                                <pic:cNvPicPr>
                                                  <a:picLocks noChangeAspect="1" noChangeArrowheads="1"/>
                                                </pic:cNvPicPr>
                                              </pic:nvPicPr>
                                              <pic:blipFill>
                                                <a:blip r:embed="rId67"/>
                                                <a:stretch>
                                                  <a:fillRect/>
                                                </a:stretch>
                                              </pic:blipFill>
                                              <pic:spPr bwMode="auto">
                                                <a:xfrm>
                                                  <a:off x="0" y="0"/>
                                                  <a:ext cx="447675" cy="161925"/>
                                                </a:xfrm>
                                                <a:prstGeom prst="rect">
                                                  <a:avLst/>
                                                </a:prstGeom>
                                              </pic:spPr>
                                            </pic:pic>
                                          </a:graphicData>
                                        </a:graphic>
                                      </wp:inline>
                                    </w:drawing>
                                  </w:r>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2024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000000"/>
                                      <w:sz w:val="16"/>
                                    </w:rPr>
                                  </w:pPr>
                                  <w:r>
                                    <w:rPr>
                                      <w:rFonts w:ascii="Arial;sans-serif" w:hAnsi="Arial;sans-serif"/>
                                      <w:b/>
                                      <w:color w:val="000000"/>
                                      <w:sz w:val="16"/>
                                    </w:rPr>
                                    <w:t>21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292" w:type="dxa"/>
                        <w:jc w:val="right"/>
                        <w:tblInd w:w="0" w:type="dxa"/>
                        <w:tblLayout w:type="fixed"/>
                        <w:tblCellMar>
                          <w:top w:w="28" w:type="dxa"/>
                          <w:left w:w="28" w:type="dxa"/>
                          <w:bottom w:w="28" w:type="dxa"/>
                          <w:right w:w="28" w:type="dxa"/>
                        </w:tblCellMar>
                      </w:tblPr>
                      <w:tblGrid>
                        <w:gridCol w:w="292"/>
                        <w:gridCol w:w="256"/>
                        <w:gridCol w:w="258"/>
                        <w:gridCol w:w="704"/>
                        <w:gridCol w:w="704"/>
                        <w:gridCol w:w="706"/>
                        <w:gridCol w:w="109"/>
                        <w:gridCol w:w="109"/>
                        <w:gridCol w:w="154"/>
                      </w:tblGrid>
                      <w:tr>
                        <w:trPr/>
                        <w:tc>
                          <w:tcPr>
                            <w:tcW w:w="29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0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94"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46" descr=""/>
                                          <pic:cNvPicPr>
                                            <a:picLocks noChangeAspect="1" noChangeArrowheads="1"/>
                                          </pic:cNvPicPr>
                                        </pic:nvPicPr>
                                        <pic:blipFill>
                                          <a:blip r:embed="rId68"/>
                                          <a:stretch>
                                            <a:fillRect/>
                                          </a:stretch>
                                        </pic:blipFill>
                                        <pic:spPr bwMode="auto">
                                          <a:xfrm>
                                            <a:off x="0" y="0"/>
                                            <a:ext cx="447675" cy="161925"/>
                                          </a:xfrm>
                                          <a:prstGeom prst="rect">
                                            <a:avLst/>
                                          </a:prstGeom>
                                        </pic:spPr>
                                      </pic:pic>
                                    </a:graphicData>
                                  </a:graphic>
                                </wp:inline>
                              </w:drawing>
                            </w:r>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2024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000000"/>
                                <w:sz w:val="16"/>
                              </w:rPr>
                            </w:pPr>
                            <w:r>
                              <w:rPr>
                                <w:rFonts w:ascii="Arial;sans-serif" w:hAnsi="Arial;sans-serif"/>
                                <w:b/>
                                <w:color w:val="000000"/>
                                <w:sz w:val="16"/>
                              </w:rPr>
                              <w:t>21</w:t>
                            </w:r>
                          </w:p>
                        </w:tc>
                      </w:tr>
                    </w:tbl>
                    <w:p>
                      <w:pPr>
                        <w:pStyle w:val="TextBody"/>
                        <w:bidi w:val="0"/>
                        <w:spacing w:before="0" w:after="283"/>
                        <w:jc w:val="left"/>
                        <w:rPr/>
                      </w:pPr>
                      <w:r>
                        <w:rPr/>
                      </w:r>
                    </w:p>
                  </w:txbxContent>
                </v:textbox>
                <w10:wrap type="none"/>
              </v:rect>
            </w:pict>
          </mc:Fallback>
        </mc:AlternateContent>
      </w:r>
    </w:p>
    <w:tbl>
      <w:tblPr>
        <w:tblW w:w="2894" w:type="dxa"/>
        <w:jc w:val="right"/>
        <w:tblInd w:w="0" w:type="dxa"/>
        <w:tblLayout w:type="fixed"/>
        <w:tblCellMar>
          <w:top w:w="28" w:type="dxa"/>
          <w:left w:w="28" w:type="dxa"/>
          <w:bottom w:w="28" w:type="dxa"/>
          <w:right w:w="28" w:type="dxa"/>
        </w:tblCellMar>
      </w:tblPr>
      <w:tblGrid>
        <w:gridCol w:w="927"/>
        <w:gridCol w:w="813"/>
        <w:gridCol w:w="1154"/>
      </w:tblGrid>
      <w:tr>
        <w:trPr/>
        <w:tc>
          <w:tcPr>
            <w:tcW w:w="927"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r>
      <w:tr>
        <w:trPr/>
        <w:tc>
          <w:tcPr>
            <w:tcW w:w="2894" w:type="dxa"/>
            <w:gridSpan w:val="3"/>
            <w:tcBorders>
              <w:bottom w:val="single" w:sz="4" w:space="0" w:color="004C97"/>
            </w:tcBorders>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4C97"/>
                <w:sz w:val="16"/>
              </w:rPr>
            </w:pPr>
            <w:r>
              <w:rPr>
                <w:rFonts w:ascii="Arial;sans-serif" w:hAnsi="Arial;sans-serif"/>
                <w:b w:val="false"/>
                <w:color w:val="004C97"/>
                <w:sz w:val="16"/>
              </w:rPr>
              <w:t>OWNERSHIP OF COMMON STOCK</w:t>
            </w:r>
          </w:p>
        </w:tc>
      </w:tr>
    </w:tbl>
    <w:p>
      <w:pPr>
        <w:pStyle w:val="TextBody"/>
        <w:bidi w:val="0"/>
        <w:spacing w:lineRule="auto" w:line="288" w:before="0" w:after="60"/>
        <w:ind w:left="0" w:right="0" w:hanging="360"/>
        <w:jc w:val="both"/>
        <w:rPr>
          <w:rFonts w:ascii="Arial;sans-serif" w:hAnsi="Arial;sans-serif"/>
          <w:b w:val="false"/>
          <w:color w:val="000000"/>
          <w:sz w:val="14"/>
        </w:rPr>
      </w:pPr>
      <w:r>
        <w:rPr>
          <w:rFonts w:ascii="Arial;sans-serif" w:hAnsi="Arial;sans-serif"/>
          <w:b w:val="false"/>
          <w:color w:val="000000"/>
          <w:sz w:val="14"/>
        </w:rPr>
        <w:t>(1)Beneficial ownership is a technical term broadly defined by the SEC to mean more than ownership in the usual sense. In general, beneficial ownership includes any shares a director or officer can vote or transfer, stock options that are exercisable or would become exercisable within 60 days, and other shares a director or officer would have the right to acquire within 60 days. The number of our shares beneficially owned by each of the named executive officers and by all directors, nominees and current executive officers as a group also includes shares represented as held under the individual’s account under the SPX Retirement Savings and Stock Ownership Plan (“401(k) Plan”). The stockholders named in this table have sole voting and investment power for all shares shown as beneficially owned by them. Director RSUs that were electively deferred until six months following separation from service are not included as beneficially owned.</w:t>
      </w:r>
    </w:p>
    <w:p>
      <w:pPr>
        <w:pStyle w:val="TextBody"/>
        <w:bidi w:val="0"/>
        <w:spacing w:lineRule="auto" w:line="288" w:before="0" w:after="60"/>
        <w:ind w:left="0" w:right="0" w:hanging="360"/>
        <w:jc w:val="both"/>
        <w:rPr>
          <w:rFonts w:ascii="Arial;sans-serif" w:hAnsi="Arial;sans-serif"/>
          <w:b w:val="false"/>
          <w:color w:val="000000"/>
          <w:sz w:val="14"/>
        </w:rPr>
      </w:pPr>
      <w:r>
        <w:rPr>
          <w:rFonts w:ascii="Arial;sans-serif" w:hAnsi="Arial;sans-serif"/>
          <w:b w:val="false"/>
          <w:color w:val="000000"/>
          <w:sz w:val="14"/>
        </w:rPr>
        <w:t>(2)Represents shares of our common stock issuable under options that are exercisable or become exercisable within 60 days of March 18, 2024 and RSUs that vest within 60 days of March 18, 2024. Such shares are included in the number of shares of common stock beneficially owned as presented in the preceding column on this table.</w:t>
      </w:r>
    </w:p>
    <w:p>
      <w:pPr>
        <w:pStyle w:val="TextBody"/>
        <w:bidi w:val="0"/>
        <w:spacing w:lineRule="auto" w:line="288" w:before="0" w:after="60"/>
        <w:ind w:left="0" w:right="0" w:hanging="360"/>
        <w:jc w:val="both"/>
        <w:rPr>
          <w:rFonts w:ascii="Arial;sans-serif" w:hAnsi="Arial;sans-serif"/>
          <w:b w:val="false"/>
          <w:color w:val="000000"/>
          <w:sz w:val="14"/>
        </w:rPr>
      </w:pPr>
      <w:r>
        <w:rPr>
          <w:rFonts w:ascii="Arial;sans-serif" w:hAnsi="Arial;sans-serif"/>
          <w:b w:val="false"/>
          <w:color w:val="000000"/>
          <w:sz w:val="14"/>
        </w:rPr>
        <w:t>(3)Includes shares beneficially owned through the 401(k) Plan on March 18, 2024 for each of the following: Mr. Lowe, 4,888 shares; Mr. Carano, 216 shares; Mr. Data, 3,625 shares; Mr. Swann, 4,057 shares; Mr. McClenaghan, 289 shares; and all directors, nominees and current executive officers as a group, 41,107 shares. Non-employee directors do not participate in our 401(k) Plan.</w:t>
      </w:r>
    </w:p>
    <w:p>
      <w:pPr>
        <w:pStyle w:val="TextBody"/>
        <w:bidi w:val="0"/>
        <w:spacing w:lineRule="auto" w:line="288" w:before="0" w:after="60"/>
        <w:ind w:left="0" w:right="0" w:hanging="360"/>
        <w:jc w:val="both"/>
        <w:rPr>
          <w:rFonts w:ascii="Arial;sans-serif" w:hAnsi="Arial;sans-serif"/>
          <w:b w:val="false"/>
          <w:color w:val="000000"/>
          <w:sz w:val="14"/>
        </w:rPr>
      </w:pPr>
      <w:r>
        <w:rPr>
          <w:rFonts w:ascii="Arial;sans-serif" w:hAnsi="Arial;sans-serif"/>
          <w:b w:val="false"/>
          <w:color w:val="000000"/>
          <w:sz w:val="14"/>
        </w:rPr>
        <w:t>(4)Includes vested RSUs issuable under the Director Deferral Election Program which are delivered six months following separation from Board service.</w:t>
      </w:r>
    </w:p>
    <w:p>
      <w:pPr>
        <w:pStyle w:val="TextBody"/>
        <w:bidi w:val="0"/>
        <w:spacing w:lineRule="auto" w:line="288" w:before="0" w:after="240"/>
        <w:ind w:left="0" w:right="0" w:hanging="360"/>
        <w:jc w:val="both"/>
        <w:rPr>
          <w:rFonts w:ascii="Arial;sans-serif" w:hAnsi="Arial;sans-serif"/>
          <w:b w:val="false"/>
          <w:color w:val="000000"/>
          <w:sz w:val="14"/>
        </w:rPr>
      </w:pPr>
      <w:r>
        <w:rPr>
          <w:rFonts w:ascii="Arial;sans-serif" w:hAnsi="Arial;sans-serif"/>
          <w:b w:val="false"/>
          <w:color w:val="000000"/>
          <w:sz w:val="14"/>
        </w:rPr>
        <w:t>(5)Includes total shares held by the participant.</w:t>
      </w:r>
    </w:p>
    <w:p>
      <w:pPr>
        <w:pStyle w:val="TextBody"/>
        <w:bidi w:val="0"/>
        <w:spacing w:lineRule="auto" w:line="288" w:before="0" w:after="60"/>
        <w:jc w:val="left"/>
        <w:rPr>
          <w:rFonts w:ascii="Arial;sans-serif" w:hAnsi="Arial;sans-serif"/>
          <w:b/>
          <w:color w:val="000000"/>
          <w:sz w:val="22"/>
        </w:rPr>
      </w:pPr>
      <w:bookmarkStart w:id="8" w:name="ic8205a2860284f95b5a0a3c78248fae0_25905"/>
      <w:bookmarkEnd w:id="8"/>
      <w:r>
        <w:rPr>
          <w:rFonts w:ascii="Arial;sans-serif" w:hAnsi="Arial;sans-serif"/>
          <w:b/>
          <w:color w:val="000000"/>
          <w:sz w:val="22"/>
        </w:rPr>
        <w:t>PRINCIPAL STOCKHOLDERS</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 xml:space="preserve">The following table includes certain information about each person or entity known to us to be the beneficial owner of more than five percent of the issued and outstanding shares of our common stock. </w:t>
      </w:r>
    </w:p>
    <w:tbl>
      <w:tblPr>
        <w:tblW w:w="5908" w:type="dxa"/>
        <w:jc w:val="left"/>
        <w:tblInd w:w="0" w:type="dxa"/>
        <w:tblLayout w:type="fixed"/>
        <w:tblCellMar>
          <w:top w:w="28" w:type="dxa"/>
          <w:left w:w="28" w:type="dxa"/>
          <w:bottom w:w="28" w:type="dxa"/>
          <w:right w:w="28" w:type="dxa"/>
        </w:tblCellMar>
      </w:tblPr>
      <w:tblGrid>
        <w:gridCol w:w="1218"/>
        <w:gridCol w:w="1067"/>
        <w:gridCol w:w="1074"/>
        <w:gridCol w:w="544"/>
        <w:gridCol w:w="544"/>
        <w:gridCol w:w="546"/>
        <w:gridCol w:w="268"/>
        <w:gridCol w:w="268"/>
        <w:gridCol w:w="379"/>
      </w:tblGrid>
      <w:tr>
        <w:trPr/>
        <w:tc>
          <w:tcPr>
            <w:tcW w:w="1218" w:type="dxa"/>
            <w:tcBorders/>
            <w:vAlign w:val="center"/>
          </w:tcPr>
          <w:p>
            <w:pPr>
              <w:pStyle w:val="TableContents"/>
              <w:bidi w:val="0"/>
              <w:spacing w:before="0" w:after="283"/>
              <w:jc w:val="left"/>
              <w:rPr>
                <w:sz w:val="4"/>
                <w:szCs w:val="4"/>
              </w:rPr>
            </w:pPr>
            <w:r>
              <w:rPr>
                <w:sz w:val="4"/>
                <w:szCs w:val="4"/>
              </w:rPr>
            </w:r>
          </w:p>
        </w:tc>
        <w:tc>
          <w:tcPr>
            <w:tcW w:w="1067"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top w:val="single" w:sz="4" w:space="0" w:color="000000"/>
              <w:left w:val="single" w:sz="4" w:space="0" w:color="000000"/>
            </w:tcBorders>
            <w:shd w:fill="004C97"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6"/>
              </w:rPr>
            </w:pPr>
            <w:r>
              <w:rPr>
                <w:rFonts w:ascii="Arial;sans-serif" w:hAnsi="Arial;sans-serif"/>
                <w:b/>
                <w:color w:val="FFFFFF"/>
                <w:sz w:val="16"/>
              </w:rPr>
              <w:t>Name and Address</w:t>
            </w:r>
          </w:p>
        </w:tc>
        <w:tc>
          <w:tcPr>
            <w:tcW w:w="1634" w:type="dxa"/>
            <w:gridSpan w:val="3"/>
            <w:tcBorders>
              <w:top w:val="single" w:sz="4" w:space="0" w:color="000000"/>
              <w:left w:val="single" w:sz="4" w:space="0" w:color="000000"/>
            </w:tcBorders>
            <w:shd w:fill="004C97"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6"/>
              </w:rPr>
            </w:pPr>
            <w:r>
              <w:rPr>
                <w:rFonts w:ascii="Arial;sans-serif" w:hAnsi="Arial;sans-serif"/>
                <w:b/>
                <w:color w:val="FFFFFF"/>
                <w:sz w:val="16"/>
              </w:rPr>
              <w:t xml:space="preserve">Shares of </w:t>
              <w:br/>
              <w:t xml:space="preserve">Common Stock </w:t>
              <w:br/>
              <w:t>Beneficially Owned</w:t>
            </w:r>
          </w:p>
        </w:tc>
        <w:tc>
          <w:tcPr>
            <w:tcW w:w="915" w:type="dxa"/>
            <w:gridSpan w:val="3"/>
            <w:tcBorders>
              <w:top w:val="single" w:sz="4" w:space="0" w:color="000000"/>
              <w:left w:val="single" w:sz="4" w:space="0" w:color="000000"/>
              <w:right w:val="single" w:sz="4" w:space="0" w:color="000000"/>
            </w:tcBorders>
            <w:shd w:fill="004C97" w:val="clear"/>
            <w:tcMar>
              <w:top w:w="30" w:type="dxa"/>
              <w:bottom w:w="0" w:type="dxa"/>
            </w:tcMar>
            <w:vAlign w:val="center"/>
          </w:tcPr>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 xml:space="preserve">Percent </w:t>
            </w:r>
          </w:p>
          <w:p>
            <w:pPr>
              <w:pStyle w:val="TableContents"/>
              <w:bidi w:val="0"/>
              <w:spacing w:lineRule="auto" w:line="288" w:before="0" w:after="0"/>
              <w:jc w:val="center"/>
              <w:rPr/>
            </w:pPr>
            <w:r>
              <w:rPr>
                <w:rFonts w:ascii="Arial;sans-serif" w:hAnsi="Arial;sans-serif"/>
                <w:b/>
                <w:color w:val="FFFFFF"/>
                <w:sz w:val="16"/>
              </w:rPr>
              <w:t>of Class</w:t>
            </w:r>
            <w:r>
              <w:rPr>
                <w:rFonts w:ascii="Arial;sans-serif" w:hAnsi="Arial;sans-serif"/>
                <w:b/>
                <w:color w:val="FFFFFF"/>
                <w:sz w:val="10"/>
              </w:rPr>
              <w:t>(1)</w:t>
            </w:r>
          </w:p>
        </w:tc>
      </w:tr>
      <w:tr>
        <w:trPr/>
        <w:tc>
          <w:tcPr>
            <w:tcW w:w="3359" w:type="dxa"/>
            <w:gridSpan w:val="3"/>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BlackRock, Inc.</w:t>
            </w:r>
          </w:p>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50 Hudson Yards</w:t>
            </w:r>
          </w:p>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New York, NY 10001</w:t>
            </w:r>
          </w:p>
        </w:tc>
        <w:tc>
          <w:tcPr>
            <w:tcW w:w="1634" w:type="dxa"/>
            <w:gridSpan w:val="3"/>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40" w:before="0" w:after="0"/>
              <w:jc w:val="center"/>
              <w:rPr/>
            </w:pPr>
            <w:r>
              <w:rPr>
                <w:rFonts w:ascii="Arial;sans-serif" w:hAnsi="Arial;sans-serif"/>
                <w:b w:val="false"/>
                <w:color w:val="000000"/>
                <w:sz w:val="16"/>
              </w:rPr>
              <w:t>6,958,005</w:t>
            </w:r>
            <w:r>
              <w:rPr>
                <w:rFonts w:ascii="Arial;sans-serif" w:hAnsi="Arial;sans-serif"/>
                <w:b w:val="false"/>
                <w:color w:val="000000"/>
                <w:sz w:val="10"/>
              </w:rPr>
              <w:t>(2)</w:t>
            </w:r>
          </w:p>
        </w:tc>
        <w:tc>
          <w:tcPr>
            <w:tcW w:w="915" w:type="dxa"/>
            <w:gridSpan w:val="3"/>
            <w:tcBorders>
              <w:top w:val="single" w:sz="4" w:space="0" w:color="000000"/>
              <w:left w:val="single" w:sz="4" w:space="0" w:color="000000"/>
              <w:right w:val="single" w:sz="4" w:space="0" w:color="000000"/>
            </w:tcBorders>
            <w:shd w:fill="E6E7E8" w:val="clear"/>
            <w:tcMar>
              <w:top w:w="30" w:type="dxa"/>
              <w:bottom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15.23%</w:t>
            </w:r>
          </w:p>
        </w:tc>
      </w:tr>
      <w:tr>
        <w:trPr/>
        <w:tc>
          <w:tcPr>
            <w:tcW w:w="3359"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The Vanguard Group</w:t>
            </w:r>
          </w:p>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100 Vanguard Boulevard</w:t>
            </w:r>
          </w:p>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Malvern, PA 19355</w:t>
            </w:r>
          </w:p>
        </w:tc>
        <w:tc>
          <w:tcPr>
            <w:tcW w:w="1634"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40" w:before="0" w:after="0"/>
              <w:jc w:val="center"/>
              <w:rPr/>
            </w:pPr>
            <w:r>
              <w:rPr>
                <w:rFonts w:ascii="Arial;sans-serif" w:hAnsi="Arial;sans-serif"/>
                <w:b w:val="false"/>
                <w:color w:val="000000"/>
                <w:sz w:val="16"/>
                <w:shd w:fill="FFFFFF" w:val="clear"/>
              </w:rPr>
              <w:t>5,000,918</w:t>
            </w:r>
            <w:r>
              <w:rPr>
                <w:rFonts w:ascii="Arial;sans-serif" w:hAnsi="Arial;sans-serif"/>
                <w:b w:val="false"/>
                <w:color w:val="000000"/>
                <w:sz w:val="10"/>
                <w:shd w:fill="FFFFFF" w:val="clear"/>
              </w:rPr>
              <w:t>(3)</w:t>
            </w:r>
          </w:p>
        </w:tc>
        <w:tc>
          <w:tcPr>
            <w:tcW w:w="915" w:type="dxa"/>
            <w:gridSpan w:val="3"/>
            <w:tcBorders>
              <w:top w:val="single" w:sz="4" w:space="0" w:color="000000"/>
              <w:left w:val="single" w:sz="4" w:space="0" w:color="000000"/>
              <w:right w:val="single" w:sz="4" w:space="0" w:color="000000"/>
            </w:tcBorders>
            <w:shd w:fill="FFFFFF" w:val="clear"/>
            <w:tcMar>
              <w:top w:w="30" w:type="dxa"/>
              <w:bottom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10.95%</w:t>
            </w:r>
          </w:p>
        </w:tc>
      </w:tr>
      <w:tr>
        <w:trPr/>
        <w:tc>
          <w:tcPr>
            <w:tcW w:w="3359" w:type="dxa"/>
            <w:gridSpan w:val="3"/>
            <w:tcBorders>
              <w:top w:val="single" w:sz="4" w:space="0" w:color="000000"/>
              <w:left w:val="single" w:sz="4" w:space="0" w:color="000000"/>
              <w:bottom w:val="single" w:sz="4" w:space="0" w:color="000000"/>
            </w:tcBorders>
            <w:shd w:fill="E6E7E8" w:val="clear"/>
            <w:tcMar>
              <w:top w:w="30" w:type="dxa"/>
              <w:bottom w:w="3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T. Rowe Price Investment Management, Inc.</w:t>
            </w:r>
          </w:p>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101 E. Pratt Street</w:t>
            </w:r>
          </w:p>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Baltimore, MD 21201</w:t>
            </w:r>
          </w:p>
        </w:tc>
        <w:tc>
          <w:tcPr>
            <w:tcW w:w="1634" w:type="dxa"/>
            <w:gridSpan w:val="3"/>
            <w:tcBorders>
              <w:top w:val="single" w:sz="4" w:space="0" w:color="000000"/>
              <w:left w:val="single" w:sz="4" w:space="0" w:color="000000"/>
              <w:bottom w:val="single" w:sz="4" w:space="0" w:color="000000"/>
            </w:tcBorders>
            <w:shd w:fill="E6E7E8" w:val="clear"/>
            <w:tcMar>
              <w:top w:w="30" w:type="dxa"/>
              <w:bottom w:w="30" w:type="dxa"/>
              <w:right w:w="0" w:type="dxa"/>
            </w:tcMar>
            <w:vAlign w:val="center"/>
          </w:tcPr>
          <w:p>
            <w:pPr>
              <w:pStyle w:val="TableContents"/>
              <w:bidi w:val="0"/>
              <w:spacing w:lineRule="auto" w:line="240" w:before="0" w:after="0"/>
              <w:jc w:val="center"/>
              <w:rPr/>
            </w:pPr>
            <w:r>
              <w:rPr>
                <w:rFonts w:ascii="Arial;sans-serif" w:hAnsi="Arial;sans-serif"/>
                <w:b w:val="false"/>
                <w:color w:val="000000"/>
                <w:sz w:val="16"/>
              </w:rPr>
              <w:t>2,459,142</w:t>
            </w:r>
            <w:r>
              <w:rPr>
                <w:rFonts w:ascii="Arial;sans-serif" w:hAnsi="Arial;sans-serif"/>
                <w:b w:val="false"/>
                <w:color w:val="000000"/>
                <w:sz w:val="10"/>
              </w:rPr>
              <w:t>(4)</w:t>
            </w:r>
          </w:p>
        </w:tc>
        <w:tc>
          <w:tcPr>
            <w:tcW w:w="915" w:type="dxa"/>
            <w:gridSpan w:val="3"/>
            <w:tcBorders>
              <w:top w:val="single" w:sz="4" w:space="0" w:color="000000"/>
              <w:left w:val="single" w:sz="4" w:space="0" w:color="000000"/>
              <w:bottom w:val="single" w:sz="4" w:space="0" w:color="000000"/>
              <w:right w:val="single" w:sz="4" w:space="0" w:color="000000"/>
            </w:tcBorders>
            <w:shd w:fill="E6E7E8" w:val="clear"/>
            <w:tcMar>
              <w:top w:w="30" w:type="dxa"/>
              <w:bottom w:w="3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5.38%</w:t>
            </w:r>
          </w:p>
        </w:tc>
      </w:tr>
    </w:tbl>
    <w:p>
      <w:pPr>
        <w:pStyle w:val="TextBody"/>
        <w:bidi w:val="0"/>
        <w:spacing w:lineRule="auto" w:line="288" w:before="0" w:after="60"/>
        <w:ind w:left="0" w:right="0" w:hanging="360"/>
        <w:jc w:val="both"/>
        <w:rPr>
          <w:rFonts w:ascii="Arial;sans-serif" w:hAnsi="Arial;sans-serif"/>
          <w:b w:val="false"/>
          <w:color w:val="000000"/>
          <w:sz w:val="14"/>
          <w:shd w:fill="FFFFFF" w:val="clear"/>
        </w:rPr>
      </w:pPr>
      <w:r>
        <w:rPr>
          <w:rFonts w:ascii="Arial;sans-serif" w:hAnsi="Arial;sans-serif"/>
          <w:b w:val="false"/>
          <w:color w:val="000000"/>
          <w:sz w:val="14"/>
          <w:shd w:fill="FFFFFF" w:val="clear"/>
        </w:rPr>
        <w:t>(1)Ownership percentages set forth in this column are based on the assumption that each of the principal stockholders continued to own, as of February 16, 2024, the number of shares reflected in the table.</w:t>
      </w:r>
    </w:p>
    <w:p>
      <w:pPr>
        <w:pStyle w:val="TextBody"/>
        <w:bidi w:val="0"/>
        <w:spacing w:lineRule="auto" w:line="288" w:before="0" w:after="60"/>
        <w:ind w:left="0" w:right="0" w:hanging="360"/>
        <w:jc w:val="both"/>
        <w:rPr>
          <w:rFonts w:ascii="Arial;sans-serif" w:hAnsi="Arial;sans-serif"/>
          <w:b w:val="false"/>
          <w:color w:val="000000"/>
          <w:sz w:val="14"/>
          <w:shd w:fill="FFFFFF" w:val="clear"/>
        </w:rPr>
      </w:pPr>
      <w:r>
        <w:rPr>
          <w:rFonts w:ascii="Arial;sans-serif" w:hAnsi="Arial;sans-serif"/>
          <w:b w:val="false"/>
          <w:color w:val="000000"/>
          <w:sz w:val="14"/>
          <w:shd w:fill="FFFFFF" w:val="clear"/>
        </w:rPr>
        <w:t>(2)Based on information provided in a Schedule 13G/A filed with the SEC on January 22, 2024 by BlackRock, Inc., and certain affiliated entities (“BlackRock”) reporting beneficial ownership as of December 31, 2023. BlackRock reports having sole voting power with respect to 6,878,301, of the shares and sole dispositive power with respect to all the shares. The Schedule 13G/A indicates that iShares Core S&amp;P Small Cap ETF beneficially owns more than five percent of our outstanding stock.</w:t>
      </w:r>
    </w:p>
    <w:p>
      <w:pPr>
        <w:pStyle w:val="TextBody"/>
        <w:bidi w:val="0"/>
        <w:spacing w:lineRule="auto" w:line="288" w:before="0" w:after="60"/>
        <w:ind w:left="0" w:right="0" w:hanging="360"/>
        <w:jc w:val="both"/>
        <w:rPr>
          <w:rFonts w:ascii="Arial;sans-serif" w:hAnsi="Arial;sans-serif"/>
          <w:b w:val="false"/>
          <w:color w:val="000000"/>
          <w:sz w:val="14"/>
          <w:shd w:fill="FFFFFF" w:val="clear"/>
        </w:rPr>
      </w:pPr>
      <w:r>
        <w:rPr>
          <w:rFonts w:ascii="Arial;sans-serif" w:hAnsi="Arial;sans-serif"/>
          <w:b w:val="false"/>
          <w:color w:val="000000"/>
          <w:sz w:val="14"/>
          <w:shd w:fill="FFFFFF" w:val="clear"/>
        </w:rPr>
        <w:t>(3)Based on information provided in the Schedule 13G/A filed with the SEC on February 13, 2024, by The Vanguard Group (“Vanguard”) reporting beneficial ownership as of December 29, 2023. Vanguard reports having shared voting power with respect to 72,424 of the shares; sole dispositive power with respect to 4,880,092 of the shares; and shared dispositive power with respect to 120,826 of the shares.</w:t>
      </w:r>
    </w:p>
    <w:p>
      <w:pPr>
        <w:pStyle w:val="TextBody"/>
        <w:bidi w:val="0"/>
        <w:spacing w:lineRule="auto" w:line="288" w:before="0" w:after="360"/>
        <w:ind w:left="0" w:right="0" w:hanging="360"/>
        <w:jc w:val="both"/>
        <w:rPr/>
      </w:pPr>
      <w:r>
        <w:rPr>
          <w:rFonts w:ascii="Arial;sans-serif" w:hAnsi="Arial;sans-serif"/>
          <w:b w:val="false"/>
          <w:color w:val="000000"/>
          <w:sz w:val="14"/>
          <w:shd w:fill="FFFFFF" w:val="clear"/>
        </w:rPr>
        <w:t xml:space="preserve">(4)Based on information provided in a Schedule 13G filed with the SEC on February 14, 2024 by </w:t>
      </w:r>
      <w:r>
        <w:rPr>
          <w:rFonts w:ascii="Arial;sans-serif" w:hAnsi="Arial;sans-serif"/>
          <w:b w:val="false"/>
          <w:color w:val="000000"/>
          <w:sz w:val="14"/>
        </w:rPr>
        <w:t>T. Rowe Price Investment Management, Inc. (“T. Rowe Price”) reporting beneficial ownership as of December 31, 2023. T. Rowe Price reports having sole voting power with respect to 1,034,73</w:t>
      </w:r>
      <w:r>
        <w:rPr>
          <w:rFonts w:ascii="Arial;sans-serif" w:hAnsi="Arial;sans-serif"/>
          <w:b w:val="false"/>
          <w:color w:val="000000"/>
          <w:sz w:val="14"/>
          <w:shd w:fill="FFFFFF" w:val="clear"/>
        </w:rPr>
        <w:t>7 o</w:t>
      </w:r>
      <w:r>
        <w:rPr>
          <w:rFonts w:ascii="Arial;sans-serif" w:hAnsi="Arial;sans-serif"/>
          <w:b w:val="false"/>
          <w:color w:val="000000"/>
          <w:sz w:val="14"/>
        </w:rPr>
        <w:t>f the shares and sole dispositive power with respect to all of the shares.</w:t>
      </w:r>
    </w:p>
    <w:p>
      <w:pPr>
        <w:pStyle w:val="TextBody"/>
        <w:bidi w:val="0"/>
        <w:spacing w:lineRule="auto" w:line="288" w:before="0" w:after="0"/>
        <w:jc w:val="left"/>
        <w:rPr>
          <w:rFonts w:ascii="Arial;sans-serif" w:hAnsi="Arial;sans-serif"/>
          <w:b w:val="false"/>
          <w:color w:val="000000"/>
          <w:sz w:val="32"/>
        </w:rPr>
      </w:pPr>
      <w:bookmarkStart w:id="9" w:name="ic8205a2860284f95b5a0a3c78248fae0_25906"/>
      <w:bookmarkEnd w:id="9"/>
      <w:r>
        <w:rPr>
          <w:rFonts w:ascii="Arial;sans-serif" w:hAnsi="Arial;sans-serif"/>
          <w:b w:val="false"/>
          <w:color w:val="000000"/>
          <w:sz w:val="32"/>
        </w:rPr>
        <w:t>Section 16(a) Reports</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Section 16(a) of the Securities Exchange Act of 1934, as amended, requires our directors, officers, and beneficial owners of more than 10% of our outstanding common stock to file with the SEC reports of ownership and changes in ownership. Based solely upon a review of Section 16(a) reports (including amendments) filed with the SEC, no director, officer, or beneficial owner of more than 10% of our outstanding common stock failed to file on a timely basis during 2023 any reports required by Section 16(a).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6480175" cy="739140"/>
                <wp:effectExtent l="0" t="0" r="0" b="0"/>
                <wp:wrapNone/>
                <wp:docPr id="95" name="Frame28"/>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292" w:type="dxa"/>
                              <w:jc w:val="left"/>
                              <w:tblInd w:w="0" w:type="dxa"/>
                              <w:tblLayout w:type="fixed"/>
                              <w:tblCellMar>
                                <w:top w:w="28" w:type="dxa"/>
                                <w:left w:w="28" w:type="dxa"/>
                                <w:bottom w:w="28" w:type="dxa"/>
                                <w:right w:w="28" w:type="dxa"/>
                              </w:tblCellMar>
                            </w:tblPr>
                            <w:tblGrid>
                              <w:gridCol w:w="124"/>
                              <w:gridCol w:w="109"/>
                              <w:gridCol w:w="109"/>
                              <w:gridCol w:w="704"/>
                              <w:gridCol w:w="704"/>
                              <w:gridCol w:w="706"/>
                              <w:gridCol w:w="244"/>
                              <w:gridCol w:w="244"/>
                              <w:gridCol w:w="34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6"/>
                                    </w:rPr>
                                  </w:pPr>
                                  <w:r>
                                    <w:rPr>
                                      <w:rFonts w:ascii="Arial;sans-serif" w:hAnsi="Arial;sans-serif"/>
                                      <w:b/>
                                      <w:color w:val="000000"/>
                                      <w:sz w:val="16"/>
                                    </w:rPr>
                                    <w:t>22</w:t>
                                  </w:r>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2024 PROXY STATEMENT</w:t>
                                  </w:r>
                                </w:p>
                              </w:tc>
                              <w:tc>
                                <w:tcPr>
                                  <w:tcW w:w="83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96"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Image47" descr=""/>
                                                <pic:cNvPicPr>
                                                  <a:picLocks noChangeAspect="1" noChangeArrowheads="1"/>
                                                </pic:cNvPicPr>
                                              </pic:nvPicPr>
                                              <pic:blipFill>
                                                <a:blip r:embed="rId69"/>
                                                <a:stretch>
                                                  <a:fillRect/>
                                                </a:stretch>
                                              </pic:blipFill>
                                              <pic:spPr bwMode="auto">
                                                <a:xfrm>
                                                  <a:off x="0" y="0"/>
                                                  <a:ext cx="447675" cy="161925"/>
                                                </a:xfrm>
                                                <a:prstGeom prst="rect">
                                                  <a:avLst/>
                                                </a:prstGeom>
                                              </pic:spPr>
                                            </pic:pic>
                                          </a:graphicData>
                                        </a:graphic>
                                      </wp:inline>
                                    </w:drawing>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292" w:type="dxa"/>
                        <w:jc w:val="left"/>
                        <w:tblInd w:w="0" w:type="dxa"/>
                        <w:tblLayout w:type="fixed"/>
                        <w:tblCellMar>
                          <w:top w:w="28" w:type="dxa"/>
                          <w:left w:w="28" w:type="dxa"/>
                          <w:bottom w:w="28" w:type="dxa"/>
                          <w:right w:w="28" w:type="dxa"/>
                        </w:tblCellMar>
                      </w:tblPr>
                      <w:tblGrid>
                        <w:gridCol w:w="124"/>
                        <w:gridCol w:w="109"/>
                        <w:gridCol w:w="109"/>
                        <w:gridCol w:w="704"/>
                        <w:gridCol w:w="704"/>
                        <w:gridCol w:w="706"/>
                        <w:gridCol w:w="244"/>
                        <w:gridCol w:w="244"/>
                        <w:gridCol w:w="34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6"/>
                              </w:rPr>
                            </w:pPr>
                            <w:r>
                              <w:rPr>
                                <w:rFonts w:ascii="Arial;sans-serif" w:hAnsi="Arial;sans-serif"/>
                                <w:b/>
                                <w:color w:val="000000"/>
                                <w:sz w:val="16"/>
                              </w:rPr>
                              <w:t>22</w:t>
                            </w:r>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2024 PROXY STATEMENT</w:t>
                            </w:r>
                          </w:p>
                        </w:tc>
                        <w:tc>
                          <w:tcPr>
                            <w:tcW w:w="83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97"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Image47" descr=""/>
                                          <pic:cNvPicPr>
                                            <a:picLocks noChangeAspect="1" noChangeArrowheads="1"/>
                                          </pic:cNvPicPr>
                                        </pic:nvPicPr>
                                        <pic:blipFill>
                                          <a:blip r:embed="rId70"/>
                                          <a:stretch>
                                            <a:fillRect/>
                                          </a:stretch>
                                        </pic:blipFill>
                                        <pic:spPr bwMode="auto">
                                          <a:xfrm>
                                            <a:off x="0" y="0"/>
                                            <a:ext cx="447675" cy="161925"/>
                                          </a:xfrm>
                                          <a:prstGeom prst="rect">
                                            <a:avLst/>
                                          </a:prstGeom>
                                        </pic:spPr>
                                      </pic:pic>
                                    </a:graphicData>
                                  </a:graphic>
                                </wp:inline>
                              </w:drawing>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312" w:before="0" w:after="240"/>
        <w:jc w:val="left"/>
        <w:rPr>
          <w:rFonts w:ascii="Arial;sans-serif" w:hAnsi="Arial;sans-serif"/>
          <w:b/>
          <w:color w:val="004C97"/>
          <w:sz w:val="42"/>
        </w:rPr>
      </w:pPr>
      <w:r>
        <w:rPr>
          <w:rFonts w:ascii="Arial;sans-serif" w:hAnsi="Arial;sans-serif"/>
          <w:b/>
          <w:color w:val="004C97"/>
          <w:sz w:val="42"/>
        </w:rPr>
        <w:t>EXECUTIVE COMPENSATION</w:t>
      </w:r>
    </w:p>
    <w:p>
      <w:pPr>
        <w:pStyle w:val="TextBody"/>
        <w:bidi w:val="0"/>
        <w:spacing w:lineRule="auto" w:line="288" w:before="0" w:after="0"/>
        <w:jc w:val="left"/>
        <w:rPr>
          <w:rFonts w:ascii="Arial;sans-serif" w:hAnsi="Arial;sans-serif"/>
          <w:b w:val="false"/>
          <w:color w:val="000000"/>
          <w:sz w:val="32"/>
        </w:rPr>
      </w:pPr>
      <w:bookmarkStart w:id="10" w:name="i52e69073c4b44be18b26bb8ffcaf1259_294474"/>
      <w:bookmarkEnd w:id="10"/>
      <w:r>
        <w:rPr>
          <w:rFonts w:ascii="Arial;sans-serif" w:hAnsi="Arial;sans-serif"/>
          <w:b w:val="false"/>
          <w:color w:val="000000"/>
          <w:sz w:val="32"/>
        </w:rPr>
        <w:t>Compensation Discussion and Analysis</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left"/>
        <w:rPr>
          <w:rFonts w:ascii="Arial;sans-serif" w:hAnsi="Arial;sans-serif"/>
          <w:b/>
          <w:color w:val="000000"/>
          <w:sz w:val="22"/>
        </w:rPr>
      </w:pPr>
      <w:r>
        <w:rPr>
          <w:rFonts w:ascii="Arial;sans-serif" w:hAnsi="Arial;sans-serif"/>
          <w:b/>
          <w:color w:val="000000"/>
          <w:sz w:val="22"/>
        </w:rPr>
        <w:t>INTRODUCTION</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This Compensation Discussion and Analysis (“CD&amp;A”) provides information about our executive compensation program and the factors considered in making compensation decisions for the current and former executive officers listed in our Summary Compensation Table set forth below (the “named executive officers” or “NEOs”).</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Our NEOs for 2023, and their current respective titles, are listed in the table below:</w:t>
      </w:r>
    </w:p>
    <w:tbl>
      <w:tblPr>
        <w:tblW w:w="9149" w:type="dxa"/>
        <w:jc w:val="left"/>
        <w:tblInd w:w="0" w:type="dxa"/>
        <w:tblLayout w:type="fixed"/>
        <w:tblCellMar>
          <w:top w:w="28" w:type="dxa"/>
          <w:left w:w="28" w:type="dxa"/>
          <w:bottom w:w="28" w:type="dxa"/>
          <w:right w:w="28" w:type="dxa"/>
        </w:tblCellMar>
      </w:tblPr>
      <w:tblGrid>
        <w:gridCol w:w="750"/>
        <w:gridCol w:w="659"/>
        <w:gridCol w:w="661"/>
        <w:gridCol w:w="2065"/>
        <w:gridCol w:w="2065"/>
        <w:gridCol w:w="2949"/>
      </w:tblGrid>
      <w:tr>
        <w:trPr/>
        <w:tc>
          <w:tcPr>
            <w:tcW w:w="750"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2065" w:type="dxa"/>
            <w:tcBorders/>
            <w:vAlign w:val="center"/>
          </w:tcPr>
          <w:p>
            <w:pPr>
              <w:pStyle w:val="TableContents"/>
              <w:bidi w:val="0"/>
              <w:spacing w:before="0" w:after="283"/>
              <w:jc w:val="left"/>
              <w:rPr>
                <w:sz w:val="4"/>
                <w:szCs w:val="4"/>
              </w:rPr>
            </w:pPr>
            <w:r>
              <w:rPr>
                <w:sz w:val="4"/>
                <w:szCs w:val="4"/>
              </w:rPr>
            </w:r>
          </w:p>
        </w:tc>
        <w:tc>
          <w:tcPr>
            <w:tcW w:w="2065" w:type="dxa"/>
            <w:tcBorders/>
            <w:vAlign w:val="center"/>
          </w:tcPr>
          <w:p>
            <w:pPr>
              <w:pStyle w:val="TableContents"/>
              <w:bidi w:val="0"/>
              <w:spacing w:before="0" w:after="283"/>
              <w:jc w:val="left"/>
              <w:rPr>
                <w:sz w:val="4"/>
                <w:szCs w:val="4"/>
              </w:rPr>
            </w:pPr>
            <w:r>
              <w:rPr>
                <w:sz w:val="4"/>
                <w:szCs w:val="4"/>
              </w:rPr>
            </w:r>
          </w:p>
        </w:tc>
        <w:tc>
          <w:tcPr>
            <w:tcW w:w="2949" w:type="dxa"/>
            <w:tcBorders/>
            <w:vAlign w:val="center"/>
          </w:tcPr>
          <w:p>
            <w:pPr>
              <w:pStyle w:val="TableContents"/>
              <w:bidi w:val="0"/>
              <w:spacing w:before="0" w:after="283"/>
              <w:jc w:val="left"/>
              <w:rPr>
                <w:sz w:val="4"/>
                <w:szCs w:val="4"/>
              </w:rPr>
            </w:pPr>
            <w:r>
              <w:rPr>
                <w:sz w:val="4"/>
                <w:szCs w:val="4"/>
              </w:rPr>
            </w:r>
          </w:p>
        </w:tc>
      </w:tr>
      <w:tr>
        <w:trPr/>
        <w:tc>
          <w:tcPr>
            <w:tcW w:w="2070" w:type="dxa"/>
            <w:gridSpan w:val="3"/>
            <w:tcBorders>
              <w:top w:val="single" w:sz="4" w:space="0" w:color="000000"/>
              <w:left w:val="single" w:sz="4" w:space="0" w:color="000000"/>
            </w:tcBorders>
            <w:shd w:fill="004C97"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6"/>
              </w:rPr>
            </w:pPr>
            <w:r>
              <w:rPr>
                <w:rFonts w:ascii="Arial;sans-serif" w:hAnsi="Arial;sans-serif"/>
                <w:b/>
                <w:color w:val="FFFFFF"/>
                <w:sz w:val="16"/>
              </w:rPr>
              <w:t>Named Executive Officer</w:t>
            </w:r>
          </w:p>
        </w:tc>
        <w:tc>
          <w:tcPr>
            <w:tcW w:w="7079" w:type="dxa"/>
            <w:gridSpan w:val="3"/>
            <w:tcBorders>
              <w:top w:val="single" w:sz="4" w:space="0" w:color="000000"/>
              <w:left w:val="single" w:sz="4" w:space="0" w:color="000000"/>
              <w:right w:val="single" w:sz="4" w:space="0" w:color="000000"/>
            </w:tcBorders>
            <w:shd w:fill="004C97" w:val="clear"/>
            <w:tcMar>
              <w:top w:w="30" w:type="dxa"/>
              <w:bottom w:w="0" w:type="dxa"/>
            </w:tcMar>
            <w:vAlign w:val="center"/>
          </w:tcPr>
          <w:p>
            <w:pPr>
              <w:pStyle w:val="TableContents"/>
              <w:bidi w:val="0"/>
              <w:spacing w:lineRule="auto" w:line="288" w:before="0" w:after="283"/>
              <w:jc w:val="center"/>
              <w:rPr>
                <w:rFonts w:ascii="Arial;sans-serif" w:hAnsi="Arial;sans-serif"/>
                <w:b/>
                <w:color w:val="FFFFFF"/>
                <w:sz w:val="16"/>
              </w:rPr>
            </w:pPr>
            <w:r>
              <w:rPr>
                <w:rFonts w:ascii="Arial;sans-serif" w:hAnsi="Arial;sans-serif"/>
                <w:b/>
                <w:color w:val="FFFFFF"/>
                <w:sz w:val="16"/>
              </w:rPr>
              <w:t>Title</w:t>
            </w:r>
          </w:p>
        </w:tc>
      </w:tr>
      <w:tr>
        <w:trPr/>
        <w:tc>
          <w:tcPr>
            <w:tcW w:w="2070" w:type="dxa"/>
            <w:gridSpan w:val="3"/>
            <w:tcBorders>
              <w:top w:val="single" w:sz="4" w:space="0" w:color="000000"/>
              <w:left w:val="single" w:sz="4" w:space="0" w:color="000000"/>
            </w:tcBorders>
            <w:shd w:fill="FFFFFF" w:val="clear"/>
            <w:tcMar>
              <w:top w:w="30" w:type="dxa"/>
              <w:left w:w="20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Eugene J. Lowe, III</w:t>
            </w:r>
          </w:p>
        </w:tc>
        <w:tc>
          <w:tcPr>
            <w:tcW w:w="7079" w:type="dxa"/>
            <w:gridSpan w:val="3"/>
            <w:tcBorders>
              <w:top w:val="single" w:sz="4" w:space="0" w:color="000000"/>
              <w:left w:val="single" w:sz="4" w:space="0" w:color="000000"/>
              <w:right w:val="single" w:sz="4" w:space="0" w:color="000000"/>
            </w:tcBorders>
            <w:shd w:fill="FFFFFF" w:val="clear"/>
            <w:tcMar>
              <w:top w:w="30" w:type="dxa"/>
              <w:left w:w="200" w:type="dxa"/>
              <w:bottom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President and Chief Executive Officer</w:t>
            </w:r>
          </w:p>
        </w:tc>
      </w:tr>
      <w:tr>
        <w:trPr/>
        <w:tc>
          <w:tcPr>
            <w:tcW w:w="2070" w:type="dxa"/>
            <w:gridSpan w:val="3"/>
            <w:tcBorders>
              <w:top w:val="single" w:sz="4" w:space="0" w:color="000000"/>
              <w:left w:val="single" w:sz="4" w:space="0" w:color="000000"/>
            </w:tcBorders>
            <w:shd w:fill="E6E7E8" w:val="clear"/>
            <w:tcMar>
              <w:top w:w="30" w:type="dxa"/>
              <w:left w:w="20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Mark A. Carano</w:t>
            </w:r>
          </w:p>
        </w:tc>
        <w:tc>
          <w:tcPr>
            <w:tcW w:w="7079" w:type="dxa"/>
            <w:gridSpan w:val="3"/>
            <w:tcBorders>
              <w:top w:val="single" w:sz="4" w:space="0" w:color="000000"/>
              <w:left w:val="single" w:sz="4" w:space="0" w:color="000000"/>
              <w:right w:val="single" w:sz="4" w:space="0" w:color="000000"/>
            </w:tcBorders>
            <w:shd w:fill="E6E7E8" w:val="clear"/>
            <w:tcMar>
              <w:top w:w="30" w:type="dxa"/>
              <w:left w:w="200" w:type="dxa"/>
              <w:bottom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Chief Financial Officer, Vice President and Treasurer</w:t>
            </w:r>
          </w:p>
        </w:tc>
      </w:tr>
      <w:tr>
        <w:trPr/>
        <w:tc>
          <w:tcPr>
            <w:tcW w:w="2070" w:type="dxa"/>
            <w:gridSpan w:val="3"/>
            <w:tcBorders>
              <w:top w:val="single" w:sz="4" w:space="0" w:color="000000"/>
              <w:left w:val="single" w:sz="4" w:space="0" w:color="000000"/>
            </w:tcBorders>
            <w:shd w:fill="FFFFFF" w:val="clear"/>
            <w:tcMar>
              <w:top w:w="30" w:type="dxa"/>
              <w:left w:w="20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J. Randall Data</w:t>
            </w:r>
          </w:p>
        </w:tc>
        <w:tc>
          <w:tcPr>
            <w:tcW w:w="7079" w:type="dxa"/>
            <w:gridSpan w:val="3"/>
            <w:tcBorders>
              <w:top w:val="single" w:sz="4" w:space="0" w:color="000000"/>
              <w:left w:val="single" w:sz="4" w:space="0" w:color="000000"/>
              <w:right w:val="single" w:sz="4" w:space="0" w:color="000000"/>
            </w:tcBorders>
            <w:shd w:fill="FFFFFF" w:val="clear"/>
            <w:tcMar>
              <w:top w:w="30" w:type="dxa"/>
              <w:left w:w="200" w:type="dxa"/>
              <w:bottom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President, Heating and Global Operations</w:t>
            </w:r>
          </w:p>
        </w:tc>
      </w:tr>
      <w:tr>
        <w:trPr/>
        <w:tc>
          <w:tcPr>
            <w:tcW w:w="2070" w:type="dxa"/>
            <w:gridSpan w:val="3"/>
            <w:tcBorders>
              <w:top w:val="single" w:sz="4" w:space="0" w:color="000000"/>
              <w:left w:val="single" w:sz="4" w:space="0" w:color="000000"/>
            </w:tcBorders>
            <w:shd w:fill="E6E7E8" w:val="clear"/>
            <w:tcMar>
              <w:top w:w="30" w:type="dxa"/>
              <w:left w:w="20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John W. Swann, III</w:t>
            </w:r>
          </w:p>
        </w:tc>
        <w:tc>
          <w:tcPr>
            <w:tcW w:w="7079" w:type="dxa"/>
            <w:gridSpan w:val="3"/>
            <w:tcBorders>
              <w:top w:val="single" w:sz="4" w:space="0" w:color="000000"/>
              <w:left w:val="single" w:sz="4" w:space="0" w:color="000000"/>
              <w:right w:val="single" w:sz="4" w:space="0" w:color="000000"/>
            </w:tcBorders>
            <w:shd w:fill="E6E7E8" w:val="clear"/>
            <w:tcMar>
              <w:top w:w="30" w:type="dxa"/>
              <w:left w:w="200" w:type="dxa"/>
              <w:bottom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Segment President, Detection &amp; Measurement</w:t>
            </w:r>
          </w:p>
        </w:tc>
      </w:tr>
      <w:tr>
        <w:trPr/>
        <w:tc>
          <w:tcPr>
            <w:tcW w:w="2070" w:type="dxa"/>
            <w:gridSpan w:val="3"/>
            <w:tcBorders>
              <w:top w:val="single" w:sz="4" w:space="0" w:color="000000"/>
              <w:left w:val="single" w:sz="4" w:space="0" w:color="000000"/>
            </w:tcBorders>
            <w:shd w:fill="FFFFFF" w:val="clear"/>
            <w:tcMar>
              <w:top w:w="30" w:type="dxa"/>
              <w:left w:w="20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Sean McClenaghan</w:t>
            </w:r>
          </w:p>
        </w:tc>
        <w:tc>
          <w:tcPr>
            <w:tcW w:w="7079" w:type="dxa"/>
            <w:gridSpan w:val="3"/>
            <w:tcBorders>
              <w:top w:val="single" w:sz="4" w:space="0" w:color="000000"/>
              <w:left w:val="single" w:sz="4" w:space="0" w:color="000000"/>
              <w:right w:val="single" w:sz="4" w:space="0" w:color="000000"/>
            </w:tcBorders>
            <w:shd w:fill="FFFFFF" w:val="clear"/>
            <w:tcMar>
              <w:top w:w="30" w:type="dxa"/>
              <w:left w:w="200" w:type="dxa"/>
              <w:bottom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Segment President, HVAC</w:t>
            </w:r>
          </w:p>
        </w:tc>
      </w:tr>
      <w:tr>
        <w:trPr/>
        <w:tc>
          <w:tcPr>
            <w:tcW w:w="2070" w:type="dxa"/>
            <w:gridSpan w:val="3"/>
            <w:tcBorders>
              <w:top w:val="single" w:sz="4" w:space="0" w:color="000000"/>
              <w:left w:val="single" w:sz="4" w:space="0" w:color="000000"/>
              <w:bottom w:val="single" w:sz="4" w:space="0" w:color="000000"/>
            </w:tcBorders>
            <w:shd w:fill="E6E7E8" w:val="clear"/>
            <w:tcMar>
              <w:top w:w="30" w:type="dxa"/>
              <w:left w:w="20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Michael A. Reilly</w:t>
            </w:r>
          </w:p>
        </w:tc>
        <w:tc>
          <w:tcPr>
            <w:tcW w:w="7079" w:type="dxa"/>
            <w:gridSpan w:val="3"/>
            <w:tcBorders>
              <w:top w:val="single" w:sz="4" w:space="0" w:color="000000"/>
              <w:left w:val="single" w:sz="4" w:space="0" w:color="000000"/>
              <w:bottom w:val="single" w:sz="4" w:space="0" w:color="000000"/>
              <w:right w:val="single" w:sz="4" w:space="0" w:color="000000"/>
            </w:tcBorders>
            <w:shd w:fill="E6E7E8" w:val="clear"/>
            <w:tcMar>
              <w:top w:w="30" w:type="dxa"/>
              <w:left w:w="200" w:type="dxa"/>
              <w:bottom w:w="3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Former Interim Chief Financial Officer and Treasurer, Chief Accounting Officer and VP, Finance</w:t>
            </w:r>
          </w:p>
        </w:tc>
      </w:tr>
    </w:tbl>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 xml:space="preserve">Mr. Reilly was appointed as Chief Financial Officer &amp; Treasurer on an interim basis in September 2022 upon the resignation of the Company’s prior Chief Financial Officer and Treasurer and ceased serving in those capacities on January 3, 2023 upon the appointment and commencement of service of Mr. Carano as Chief Financial Officer, Vice President and Treasurer. Mr. Reilly continued to serve as Chief Accounting Officer and VP, Finance until his retirement in April 2023. In 2023, Mr. McClenaghan served as President, Global Cooling and was appointed Segment President, HVAC in January 2024. </w:t>
      </w:r>
    </w:p>
    <w:p>
      <w:pPr>
        <w:pStyle w:val="TextBody"/>
        <w:bidi w:val="0"/>
        <w:spacing w:lineRule="auto" w:line="288" w:before="0" w:after="60"/>
        <w:jc w:val="left"/>
        <w:rPr>
          <w:rFonts w:ascii="Arial;sans-serif" w:hAnsi="Arial;sans-serif"/>
          <w:b/>
          <w:color w:val="000000"/>
          <w:sz w:val="22"/>
        </w:rPr>
      </w:pPr>
      <w:r>
        <w:rPr>
          <w:rFonts w:ascii="Arial;sans-serif" w:hAnsi="Arial;sans-serif"/>
          <w:b/>
          <w:color w:val="000000"/>
          <w:sz w:val="22"/>
        </w:rPr>
        <w:t>EXECUTIVE SUMMARY</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We achieved very strong operational, financial and strategic results in 2023, which led to an increase of 55% in the equity market value of our company. The majority of our businesses exceeded their financial performance targets, and our leadership teams continued to deliver progress on our strategic objectives, positioning us to achieve several of our long-range goals well ahead of schedule. We continued to leverage the strengths of each platform while expanding our reach into adjacent markets through strategic acquisitions. Finally, we achieved a significant milestone by settling our long standing disputes in South Africa, reducing enterprise risk and freeing up management time and attention to further focus on our strategic growth objectives.</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Ensuring that we appropriately recognize the solid financial performance, focused efforts, and progress on our strategic initiatives is important to key talent retention and the motivation of the overall workforce.</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Our executive compensation program is designed to align short-and long-term rewards directly to business performance. We and the Compensation Committee of the Board (the “Committee”) benchmark our compensation strategy against our peer group companies, which rewards performance that results in value generation for our stockholders.</w:t>
      </w:r>
    </w:p>
    <w:p>
      <w:pPr>
        <w:pStyle w:val="TextBody"/>
        <w:bidi w:val="0"/>
        <w:spacing w:lineRule="auto" w:line="288" w:before="0" w:after="60"/>
        <w:jc w:val="both"/>
        <w:rPr>
          <w:rFonts w:ascii="Arial;sans-serif" w:hAnsi="Arial;sans-serif"/>
          <w:b/>
          <w:color w:val="004C97"/>
          <w:sz w:val="20"/>
        </w:rPr>
      </w:pPr>
      <w:r>
        <w:rPr>
          <w:rFonts w:ascii="Arial;sans-serif" w:hAnsi="Arial;sans-serif"/>
          <w:b/>
          <w:color w:val="004C97"/>
          <w:sz w:val="20"/>
        </w:rPr>
        <w:t>Summary of Key Business Accomplishments</w:t>
      </w:r>
    </w:p>
    <w:p>
      <w:pPr>
        <w:pStyle w:val="TextBody"/>
        <w:bidi w:val="0"/>
        <w:spacing w:lineRule="auto" w:line="288" w:before="0" w:after="60"/>
        <w:jc w:val="both"/>
        <w:rPr>
          <w:rFonts w:ascii="Arial;sans-serif" w:hAnsi="Arial;sans-serif"/>
          <w:b w:val="false"/>
          <w:color w:val="000000"/>
          <w:sz w:val="18"/>
        </w:rPr>
      </w:pPr>
      <w:r>
        <w:rPr>
          <w:rFonts w:ascii="Arial;sans-serif" w:hAnsi="Arial;sans-serif"/>
          <w:b w:val="false"/>
          <w:color w:val="000000"/>
          <w:sz w:val="18"/>
        </w:rPr>
        <w:t>As noted above, our continued commitment to our long-term strategy enabled short-term success. Select accomplishments during 2023 include:</w:t>
      </w:r>
    </w:p>
    <w:p>
      <w:pPr>
        <w:pStyle w:val="TextBody"/>
        <w:bidi w:val="0"/>
        <w:spacing w:lineRule="auto" w:line="288" w:before="0" w:after="0"/>
        <w:ind w:left="0" w:right="0" w:hanging="216"/>
        <w:jc w:val="both"/>
        <w:rPr/>
      </w:pPr>
      <w:r>
        <w:rPr>
          <w:color w:val="000000"/>
        </w:rPr>
        <w:t>•</w:t>
      </w:r>
      <w:r>
        <w:rPr>
          <w:rFonts w:ascii="Arial;sans-serif" w:hAnsi="Arial;sans-serif"/>
          <w:b w:val="false"/>
          <w:color w:val="000000"/>
          <w:sz w:val="18"/>
        </w:rPr>
        <w:t>An increase of 55% in our total market capitalization, resulting in top quartile shareholder return against our peer group</w:t>
      </w:r>
    </w:p>
    <w:p>
      <w:pPr>
        <w:pStyle w:val="TextBody"/>
        <w:bidi w:val="0"/>
        <w:spacing w:lineRule="auto" w:line="288" w:before="0" w:after="0"/>
        <w:ind w:left="0" w:right="0" w:hanging="216"/>
        <w:jc w:val="both"/>
        <w:rPr/>
      </w:pPr>
      <w:r>
        <w:rPr>
          <w:color w:val="000000"/>
        </w:rPr>
        <w:t>•</w:t>
      </w:r>
      <w:r>
        <w:rPr>
          <w:rFonts w:ascii="Arial;sans-serif" w:hAnsi="Arial;sans-serif"/>
          <w:b w:val="false"/>
          <w:color w:val="000000"/>
          <w:sz w:val="18"/>
        </w:rPr>
        <w:t>An increase of 42% in consolidated segment income*, and record consolidated segment income margin* of 20.3%</w:t>
      </w:r>
    </w:p>
    <w:p>
      <w:pPr>
        <w:pStyle w:val="TextBody"/>
        <w:bidi w:val="0"/>
        <w:spacing w:lineRule="auto" w:line="288" w:before="0" w:after="0"/>
        <w:ind w:left="0" w:right="0" w:hanging="216"/>
        <w:jc w:val="both"/>
        <w:rPr/>
      </w:pPr>
      <w:r>
        <w:rPr>
          <w:color w:val="000000"/>
        </w:rPr>
        <w:t>•</w:t>
      </w:r>
      <w:r>
        <w:rPr>
          <w:rFonts w:ascii="Arial;sans-serif" w:hAnsi="Arial;sans-serif"/>
          <w:b w:val="false"/>
          <w:color w:val="000000"/>
          <w:sz w:val="18"/>
        </w:rPr>
        <w:t>An increase of $345.3M in net cash from operating activities, and growth in adjusted free cash flow* of 125%</w:t>
      </w:r>
    </w:p>
    <w:p>
      <w:pPr>
        <w:pStyle w:val="TextBody"/>
        <w:bidi w:val="0"/>
        <w:spacing w:lineRule="auto" w:line="288" w:before="0" w:after="0"/>
        <w:ind w:left="0" w:right="0" w:hanging="216"/>
        <w:jc w:val="both"/>
        <w:rPr/>
      </w:pPr>
      <w:r>
        <w:rPr>
          <w:color w:val="000000"/>
        </w:rPr>
        <w:t>•</w:t>
      </w:r>
      <w:r>
        <w:rPr>
          <w:rFonts w:ascii="Arial;sans-serif" w:hAnsi="Arial;sans-serif"/>
          <w:b w:val="false"/>
          <w:color w:val="000000"/>
          <w:sz w:val="18"/>
        </w:rPr>
        <w:t>An increase of $90.1M in total net income, and growth in adjusted EBITDA* of 50%</w:t>
      </w:r>
    </w:p>
    <w:p>
      <w:pPr>
        <w:pStyle w:val="TextBody"/>
        <w:bidi w:val="0"/>
        <w:spacing w:lineRule="auto" w:line="288" w:before="0" w:after="0"/>
        <w:ind w:left="0" w:right="0" w:hanging="216"/>
        <w:jc w:val="both"/>
        <w:rPr/>
      </w:pPr>
      <w:r>
        <w:rPr>
          <w:color w:val="000000"/>
        </w:rPr>
        <w:t>•</w:t>
      </w:r>
      <w:r>
        <w:rPr>
          <w:rFonts w:ascii="Arial;sans-serif" w:hAnsi="Arial;sans-serif"/>
          <w:b w:val="false"/>
          <w:color w:val="000000"/>
          <w:sz w:val="18"/>
        </w:rPr>
        <w:t>Deployment of $547M in capital for two strategic acquisitions, including our largest to date, ASPEQ Heating Group</w:t>
      </w:r>
    </w:p>
    <w:p>
      <w:pPr>
        <w:pStyle w:val="TextBody"/>
        <w:bidi w:val="0"/>
        <w:spacing w:lineRule="auto" w:line="288" w:before="0" w:after="0"/>
        <w:ind w:left="0" w:right="0" w:hanging="216"/>
        <w:jc w:val="both"/>
        <w:rPr/>
      </w:pPr>
      <w:r>
        <w:rPr>
          <w:color w:val="000000"/>
        </w:rPr>
        <w:t>•</w:t>
      </w:r>
      <w:r>
        <w:rPr>
          <w:rFonts w:ascii="Arial;sans-serif" w:hAnsi="Arial;sans-serif"/>
          <w:b w:val="false"/>
          <w:color w:val="000000"/>
          <w:sz w:val="18"/>
        </w:rPr>
        <w:t>Successful settlement of the outstanding South Africa claims, significantly reducing enterprise risk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6480175" cy="739140"/>
                <wp:effectExtent l="0" t="0" r="0" b="0"/>
                <wp:wrapNone/>
                <wp:docPr id="98" name="Frame29"/>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292" w:type="dxa"/>
                              <w:jc w:val="right"/>
                              <w:tblInd w:w="0" w:type="dxa"/>
                              <w:tblLayout w:type="fixed"/>
                              <w:tblCellMar>
                                <w:top w:w="28" w:type="dxa"/>
                                <w:left w:w="28" w:type="dxa"/>
                                <w:bottom w:w="28" w:type="dxa"/>
                                <w:right w:w="28" w:type="dxa"/>
                              </w:tblCellMar>
                            </w:tblPr>
                            <w:tblGrid>
                              <w:gridCol w:w="292"/>
                              <w:gridCol w:w="256"/>
                              <w:gridCol w:w="258"/>
                              <w:gridCol w:w="704"/>
                              <w:gridCol w:w="704"/>
                              <w:gridCol w:w="706"/>
                              <w:gridCol w:w="109"/>
                              <w:gridCol w:w="109"/>
                              <w:gridCol w:w="154"/>
                            </w:tblGrid>
                            <w:tr>
                              <w:trPr/>
                              <w:tc>
                                <w:tcPr>
                                  <w:tcW w:w="29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0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99"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Image48" descr=""/>
                                                <pic:cNvPicPr>
                                                  <a:picLocks noChangeAspect="1" noChangeArrowheads="1"/>
                                                </pic:cNvPicPr>
                                              </pic:nvPicPr>
                                              <pic:blipFill>
                                                <a:blip r:embed="rId71"/>
                                                <a:stretch>
                                                  <a:fillRect/>
                                                </a:stretch>
                                              </pic:blipFill>
                                              <pic:spPr bwMode="auto">
                                                <a:xfrm>
                                                  <a:off x="0" y="0"/>
                                                  <a:ext cx="447675" cy="161925"/>
                                                </a:xfrm>
                                                <a:prstGeom prst="rect">
                                                  <a:avLst/>
                                                </a:prstGeom>
                                              </pic:spPr>
                                            </pic:pic>
                                          </a:graphicData>
                                        </a:graphic>
                                      </wp:inline>
                                    </w:drawing>
                                  </w:r>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2024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000000"/>
                                      <w:sz w:val="16"/>
                                    </w:rPr>
                                  </w:pPr>
                                  <w:r>
                                    <w:rPr>
                                      <w:rFonts w:ascii="Arial;sans-serif" w:hAnsi="Arial;sans-serif"/>
                                      <w:b/>
                                      <w:color w:val="000000"/>
                                      <w:sz w:val="16"/>
                                    </w:rPr>
                                    <w:t>23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292" w:type="dxa"/>
                        <w:jc w:val="right"/>
                        <w:tblInd w:w="0" w:type="dxa"/>
                        <w:tblLayout w:type="fixed"/>
                        <w:tblCellMar>
                          <w:top w:w="28" w:type="dxa"/>
                          <w:left w:w="28" w:type="dxa"/>
                          <w:bottom w:w="28" w:type="dxa"/>
                          <w:right w:w="28" w:type="dxa"/>
                        </w:tblCellMar>
                      </w:tblPr>
                      <w:tblGrid>
                        <w:gridCol w:w="292"/>
                        <w:gridCol w:w="256"/>
                        <w:gridCol w:w="258"/>
                        <w:gridCol w:w="704"/>
                        <w:gridCol w:w="704"/>
                        <w:gridCol w:w="706"/>
                        <w:gridCol w:w="109"/>
                        <w:gridCol w:w="109"/>
                        <w:gridCol w:w="154"/>
                      </w:tblGrid>
                      <w:tr>
                        <w:trPr/>
                        <w:tc>
                          <w:tcPr>
                            <w:tcW w:w="29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0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100"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48" descr=""/>
                                          <pic:cNvPicPr>
                                            <a:picLocks noChangeAspect="1" noChangeArrowheads="1"/>
                                          </pic:cNvPicPr>
                                        </pic:nvPicPr>
                                        <pic:blipFill>
                                          <a:blip r:embed="rId72"/>
                                          <a:stretch>
                                            <a:fillRect/>
                                          </a:stretch>
                                        </pic:blipFill>
                                        <pic:spPr bwMode="auto">
                                          <a:xfrm>
                                            <a:off x="0" y="0"/>
                                            <a:ext cx="447675" cy="161925"/>
                                          </a:xfrm>
                                          <a:prstGeom prst="rect">
                                            <a:avLst/>
                                          </a:prstGeom>
                                        </pic:spPr>
                                      </pic:pic>
                                    </a:graphicData>
                                  </a:graphic>
                                </wp:inline>
                              </w:drawing>
                            </w:r>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2024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000000"/>
                                <w:sz w:val="16"/>
                              </w:rPr>
                            </w:pPr>
                            <w:r>
                              <w:rPr>
                                <w:rFonts w:ascii="Arial;sans-serif" w:hAnsi="Arial;sans-serif"/>
                                <w:b/>
                                <w:color w:val="000000"/>
                                <w:sz w:val="16"/>
                              </w:rPr>
                              <w:t>23</w:t>
                            </w:r>
                          </w:p>
                        </w:tc>
                      </w:tr>
                    </w:tbl>
                    <w:p>
                      <w:pPr>
                        <w:pStyle w:val="TextBody"/>
                        <w:bidi w:val="0"/>
                        <w:spacing w:before="0" w:after="283"/>
                        <w:jc w:val="left"/>
                        <w:rPr/>
                      </w:pPr>
                      <w:r>
                        <w:rPr/>
                      </w:r>
                    </w:p>
                  </w:txbxContent>
                </v:textbox>
                <w10:wrap type="none"/>
              </v:rect>
            </w:pict>
          </mc:Fallback>
        </mc:AlternateContent>
      </w:r>
    </w:p>
    <w:tbl>
      <w:tblPr>
        <w:tblW w:w="2459" w:type="dxa"/>
        <w:jc w:val="right"/>
        <w:tblInd w:w="0" w:type="dxa"/>
        <w:tblLayout w:type="fixed"/>
        <w:tblCellMar>
          <w:top w:w="28" w:type="dxa"/>
          <w:left w:w="28" w:type="dxa"/>
          <w:bottom w:w="28" w:type="dxa"/>
          <w:right w:w="28" w:type="dxa"/>
        </w:tblCellMar>
      </w:tblPr>
      <w:tblGrid>
        <w:gridCol w:w="786"/>
        <w:gridCol w:w="691"/>
        <w:gridCol w:w="982"/>
      </w:tblGrid>
      <w:tr>
        <w:trPr/>
        <w:tc>
          <w:tcPr>
            <w:tcW w:w="78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r>
      <w:tr>
        <w:trPr/>
        <w:tc>
          <w:tcPr>
            <w:tcW w:w="2459" w:type="dxa"/>
            <w:gridSpan w:val="3"/>
            <w:tcBorders>
              <w:bottom w:val="single" w:sz="4" w:space="0" w:color="004C97"/>
            </w:tcBorders>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4C97"/>
                <w:sz w:val="16"/>
              </w:rPr>
            </w:pPr>
            <w:r>
              <w:rPr>
                <w:rFonts w:ascii="Arial;sans-serif" w:hAnsi="Arial;sans-serif"/>
                <w:b w:val="false"/>
                <w:color w:val="004C97"/>
                <w:sz w:val="16"/>
              </w:rPr>
              <w:t>EXECUTIVE COMPENSATION</w:t>
            </w:r>
          </w:p>
        </w:tc>
      </w:tr>
    </w:tbl>
    <w:p>
      <w:pPr>
        <w:pStyle w:val="TextBody"/>
        <w:bidi w:val="0"/>
        <w:spacing w:lineRule="auto" w:line="288" w:before="0" w:after="120"/>
        <w:ind w:left="0" w:right="0" w:hanging="216"/>
        <w:jc w:val="both"/>
        <w:rPr/>
      </w:pPr>
      <w:r>
        <w:rPr>
          <w:color w:val="000000"/>
        </w:rPr>
        <w:t>•</w:t>
      </w:r>
      <w:r>
        <w:rPr>
          <w:rFonts w:ascii="Arial;sans-serif" w:hAnsi="Arial;sans-serif"/>
          <w:b w:val="false"/>
          <w:color w:val="000000"/>
          <w:sz w:val="18"/>
        </w:rPr>
        <w:t>Meaningful progress on continuous improvement, digital, talent (including diversity and inclusion), and sustainability initiatives, fueling our overall 2023 performance.</w:t>
      </w:r>
    </w:p>
    <w:p>
      <w:pPr>
        <w:pStyle w:val="TextBody"/>
        <w:bidi w:val="0"/>
        <w:spacing w:lineRule="auto" w:line="288" w:before="0" w:after="240"/>
        <w:ind w:left="0" w:right="0" w:hanging="360"/>
        <w:jc w:val="both"/>
        <w:rPr>
          <w:rFonts w:ascii="Arial;sans-serif" w:hAnsi="Arial;sans-serif"/>
          <w:b w:val="false"/>
          <w:color w:val="000000"/>
          <w:sz w:val="14"/>
        </w:rPr>
      </w:pPr>
      <w:r>
        <w:rPr>
          <w:rFonts w:ascii="Arial;sans-serif" w:hAnsi="Arial;sans-serif"/>
          <w:b w:val="false"/>
          <w:color w:val="000000"/>
          <w:sz w:val="14"/>
        </w:rPr>
        <w:t>* Non-GAAP financial measure. Reconciliations of amounts presented as non-GAAP financial measures with the amounts of the most comparable measures calculated and presented in accordance with GAAP are presented in Appendix E of this Proxy Statement.</w:t>
      </w:r>
    </w:p>
    <w:p>
      <w:pPr>
        <w:pStyle w:val="TextBody"/>
        <w:bidi w:val="0"/>
        <w:spacing w:lineRule="auto" w:line="288" w:before="0" w:after="60"/>
        <w:jc w:val="both"/>
        <w:rPr>
          <w:rFonts w:ascii="Arial;sans-serif" w:hAnsi="Arial;sans-serif"/>
          <w:b/>
          <w:color w:val="004C97"/>
          <w:sz w:val="20"/>
        </w:rPr>
      </w:pPr>
      <w:r>
        <w:rPr>
          <w:rFonts w:ascii="Arial;sans-serif" w:hAnsi="Arial;sans-serif"/>
          <w:b/>
          <w:color w:val="004C97"/>
          <w:sz w:val="20"/>
        </w:rPr>
        <w:t>2023 Compensation Highlights</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Our executive compensation program has three primary elements: base salary, annual incentive, and long-term incentives. Each of these compensation elements serves a specific purpose in our compensation strategy. Base salary is an essential component to any market-competitive compensation program. Annual incentives reward the achievement of short-term goals, while long-term incentives drive our NEOs, and other senior management team members, to focus on stockholder value creation. The combination of Short- and long-term incentives provides more than 50% of our executives’ target compensation, with incentives tied directly to Company performance and achievement of our strategic initiatives. Based on our performance, and consistent with the design of our program, the Committee made the following executive compensation decisions for 2023:</w:t>
      </w:r>
    </w:p>
    <w:p>
      <w:pPr>
        <w:pStyle w:val="TextBody"/>
        <w:bidi w:val="0"/>
        <w:spacing w:lineRule="auto" w:line="288" w:before="0" w:after="180"/>
        <w:ind w:left="0" w:right="0" w:hanging="216"/>
        <w:jc w:val="both"/>
        <w:rPr/>
      </w:pPr>
      <w:r>
        <w:rPr>
          <w:color w:val="000000"/>
        </w:rPr>
        <w:t>•</w:t>
      </w:r>
      <w:r>
        <w:rPr>
          <w:rFonts w:ascii="Arial;sans-serif" w:hAnsi="Arial;sans-serif"/>
          <w:b w:val="false"/>
          <w:color w:val="000000"/>
          <w:sz w:val="18"/>
          <w:u w:val="single"/>
        </w:rPr>
        <w:t>Base Salary.</w:t>
      </w:r>
      <w:r>
        <w:rPr>
          <w:color w:val="000000"/>
        </w:rPr>
        <w:t xml:space="preserve"> </w:t>
      </w:r>
      <w:r>
        <w:rPr>
          <w:rFonts w:ascii="Arial;sans-serif" w:hAnsi="Arial;sans-serif"/>
          <w:b w:val="false"/>
          <w:color w:val="000000"/>
          <w:sz w:val="18"/>
        </w:rPr>
        <w:t>Annual salary increases ranged from 3.0% to 4.5%. These adjustments maintain alignment of our NEOs’ base salaries with the market to facilitate retention and reward for execution of responsibilities and delivery of performance. These adjustments also reflect the contributions made by our NEOs in connection with executing on key initiatives and the Company’s strategic priorities over the course of the year. For details, please see page 31.</w:t>
      </w:r>
    </w:p>
    <w:p>
      <w:pPr>
        <w:pStyle w:val="TextBody"/>
        <w:bidi w:val="0"/>
        <w:spacing w:lineRule="auto" w:line="288" w:before="0" w:after="180"/>
        <w:ind w:left="0" w:right="0" w:hanging="216"/>
        <w:jc w:val="both"/>
        <w:rPr/>
      </w:pPr>
      <w:r>
        <w:rPr>
          <w:color w:val="000000"/>
        </w:rPr>
        <w:t>•</w:t>
      </w:r>
      <w:r>
        <w:rPr>
          <w:rFonts w:ascii="Arial;sans-serif" w:hAnsi="Arial;sans-serif"/>
          <w:b w:val="false"/>
          <w:color w:val="000000"/>
          <w:sz w:val="18"/>
          <w:u w:val="single"/>
        </w:rPr>
        <w:t>Annual Incentive.</w:t>
      </w:r>
      <w:r>
        <w:rPr>
          <w:color w:val="000000"/>
        </w:rPr>
        <w:t xml:space="preserve"> </w:t>
      </w:r>
      <w:r>
        <w:rPr>
          <w:rFonts w:ascii="Arial;sans-serif" w:hAnsi="Arial;sans-serif"/>
          <w:b w:val="false"/>
          <w:color w:val="000000"/>
          <w:sz w:val="18"/>
        </w:rPr>
        <w:t>Based on our corporate performance results, awards under our Executive Bonus Program were paid at 200% of target. This payout applied to all our NEOs, with the exception of Mr. Swann, whose payout was 162.0% of target and Mr. McClenaghan whose payout was 196.2% of target, with the payouts to these officers being based on both business unit and corporate results. For details on each NEO’s award, please see page 31.</w:t>
      </w:r>
    </w:p>
    <w:p>
      <w:pPr>
        <w:pStyle w:val="TextBody"/>
        <w:bidi w:val="0"/>
        <w:spacing w:lineRule="auto" w:line="288" w:before="0" w:after="180"/>
        <w:ind w:left="0" w:right="0" w:hanging="216"/>
        <w:jc w:val="both"/>
        <w:rPr/>
      </w:pPr>
      <w:r>
        <w:rPr>
          <w:color w:val="000000"/>
        </w:rPr>
        <w:t>•</w:t>
      </w:r>
      <w:r>
        <w:rPr>
          <w:rFonts w:ascii="Arial;sans-serif" w:hAnsi="Arial;sans-serif"/>
          <w:b w:val="false"/>
          <w:color w:val="000000"/>
          <w:sz w:val="18"/>
          <w:u w:val="single"/>
        </w:rPr>
        <w:t>Long-Term Incentives.</w:t>
      </w:r>
      <w:r>
        <w:rPr>
          <w:color w:val="000000"/>
        </w:rPr>
        <w:t xml:space="preserve"> </w:t>
      </w:r>
      <w:r>
        <w:rPr>
          <w:rFonts w:ascii="Arial;sans-serif" w:hAnsi="Arial;sans-serif"/>
          <w:b w:val="false"/>
          <w:color w:val="000000"/>
          <w:sz w:val="18"/>
        </w:rPr>
        <w:t>All of our NEOs, except Mr. Reilly, received equity and equity-based awards in 2023. Target award amounts and the mix of awards granted are described on page 32 of this CD&amp;A. All of the NEOs, other than Mr. Carano and Mr. McClenaghan, received performance share awards in 2021 with payout based on relative TSR for the measurement period of January 1, 2021 through December 31, 2023. The performance for these awards achieved the 68th percentile for relative TSR resulting in a 136.0% payout. For details, please see page 33.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6480175" cy="739140"/>
                <wp:effectExtent l="0" t="0" r="0" b="0"/>
                <wp:wrapNone/>
                <wp:docPr id="101" name="Frame30"/>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292" w:type="dxa"/>
                              <w:jc w:val="left"/>
                              <w:tblInd w:w="0" w:type="dxa"/>
                              <w:tblLayout w:type="fixed"/>
                              <w:tblCellMar>
                                <w:top w:w="28" w:type="dxa"/>
                                <w:left w:w="28" w:type="dxa"/>
                                <w:bottom w:w="28" w:type="dxa"/>
                                <w:right w:w="28" w:type="dxa"/>
                              </w:tblCellMar>
                            </w:tblPr>
                            <w:tblGrid>
                              <w:gridCol w:w="124"/>
                              <w:gridCol w:w="109"/>
                              <w:gridCol w:w="109"/>
                              <w:gridCol w:w="704"/>
                              <w:gridCol w:w="704"/>
                              <w:gridCol w:w="706"/>
                              <w:gridCol w:w="244"/>
                              <w:gridCol w:w="244"/>
                              <w:gridCol w:w="34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6"/>
                                    </w:rPr>
                                  </w:pPr>
                                  <w:r>
                                    <w:rPr>
                                      <w:rFonts w:ascii="Arial;sans-serif" w:hAnsi="Arial;sans-serif"/>
                                      <w:b/>
                                      <w:color w:val="000000"/>
                                      <w:sz w:val="16"/>
                                    </w:rPr>
                                    <w:t>24</w:t>
                                  </w:r>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2024 PROXY STATEMENT</w:t>
                                  </w:r>
                                </w:p>
                              </w:tc>
                              <w:tc>
                                <w:tcPr>
                                  <w:tcW w:w="83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102"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Image49" descr=""/>
                                                <pic:cNvPicPr>
                                                  <a:picLocks noChangeAspect="1" noChangeArrowheads="1"/>
                                                </pic:cNvPicPr>
                                              </pic:nvPicPr>
                                              <pic:blipFill>
                                                <a:blip r:embed="rId73"/>
                                                <a:stretch>
                                                  <a:fillRect/>
                                                </a:stretch>
                                              </pic:blipFill>
                                              <pic:spPr bwMode="auto">
                                                <a:xfrm>
                                                  <a:off x="0" y="0"/>
                                                  <a:ext cx="447675" cy="161925"/>
                                                </a:xfrm>
                                                <a:prstGeom prst="rect">
                                                  <a:avLst/>
                                                </a:prstGeom>
                                              </pic:spPr>
                                            </pic:pic>
                                          </a:graphicData>
                                        </a:graphic>
                                      </wp:inline>
                                    </w:drawing>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292" w:type="dxa"/>
                        <w:jc w:val="left"/>
                        <w:tblInd w:w="0" w:type="dxa"/>
                        <w:tblLayout w:type="fixed"/>
                        <w:tblCellMar>
                          <w:top w:w="28" w:type="dxa"/>
                          <w:left w:w="28" w:type="dxa"/>
                          <w:bottom w:w="28" w:type="dxa"/>
                          <w:right w:w="28" w:type="dxa"/>
                        </w:tblCellMar>
                      </w:tblPr>
                      <w:tblGrid>
                        <w:gridCol w:w="124"/>
                        <w:gridCol w:w="109"/>
                        <w:gridCol w:w="109"/>
                        <w:gridCol w:w="704"/>
                        <w:gridCol w:w="704"/>
                        <w:gridCol w:w="706"/>
                        <w:gridCol w:w="244"/>
                        <w:gridCol w:w="244"/>
                        <w:gridCol w:w="34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6"/>
                              </w:rPr>
                            </w:pPr>
                            <w:r>
                              <w:rPr>
                                <w:rFonts w:ascii="Arial;sans-serif" w:hAnsi="Arial;sans-serif"/>
                                <w:b/>
                                <w:color w:val="000000"/>
                                <w:sz w:val="16"/>
                              </w:rPr>
                              <w:t>24</w:t>
                            </w:r>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2024 PROXY STATEMENT</w:t>
                            </w:r>
                          </w:p>
                        </w:tc>
                        <w:tc>
                          <w:tcPr>
                            <w:tcW w:w="83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103"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Image49" descr=""/>
                                          <pic:cNvPicPr>
                                            <a:picLocks noChangeAspect="1" noChangeArrowheads="1"/>
                                          </pic:cNvPicPr>
                                        </pic:nvPicPr>
                                        <pic:blipFill>
                                          <a:blip r:embed="rId74"/>
                                          <a:stretch>
                                            <a:fillRect/>
                                          </a:stretch>
                                        </pic:blipFill>
                                        <pic:spPr bwMode="auto">
                                          <a:xfrm>
                                            <a:off x="0" y="0"/>
                                            <a:ext cx="447675" cy="161925"/>
                                          </a:xfrm>
                                          <a:prstGeom prst="rect">
                                            <a:avLst/>
                                          </a:prstGeom>
                                        </pic:spPr>
                                      </pic:pic>
                                    </a:graphicData>
                                  </a:graphic>
                                </wp:inline>
                              </w:drawing>
                            </w:r>
                          </w:p>
                        </w:tc>
                      </w:tr>
                    </w:tbl>
                    <w:p>
                      <w:pPr>
                        <w:pStyle w:val="TextBody"/>
                        <w:bidi w:val="0"/>
                        <w:spacing w:before="0" w:after="283"/>
                        <w:jc w:val="left"/>
                        <w:rPr/>
                      </w:pPr>
                      <w:r>
                        <w:rPr/>
                      </w:r>
                    </w:p>
                  </w:txbxContent>
                </v:textbox>
                <w10:wrap type="none"/>
              </v:rect>
            </w:pict>
          </mc:Fallback>
        </mc:AlternateContent>
      </w:r>
    </w:p>
    <w:tbl>
      <w:tblPr>
        <w:tblW w:w="2459" w:type="dxa"/>
        <w:jc w:val="left"/>
        <w:tblInd w:w="0" w:type="dxa"/>
        <w:tblLayout w:type="fixed"/>
        <w:tblCellMar>
          <w:top w:w="28" w:type="dxa"/>
          <w:left w:w="28" w:type="dxa"/>
          <w:bottom w:w="28" w:type="dxa"/>
          <w:right w:w="28" w:type="dxa"/>
        </w:tblCellMar>
      </w:tblPr>
      <w:tblGrid>
        <w:gridCol w:w="786"/>
        <w:gridCol w:w="691"/>
        <w:gridCol w:w="982"/>
      </w:tblGrid>
      <w:tr>
        <w:trPr/>
        <w:tc>
          <w:tcPr>
            <w:tcW w:w="78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r>
      <w:tr>
        <w:trPr/>
        <w:tc>
          <w:tcPr>
            <w:tcW w:w="2459" w:type="dxa"/>
            <w:gridSpan w:val="3"/>
            <w:tcBorders>
              <w:bottom w:val="single" w:sz="4" w:space="0" w:color="004C97"/>
            </w:tcBorders>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4C97"/>
                <w:sz w:val="16"/>
              </w:rPr>
            </w:pPr>
            <w:r>
              <w:rPr>
                <w:rFonts w:ascii="Arial;sans-serif" w:hAnsi="Arial;sans-serif"/>
                <w:b w:val="false"/>
                <w:color w:val="004C97"/>
                <w:sz w:val="16"/>
              </w:rPr>
              <w:t>EXECUTIVE COMPENSATION</w:t>
            </w:r>
          </w:p>
        </w:tc>
      </w:tr>
    </w:tbl>
    <w:p>
      <w:pPr>
        <w:pStyle w:val="TextBody"/>
        <w:bidi w:val="0"/>
        <w:spacing w:lineRule="auto" w:line="288" w:before="0" w:after="60"/>
        <w:jc w:val="left"/>
        <w:rPr>
          <w:rFonts w:ascii="Arial;sans-serif" w:hAnsi="Arial;sans-serif"/>
          <w:b/>
          <w:color w:val="000000"/>
          <w:sz w:val="22"/>
        </w:rPr>
      </w:pPr>
      <w:r>
        <w:rPr>
          <w:rFonts w:ascii="Arial;sans-serif" w:hAnsi="Arial;sans-serif"/>
          <w:b/>
          <w:color w:val="000000"/>
          <w:sz w:val="22"/>
        </w:rPr>
        <w:t>EXECUTIVE COMPENSATION PROGRAM</w:t>
      </w:r>
    </w:p>
    <w:tbl>
      <w:tblPr>
        <w:tblW w:w="10205" w:type="dxa"/>
        <w:jc w:val="left"/>
        <w:tblInd w:w="0" w:type="dxa"/>
        <w:tblLayout w:type="fixed"/>
        <w:tblCellMar>
          <w:top w:w="28" w:type="dxa"/>
          <w:left w:w="28" w:type="dxa"/>
          <w:bottom w:w="28" w:type="dxa"/>
          <w:right w:w="28" w:type="dxa"/>
        </w:tblCellMar>
      </w:tblPr>
      <w:tblGrid>
        <w:gridCol w:w="558"/>
        <w:gridCol w:w="491"/>
        <w:gridCol w:w="492"/>
        <w:gridCol w:w="917"/>
        <w:gridCol w:w="917"/>
        <w:gridCol w:w="917"/>
        <w:gridCol w:w="917"/>
        <w:gridCol w:w="917"/>
        <w:gridCol w:w="917"/>
        <w:gridCol w:w="917"/>
        <w:gridCol w:w="917"/>
        <w:gridCol w:w="1328"/>
      </w:tblGrid>
      <w:tr>
        <w:trPr/>
        <w:tc>
          <w:tcPr>
            <w:tcW w:w="558"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r>
      <w:tr>
        <w:trPr/>
        <w:tc>
          <w:tcPr>
            <w:tcW w:w="1541" w:type="dxa"/>
            <w:gridSpan w:val="3"/>
            <w:tcBorders>
              <w:top w:val="single" w:sz="8" w:space="0" w:color="004C97"/>
              <w:left w:val="single" w:sz="8" w:space="0" w:color="004C97"/>
              <w:bottom w:val="single" w:sz="8" w:space="0" w:color="004C97"/>
            </w:tcBorders>
            <w:tcMar>
              <w:right w:w="0" w:type="dxa"/>
            </w:tcMar>
            <w:vAlign w:val="center"/>
          </w:tcPr>
          <w:p>
            <w:pPr>
              <w:pStyle w:val="TableContents"/>
              <w:bidi w:val="0"/>
              <w:spacing w:before="0" w:after="0"/>
              <w:jc w:val="center"/>
              <w:rPr/>
            </w:pPr>
            <w:r>
              <w:rPr/>
              <w:drawing>
                <wp:inline distT="0" distB="0" distL="0" distR="0">
                  <wp:extent cx="914400" cy="904875"/>
                  <wp:effectExtent l="0" t="0" r="0" b="0"/>
                  <wp:docPr id="104"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Image50" descr=""/>
                          <pic:cNvPicPr>
                            <a:picLocks noChangeAspect="1" noChangeArrowheads="1"/>
                          </pic:cNvPicPr>
                        </pic:nvPicPr>
                        <pic:blipFill>
                          <a:blip r:embed="rId75"/>
                          <a:stretch>
                            <a:fillRect/>
                          </a:stretch>
                        </pic:blipFill>
                        <pic:spPr bwMode="auto">
                          <a:xfrm>
                            <a:off x="0" y="0"/>
                            <a:ext cx="914400" cy="904875"/>
                          </a:xfrm>
                          <a:prstGeom prst="rect">
                            <a:avLst/>
                          </a:prstGeom>
                        </pic:spPr>
                      </pic:pic>
                    </a:graphicData>
                  </a:graphic>
                </wp:inline>
              </w:drawing>
            </w:r>
          </w:p>
        </w:tc>
        <w:tc>
          <w:tcPr>
            <w:tcW w:w="8664" w:type="dxa"/>
            <w:gridSpan w:val="9"/>
            <w:tcBorders>
              <w:top w:val="single" w:sz="8" w:space="0" w:color="004C97"/>
              <w:bottom w:val="single" w:sz="8" w:space="0" w:color="004C97"/>
              <w:right w:val="single" w:sz="8" w:space="0" w:color="004C97"/>
            </w:tcBorders>
            <w:tcMar>
              <w:top w:w="30" w:type="dxa"/>
              <w:left w:w="0" w:type="dxa"/>
              <w:bottom w:w="30" w:type="dxa"/>
            </w:tcMar>
            <w:vAlign w:val="center"/>
          </w:tcPr>
          <w:p>
            <w:pPr>
              <w:pStyle w:val="TableContents"/>
              <w:bidi w:val="0"/>
              <w:spacing w:lineRule="auto" w:line="240" w:before="0" w:after="0"/>
              <w:jc w:val="left"/>
              <w:rPr>
                <w:rFonts w:ascii="Arial;sans-serif" w:hAnsi="Arial;sans-serif"/>
                <w:b w:val="false"/>
                <w:i/>
                <w:color w:val="000000"/>
                <w:sz w:val="20"/>
              </w:rPr>
            </w:pPr>
            <w:r>
              <w:rPr>
                <w:rFonts w:ascii="Arial;sans-serif" w:hAnsi="Arial;sans-serif"/>
                <w:b w:val="false"/>
                <w:i/>
                <w:color w:val="000000"/>
                <w:sz w:val="20"/>
              </w:rPr>
              <w:t>Reflecting the Voice of Our Stockholders</w:t>
            </w:r>
          </w:p>
          <w:p>
            <w:pPr>
              <w:pStyle w:val="TableContents"/>
              <w:bidi w:val="0"/>
              <w:spacing w:lineRule="auto" w:line="288" w:before="0" w:after="240"/>
              <w:jc w:val="both"/>
              <w:rPr>
                <w:rFonts w:ascii="Arial;sans-serif" w:hAnsi="Arial;sans-serif"/>
                <w:b w:val="false"/>
                <w:color w:val="000000"/>
                <w:sz w:val="18"/>
              </w:rPr>
            </w:pPr>
            <w:r>
              <w:rPr>
                <w:rFonts w:ascii="Arial;sans-serif" w:hAnsi="Arial;sans-serif"/>
                <w:b w:val="false"/>
                <w:color w:val="000000"/>
                <w:sz w:val="18"/>
              </w:rPr>
              <w:t>We carefully consider the results of our stockholder Say-on-Pay vote from the previous year. At our 2023 Annual Meeting, approximately 87% of votes cast approved our executive compensation, while our Say-On-Pay voting results have averaged more than 90% approval each year since 2016. We continue to actively seek and highly value the perspectives of our investors. During the year, we reached out to stockholders owning approximately 75% of our common stock. We have taken and will continue to take stockholder feedback into consideration as we evolve our compensation program. Most importantly, we are committed to ensuring that our ongoing program is designed in the best interests of both our stockholders and executives.</w:t>
            </w:r>
          </w:p>
        </w:tc>
      </w:tr>
    </w:tbl>
    <w:tbl>
      <w:tblPr>
        <w:tblW w:w="10205" w:type="dxa"/>
        <w:jc w:val="left"/>
        <w:tblInd w:w="0" w:type="dxa"/>
        <w:tblLayout w:type="fixed"/>
        <w:tblCellMar>
          <w:top w:w="28" w:type="dxa"/>
          <w:left w:w="28" w:type="dxa"/>
          <w:bottom w:w="28" w:type="dxa"/>
          <w:right w:w="28" w:type="dxa"/>
        </w:tblCellMar>
      </w:tblPr>
      <w:tblGrid>
        <w:gridCol w:w="972"/>
        <w:gridCol w:w="854"/>
        <w:gridCol w:w="854"/>
        <w:gridCol w:w="854"/>
        <w:gridCol w:w="854"/>
        <w:gridCol w:w="869"/>
        <w:gridCol w:w="109"/>
        <w:gridCol w:w="109"/>
        <w:gridCol w:w="109"/>
        <w:gridCol w:w="1351"/>
        <w:gridCol w:w="1351"/>
        <w:gridCol w:w="1919"/>
      </w:tblGrid>
      <w:tr>
        <w:trPr/>
        <w:tc>
          <w:tcPr>
            <w:tcW w:w="972"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1919" w:type="dxa"/>
            <w:tcBorders/>
            <w:vAlign w:val="center"/>
          </w:tcPr>
          <w:p>
            <w:pPr>
              <w:pStyle w:val="TableContents"/>
              <w:bidi w:val="0"/>
              <w:spacing w:before="0" w:after="283"/>
              <w:jc w:val="left"/>
              <w:rPr>
                <w:sz w:val="4"/>
                <w:szCs w:val="4"/>
              </w:rPr>
            </w:pPr>
            <w:r>
              <w:rPr>
                <w:sz w:val="4"/>
                <w:szCs w:val="4"/>
              </w:rPr>
            </w:r>
          </w:p>
        </w:tc>
      </w:tr>
      <w:tr>
        <w:trPr/>
        <w:tc>
          <w:tcPr>
            <w:tcW w:w="5257" w:type="dxa"/>
            <w:gridSpan w:val="6"/>
            <w:vMerge w:val="restart"/>
            <w:tcBorders/>
            <w:tcMar>
              <w:top w:w="0" w:type="dxa"/>
              <w:left w:w="0" w:type="dxa"/>
              <w:bottom w:w="0" w:type="dxa"/>
              <w:right w:w="0" w:type="dxa"/>
            </w:tcMar>
            <w:vAlign w:val="center"/>
          </w:tcPr>
          <w:p>
            <w:pPr>
              <w:pStyle w:val="TableContents"/>
              <w:bidi w:val="0"/>
              <w:spacing w:lineRule="auto" w:line="288" w:before="0" w:after="60"/>
              <w:jc w:val="left"/>
              <w:rPr>
                <w:rFonts w:ascii="Arial;sans-serif" w:hAnsi="Arial;sans-serif"/>
                <w:b/>
                <w:color w:val="004C97"/>
                <w:sz w:val="20"/>
              </w:rPr>
            </w:pPr>
            <w:r>
              <w:rPr>
                <w:rFonts w:ascii="Arial;sans-serif" w:hAnsi="Arial;sans-serif"/>
                <w:b/>
                <w:color w:val="004C97"/>
                <w:sz w:val="20"/>
              </w:rPr>
              <w:t>Summary of Compensation Program</w:t>
            </w:r>
          </w:p>
          <w:p>
            <w:pPr>
              <w:pStyle w:val="TableContents"/>
              <w:bidi w:val="0"/>
              <w:spacing w:lineRule="auto" w:line="288" w:before="0" w:after="180"/>
              <w:ind w:left="0" w:right="0" w:hanging="216"/>
              <w:jc w:val="left"/>
              <w:rPr/>
            </w:pPr>
            <w:r>
              <w:rPr>
                <w:color w:val="000000"/>
              </w:rPr>
              <w:t>•</w:t>
            </w:r>
            <w:r>
              <w:rPr>
                <w:rFonts w:ascii="Arial;sans-serif" w:hAnsi="Arial;sans-serif"/>
                <w:b w:val="false"/>
                <w:color w:val="000000"/>
                <w:sz w:val="18"/>
              </w:rPr>
              <w:t>Sets total compensation that is in line with the market, employee experience and scope of responsibilities, facilitating attraction, retention, and reward for execution of responsibilities and delivery of performance;</w:t>
            </w:r>
          </w:p>
          <w:p>
            <w:pPr>
              <w:pStyle w:val="TableContents"/>
              <w:bidi w:val="0"/>
              <w:spacing w:lineRule="auto" w:line="288" w:before="0" w:after="180"/>
              <w:ind w:left="0" w:right="0" w:hanging="216"/>
              <w:jc w:val="left"/>
              <w:rPr/>
            </w:pPr>
            <w:r>
              <w:rPr>
                <w:color w:val="000000"/>
              </w:rPr>
              <w:t>•</w:t>
            </w:r>
            <w:r>
              <w:rPr>
                <w:rFonts w:ascii="Arial;sans-serif" w:hAnsi="Arial;sans-serif"/>
                <w:b w:val="false"/>
                <w:color w:val="000000"/>
                <w:sz w:val="18"/>
              </w:rPr>
              <w:t>Emphasizes variable compensation programs: greater than 80% of CEO and greater than 65% of other NEOs pay at risk;</w:t>
            </w:r>
          </w:p>
          <w:p>
            <w:pPr>
              <w:pStyle w:val="TableContents"/>
              <w:bidi w:val="0"/>
              <w:spacing w:lineRule="auto" w:line="288" w:before="0" w:after="180"/>
              <w:ind w:left="0" w:right="0" w:hanging="216"/>
              <w:jc w:val="left"/>
              <w:rPr/>
            </w:pPr>
            <w:r>
              <w:rPr>
                <w:color w:val="000000"/>
              </w:rPr>
              <w:t>•</w:t>
            </w:r>
            <w:r>
              <w:rPr>
                <w:rFonts w:ascii="Arial;sans-serif" w:hAnsi="Arial;sans-serif"/>
                <w:b w:val="false"/>
                <w:color w:val="000000"/>
                <w:sz w:val="18"/>
              </w:rPr>
              <w:t>Provides that a majority of long-term incentives to NEOs are performance based;</w:t>
            </w:r>
          </w:p>
          <w:p>
            <w:pPr>
              <w:pStyle w:val="TableContents"/>
              <w:bidi w:val="0"/>
              <w:spacing w:lineRule="auto" w:line="288" w:before="0" w:after="180"/>
              <w:ind w:left="0" w:right="0" w:hanging="216"/>
              <w:jc w:val="left"/>
              <w:rPr/>
            </w:pPr>
            <w:r>
              <w:rPr>
                <w:color w:val="000000"/>
              </w:rPr>
              <w:t>•</w:t>
            </w:r>
            <w:r>
              <w:rPr>
                <w:rFonts w:ascii="Arial;sans-serif" w:hAnsi="Arial;sans-serif"/>
                <w:b w:val="false"/>
                <w:color w:val="000000"/>
                <w:sz w:val="18"/>
              </w:rPr>
              <w:t>Establishes rigorous performance targets across key financial categories, including operating income, cash flow, and revenue, that exceed prior year results.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7" w:type="dxa"/>
            <w:gridSpan w:val="6"/>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1" w:type="dxa"/>
            <w:gridSpan w:val="3"/>
            <w:tcBorders/>
            <w:tcMar>
              <w:top w:w="0" w:type="dxa"/>
              <w:left w:w="0" w:type="dxa"/>
              <w:bottom w:w="0" w:type="dxa"/>
              <w:right w:w="0" w:type="dxa"/>
            </w:tcMar>
            <w:vAlign w:val="center"/>
          </w:tcPr>
          <w:p>
            <w:pPr>
              <w:pStyle w:val="TableContents"/>
              <w:bidi w:val="0"/>
              <w:spacing w:lineRule="auto" w:line="240" w:before="0" w:after="120"/>
              <w:ind w:left="0" w:right="0" w:hanging="216"/>
              <w:jc w:val="left"/>
              <w:rPr/>
            </w:pPr>
            <w:r>
              <w:rPr>
                <w:color w:val="000000"/>
              </w:rPr>
              <w:t>•</w:t>
            </w:r>
            <w:r>
              <w:rPr>
                <w:rFonts w:ascii="Arial;sans-serif" w:hAnsi="Arial;sans-serif"/>
                <w:b w:val="false"/>
                <w:color w:val="000000"/>
                <w:sz w:val="18"/>
              </w:rPr>
              <w:t>Grants equity awards with double-trigger termination payments upon a change in control;</w:t>
            </w:r>
          </w:p>
          <w:p>
            <w:pPr>
              <w:pStyle w:val="TableContents"/>
              <w:bidi w:val="0"/>
              <w:spacing w:lineRule="auto" w:line="288" w:before="0" w:after="180"/>
              <w:ind w:left="0" w:right="0" w:hanging="216"/>
              <w:jc w:val="left"/>
              <w:rPr/>
            </w:pPr>
            <w:r>
              <w:rPr>
                <w:color w:val="000000"/>
              </w:rPr>
              <w:t>•</w:t>
            </w:r>
            <w:r>
              <w:rPr>
                <w:rFonts w:ascii="Arial;sans-serif" w:hAnsi="Arial;sans-serif"/>
                <w:b w:val="false"/>
                <w:color w:val="000000"/>
                <w:sz w:val="18"/>
              </w:rPr>
              <w:t>Aligns compensation to performance against financial target delivery and progression on strategic initiatives, including continuous improvement, digital, diversity &amp; inclusion, and sustainability;</w:t>
            </w:r>
          </w:p>
          <w:p>
            <w:pPr>
              <w:pStyle w:val="TableContents"/>
              <w:bidi w:val="0"/>
              <w:spacing w:lineRule="auto" w:line="288" w:before="0" w:after="180"/>
              <w:ind w:left="0" w:right="0" w:hanging="216"/>
              <w:jc w:val="left"/>
              <w:rPr/>
            </w:pPr>
            <w:r>
              <w:rPr>
                <w:color w:val="000000"/>
              </w:rPr>
              <w:t>•</w:t>
            </w:r>
            <w:r>
              <w:rPr>
                <w:rFonts w:ascii="Arial;sans-serif" w:hAnsi="Arial;sans-serif"/>
                <w:b w:val="false"/>
                <w:color w:val="000000"/>
                <w:sz w:val="18"/>
              </w:rPr>
              <w:t>Includes a relative TSR component against our industry group index for long-term incentives to align with stockholder value;</w:t>
            </w:r>
          </w:p>
          <w:p>
            <w:pPr>
              <w:pStyle w:val="TableContents"/>
              <w:bidi w:val="0"/>
              <w:spacing w:lineRule="auto" w:line="288" w:before="0" w:after="180"/>
              <w:ind w:left="0" w:right="0" w:hanging="216"/>
              <w:jc w:val="left"/>
              <w:rPr/>
            </w:pPr>
            <w:r>
              <w:rPr>
                <w:color w:val="000000"/>
              </w:rPr>
              <w:t>•</w:t>
            </w:r>
            <w:r>
              <w:rPr>
                <w:rFonts w:ascii="Arial;sans-serif" w:hAnsi="Arial;sans-serif"/>
                <w:b w:val="false"/>
                <w:color w:val="000000"/>
                <w:sz w:val="18"/>
              </w:rPr>
              <w:t>Freezes historic defined benefit pension plans, with no NEO participants;</w:t>
            </w:r>
          </w:p>
          <w:p>
            <w:pPr>
              <w:pStyle w:val="TableContents"/>
              <w:bidi w:val="0"/>
              <w:spacing w:lineRule="auto" w:line="288" w:before="0" w:after="180"/>
              <w:ind w:left="0" w:right="0" w:hanging="216"/>
              <w:jc w:val="left"/>
              <w:rPr/>
            </w:pPr>
            <w:r>
              <w:rPr>
                <w:color w:val="000000"/>
              </w:rPr>
              <w:t>•</w:t>
            </w:r>
            <w:r>
              <w:rPr>
                <w:rFonts w:ascii="Arial;sans-serif" w:hAnsi="Arial;sans-serif"/>
                <w:b w:val="false"/>
                <w:color w:val="000000"/>
                <w:sz w:val="18"/>
              </w:rPr>
              <w:t>Prohibits NEO hedging or pledging of our common stock.</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739140"/>
                <wp:effectExtent l="0" t="0" r="0" b="0"/>
                <wp:wrapNone/>
                <wp:docPr id="105" name="Frame31"/>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292" w:type="dxa"/>
                              <w:jc w:val="right"/>
                              <w:tblInd w:w="0" w:type="dxa"/>
                              <w:tblLayout w:type="fixed"/>
                              <w:tblCellMar>
                                <w:top w:w="28" w:type="dxa"/>
                                <w:left w:w="28" w:type="dxa"/>
                                <w:bottom w:w="28" w:type="dxa"/>
                                <w:right w:w="28" w:type="dxa"/>
                              </w:tblCellMar>
                            </w:tblPr>
                            <w:tblGrid>
                              <w:gridCol w:w="292"/>
                              <w:gridCol w:w="256"/>
                              <w:gridCol w:w="258"/>
                              <w:gridCol w:w="704"/>
                              <w:gridCol w:w="704"/>
                              <w:gridCol w:w="706"/>
                              <w:gridCol w:w="109"/>
                              <w:gridCol w:w="109"/>
                              <w:gridCol w:w="154"/>
                            </w:tblGrid>
                            <w:tr>
                              <w:trPr/>
                              <w:tc>
                                <w:tcPr>
                                  <w:tcW w:w="29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0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106"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Image51" descr=""/>
                                                <pic:cNvPicPr>
                                                  <a:picLocks noChangeAspect="1" noChangeArrowheads="1"/>
                                                </pic:cNvPicPr>
                                              </pic:nvPicPr>
                                              <pic:blipFill>
                                                <a:blip r:embed="rId76"/>
                                                <a:stretch>
                                                  <a:fillRect/>
                                                </a:stretch>
                                              </pic:blipFill>
                                              <pic:spPr bwMode="auto">
                                                <a:xfrm>
                                                  <a:off x="0" y="0"/>
                                                  <a:ext cx="447675" cy="161925"/>
                                                </a:xfrm>
                                                <a:prstGeom prst="rect">
                                                  <a:avLst/>
                                                </a:prstGeom>
                                              </pic:spPr>
                                            </pic:pic>
                                          </a:graphicData>
                                        </a:graphic>
                                      </wp:inline>
                                    </w:drawing>
                                  </w:r>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2024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000000"/>
                                      <w:sz w:val="16"/>
                                    </w:rPr>
                                  </w:pPr>
                                  <w:r>
                                    <w:rPr>
                                      <w:rFonts w:ascii="Arial;sans-serif" w:hAnsi="Arial;sans-serif"/>
                                      <w:b/>
                                      <w:color w:val="000000"/>
                                      <w:sz w:val="16"/>
                                    </w:rPr>
                                    <w:t>25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292" w:type="dxa"/>
                        <w:jc w:val="right"/>
                        <w:tblInd w:w="0" w:type="dxa"/>
                        <w:tblLayout w:type="fixed"/>
                        <w:tblCellMar>
                          <w:top w:w="28" w:type="dxa"/>
                          <w:left w:w="28" w:type="dxa"/>
                          <w:bottom w:w="28" w:type="dxa"/>
                          <w:right w:w="28" w:type="dxa"/>
                        </w:tblCellMar>
                      </w:tblPr>
                      <w:tblGrid>
                        <w:gridCol w:w="292"/>
                        <w:gridCol w:w="256"/>
                        <w:gridCol w:w="258"/>
                        <w:gridCol w:w="704"/>
                        <w:gridCol w:w="704"/>
                        <w:gridCol w:w="706"/>
                        <w:gridCol w:w="109"/>
                        <w:gridCol w:w="109"/>
                        <w:gridCol w:w="154"/>
                      </w:tblGrid>
                      <w:tr>
                        <w:trPr/>
                        <w:tc>
                          <w:tcPr>
                            <w:tcW w:w="29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0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107"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Image51" descr=""/>
                                          <pic:cNvPicPr>
                                            <a:picLocks noChangeAspect="1" noChangeArrowheads="1"/>
                                          </pic:cNvPicPr>
                                        </pic:nvPicPr>
                                        <pic:blipFill>
                                          <a:blip r:embed="rId77"/>
                                          <a:stretch>
                                            <a:fillRect/>
                                          </a:stretch>
                                        </pic:blipFill>
                                        <pic:spPr bwMode="auto">
                                          <a:xfrm>
                                            <a:off x="0" y="0"/>
                                            <a:ext cx="447675" cy="161925"/>
                                          </a:xfrm>
                                          <a:prstGeom prst="rect">
                                            <a:avLst/>
                                          </a:prstGeom>
                                        </pic:spPr>
                                      </pic:pic>
                                    </a:graphicData>
                                  </a:graphic>
                                </wp:inline>
                              </w:drawing>
                            </w:r>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2024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000000"/>
                                <w:sz w:val="16"/>
                              </w:rPr>
                            </w:pPr>
                            <w:r>
                              <w:rPr>
                                <w:rFonts w:ascii="Arial;sans-serif" w:hAnsi="Arial;sans-serif"/>
                                <w:b/>
                                <w:color w:val="000000"/>
                                <w:sz w:val="16"/>
                              </w:rPr>
                              <w:t>25</w:t>
                            </w:r>
                          </w:p>
                        </w:tc>
                      </w:tr>
                    </w:tbl>
                    <w:p>
                      <w:pPr>
                        <w:pStyle w:val="TextBody"/>
                        <w:bidi w:val="0"/>
                        <w:spacing w:before="0" w:after="283"/>
                        <w:jc w:val="left"/>
                        <w:rPr/>
                      </w:pPr>
                      <w:r>
                        <w:rPr/>
                      </w:r>
                    </w:p>
                  </w:txbxContent>
                </v:textbox>
                <w10:wrap type="none"/>
              </v:rect>
            </w:pict>
          </mc:Fallback>
        </mc:AlternateContent>
      </w:r>
    </w:p>
    <w:tbl>
      <w:tblPr>
        <w:tblW w:w="2459" w:type="dxa"/>
        <w:jc w:val="right"/>
        <w:tblInd w:w="0" w:type="dxa"/>
        <w:tblLayout w:type="fixed"/>
        <w:tblCellMar>
          <w:top w:w="28" w:type="dxa"/>
          <w:left w:w="28" w:type="dxa"/>
          <w:bottom w:w="28" w:type="dxa"/>
          <w:right w:w="28" w:type="dxa"/>
        </w:tblCellMar>
      </w:tblPr>
      <w:tblGrid>
        <w:gridCol w:w="786"/>
        <w:gridCol w:w="691"/>
        <w:gridCol w:w="982"/>
      </w:tblGrid>
      <w:tr>
        <w:trPr/>
        <w:tc>
          <w:tcPr>
            <w:tcW w:w="78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r>
      <w:tr>
        <w:trPr/>
        <w:tc>
          <w:tcPr>
            <w:tcW w:w="2459" w:type="dxa"/>
            <w:gridSpan w:val="3"/>
            <w:tcBorders>
              <w:bottom w:val="single" w:sz="4" w:space="0" w:color="004C97"/>
            </w:tcBorders>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4C97"/>
                <w:sz w:val="16"/>
              </w:rPr>
            </w:pPr>
            <w:r>
              <w:rPr>
                <w:rFonts w:ascii="Arial;sans-serif" w:hAnsi="Arial;sans-serif"/>
                <w:b w:val="false"/>
                <w:color w:val="004C97"/>
                <w:sz w:val="16"/>
              </w:rPr>
              <w:t>EXECUTIVE COMPENSATION</w:t>
            </w:r>
          </w:p>
        </w:tc>
      </w:tr>
    </w:tbl>
    <w:p>
      <w:pPr>
        <w:pStyle w:val="TextBody"/>
        <w:bidi w:val="0"/>
        <w:spacing w:lineRule="auto" w:line="240" w:before="0" w:after="120"/>
        <w:jc w:val="left"/>
        <w:rPr>
          <w:rFonts w:ascii="Arial;sans-serif" w:hAnsi="Arial;sans-serif"/>
          <w:b/>
          <w:color w:val="0070AF"/>
          <w:sz w:val="22"/>
        </w:rPr>
      </w:pPr>
      <w:r>
        <w:rPr>
          <w:rFonts w:ascii="Arial;sans-serif" w:hAnsi="Arial;sans-serif"/>
          <w:b/>
          <w:color w:val="0070AF"/>
          <w:sz w:val="22"/>
        </w:rPr>
        <w:t>Our Compensation Principles</w:t>
      </w:r>
    </w:p>
    <w:p>
      <w:pPr>
        <w:pStyle w:val="TextBody"/>
        <w:bidi w:val="0"/>
        <w:spacing w:lineRule="auto" w:line="240" w:before="0" w:after="60"/>
        <w:jc w:val="left"/>
        <w:rPr>
          <w:rFonts w:ascii="Arial;sans-serif" w:hAnsi="Arial;sans-serif"/>
          <w:b w:val="false"/>
          <w:color w:val="000000"/>
          <w:sz w:val="20"/>
        </w:rPr>
      </w:pPr>
      <w:r>
        <w:rPr>
          <w:rFonts w:ascii="Arial;sans-serif" w:hAnsi="Arial;sans-serif"/>
          <w:b w:val="false"/>
          <w:color w:val="000000"/>
          <w:sz w:val="20"/>
        </w:rPr>
        <w:t>Our executive compensation program is centered around the following principles:</w:t>
      </w:r>
    </w:p>
    <w:tbl>
      <w:tblPr>
        <w:tblW w:w="10205" w:type="dxa"/>
        <w:jc w:val="left"/>
        <w:tblInd w:w="0" w:type="dxa"/>
        <w:tblLayout w:type="fixed"/>
        <w:tblCellMar>
          <w:top w:w="28" w:type="dxa"/>
          <w:left w:w="28" w:type="dxa"/>
          <w:bottom w:w="28" w:type="dxa"/>
          <w:right w:w="28" w:type="dxa"/>
        </w:tblCellMar>
      </w:tblPr>
      <w:tblGrid>
        <w:gridCol w:w="692"/>
        <w:gridCol w:w="459"/>
        <w:gridCol w:w="461"/>
        <w:gridCol w:w="2599"/>
        <w:gridCol w:w="2482"/>
        <w:gridCol w:w="3512"/>
      </w:tblGrid>
      <w:tr>
        <w:trPr/>
        <w:tc>
          <w:tcPr>
            <w:tcW w:w="692"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2599" w:type="dxa"/>
            <w:tcBorders/>
            <w:vAlign w:val="center"/>
          </w:tcPr>
          <w:p>
            <w:pPr>
              <w:pStyle w:val="TableContents"/>
              <w:bidi w:val="0"/>
              <w:spacing w:before="0" w:after="283"/>
              <w:jc w:val="left"/>
              <w:rPr>
                <w:sz w:val="4"/>
                <w:szCs w:val="4"/>
              </w:rPr>
            </w:pPr>
            <w:r>
              <w:rPr>
                <w:sz w:val="4"/>
                <w:szCs w:val="4"/>
              </w:rPr>
            </w:r>
          </w:p>
        </w:tc>
        <w:tc>
          <w:tcPr>
            <w:tcW w:w="2482" w:type="dxa"/>
            <w:tcBorders/>
            <w:vAlign w:val="center"/>
          </w:tcPr>
          <w:p>
            <w:pPr>
              <w:pStyle w:val="TableContents"/>
              <w:bidi w:val="0"/>
              <w:spacing w:before="0" w:after="283"/>
              <w:jc w:val="left"/>
              <w:rPr>
                <w:sz w:val="4"/>
                <w:szCs w:val="4"/>
              </w:rPr>
            </w:pPr>
            <w:r>
              <w:rPr>
                <w:sz w:val="4"/>
                <w:szCs w:val="4"/>
              </w:rPr>
            </w:r>
          </w:p>
        </w:tc>
        <w:tc>
          <w:tcPr>
            <w:tcW w:w="3512" w:type="dxa"/>
            <w:tcBorders/>
            <w:vAlign w:val="center"/>
          </w:tcPr>
          <w:p>
            <w:pPr>
              <w:pStyle w:val="TableContents"/>
              <w:bidi w:val="0"/>
              <w:spacing w:before="0" w:after="283"/>
              <w:jc w:val="left"/>
              <w:rPr>
                <w:sz w:val="4"/>
                <w:szCs w:val="4"/>
              </w:rPr>
            </w:pPr>
            <w:r>
              <w:rPr>
                <w:sz w:val="4"/>
                <w:szCs w:val="4"/>
              </w:rPr>
            </w:r>
          </w:p>
        </w:tc>
      </w:tr>
      <w:tr>
        <w:trPr/>
        <w:tc>
          <w:tcPr>
            <w:tcW w:w="1612" w:type="dxa"/>
            <w:gridSpan w:val="3"/>
            <w:tcBorders/>
            <w:shd w:fill="004C97"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FFFFFF"/>
                <w:sz w:val="16"/>
              </w:rPr>
            </w:pPr>
            <w:r>
              <w:rPr>
                <w:rFonts w:ascii="Arial;sans-serif" w:hAnsi="Arial;sans-serif"/>
                <w:b/>
                <w:color w:val="FFFFFF"/>
                <w:sz w:val="16"/>
              </w:rPr>
              <w:t>Alignment with</w:t>
              <w:br/>
              <w:t>Stockholders’ Interests</w:t>
            </w:r>
          </w:p>
        </w:tc>
        <w:tc>
          <w:tcPr>
            <w:tcW w:w="8593" w:type="dxa"/>
            <w:gridSpan w:val="3"/>
            <w:tcBorders/>
            <w:shd w:fill="E6E7E8"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Executive officers’ interests should be directly aligned with those of stockholders through a compensation program that emphasizes an appropriate balance of both short- and long-term financial performance and is directly affected by our stock price. Requiring executive officers to hold a meaningful amount of equity supports alignment to stockholder interests.</w:t>
            </w:r>
          </w:p>
        </w:tc>
      </w:tr>
      <w:tr>
        <w:trPr/>
        <w:tc>
          <w:tcPr>
            <w:tcW w:w="1612" w:type="dxa"/>
            <w:gridSpan w:val="3"/>
            <w:tcBorders>
              <w:top w:val="single" w:sz="48" w:space="0" w:color="FFFFFF"/>
            </w:tcBorders>
            <w:shd w:fill="004C97" w:val="clear"/>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FFFFFF"/>
                <w:sz w:val="16"/>
              </w:rPr>
            </w:pPr>
            <w:r>
              <w:rPr>
                <w:rFonts w:ascii="Arial;sans-serif" w:hAnsi="Arial;sans-serif"/>
                <w:b/>
                <w:color w:val="FFFFFF"/>
                <w:sz w:val="16"/>
              </w:rPr>
              <w:t xml:space="preserve">Link to </w:t>
            </w:r>
          </w:p>
          <w:p>
            <w:pPr>
              <w:pStyle w:val="TableContents"/>
              <w:bidi w:val="0"/>
              <w:spacing w:lineRule="auto" w:line="240" w:before="0" w:after="0"/>
              <w:jc w:val="center"/>
              <w:rPr>
                <w:rFonts w:ascii="Arial;sans-serif" w:hAnsi="Arial;sans-serif"/>
                <w:b/>
                <w:color w:val="FFFFFF"/>
                <w:sz w:val="16"/>
              </w:rPr>
            </w:pPr>
            <w:r>
              <w:rPr>
                <w:rFonts w:ascii="Arial;sans-serif" w:hAnsi="Arial;sans-serif"/>
                <w:b/>
                <w:color w:val="FFFFFF"/>
                <w:sz w:val="16"/>
              </w:rPr>
              <w:t xml:space="preserve">Business Priorities and </w:t>
            </w:r>
          </w:p>
          <w:p>
            <w:pPr>
              <w:pStyle w:val="TableContents"/>
              <w:bidi w:val="0"/>
              <w:spacing w:lineRule="auto" w:line="240" w:before="0" w:after="0"/>
              <w:jc w:val="center"/>
              <w:rPr>
                <w:rFonts w:ascii="Arial;sans-serif" w:hAnsi="Arial;sans-serif"/>
                <w:b/>
                <w:color w:val="FFFFFF"/>
                <w:sz w:val="16"/>
              </w:rPr>
            </w:pPr>
            <w:r>
              <w:rPr>
                <w:rFonts w:ascii="Arial;sans-serif" w:hAnsi="Arial;sans-serif"/>
                <w:b/>
                <w:color w:val="FFFFFF"/>
                <w:sz w:val="16"/>
              </w:rPr>
              <w:t>Performance</w:t>
            </w:r>
          </w:p>
        </w:tc>
        <w:tc>
          <w:tcPr>
            <w:tcW w:w="8593" w:type="dxa"/>
            <w:gridSpan w:val="3"/>
            <w:tcBorders>
              <w:top w:val="single" w:sz="48" w:space="0" w:color="FFFFFF"/>
            </w:tcBorders>
            <w:shd w:fill="E6E7E8" w:val="clear"/>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A significant portion of total compensation should be variable and subject to the attainment of certain specific and measurable performance goals and objectives. In addition to financial indicators, variable compensation should emphasize the link between rewards and the execution of strategy.</w:t>
            </w:r>
          </w:p>
        </w:tc>
      </w:tr>
      <w:tr>
        <w:trPr/>
        <w:tc>
          <w:tcPr>
            <w:tcW w:w="1612" w:type="dxa"/>
            <w:gridSpan w:val="3"/>
            <w:tcBorders>
              <w:top w:val="single" w:sz="48" w:space="0" w:color="FFFFFF"/>
            </w:tcBorders>
            <w:shd w:fill="004C97"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6"/>
              </w:rPr>
            </w:pPr>
            <w:r>
              <w:rPr>
                <w:rFonts w:ascii="Arial;sans-serif" w:hAnsi="Arial;sans-serif"/>
                <w:b/>
                <w:color w:val="FFFFFF"/>
                <w:sz w:val="16"/>
              </w:rPr>
              <w:t>Competitiveness</w:t>
            </w:r>
          </w:p>
        </w:tc>
        <w:tc>
          <w:tcPr>
            <w:tcW w:w="8593" w:type="dxa"/>
            <w:gridSpan w:val="3"/>
            <w:tcBorders>
              <w:top w:val="single" w:sz="48" w:space="0" w:color="FFFFFF"/>
            </w:tcBorders>
            <w:shd w:fill="E6E7E8" w:val="clear"/>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Target total compensation should be competitive with that being offered to individuals holding comparable positions, with comparable experience, at other public companies with which we compete for leadership and market talent.</w:t>
            </w:r>
          </w:p>
        </w:tc>
      </w:tr>
      <w:tr>
        <w:trPr/>
        <w:tc>
          <w:tcPr>
            <w:tcW w:w="1612" w:type="dxa"/>
            <w:gridSpan w:val="3"/>
            <w:tcBorders>
              <w:top w:val="single" w:sz="48" w:space="0" w:color="FFFFFF"/>
            </w:tcBorders>
            <w:shd w:fill="004C97" w:val="clear"/>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FFFFFF"/>
                <w:sz w:val="16"/>
              </w:rPr>
            </w:pPr>
            <w:r>
              <w:rPr>
                <w:rFonts w:ascii="Arial;sans-serif" w:hAnsi="Arial;sans-serif"/>
                <w:b/>
                <w:color w:val="FFFFFF"/>
                <w:sz w:val="16"/>
              </w:rPr>
              <w:t>Governance</w:t>
            </w:r>
          </w:p>
        </w:tc>
        <w:tc>
          <w:tcPr>
            <w:tcW w:w="8593" w:type="dxa"/>
            <w:gridSpan w:val="3"/>
            <w:tcBorders>
              <w:top w:val="single" w:sz="48" w:space="0" w:color="FFFFFF"/>
            </w:tcBorders>
            <w:shd w:fill="E6E7E8" w:val="clear"/>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Maintaining best-practice executive compensation governance standards is critical to the decision-making process and the ability to manage risk. Doing so is in the best interests of our stockholders and executives.</w:t>
            </w:r>
          </w:p>
        </w:tc>
      </w:tr>
    </w:tbl>
    <w:p>
      <w:pPr>
        <w:pStyle w:val="TextBody"/>
        <w:bidi w:val="0"/>
        <w:spacing w:lineRule="auto" w:line="288" w:before="0" w:after="60"/>
        <w:jc w:val="left"/>
        <w:rPr>
          <w:rFonts w:ascii="Arial;sans-serif" w:hAnsi="Arial;sans-serif"/>
          <w:b/>
          <w:color w:val="004C97"/>
          <w:sz w:val="20"/>
        </w:rPr>
      </w:pPr>
      <w:r>
        <w:rPr>
          <w:rFonts w:ascii="Arial;sans-serif" w:hAnsi="Arial;sans-serif"/>
          <w:b/>
          <w:color w:val="004C97"/>
          <w:sz w:val="20"/>
        </w:rPr>
        <w:t>Components of Total Direct Compensation</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For 2023, we continued to focus on ensuring alignment of pay practices with stockholder interests and driving a pay-for-performance culture.</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Design and characteristics of the SPX compensation program include:</w:t>
      </w:r>
    </w:p>
    <w:p>
      <w:pPr>
        <w:pStyle w:val="TextBody"/>
        <w:bidi w:val="0"/>
        <w:spacing w:lineRule="auto" w:line="288" w:before="0" w:after="180"/>
        <w:ind w:left="0" w:right="0" w:hanging="216"/>
        <w:jc w:val="both"/>
        <w:rPr/>
      </w:pPr>
      <w:r>
        <w:rPr>
          <w:color w:val="000000"/>
        </w:rPr>
        <w:t>•</w:t>
      </w:r>
      <w:r>
        <w:rPr>
          <w:rFonts w:ascii="Arial;sans-serif" w:hAnsi="Arial;sans-serif"/>
          <w:b w:val="false"/>
          <w:color w:val="000000"/>
          <w:sz w:val="18"/>
          <w:u w:val="single"/>
        </w:rPr>
        <w:t>Base Salary.</w:t>
      </w:r>
      <w:r>
        <w:rPr>
          <w:color w:val="000000"/>
        </w:rPr>
        <w:t xml:space="preserve"> </w:t>
      </w:r>
      <w:r>
        <w:rPr>
          <w:rFonts w:ascii="Arial;sans-serif" w:hAnsi="Arial;sans-serif"/>
          <w:b w:val="false"/>
          <w:color w:val="000000"/>
          <w:sz w:val="18"/>
        </w:rPr>
        <w:t>Annual salary for our NEOs is targeted at the market median of peer companies and is in line with responsibilities, performance, contributions, and overall experience.</w:t>
      </w:r>
    </w:p>
    <w:p>
      <w:pPr>
        <w:pStyle w:val="TextBody"/>
        <w:bidi w:val="0"/>
        <w:spacing w:lineRule="auto" w:line="288" w:before="0" w:after="180"/>
        <w:ind w:left="0" w:right="0" w:hanging="216"/>
        <w:jc w:val="both"/>
        <w:rPr/>
      </w:pPr>
      <w:r>
        <w:rPr>
          <w:color w:val="000000"/>
        </w:rPr>
        <w:t>•</w:t>
      </w:r>
      <w:r>
        <w:rPr>
          <w:rFonts w:ascii="Arial;sans-serif" w:hAnsi="Arial;sans-serif"/>
          <w:b w:val="false"/>
          <w:color w:val="000000"/>
          <w:sz w:val="18"/>
          <w:u w:val="single"/>
        </w:rPr>
        <w:t>Annual Incentive.</w:t>
      </w:r>
      <w:r>
        <w:rPr>
          <w:color w:val="000000"/>
        </w:rPr>
        <w:t xml:space="preserve"> </w:t>
      </w:r>
      <w:r>
        <w:rPr>
          <w:rFonts w:ascii="Arial;sans-serif" w:hAnsi="Arial;sans-serif"/>
          <w:b w:val="false"/>
          <w:color w:val="000000"/>
          <w:sz w:val="18"/>
        </w:rPr>
        <w:t>Annual Incentive levels (percents) are targeted at the market median of peer companies. Performance metrics focus on delivering key annual objectives with financial targets directly tied to the achievement of goals related to operating income, cash flow, and revenue. Performance modifiers may be further adjusted for individual performance, including progress related to our strategic initiatives.</w:t>
      </w:r>
    </w:p>
    <w:p>
      <w:pPr>
        <w:pStyle w:val="TextBody"/>
        <w:bidi w:val="0"/>
        <w:spacing w:lineRule="auto" w:line="288" w:before="0" w:after="180"/>
        <w:ind w:left="0" w:right="0" w:hanging="216"/>
        <w:jc w:val="both"/>
        <w:rPr/>
      </w:pPr>
      <w:r>
        <w:rPr>
          <w:color w:val="000000"/>
        </w:rPr>
        <w:t>•</w:t>
      </w:r>
      <w:r>
        <w:rPr>
          <w:rFonts w:ascii="Arial;sans-serif" w:hAnsi="Arial;sans-serif"/>
          <w:b w:val="false"/>
          <w:color w:val="000000"/>
          <w:sz w:val="18"/>
          <w:u w:val="single"/>
        </w:rPr>
        <w:t>Long-Term Incentives.</w:t>
      </w:r>
      <w:r>
        <w:rPr>
          <w:color w:val="000000"/>
        </w:rPr>
        <w:t xml:space="preserve"> </w:t>
      </w:r>
      <w:r>
        <w:rPr>
          <w:rFonts w:ascii="Arial;sans-serif" w:hAnsi="Arial;sans-serif"/>
          <w:b w:val="false"/>
          <w:color w:val="000000"/>
          <w:sz w:val="18"/>
        </w:rPr>
        <w:t>Long-term incentive (“LTI”) awards align compensation and long-term performance. LTI award levels are targeted at the market median of peer companies with some variation above and below median by NEO to account for factors including responsibilities, performance, contributions and overall experience. The mix of awards includes:</w:t>
      </w:r>
    </w:p>
    <w:p>
      <w:pPr>
        <w:pStyle w:val="TextBody"/>
        <w:bidi w:val="0"/>
        <w:spacing w:lineRule="auto" w:line="288" w:before="0" w:after="180"/>
        <w:ind w:left="0" w:right="0" w:hanging="216"/>
        <w:jc w:val="both"/>
        <w:rPr/>
      </w:pPr>
      <w:r>
        <w:rPr>
          <w:color w:val="000000"/>
        </w:rPr>
        <w:t>•</w:t>
      </w:r>
      <w:r>
        <w:rPr>
          <w:rFonts w:ascii="Arial;sans-serif" w:hAnsi="Arial;sans-serif"/>
          <w:b w:val="false"/>
          <w:color w:val="000000"/>
          <w:sz w:val="18"/>
        </w:rPr>
        <w:t>25% Stock Options (“Options”) that vest ratably over a three-year period;</w:t>
      </w:r>
    </w:p>
    <w:p>
      <w:pPr>
        <w:pStyle w:val="TextBody"/>
        <w:bidi w:val="0"/>
        <w:spacing w:lineRule="auto" w:line="288" w:before="0" w:after="180"/>
        <w:ind w:left="0" w:right="0" w:hanging="216"/>
        <w:jc w:val="both"/>
        <w:rPr/>
      </w:pPr>
      <w:r>
        <w:rPr>
          <w:color w:val="000000"/>
        </w:rPr>
        <w:t>•</w:t>
      </w:r>
      <w:r>
        <w:rPr>
          <w:rFonts w:ascii="Arial;sans-serif" w:hAnsi="Arial;sans-serif"/>
          <w:b w:val="false"/>
          <w:color w:val="000000"/>
          <w:sz w:val="18"/>
        </w:rPr>
        <w:t>50% Performance Stock Units (“PSUs”) tied to relative TSR (“r-TSR”) compared to a peer group within the S&amp;P 600 Small Cap Capital Goods Index over a three-year performance measurement period, with potential payout range of 0% to 150% of target, and cannot exceed target if our TSR is negative;</w:t>
      </w:r>
    </w:p>
    <w:p>
      <w:pPr>
        <w:pStyle w:val="TextBody"/>
        <w:bidi w:val="0"/>
        <w:spacing w:lineRule="auto" w:line="288" w:before="0" w:after="180"/>
        <w:ind w:left="0" w:right="0" w:hanging="216"/>
        <w:jc w:val="both"/>
        <w:rPr/>
      </w:pPr>
      <w:r>
        <w:rPr>
          <w:color w:val="000000"/>
        </w:rPr>
        <w:t>•</w:t>
      </w:r>
      <w:r>
        <w:rPr>
          <w:rFonts w:ascii="Arial;sans-serif" w:hAnsi="Arial;sans-serif"/>
          <w:b w:val="false"/>
          <w:color w:val="000000"/>
          <w:sz w:val="18"/>
        </w:rPr>
        <w:t>25% Restricted Stock Units (“RSUs”) that vest ratably over a three-year period.</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Performance against our strategic initiatives, including sustainability objectives, is considered when making awards and setting targets for all components of our compensation programs. The experience level, performance and other relevant market and talent competitive factors are considered when establishing compensation levels each year or when hiring new executives. Accordingly, we would expect our more tenured, high-performing, or highly skilled officers to be higher in range, against our peers, on all compensation program components.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739140"/>
                <wp:effectExtent l="0" t="0" r="0" b="0"/>
                <wp:wrapNone/>
                <wp:docPr id="108" name="Frame32"/>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292" w:type="dxa"/>
                              <w:jc w:val="left"/>
                              <w:tblInd w:w="0" w:type="dxa"/>
                              <w:tblLayout w:type="fixed"/>
                              <w:tblCellMar>
                                <w:top w:w="28" w:type="dxa"/>
                                <w:left w:w="28" w:type="dxa"/>
                                <w:bottom w:w="28" w:type="dxa"/>
                                <w:right w:w="28" w:type="dxa"/>
                              </w:tblCellMar>
                            </w:tblPr>
                            <w:tblGrid>
                              <w:gridCol w:w="124"/>
                              <w:gridCol w:w="109"/>
                              <w:gridCol w:w="109"/>
                              <w:gridCol w:w="704"/>
                              <w:gridCol w:w="704"/>
                              <w:gridCol w:w="706"/>
                              <w:gridCol w:w="244"/>
                              <w:gridCol w:w="244"/>
                              <w:gridCol w:w="34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6"/>
                                    </w:rPr>
                                  </w:pPr>
                                  <w:r>
                                    <w:rPr>
                                      <w:rFonts w:ascii="Arial;sans-serif" w:hAnsi="Arial;sans-serif"/>
                                      <w:b/>
                                      <w:color w:val="000000"/>
                                      <w:sz w:val="16"/>
                                    </w:rPr>
                                    <w:t>26</w:t>
                                  </w:r>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2024 PROXY STATEMENT</w:t>
                                  </w:r>
                                </w:p>
                              </w:tc>
                              <w:tc>
                                <w:tcPr>
                                  <w:tcW w:w="83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109"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Image52" descr=""/>
                                                <pic:cNvPicPr>
                                                  <a:picLocks noChangeAspect="1" noChangeArrowheads="1"/>
                                                </pic:cNvPicPr>
                                              </pic:nvPicPr>
                                              <pic:blipFill>
                                                <a:blip r:embed="rId78"/>
                                                <a:stretch>
                                                  <a:fillRect/>
                                                </a:stretch>
                                              </pic:blipFill>
                                              <pic:spPr bwMode="auto">
                                                <a:xfrm>
                                                  <a:off x="0" y="0"/>
                                                  <a:ext cx="447675" cy="161925"/>
                                                </a:xfrm>
                                                <a:prstGeom prst="rect">
                                                  <a:avLst/>
                                                </a:prstGeom>
                                              </pic:spPr>
                                            </pic:pic>
                                          </a:graphicData>
                                        </a:graphic>
                                      </wp:inline>
                                    </w:drawing>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292" w:type="dxa"/>
                        <w:jc w:val="left"/>
                        <w:tblInd w:w="0" w:type="dxa"/>
                        <w:tblLayout w:type="fixed"/>
                        <w:tblCellMar>
                          <w:top w:w="28" w:type="dxa"/>
                          <w:left w:w="28" w:type="dxa"/>
                          <w:bottom w:w="28" w:type="dxa"/>
                          <w:right w:w="28" w:type="dxa"/>
                        </w:tblCellMar>
                      </w:tblPr>
                      <w:tblGrid>
                        <w:gridCol w:w="124"/>
                        <w:gridCol w:w="109"/>
                        <w:gridCol w:w="109"/>
                        <w:gridCol w:w="704"/>
                        <w:gridCol w:w="704"/>
                        <w:gridCol w:w="706"/>
                        <w:gridCol w:w="244"/>
                        <w:gridCol w:w="244"/>
                        <w:gridCol w:w="34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6"/>
                              </w:rPr>
                            </w:pPr>
                            <w:r>
                              <w:rPr>
                                <w:rFonts w:ascii="Arial;sans-serif" w:hAnsi="Arial;sans-serif"/>
                                <w:b/>
                                <w:color w:val="000000"/>
                                <w:sz w:val="16"/>
                              </w:rPr>
                              <w:t>26</w:t>
                            </w:r>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2024 PROXY STATEMENT</w:t>
                            </w:r>
                          </w:p>
                        </w:tc>
                        <w:tc>
                          <w:tcPr>
                            <w:tcW w:w="83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110"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Image52" descr=""/>
                                          <pic:cNvPicPr>
                                            <a:picLocks noChangeAspect="1" noChangeArrowheads="1"/>
                                          </pic:cNvPicPr>
                                        </pic:nvPicPr>
                                        <pic:blipFill>
                                          <a:blip r:embed="rId79"/>
                                          <a:stretch>
                                            <a:fillRect/>
                                          </a:stretch>
                                        </pic:blipFill>
                                        <pic:spPr bwMode="auto">
                                          <a:xfrm>
                                            <a:off x="0" y="0"/>
                                            <a:ext cx="447675" cy="161925"/>
                                          </a:xfrm>
                                          <a:prstGeom prst="rect">
                                            <a:avLst/>
                                          </a:prstGeom>
                                        </pic:spPr>
                                      </pic:pic>
                                    </a:graphicData>
                                  </a:graphic>
                                </wp:inline>
                              </w:drawing>
                            </w:r>
                          </w:p>
                        </w:tc>
                      </w:tr>
                    </w:tbl>
                    <w:p>
                      <w:pPr>
                        <w:pStyle w:val="TextBody"/>
                        <w:bidi w:val="0"/>
                        <w:spacing w:before="0" w:after="283"/>
                        <w:jc w:val="left"/>
                        <w:rPr/>
                      </w:pPr>
                      <w:r>
                        <w:rPr/>
                      </w:r>
                    </w:p>
                  </w:txbxContent>
                </v:textbox>
                <w10:wrap type="none"/>
              </v:rect>
            </w:pict>
          </mc:Fallback>
        </mc:AlternateContent>
      </w:r>
    </w:p>
    <w:tbl>
      <w:tblPr>
        <w:tblW w:w="2459" w:type="dxa"/>
        <w:jc w:val="left"/>
        <w:tblInd w:w="0" w:type="dxa"/>
        <w:tblLayout w:type="fixed"/>
        <w:tblCellMar>
          <w:top w:w="28" w:type="dxa"/>
          <w:left w:w="28" w:type="dxa"/>
          <w:bottom w:w="28" w:type="dxa"/>
          <w:right w:w="28" w:type="dxa"/>
        </w:tblCellMar>
      </w:tblPr>
      <w:tblGrid>
        <w:gridCol w:w="786"/>
        <w:gridCol w:w="691"/>
        <w:gridCol w:w="982"/>
      </w:tblGrid>
      <w:tr>
        <w:trPr/>
        <w:tc>
          <w:tcPr>
            <w:tcW w:w="78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r>
      <w:tr>
        <w:trPr/>
        <w:tc>
          <w:tcPr>
            <w:tcW w:w="2459" w:type="dxa"/>
            <w:gridSpan w:val="3"/>
            <w:tcBorders>
              <w:bottom w:val="single" w:sz="4" w:space="0" w:color="004C97"/>
            </w:tcBorders>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4C97"/>
                <w:sz w:val="16"/>
              </w:rPr>
            </w:pPr>
            <w:r>
              <w:rPr>
                <w:rFonts w:ascii="Arial;sans-serif" w:hAnsi="Arial;sans-serif"/>
                <w:b w:val="false"/>
                <w:color w:val="004C97"/>
                <w:sz w:val="16"/>
              </w:rPr>
              <w:t>EXECUTIVE COMPENSATION</w:t>
            </w:r>
          </w:p>
        </w:tc>
      </w:tr>
    </w:tbl>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The Committee evaluates the Company’s compensation programs annually and considers a number of factors when evaluating the components of LTI compensation, including equity use and dilution, compensation trends to attract and retain talent, and alignment of incentives with Company performance and peer group analysis.</w:t>
      </w:r>
    </w:p>
    <w:p>
      <w:pPr>
        <w:pStyle w:val="TextBody"/>
        <w:bidi w:val="0"/>
        <w:spacing w:lineRule="auto" w:line="288" w:before="0" w:after="60"/>
        <w:jc w:val="both"/>
        <w:rPr>
          <w:rFonts w:ascii="Arial;sans-serif" w:hAnsi="Arial;sans-serif"/>
          <w:b/>
          <w:color w:val="004C97"/>
          <w:sz w:val="20"/>
        </w:rPr>
      </w:pPr>
      <w:r>
        <w:rPr>
          <w:rFonts w:ascii="Arial;sans-serif" w:hAnsi="Arial;sans-serif"/>
          <w:b/>
          <w:color w:val="004C97"/>
          <w:sz w:val="20"/>
        </w:rPr>
        <w:t>Mix of Compensation Elements</w:t>
      </w:r>
    </w:p>
    <w:p>
      <w:pPr>
        <w:pStyle w:val="TextBody"/>
        <w:bidi w:val="0"/>
        <w:spacing w:lineRule="auto" w:line="288" w:before="0" w:after="420"/>
        <w:jc w:val="both"/>
        <w:rPr>
          <w:rFonts w:ascii="Arial;sans-serif" w:hAnsi="Arial;sans-serif"/>
          <w:b w:val="false"/>
          <w:color w:val="000000"/>
          <w:sz w:val="18"/>
        </w:rPr>
      </w:pPr>
      <w:r>
        <w:rPr>
          <w:rFonts w:ascii="Arial;sans-serif" w:hAnsi="Arial;sans-serif"/>
          <w:b w:val="false"/>
          <w:color w:val="000000"/>
          <w:sz w:val="18"/>
        </w:rPr>
        <w:t xml:space="preserve">The following charts show that for 2023 the mix of compensation elements targeted for our NEOs was heavily weighted toward performance-based compensation. The mix of LTI is based on the allocation value used in determining the number of units or options, as applicable, for each award. </w:t>
      </w:r>
    </w:p>
    <w:tbl>
      <w:tblPr>
        <w:tblW w:w="9877" w:type="dxa"/>
        <w:jc w:val="left"/>
        <w:tblInd w:w="0" w:type="dxa"/>
        <w:tblLayout w:type="fixed"/>
        <w:tblCellMar>
          <w:top w:w="28" w:type="dxa"/>
          <w:left w:w="28" w:type="dxa"/>
          <w:bottom w:w="28" w:type="dxa"/>
          <w:right w:w="28" w:type="dxa"/>
        </w:tblCellMar>
      </w:tblPr>
      <w:tblGrid>
        <w:gridCol w:w="1706"/>
        <w:gridCol w:w="1499"/>
        <w:gridCol w:w="1501"/>
        <w:gridCol w:w="1515"/>
        <w:gridCol w:w="1515"/>
        <w:gridCol w:w="2141"/>
      </w:tblGrid>
      <w:tr>
        <w:trPr/>
        <w:tc>
          <w:tcPr>
            <w:tcW w:w="1706"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1515" w:type="dxa"/>
            <w:tcBorders/>
            <w:vAlign w:val="center"/>
          </w:tcPr>
          <w:p>
            <w:pPr>
              <w:pStyle w:val="TableContents"/>
              <w:bidi w:val="0"/>
              <w:spacing w:before="0" w:after="283"/>
              <w:jc w:val="left"/>
              <w:rPr>
                <w:sz w:val="4"/>
                <w:szCs w:val="4"/>
              </w:rPr>
            </w:pPr>
            <w:r>
              <w:rPr>
                <w:sz w:val="4"/>
                <w:szCs w:val="4"/>
              </w:rPr>
            </w:r>
          </w:p>
        </w:tc>
        <w:tc>
          <w:tcPr>
            <w:tcW w:w="1515" w:type="dxa"/>
            <w:tcBorders/>
            <w:vAlign w:val="center"/>
          </w:tcPr>
          <w:p>
            <w:pPr>
              <w:pStyle w:val="TableContents"/>
              <w:bidi w:val="0"/>
              <w:spacing w:before="0" w:after="283"/>
              <w:jc w:val="left"/>
              <w:rPr>
                <w:sz w:val="4"/>
                <w:szCs w:val="4"/>
              </w:rPr>
            </w:pPr>
            <w:r>
              <w:rPr>
                <w:sz w:val="4"/>
                <w:szCs w:val="4"/>
              </w:rPr>
            </w:r>
          </w:p>
        </w:tc>
        <w:tc>
          <w:tcPr>
            <w:tcW w:w="2141" w:type="dxa"/>
            <w:tcBorders/>
            <w:vAlign w:val="center"/>
          </w:tcPr>
          <w:p>
            <w:pPr>
              <w:pStyle w:val="TableContents"/>
              <w:bidi w:val="0"/>
              <w:spacing w:before="0" w:after="283"/>
              <w:jc w:val="left"/>
              <w:rPr>
                <w:sz w:val="4"/>
                <w:szCs w:val="4"/>
              </w:rPr>
            </w:pPr>
            <w:r>
              <w:rPr>
                <w:sz w:val="4"/>
                <w:szCs w:val="4"/>
              </w:rPr>
            </w:r>
          </w:p>
        </w:tc>
      </w:tr>
      <w:tr>
        <w:trPr/>
        <w:tc>
          <w:tcPr>
            <w:tcW w:w="470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2924175" cy="2924175"/>
                  <wp:effectExtent l="0" t="0" r="0" b="0"/>
                  <wp:docPr id="111"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Image53" descr=""/>
                          <pic:cNvPicPr>
                            <a:picLocks noChangeAspect="1" noChangeArrowheads="1"/>
                          </pic:cNvPicPr>
                        </pic:nvPicPr>
                        <pic:blipFill>
                          <a:blip r:embed="rId80"/>
                          <a:stretch>
                            <a:fillRect/>
                          </a:stretch>
                        </pic:blipFill>
                        <pic:spPr bwMode="auto">
                          <a:xfrm>
                            <a:off x="0" y="0"/>
                            <a:ext cx="2924175" cy="2924175"/>
                          </a:xfrm>
                          <a:prstGeom prst="rect">
                            <a:avLst/>
                          </a:prstGeom>
                        </pic:spPr>
                      </pic:pic>
                    </a:graphicData>
                  </a:graphic>
                </wp:inline>
              </w:drawing>
            </w:r>
          </w:p>
        </w:tc>
        <w:tc>
          <w:tcPr>
            <w:tcW w:w="517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3200400" cy="3133725"/>
                  <wp:effectExtent l="0" t="0" r="0" b="0"/>
                  <wp:docPr id="112"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Image54" descr=""/>
                          <pic:cNvPicPr>
                            <a:picLocks noChangeAspect="1" noChangeArrowheads="1"/>
                          </pic:cNvPicPr>
                        </pic:nvPicPr>
                        <pic:blipFill>
                          <a:blip r:embed="rId81"/>
                          <a:stretch>
                            <a:fillRect/>
                          </a:stretch>
                        </pic:blipFill>
                        <pic:spPr bwMode="auto">
                          <a:xfrm>
                            <a:off x="0" y="0"/>
                            <a:ext cx="3200400" cy="3133725"/>
                          </a:xfrm>
                          <a:prstGeom prst="rect">
                            <a:avLst/>
                          </a:prstGeom>
                        </pic:spPr>
                      </pic:pic>
                    </a:graphicData>
                  </a:graphic>
                </wp:inline>
              </w:drawing>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739140"/>
                <wp:effectExtent l="0" t="0" r="0" b="0"/>
                <wp:wrapNone/>
                <wp:docPr id="113" name="Frame33"/>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292" w:type="dxa"/>
                              <w:jc w:val="right"/>
                              <w:tblInd w:w="0" w:type="dxa"/>
                              <w:tblLayout w:type="fixed"/>
                              <w:tblCellMar>
                                <w:top w:w="28" w:type="dxa"/>
                                <w:left w:w="28" w:type="dxa"/>
                                <w:bottom w:w="28" w:type="dxa"/>
                                <w:right w:w="28" w:type="dxa"/>
                              </w:tblCellMar>
                            </w:tblPr>
                            <w:tblGrid>
                              <w:gridCol w:w="292"/>
                              <w:gridCol w:w="256"/>
                              <w:gridCol w:w="258"/>
                              <w:gridCol w:w="704"/>
                              <w:gridCol w:w="704"/>
                              <w:gridCol w:w="706"/>
                              <w:gridCol w:w="109"/>
                              <w:gridCol w:w="109"/>
                              <w:gridCol w:w="154"/>
                            </w:tblGrid>
                            <w:tr>
                              <w:trPr/>
                              <w:tc>
                                <w:tcPr>
                                  <w:tcW w:w="29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0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114"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Image55" descr=""/>
                                                <pic:cNvPicPr>
                                                  <a:picLocks noChangeAspect="1" noChangeArrowheads="1"/>
                                                </pic:cNvPicPr>
                                              </pic:nvPicPr>
                                              <pic:blipFill>
                                                <a:blip r:embed="rId82"/>
                                                <a:stretch>
                                                  <a:fillRect/>
                                                </a:stretch>
                                              </pic:blipFill>
                                              <pic:spPr bwMode="auto">
                                                <a:xfrm>
                                                  <a:off x="0" y="0"/>
                                                  <a:ext cx="447675" cy="161925"/>
                                                </a:xfrm>
                                                <a:prstGeom prst="rect">
                                                  <a:avLst/>
                                                </a:prstGeom>
                                              </pic:spPr>
                                            </pic:pic>
                                          </a:graphicData>
                                        </a:graphic>
                                      </wp:inline>
                                    </w:drawing>
                                  </w:r>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2024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000000"/>
                                      <w:sz w:val="16"/>
                                    </w:rPr>
                                  </w:pPr>
                                  <w:r>
                                    <w:rPr>
                                      <w:rFonts w:ascii="Arial;sans-serif" w:hAnsi="Arial;sans-serif"/>
                                      <w:b/>
                                      <w:color w:val="000000"/>
                                      <w:sz w:val="16"/>
                                    </w:rPr>
                                    <w:t>27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292" w:type="dxa"/>
                        <w:jc w:val="right"/>
                        <w:tblInd w:w="0" w:type="dxa"/>
                        <w:tblLayout w:type="fixed"/>
                        <w:tblCellMar>
                          <w:top w:w="28" w:type="dxa"/>
                          <w:left w:w="28" w:type="dxa"/>
                          <w:bottom w:w="28" w:type="dxa"/>
                          <w:right w:w="28" w:type="dxa"/>
                        </w:tblCellMar>
                      </w:tblPr>
                      <w:tblGrid>
                        <w:gridCol w:w="292"/>
                        <w:gridCol w:w="256"/>
                        <w:gridCol w:w="258"/>
                        <w:gridCol w:w="704"/>
                        <w:gridCol w:w="704"/>
                        <w:gridCol w:w="706"/>
                        <w:gridCol w:w="109"/>
                        <w:gridCol w:w="109"/>
                        <w:gridCol w:w="154"/>
                      </w:tblGrid>
                      <w:tr>
                        <w:trPr/>
                        <w:tc>
                          <w:tcPr>
                            <w:tcW w:w="29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0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115"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Image55" descr=""/>
                                          <pic:cNvPicPr>
                                            <a:picLocks noChangeAspect="1" noChangeArrowheads="1"/>
                                          </pic:cNvPicPr>
                                        </pic:nvPicPr>
                                        <pic:blipFill>
                                          <a:blip r:embed="rId83"/>
                                          <a:stretch>
                                            <a:fillRect/>
                                          </a:stretch>
                                        </pic:blipFill>
                                        <pic:spPr bwMode="auto">
                                          <a:xfrm>
                                            <a:off x="0" y="0"/>
                                            <a:ext cx="447675" cy="161925"/>
                                          </a:xfrm>
                                          <a:prstGeom prst="rect">
                                            <a:avLst/>
                                          </a:prstGeom>
                                        </pic:spPr>
                                      </pic:pic>
                                    </a:graphicData>
                                  </a:graphic>
                                </wp:inline>
                              </w:drawing>
                            </w:r>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2024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000000"/>
                                <w:sz w:val="16"/>
                              </w:rPr>
                            </w:pPr>
                            <w:r>
                              <w:rPr>
                                <w:rFonts w:ascii="Arial;sans-serif" w:hAnsi="Arial;sans-serif"/>
                                <w:b/>
                                <w:color w:val="000000"/>
                                <w:sz w:val="16"/>
                              </w:rPr>
                              <w:t>27</w:t>
                            </w:r>
                          </w:p>
                        </w:tc>
                      </w:tr>
                    </w:tbl>
                    <w:p>
                      <w:pPr>
                        <w:pStyle w:val="TextBody"/>
                        <w:bidi w:val="0"/>
                        <w:spacing w:before="0" w:after="283"/>
                        <w:jc w:val="left"/>
                        <w:rPr/>
                      </w:pPr>
                      <w:r>
                        <w:rPr/>
                      </w:r>
                    </w:p>
                  </w:txbxContent>
                </v:textbox>
                <w10:wrap type="none"/>
              </v:rect>
            </w:pict>
          </mc:Fallback>
        </mc:AlternateContent>
      </w:r>
    </w:p>
    <w:tbl>
      <w:tblPr>
        <w:tblW w:w="2459" w:type="dxa"/>
        <w:jc w:val="right"/>
        <w:tblInd w:w="0" w:type="dxa"/>
        <w:tblLayout w:type="fixed"/>
        <w:tblCellMar>
          <w:top w:w="28" w:type="dxa"/>
          <w:left w:w="28" w:type="dxa"/>
          <w:bottom w:w="28" w:type="dxa"/>
          <w:right w:w="28" w:type="dxa"/>
        </w:tblCellMar>
      </w:tblPr>
      <w:tblGrid>
        <w:gridCol w:w="786"/>
        <w:gridCol w:w="691"/>
        <w:gridCol w:w="982"/>
      </w:tblGrid>
      <w:tr>
        <w:trPr/>
        <w:tc>
          <w:tcPr>
            <w:tcW w:w="78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r>
      <w:tr>
        <w:trPr/>
        <w:tc>
          <w:tcPr>
            <w:tcW w:w="2459" w:type="dxa"/>
            <w:gridSpan w:val="3"/>
            <w:tcBorders>
              <w:bottom w:val="single" w:sz="4" w:space="0" w:color="004C97"/>
            </w:tcBorders>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4C97"/>
                <w:sz w:val="16"/>
              </w:rPr>
            </w:pPr>
            <w:r>
              <w:rPr>
                <w:rFonts w:ascii="Arial;sans-serif" w:hAnsi="Arial;sans-serif"/>
                <w:b w:val="false"/>
                <w:color w:val="004C97"/>
                <w:sz w:val="16"/>
              </w:rPr>
              <w:t>EXECUTIVE COMPENSATION</w:t>
            </w:r>
          </w:p>
        </w:tc>
      </w:tr>
    </w:tbl>
    <w:p>
      <w:pPr>
        <w:pStyle w:val="TextBody"/>
        <w:bidi w:val="0"/>
        <w:spacing w:lineRule="auto" w:line="288" w:before="0" w:after="60"/>
        <w:jc w:val="left"/>
        <w:rPr>
          <w:rFonts w:ascii="Arial;sans-serif" w:hAnsi="Arial;sans-serif"/>
          <w:b/>
          <w:color w:val="004C97"/>
          <w:sz w:val="20"/>
        </w:rPr>
      </w:pPr>
      <w:r>
        <w:rPr>
          <w:rFonts w:ascii="Arial;sans-serif" w:hAnsi="Arial;sans-serif"/>
          <w:b/>
          <w:color w:val="004C97"/>
          <w:sz w:val="20"/>
        </w:rPr>
        <w:t>Our CEO’s Pay-for-Performance Alignment</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The following chart shows our CEO’s compensation relative to our TSR compared with our peer group of companies listed on page 30, demonstrating how our executive compensation program aligns with performance.</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For purposes of this chart, compensation includes the three-year total for salary, target annual bonus, the target value of equity awards and amounts from the “change in pension value and nonqualified deferred compensation” and “All Other Compensation” columns of each company’s Summary Compensation Table disclosure. Performance is three-year total shareholder return. Due to the timing of public disclosures, peer company data represents 2020 through 2022 while our CEO’s total compensation represents 2021 through 2023 and our total shareholder return is for December 31, 2020 through December 31, 2023.</w:t>
      </w:r>
    </w:p>
    <w:p>
      <w:pPr>
        <w:pStyle w:val="TextBody"/>
        <w:bidi w:val="0"/>
        <w:spacing w:before="0" w:after="180"/>
        <w:jc w:val="center"/>
        <w:rPr/>
      </w:pPr>
      <w:r>
        <w:rPr/>
        <w:drawing>
          <wp:inline distT="0" distB="0" distL="0" distR="0">
            <wp:extent cx="6629400" cy="4876800"/>
            <wp:effectExtent l="0" t="0" r="0" b="0"/>
            <wp:docPr id="116"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Image56" descr=""/>
                    <pic:cNvPicPr>
                      <a:picLocks noChangeAspect="1" noChangeArrowheads="1"/>
                    </pic:cNvPicPr>
                  </pic:nvPicPr>
                  <pic:blipFill>
                    <a:blip r:embed="rId84"/>
                    <a:stretch>
                      <a:fillRect/>
                    </a:stretch>
                  </pic:blipFill>
                  <pic:spPr bwMode="auto">
                    <a:xfrm>
                      <a:off x="0" y="0"/>
                      <a:ext cx="6629400" cy="4876800"/>
                    </a:xfrm>
                    <a:prstGeom prst="rect">
                      <a:avLst/>
                    </a:prstGeom>
                  </pic:spPr>
                </pic:pic>
              </a:graphicData>
            </a:graphic>
          </wp:inline>
        </w:drawing>
      </w:r>
    </w:p>
    <w:p>
      <w:pPr>
        <w:pStyle w:val="TextBody"/>
        <w:bidi w:val="0"/>
        <w:spacing w:lineRule="auto" w:line="288" w:before="0" w:after="180"/>
        <w:jc w:val="center"/>
        <w:rPr>
          <w:rFonts w:ascii="Arial;sans-serif" w:hAnsi="Arial;sans-serif"/>
          <w:b/>
          <w:color w:val="000000"/>
          <w:sz w:val="18"/>
        </w:rPr>
      </w:pPr>
      <w:r>
        <w:rPr>
          <w:rFonts w:ascii="Arial;sans-serif" w:hAnsi="Arial;sans-serif"/>
          <w:b/>
          <w:color w:val="000000"/>
          <w:sz w:val="18"/>
        </w:rPr>
        <w:t>Relative Pay Rank</w:t>
      </w:r>
    </w:p>
    <w:p>
      <w:pPr>
        <w:pStyle w:val="TextBody"/>
        <w:bidi w:val="0"/>
        <w:spacing w:lineRule="auto" w:line="288" w:before="0" w:after="360"/>
        <w:ind w:left="0" w:right="0" w:hanging="72"/>
        <w:jc w:val="both"/>
        <w:rPr>
          <w:rFonts w:ascii="Arial;sans-serif" w:hAnsi="Arial;sans-serif"/>
          <w:b w:val="false"/>
          <w:color w:val="000000"/>
          <w:sz w:val="14"/>
        </w:rPr>
      </w:pPr>
      <w:r>
        <w:rPr>
          <w:rFonts w:ascii="Arial;sans-serif" w:hAnsi="Arial;sans-serif"/>
          <w:b w:val="false"/>
          <w:color w:val="000000"/>
          <w:sz w:val="14"/>
        </w:rPr>
        <w:t>* Peer company compensation based on 2020, 2021 and 2022 compensation data from each company’s three most recent proxy statement filings.</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Our relative performance rank exceeds our CEO relative pay rank. Since Mr. Lowe’s promotion to CEO more than eight years ago, we have consistently delivered above median performance and compensated according to our philosophy to align target executive compensation with that of our peers and provide variable incentive compensation that rewards executives at higher levels when excellent performance is achieved.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739140"/>
                <wp:effectExtent l="0" t="0" r="0" b="0"/>
                <wp:wrapNone/>
                <wp:docPr id="117" name="Frame34"/>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292" w:type="dxa"/>
                              <w:jc w:val="left"/>
                              <w:tblInd w:w="0" w:type="dxa"/>
                              <w:tblLayout w:type="fixed"/>
                              <w:tblCellMar>
                                <w:top w:w="28" w:type="dxa"/>
                                <w:left w:w="28" w:type="dxa"/>
                                <w:bottom w:w="28" w:type="dxa"/>
                                <w:right w:w="28" w:type="dxa"/>
                              </w:tblCellMar>
                            </w:tblPr>
                            <w:tblGrid>
                              <w:gridCol w:w="124"/>
                              <w:gridCol w:w="109"/>
                              <w:gridCol w:w="109"/>
                              <w:gridCol w:w="704"/>
                              <w:gridCol w:w="704"/>
                              <w:gridCol w:w="706"/>
                              <w:gridCol w:w="244"/>
                              <w:gridCol w:w="244"/>
                              <w:gridCol w:w="34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6"/>
                                    </w:rPr>
                                  </w:pPr>
                                  <w:r>
                                    <w:rPr>
                                      <w:rFonts w:ascii="Arial;sans-serif" w:hAnsi="Arial;sans-serif"/>
                                      <w:b/>
                                      <w:color w:val="000000"/>
                                      <w:sz w:val="16"/>
                                    </w:rPr>
                                    <w:t>28</w:t>
                                  </w:r>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2024 PROXY STATEMENT</w:t>
                                  </w:r>
                                </w:p>
                              </w:tc>
                              <w:tc>
                                <w:tcPr>
                                  <w:tcW w:w="83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118"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Image57" descr=""/>
                                                <pic:cNvPicPr>
                                                  <a:picLocks noChangeAspect="1" noChangeArrowheads="1"/>
                                                </pic:cNvPicPr>
                                              </pic:nvPicPr>
                                              <pic:blipFill>
                                                <a:blip r:embed="rId85"/>
                                                <a:stretch>
                                                  <a:fillRect/>
                                                </a:stretch>
                                              </pic:blipFill>
                                              <pic:spPr bwMode="auto">
                                                <a:xfrm>
                                                  <a:off x="0" y="0"/>
                                                  <a:ext cx="447675" cy="161925"/>
                                                </a:xfrm>
                                                <a:prstGeom prst="rect">
                                                  <a:avLst/>
                                                </a:prstGeom>
                                              </pic:spPr>
                                            </pic:pic>
                                          </a:graphicData>
                                        </a:graphic>
                                      </wp:inline>
                                    </w:drawing>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292" w:type="dxa"/>
                        <w:jc w:val="left"/>
                        <w:tblInd w:w="0" w:type="dxa"/>
                        <w:tblLayout w:type="fixed"/>
                        <w:tblCellMar>
                          <w:top w:w="28" w:type="dxa"/>
                          <w:left w:w="28" w:type="dxa"/>
                          <w:bottom w:w="28" w:type="dxa"/>
                          <w:right w:w="28" w:type="dxa"/>
                        </w:tblCellMar>
                      </w:tblPr>
                      <w:tblGrid>
                        <w:gridCol w:w="124"/>
                        <w:gridCol w:w="109"/>
                        <w:gridCol w:w="109"/>
                        <w:gridCol w:w="704"/>
                        <w:gridCol w:w="704"/>
                        <w:gridCol w:w="706"/>
                        <w:gridCol w:w="244"/>
                        <w:gridCol w:w="244"/>
                        <w:gridCol w:w="34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6"/>
                              </w:rPr>
                            </w:pPr>
                            <w:r>
                              <w:rPr>
                                <w:rFonts w:ascii="Arial;sans-serif" w:hAnsi="Arial;sans-serif"/>
                                <w:b/>
                                <w:color w:val="000000"/>
                                <w:sz w:val="16"/>
                              </w:rPr>
                              <w:t>28</w:t>
                            </w:r>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2024 PROXY STATEMENT</w:t>
                            </w:r>
                          </w:p>
                        </w:tc>
                        <w:tc>
                          <w:tcPr>
                            <w:tcW w:w="83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119"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Image57" descr=""/>
                                          <pic:cNvPicPr>
                                            <a:picLocks noChangeAspect="1" noChangeArrowheads="1"/>
                                          </pic:cNvPicPr>
                                        </pic:nvPicPr>
                                        <pic:blipFill>
                                          <a:blip r:embed="rId86"/>
                                          <a:stretch>
                                            <a:fillRect/>
                                          </a:stretch>
                                        </pic:blipFill>
                                        <pic:spPr bwMode="auto">
                                          <a:xfrm>
                                            <a:off x="0" y="0"/>
                                            <a:ext cx="447675" cy="161925"/>
                                          </a:xfrm>
                                          <a:prstGeom prst="rect">
                                            <a:avLst/>
                                          </a:prstGeom>
                                        </pic:spPr>
                                      </pic:pic>
                                    </a:graphicData>
                                  </a:graphic>
                                </wp:inline>
                              </w:drawing>
                            </w:r>
                          </w:p>
                        </w:tc>
                      </w:tr>
                    </w:tbl>
                    <w:p>
                      <w:pPr>
                        <w:pStyle w:val="TextBody"/>
                        <w:bidi w:val="0"/>
                        <w:spacing w:before="0" w:after="283"/>
                        <w:jc w:val="left"/>
                        <w:rPr/>
                      </w:pPr>
                      <w:r>
                        <w:rPr/>
                      </w:r>
                    </w:p>
                  </w:txbxContent>
                </v:textbox>
                <w10:wrap type="none"/>
              </v:rect>
            </w:pict>
          </mc:Fallback>
        </mc:AlternateContent>
      </w:r>
    </w:p>
    <w:tbl>
      <w:tblPr>
        <w:tblW w:w="2459" w:type="dxa"/>
        <w:jc w:val="left"/>
        <w:tblInd w:w="0" w:type="dxa"/>
        <w:tblLayout w:type="fixed"/>
        <w:tblCellMar>
          <w:top w:w="28" w:type="dxa"/>
          <w:left w:w="28" w:type="dxa"/>
          <w:bottom w:w="28" w:type="dxa"/>
          <w:right w:w="28" w:type="dxa"/>
        </w:tblCellMar>
      </w:tblPr>
      <w:tblGrid>
        <w:gridCol w:w="786"/>
        <w:gridCol w:w="691"/>
        <w:gridCol w:w="982"/>
      </w:tblGrid>
      <w:tr>
        <w:trPr/>
        <w:tc>
          <w:tcPr>
            <w:tcW w:w="78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r>
      <w:tr>
        <w:trPr/>
        <w:tc>
          <w:tcPr>
            <w:tcW w:w="2459" w:type="dxa"/>
            <w:gridSpan w:val="3"/>
            <w:tcBorders>
              <w:bottom w:val="single" w:sz="4" w:space="0" w:color="004C97"/>
            </w:tcBorders>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4C97"/>
                <w:sz w:val="16"/>
              </w:rPr>
            </w:pPr>
            <w:r>
              <w:rPr>
                <w:rFonts w:ascii="Arial;sans-serif" w:hAnsi="Arial;sans-serif"/>
                <w:b w:val="false"/>
                <w:color w:val="004C97"/>
                <w:sz w:val="16"/>
              </w:rPr>
              <w:t>EXECUTIVE COMPENSATION</w:t>
            </w:r>
          </w:p>
        </w:tc>
      </w:tr>
    </w:tbl>
    <w:p>
      <w:pPr>
        <w:pStyle w:val="TextBody"/>
        <w:bidi w:val="0"/>
        <w:spacing w:lineRule="auto" w:line="288" w:before="0" w:after="60"/>
        <w:jc w:val="left"/>
        <w:rPr>
          <w:rFonts w:ascii="Arial;sans-serif" w:hAnsi="Arial;sans-serif"/>
          <w:b/>
          <w:color w:val="000000"/>
          <w:sz w:val="22"/>
        </w:rPr>
      </w:pPr>
      <w:r>
        <w:rPr>
          <w:rFonts w:ascii="Arial;sans-serif" w:hAnsi="Arial;sans-serif"/>
          <w:b/>
          <w:color w:val="000000"/>
          <w:sz w:val="22"/>
        </w:rPr>
        <w:t>HOW DECISIONS FOR OUR NAMED EXECUTIVE OFFICERS WERE MADE</w:t>
      </w:r>
    </w:p>
    <w:p>
      <w:pPr>
        <w:pStyle w:val="TextBody"/>
        <w:bidi w:val="0"/>
        <w:spacing w:lineRule="auto" w:line="288" w:before="0" w:after="60"/>
        <w:jc w:val="left"/>
        <w:rPr>
          <w:rFonts w:ascii="Arial;sans-serif" w:hAnsi="Arial;sans-serif"/>
          <w:b/>
          <w:color w:val="004C97"/>
          <w:sz w:val="20"/>
        </w:rPr>
      </w:pPr>
      <w:r>
        <w:rPr>
          <w:rFonts w:ascii="Arial;sans-serif" w:hAnsi="Arial;sans-serif"/>
          <w:b/>
          <w:color w:val="004C97"/>
          <w:sz w:val="20"/>
        </w:rPr>
        <w:t>Executive Compensation Practices</w:t>
      </w:r>
    </w:p>
    <w:tbl>
      <w:tblPr>
        <w:tblW w:w="6839" w:type="dxa"/>
        <w:jc w:val="left"/>
        <w:tblInd w:w="0" w:type="dxa"/>
        <w:tblLayout w:type="fixed"/>
        <w:tblCellMar>
          <w:top w:w="28" w:type="dxa"/>
          <w:left w:w="28" w:type="dxa"/>
          <w:bottom w:w="28" w:type="dxa"/>
          <w:right w:w="28" w:type="dxa"/>
        </w:tblCellMar>
      </w:tblPr>
      <w:tblGrid>
        <w:gridCol w:w="141"/>
        <w:gridCol w:w="124"/>
        <w:gridCol w:w="124"/>
        <w:gridCol w:w="1878"/>
        <w:gridCol w:w="1878"/>
        <w:gridCol w:w="2694"/>
      </w:tblGrid>
      <w:tr>
        <w:trPr/>
        <w:tc>
          <w:tcPr>
            <w:tcW w:w="14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878" w:type="dxa"/>
            <w:tcBorders/>
            <w:vAlign w:val="center"/>
          </w:tcPr>
          <w:p>
            <w:pPr>
              <w:pStyle w:val="TableContents"/>
              <w:bidi w:val="0"/>
              <w:spacing w:before="0" w:after="283"/>
              <w:jc w:val="left"/>
              <w:rPr>
                <w:sz w:val="4"/>
                <w:szCs w:val="4"/>
              </w:rPr>
            </w:pPr>
            <w:r>
              <w:rPr>
                <w:sz w:val="4"/>
                <w:szCs w:val="4"/>
              </w:rPr>
            </w:r>
          </w:p>
        </w:tc>
        <w:tc>
          <w:tcPr>
            <w:tcW w:w="1878" w:type="dxa"/>
            <w:tcBorders/>
            <w:vAlign w:val="center"/>
          </w:tcPr>
          <w:p>
            <w:pPr>
              <w:pStyle w:val="TableContents"/>
              <w:bidi w:val="0"/>
              <w:spacing w:before="0" w:after="283"/>
              <w:jc w:val="left"/>
              <w:rPr>
                <w:sz w:val="4"/>
                <w:szCs w:val="4"/>
              </w:rPr>
            </w:pPr>
            <w:r>
              <w:rPr>
                <w:sz w:val="4"/>
                <w:szCs w:val="4"/>
              </w:rPr>
            </w:r>
          </w:p>
        </w:tc>
        <w:tc>
          <w:tcPr>
            <w:tcW w:w="2694" w:type="dxa"/>
            <w:tcBorders/>
            <w:vAlign w:val="center"/>
          </w:tcPr>
          <w:p>
            <w:pPr>
              <w:pStyle w:val="TableContents"/>
              <w:bidi w:val="0"/>
              <w:spacing w:before="0" w:after="283"/>
              <w:jc w:val="left"/>
              <w:rPr>
                <w:sz w:val="4"/>
                <w:szCs w:val="4"/>
              </w:rPr>
            </w:pPr>
            <w:r>
              <w:rPr>
                <w:sz w:val="4"/>
                <w:szCs w:val="4"/>
              </w:rPr>
            </w:r>
          </w:p>
        </w:tc>
      </w:tr>
      <w:tr>
        <w:trPr/>
        <w:tc>
          <w:tcPr>
            <w:tcW w:w="389" w:type="dxa"/>
            <w:gridSpan w:val="3"/>
            <w:tcBorders>
              <w:top w:val="single" w:sz="4" w:space="0" w:color="000000"/>
              <w:left w:val="single" w:sz="4" w:space="0" w:color="000000"/>
            </w:tcBorders>
            <w:shd w:fill="004C97" w:val="clear"/>
            <w:tcMar>
              <w:bottom w:w="0" w:type="dxa"/>
              <w:right w:w="0" w:type="dxa"/>
            </w:tcMar>
            <w:vAlign w:val="center"/>
          </w:tcPr>
          <w:p>
            <w:pPr>
              <w:pStyle w:val="TableContents"/>
              <w:bidi w:val="0"/>
              <w:spacing w:before="0" w:after="283"/>
              <w:jc w:val="left"/>
              <w:rPr>
                <w:sz w:val="4"/>
                <w:szCs w:val="4"/>
              </w:rPr>
            </w:pPr>
            <w:r>
              <w:rPr>
                <w:sz w:val="4"/>
                <w:szCs w:val="4"/>
              </w:rPr>
            </w:r>
          </w:p>
        </w:tc>
        <w:tc>
          <w:tcPr>
            <w:tcW w:w="6450" w:type="dxa"/>
            <w:gridSpan w:val="3"/>
            <w:tcBorders>
              <w:top w:val="single" w:sz="4" w:space="0" w:color="000000"/>
              <w:left w:val="single" w:sz="4" w:space="0" w:color="004C97"/>
              <w:right w:val="single" w:sz="4" w:space="0" w:color="000000"/>
            </w:tcBorders>
            <w:shd w:fill="004C97" w:val="clear"/>
            <w:tcMar>
              <w:top w:w="30" w:type="dxa"/>
              <w:bottom w:w="0" w:type="dxa"/>
            </w:tcMar>
            <w:vAlign w:val="center"/>
          </w:tcPr>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What We Do</w:t>
            </w:r>
          </w:p>
        </w:tc>
      </w:tr>
      <w:tr>
        <w:trPr/>
        <w:tc>
          <w:tcPr>
            <w:tcW w:w="389" w:type="dxa"/>
            <w:gridSpan w:val="3"/>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6450" w:type="dxa"/>
            <w:gridSpan w:val="3"/>
            <w:tcBorders>
              <w:top w:val="single" w:sz="4" w:space="0" w:color="000000"/>
              <w:right w:val="single" w:sz="4" w:space="0" w:color="004C97"/>
            </w:tcBorders>
            <w:shd w:fill="E6E7E8" w:val="clear"/>
            <w:tcMar>
              <w:top w:w="30" w:type="dxa"/>
              <w:left w:w="0" w:type="dxa"/>
              <w:bottom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Heavy emphasis on variable, performance-based compensation</w:t>
            </w:r>
          </w:p>
        </w:tc>
      </w:tr>
      <w:tr>
        <w:trPr/>
        <w:tc>
          <w:tcPr>
            <w:tcW w:w="389"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center"/>
              <w:rPr>
                <w:color w:val="000000"/>
                <w:shd w:fill="FFFFFF" w:val="clear"/>
              </w:rPr>
            </w:pPr>
            <w:r>
              <w:rPr>
                <w:color w:val="000000"/>
                <w:shd w:fill="FFFFFF" w:val="clear"/>
              </w:rPr>
              <w:t xml:space="preserve">✓ </w:t>
            </w:r>
          </w:p>
        </w:tc>
        <w:tc>
          <w:tcPr>
            <w:tcW w:w="6450" w:type="dxa"/>
            <w:gridSpan w:val="3"/>
            <w:tcBorders>
              <w:top w:val="single" w:sz="4" w:space="0" w:color="000000"/>
              <w:right w:val="single" w:sz="4" w:space="0" w:color="004C97"/>
            </w:tcBorders>
            <w:shd w:fill="FFFFFF" w:val="clear"/>
            <w:tcMar>
              <w:top w:w="30" w:type="dxa"/>
              <w:left w:w="0" w:type="dxa"/>
              <w:bottom w:w="0" w:type="dxa"/>
            </w:tcMar>
            <w:vAlign w:val="center"/>
          </w:tcPr>
          <w:p>
            <w:pPr>
              <w:pStyle w:val="TableContents"/>
              <w:bidi w:val="0"/>
              <w:spacing w:lineRule="auto" w:line="288" w:before="0" w:after="0"/>
              <w:jc w:val="left"/>
              <w:rPr>
                <w:rFonts w:ascii="Arial;sans-serif" w:hAnsi="Arial;sans-serif"/>
                <w:b w:val="false"/>
                <w:color w:val="000000"/>
                <w:sz w:val="16"/>
                <w:shd w:fill="FFFFFF" w:val="clear"/>
              </w:rPr>
            </w:pPr>
            <w:r>
              <w:rPr>
                <w:rFonts w:ascii="Arial;sans-serif" w:hAnsi="Arial;sans-serif"/>
                <w:b w:val="false"/>
                <w:color w:val="000000"/>
                <w:sz w:val="16"/>
                <w:shd w:fill="FFFFFF" w:val="clear"/>
              </w:rPr>
              <w:t>Majority of long-term incentive awards are performance based</w:t>
            </w:r>
          </w:p>
        </w:tc>
      </w:tr>
      <w:tr>
        <w:trPr/>
        <w:tc>
          <w:tcPr>
            <w:tcW w:w="389" w:type="dxa"/>
            <w:gridSpan w:val="3"/>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6450" w:type="dxa"/>
            <w:gridSpan w:val="3"/>
            <w:tcBorders>
              <w:top w:val="single" w:sz="4" w:space="0" w:color="000000"/>
              <w:right w:val="single" w:sz="4" w:space="0" w:color="004C97"/>
            </w:tcBorders>
            <w:shd w:fill="E6E7E8" w:val="clear"/>
            <w:tcMar>
              <w:top w:w="30" w:type="dxa"/>
              <w:left w:w="0" w:type="dxa"/>
              <w:bottom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Align compensation to year-over-year performance and delivery on strategic initiatives.</w:t>
            </w:r>
          </w:p>
        </w:tc>
      </w:tr>
      <w:tr>
        <w:trPr/>
        <w:tc>
          <w:tcPr>
            <w:tcW w:w="389"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center"/>
              <w:rPr>
                <w:color w:val="000000"/>
                <w:shd w:fill="FFFFFF" w:val="clear"/>
              </w:rPr>
            </w:pPr>
            <w:r>
              <w:rPr>
                <w:color w:val="000000"/>
                <w:shd w:fill="FFFFFF" w:val="clear"/>
              </w:rPr>
              <w:t xml:space="preserve">✓ </w:t>
            </w:r>
          </w:p>
        </w:tc>
        <w:tc>
          <w:tcPr>
            <w:tcW w:w="6450" w:type="dxa"/>
            <w:gridSpan w:val="3"/>
            <w:tcBorders>
              <w:top w:val="single" w:sz="4" w:space="0" w:color="000000"/>
              <w:right w:val="single" w:sz="4" w:space="0" w:color="004C97"/>
            </w:tcBorders>
            <w:shd w:fill="FFFFFF" w:val="clear"/>
            <w:tcMar>
              <w:top w:w="30" w:type="dxa"/>
              <w:left w:w="0" w:type="dxa"/>
              <w:bottom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Stock ownership guidelines</w:t>
            </w:r>
          </w:p>
        </w:tc>
      </w:tr>
      <w:tr>
        <w:trPr/>
        <w:tc>
          <w:tcPr>
            <w:tcW w:w="389" w:type="dxa"/>
            <w:gridSpan w:val="3"/>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6450" w:type="dxa"/>
            <w:gridSpan w:val="3"/>
            <w:tcBorders>
              <w:top w:val="single" w:sz="4" w:space="0" w:color="000000"/>
              <w:right w:val="single" w:sz="4" w:space="0" w:color="004C97"/>
            </w:tcBorders>
            <w:shd w:fill="E6E7E8" w:val="clear"/>
            <w:tcMar>
              <w:top w:w="30" w:type="dxa"/>
              <w:left w:w="0" w:type="dxa"/>
              <w:bottom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Clawback provisions that apply to both cash and equity incentive awards</w:t>
            </w:r>
          </w:p>
        </w:tc>
      </w:tr>
      <w:tr>
        <w:trPr/>
        <w:tc>
          <w:tcPr>
            <w:tcW w:w="389"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center"/>
              <w:rPr>
                <w:color w:val="000000"/>
                <w:shd w:fill="FFFFFF" w:val="clear"/>
              </w:rPr>
            </w:pPr>
            <w:r>
              <w:rPr>
                <w:color w:val="000000"/>
                <w:shd w:fill="FFFFFF" w:val="clear"/>
              </w:rPr>
              <w:t xml:space="preserve">✓ </w:t>
            </w:r>
          </w:p>
        </w:tc>
        <w:tc>
          <w:tcPr>
            <w:tcW w:w="6450" w:type="dxa"/>
            <w:gridSpan w:val="3"/>
            <w:tcBorders>
              <w:top w:val="single" w:sz="4" w:space="0" w:color="000000"/>
              <w:right w:val="single" w:sz="4" w:space="0" w:color="004C97"/>
            </w:tcBorders>
            <w:shd w:fill="FFFFFF" w:val="clear"/>
            <w:tcMar>
              <w:top w:w="30" w:type="dxa"/>
              <w:left w:w="0" w:type="dxa"/>
              <w:bottom w:w="0" w:type="dxa"/>
            </w:tcMar>
            <w:vAlign w:val="center"/>
          </w:tcPr>
          <w:p>
            <w:pPr>
              <w:pStyle w:val="TableContents"/>
              <w:bidi w:val="0"/>
              <w:spacing w:lineRule="auto" w:line="288" w:before="0" w:after="0"/>
              <w:jc w:val="left"/>
              <w:rPr>
                <w:color w:val="000000"/>
                <w:shd w:fill="FFFFFF" w:val="clear"/>
              </w:rPr>
            </w:pPr>
            <w:r>
              <w:rPr>
                <w:color w:val="000000"/>
                <w:shd w:fill="FFFFFF" w:val="clear"/>
              </w:rPr>
              <w:t>“</w:t>
            </w:r>
            <w:r>
              <w:rPr>
                <w:rFonts w:ascii="Arial;sans-serif" w:hAnsi="Arial;sans-serif"/>
                <w:b w:val="false"/>
                <w:color w:val="000000"/>
                <w:sz w:val="16"/>
                <w:shd w:fill="FFFFFF" w:val="clear"/>
              </w:rPr>
              <w:t>Double-trigger” termination payments upon a change in control</w:t>
            </w:r>
          </w:p>
        </w:tc>
      </w:tr>
      <w:tr>
        <w:trPr/>
        <w:tc>
          <w:tcPr>
            <w:tcW w:w="389" w:type="dxa"/>
            <w:gridSpan w:val="3"/>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6450" w:type="dxa"/>
            <w:gridSpan w:val="3"/>
            <w:tcBorders>
              <w:top w:val="single" w:sz="4" w:space="0" w:color="000000"/>
              <w:right w:val="single" w:sz="4" w:space="0" w:color="004C97"/>
            </w:tcBorders>
            <w:shd w:fill="E6E7E8" w:val="clear"/>
            <w:tcMar>
              <w:top w:w="30" w:type="dxa"/>
              <w:left w:w="0" w:type="dxa"/>
              <w:bottom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Use of independent compensation consultant</w:t>
            </w:r>
          </w:p>
        </w:tc>
      </w:tr>
      <w:tr>
        <w:trPr/>
        <w:tc>
          <w:tcPr>
            <w:tcW w:w="389"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center"/>
              <w:rPr>
                <w:color w:val="000000"/>
              </w:rPr>
            </w:pPr>
            <w:r>
              <w:rPr>
                <w:color w:val="000000"/>
              </w:rPr>
              <w:t xml:space="preserve">✓ </w:t>
            </w:r>
          </w:p>
        </w:tc>
        <w:tc>
          <w:tcPr>
            <w:tcW w:w="6450" w:type="dxa"/>
            <w:gridSpan w:val="3"/>
            <w:tcBorders>
              <w:top w:val="single" w:sz="4" w:space="0" w:color="000000"/>
              <w:right w:val="single" w:sz="4" w:space="0" w:color="004C97"/>
            </w:tcBorders>
            <w:shd w:fill="FFFFFF" w:val="clear"/>
            <w:tcMar>
              <w:top w:w="30" w:type="dxa"/>
              <w:left w:w="0" w:type="dxa"/>
              <w:bottom w:w="0" w:type="dxa"/>
            </w:tcMar>
            <w:vAlign w:val="center"/>
          </w:tcPr>
          <w:p>
            <w:pPr>
              <w:pStyle w:val="TableContents"/>
              <w:bidi w:val="0"/>
              <w:spacing w:lineRule="auto" w:line="288" w:before="0" w:after="0"/>
              <w:jc w:val="left"/>
              <w:rPr>
                <w:rFonts w:ascii="Arial;sans-serif" w:hAnsi="Arial;sans-serif"/>
                <w:b w:val="false"/>
                <w:color w:val="000000"/>
                <w:sz w:val="16"/>
                <w:shd w:fill="FFFFFF" w:val="clear"/>
              </w:rPr>
            </w:pPr>
            <w:r>
              <w:rPr>
                <w:rFonts w:ascii="Arial;sans-serif" w:hAnsi="Arial;sans-serif"/>
                <w:b w:val="false"/>
                <w:color w:val="000000"/>
                <w:sz w:val="16"/>
                <w:shd w:fill="FFFFFF" w:val="clear"/>
              </w:rPr>
              <w:t>Regular risk assessments</w:t>
            </w:r>
          </w:p>
        </w:tc>
      </w:tr>
      <w:tr>
        <w:trPr/>
        <w:tc>
          <w:tcPr>
            <w:tcW w:w="389" w:type="dxa"/>
            <w:gridSpan w:val="3"/>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6450" w:type="dxa"/>
            <w:gridSpan w:val="3"/>
            <w:tcBorders>
              <w:top w:val="single" w:sz="4" w:space="0" w:color="000000"/>
              <w:right w:val="single" w:sz="4" w:space="0" w:color="004C97"/>
            </w:tcBorders>
            <w:shd w:fill="E6E7E8" w:val="clear"/>
            <w:tcMar>
              <w:top w:w="30" w:type="dxa"/>
              <w:left w:w="0" w:type="dxa"/>
              <w:bottom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Annual reviews of share utilization</w:t>
            </w:r>
          </w:p>
        </w:tc>
      </w:tr>
      <w:tr>
        <w:trPr/>
        <w:tc>
          <w:tcPr>
            <w:tcW w:w="389"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center"/>
              <w:rPr>
                <w:color w:val="000000"/>
                <w:shd w:fill="FFFFFF" w:val="clear"/>
              </w:rPr>
            </w:pPr>
            <w:r>
              <w:rPr>
                <w:color w:val="000000"/>
                <w:shd w:fill="FFFFFF" w:val="clear"/>
              </w:rPr>
              <w:t xml:space="preserve">✓ </w:t>
            </w:r>
          </w:p>
        </w:tc>
        <w:tc>
          <w:tcPr>
            <w:tcW w:w="6450" w:type="dxa"/>
            <w:gridSpan w:val="3"/>
            <w:tcBorders>
              <w:top w:val="single" w:sz="4" w:space="0" w:color="000000"/>
              <w:right w:val="single" w:sz="4" w:space="0" w:color="004C97"/>
            </w:tcBorders>
            <w:shd w:fill="FFFFFF" w:val="clear"/>
            <w:tcMar>
              <w:top w:w="30" w:type="dxa"/>
              <w:left w:w="0" w:type="dxa"/>
              <w:bottom w:w="0" w:type="dxa"/>
            </w:tcMar>
            <w:vAlign w:val="center"/>
          </w:tcPr>
          <w:p>
            <w:pPr>
              <w:pStyle w:val="TableContents"/>
              <w:bidi w:val="0"/>
              <w:spacing w:lineRule="auto" w:line="288" w:before="0" w:after="0"/>
              <w:jc w:val="left"/>
              <w:rPr>
                <w:rFonts w:ascii="Arial;sans-serif" w:hAnsi="Arial;sans-serif"/>
                <w:b w:val="false"/>
                <w:color w:val="000000"/>
                <w:sz w:val="16"/>
                <w:shd w:fill="FFFFFF" w:val="clear"/>
              </w:rPr>
            </w:pPr>
            <w:r>
              <w:rPr>
                <w:rFonts w:ascii="Arial;sans-serif" w:hAnsi="Arial;sans-serif"/>
                <w:b w:val="false"/>
                <w:color w:val="000000"/>
                <w:sz w:val="16"/>
                <w:shd w:fill="FFFFFF" w:val="clear"/>
              </w:rPr>
              <w:t>Stockholder outreach</w:t>
            </w:r>
          </w:p>
        </w:tc>
      </w:tr>
      <w:tr>
        <w:trPr/>
        <w:tc>
          <w:tcPr>
            <w:tcW w:w="389" w:type="dxa"/>
            <w:gridSpan w:val="3"/>
            <w:tcBorders>
              <w:top w:val="single" w:sz="4" w:space="0" w:color="000000"/>
              <w:left w:val="single" w:sz="4" w:space="0" w:color="000000"/>
              <w:bottom w:val="single" w:sz="4" w:space="0" w:color="000000"/>
            </w:tcBorders>
            <w:shd w:fill="E6E7E8" w:val="clear"/>
            <w:tcMar>
              <w:top w:w="30" w:type="dxa"/>
              <w:bottom w:w="30" w:type="dxa"/>
              <w:right w:w="0" w:type="dxa"/>
            </w:tcMar>
            <w:vAlign w:val="center"/>
          </w:tcPr>
          <w:p>
            <w:pPr>
              <w:pStyle w:val="TableContents"/>
              <w:bidi w:val="0"/>
              <w:spacing w:lineRule="auto" w:line="240" w:before="0" w:after="283"/>
              <w:jc w:val="center"/>
              <w:rPr>
                <w:color w:val="000000"/>
              </w:rPr>
            </w:pPr>
            <w:r>
              <w:rPr>
                <w:color w:val="000000"/>
              </w:rPr>
              <w:t>✓</w:t>
            </w:r>
          </w:p>
        </w:tc>
        <w:tc>
          <w:tcPr>
            <w:tcW w:w="6450" w:type="dxa"/>
            <w:gridSpan w:val="3"/>
            <w:tcBorders>
              <w:top w:val="single" w:sz="4" w:space="0" w:color="000000"/>
              <w:bottom w:val="single" w:sz="4" w:space="0" w:color="000000"/>
              <w:right w:val="single" w:sz="4" w:space="0" w:color="004C97"/>
            </w:tcBorders>
            <w:shd w:fill="E6E7E8" w:val="clear"/>
            <w:tcMar>
              <w:top w:w="30" w:type="dxa"/>
              <w:left w:w="0" w:type="dxa"/>
              <w:bottom w:w="3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Regular market assessments against our peer group</w:t>
            </w:r>
          </w:p>
        </w:tc>
      </w:tr>
    </w:tbl>
    <w:tbl>
      <w:tblPr>
        <w:tblW w:w="6009" w:type="dxa"/>
        <w:jc w:val="left"/>
        <w:tblInd w:w="0" w:type="dxa"/>
        <w:tblLayout w:type="fixed"/>
        <w:tblCellMar>
          <w:top w:w="28" w:type="dxa"/>
          <w:left w:w="28" w:type="dxa"/>
          <w:bottom w:w="28" w:type="dxa"/>
          <w:right w:w="28" w:type="dxa"/>
        </w:tblCellMar>
      </w:tblPr>
      <w:tblGrid>
        <w:gridCol w:w="124"/>
        <w:gridCol w:w="109"/>
        <w:gridCol w:w="109"/>
        <w:gridCol w:w="1762"/>
        <w:gridCol w:w="1762"/>
        <w:gridCol w:w="177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2" w:type="dxa"/>
            <w:tcBorders/>
            <w:vAlign w:val="center"/>
          </w:tcPr>
          <w:p>
            <w:pPr>
              <w:pStyle w:val="TableContents"/>
              <w:bidi w:val="0"/>
              <w:spacing w:before="0" w:after="283"/>
              <w:jc w:val="left"/>
              <w:rPr>
                <w:sz w:val="4"/>
                <w:szCs w:val="4"/>
              </w:rPr>
            </w:pPr>
            <w:r>
              <w:rPr>
                <w:sz w:val="4"/>
                <w:szCs w:val="4"/>
              </w:rPr>
            </w:r>
          </w:p>
        </w:tc>
        <w:tc>
          <w:tcPr>
            <w:tcW w:w="1762" w:type="dxa"/>
            <w:tcBorders/>
            <w:vAlign w:val="center"/>
          </w:tcPr>
          <w:p>
            <w:pPr>
              <w:pStyle w:val="TableContents"/>
              <w:bidi w:val="0"/>
              <w:spacing w:before="0" w:after="283"/>
              <w:jc w:val="left"/>
              <w:rPr>
                <w:sz w:val="4"/>
                <w:szCs w:val="4"/>
              </w:rPr>
            </w:pPr>
            <w:r>
              <w:rPr>
                <w:sz w:val="4"/>
                <w:szCs w:val="4"/>
              </w:rPr>
            </w:r>
          </w:p>
        </w:tc>
        <w:tc>
          <w:tcPr>
            <w:tcW w:w="17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4" w:space="0" w:color="000000"/>
            </w:tcBorders>
            <w:shd w:fill="004C97"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295" w:type="dxa"/>
            <w:gridSpan w:val="3"/>
            <w:tcBorders>
              <w:top w:val="single" w:sz="4" w:space="0" w:color="939598"/>
            </w:tcBorders>
            <w:shd w:fill="004C97" w:val="clear"/>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FFFFFF"/>
                <w:sz w:val="16"/>
              </w:rPr>
            </w:pPr>
            <w:r>
              <w:rPr>
                <w:rFonts w:ascii="Arial;sans-serif" w:hAnsi="Arial;sans-serif"/>
                <w:b/>
                <w:color w:val="FFFFFF"/>
                <w:sz w:val="16"/>
              </w:rPr>
              <w:t>What We Do Not Do</w:t>
            </w:r>
          </w:p>
        </w:tc>
        <w:tc>
          <w:tcPr>
            <w:tcW w:w="372" w:type="dxa"/>
            <w:gridSpan w:val="3"/>
            <w:tcBorders>
              <w:left w:val="single" w:sz="4" w:space="0" w:color="939598"/>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5295" w:type="dxa"/>
            <w:gridSpan w:val="3"/>
            <w:tcBorders>
              <w:top w:val="single" w:sz="4" w:space="0" w:color="000000"/>
            </w:tcBorders>
            <w:shd w:fill="E6E7E8" w:val="clear"/>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No multi-year guarantees of salary increases</w:t>
            </w:r>
          </w:p>
        </w:tc>
        <w:tc>
          <w:tcPr>
            <w:tcW w:w="372" w:type="dxa"/>
            <w:gridSpan w:val="3"/>
            <w:tcBorders>
              <w:left w:val="single" w:sz="4" w:space="0" w:color="939598"/>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5295"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shd w:fill="FFFFFF" w:val="clear"/>
              </w:rPr>
            </w:pPr>
            <w:r>
              <w:rPr>
                <w:rFonts w:ascii="Arial;sans-serif" w:hAnsi="Arial;sans-serif"/>
                <w:b w:val="false"/>
                <w:color w:val="000000"/>
                <w:sz w:val="16"/>
                <w:shd w:fill="FFFFFF" w:val="clear"/>
              </w:rPr>
              <w:t>No tax gross-ups on termination payments following a change in control</w:t>
            </w:r>
          </w:p>
        </w:tc>
        <w:tc>
          <w:tcPr>
            <w:tcW w:w="372" w:type="dxa"/>
            <w:gridSpan w:val="3"/>
            <w:tcBorders>
              <w:left w:val="single" w:sz="4" w:space="0" w:color="939598"/>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5295" w:type="dxa"/>
            <w:gridSpan w:val="3"/>
            <w:tcBorders>
              <w:top w:val="single" w:sz="4" w:space="0" w:color="000000"/>
            </w:tcBorders>
            <w:shd w:fill="E6E7E8" w:val="clear"/>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No hedging of Company stock</w:t>
            </w:r>
          </w:p>
        </w:tc>
        <w:tc>
          <w:tcPr>
            <w:tcW w:w="372" w:type="dxa"/>
            <w:gridSpan w:val="3"/>
            <w:tcBorders>
              <w:left w:val="single" w:sz="4" w:space="0" w:color="939598"/>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5295"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shd w:fill="FFFFFF" w:val="clear"/>
              </w:rPr>
            </w:pPr>
            <w:r>
              <w:rPr>
                <w:rFonts w:ascii="Arial;sans-serif" w:hAnsi="Arial;sans-serif"/>
                <w:b w:val="false"/>
                <w:color w:val="000000"/>
                <w:sz w:val="16"/>
                <w:shd w:fill="FFFFFF" w:val="clear"/>
              </w:rPr>
              <w:t>No pledging of Company stock</w:t>
            </w:r>
          </w:p>
        </w:tc>
        <w:tc>
          <w:tcPr>
            <w:tcW w:w="372" w:type="dxa"/>
            <w:gridSpan w:val="3"/>
            <w:tcBorders>
              <w:left w:val="single" w:sz="4" w:space="0" w:color="939598"/>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5295" w:type="dxa"/>
            <w:gridSpan w:val="3"/>
            <w:tcBorders>
              <w:top w:val="single" w:sz="4" w:space="0" w:color="000000"/>
            </w:tcBorders>
            <w:shd w:fill="E6E7E8" w:val="clear"/>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No significant perquisites or defined benefit pension plans</w:t>
            </w:r>
          </w:p>
        </w:tc>
        <w:tc>
          <w:tcPr>
            <w:tcW w:w="372" w:type="dxa"/>
            <w:gridSpan w:val="3"/>
            <w:tcBorders>
              <w:left w:val="single" w:sz="4" w:space="0" w:color="939598"/>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5295"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shd w:fill="FFFFFF" w:val="clear"/>
              </w:rPr>
            </w:pPr>
            <w:r>
              <w:rPr>
                <w:rFonts w:ascii="Arial;sans-serif" w:hAnsi="Arial;sans-serif"/>
                <w:b w:val="false"/>
                <w:color w:val="000000"/>
                <w:sz w:val="16"/>
                <w:shd w:fill="FFFFFF" w:val="clear"/>
              </w:rPr>
              <w:t>No “single-trigger” termination payments upon a change in control</w:t>
            </w:r>
          </w:p>
        </w:tc>
        <w:tc>
          <w:tcPr>
            <w:tcW w:w="372" w:type="dxa"/>
            <w:gridSpan w:val="3"/>
            <w:tcBorders>
              <w:left w:val="single" w:sz="4" w:space="0" w:color="939598"/>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000000"/>
              <w:left w:val="single" w:sz="4" w:space="0" w:color="000000"/>
              <w:bottom w:val="single" w:sz="4" w:space="0" w:color="000000"/>
            </w:tcBorders>
            <w:shd w:fill="E6E7E8" w:val="clear"/>
            <w:tcMar>
              <w:top w:w="30" w:type="dxa"/>
              <w:bottom w:w="30" w:type="dxa"/>
              <w:right w:w="0" w:type="dxa"/>
            </w:tcMar>
            <w:vAlign w:val="center"/>
          </w:tcPr>
          <w:p>
            <w:pPr>
              <w:pStyle w:val="TableContents"/>
              <w:bidi w:val="0"/>
              <w:spacing w:lineRule="auto" w:line="288" w:before="0" w:after="283"/>
              <w:jc w:val="center"/>
              <w:rPr>
                <w:color w:val="000000"/>
              </w:rPr>
            </w:pPr>
            <w:r>
              <w:rPr>
                <w:color w:val="000000"/>
              </w:rPr>
              <w:t>✘</w:t>
            </w:r>
          </w:p>
        </w:tc>
        <w:tc>
          <w:tcPr>
            <w:tcW w:w="5295" w:type="dxa"/>
            <w:gridSpan w:val="3"/>
            <w:tcBorders>
              <w:top w:val="single" w:sz="4" w:space="0" w:color="000000"/>
              <w:bottom w:val="single" w:sz="4" w:space="0" w:color="000000"/>
            </w:tcBorders>
            <w:shd w:fill="E6E7E8" w:val="clear"/>
            <w:tcMar>
              <w:top w:w="30" w:type="dxa"/>
              <w:left w:w="0" w:type="dxa"/>
              <w:bottom w:w="3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No repricing or backdating stock options without stockholder approval</w:t>
            </w:r>
          </w:p>
        </w:tc>
        <w:tc>
          <w:tcPr>
            <w:tcW w:w="372" w:type="dxa"/>
            <w:gridSpan w:val="3"/>
            <w:tcBorders>
              <w:left w:val="single" w:sz="4" w:space="0" w:color="939598"/>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60"/>
        <w:jc w:val="both"/>
        <w:rPr>
          <w:rFonts w:ascii="Arial;sans-serif" w:hAnsi="Arial;sans-serif"/>
          <w:b/>
          <w:color w:val="004C97"/>
          <w:sz w:val="20"/>
        </w:rPr>
      </w:pPr>
      <w:r>
        <w:rPr>
          <w:rFonts w:ascii="Arial;sans-serif" w:hAnsi="Arial;sans-serif"/>
          <w:b/>
          <w:color w:val="004C97"/>
          <w:sz w:val="20"/>
        </w:rPr>
        <w:t>The Role of the Compensation Committee</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The Committee is responsible for overseeing the design and administration of the executive compensation program so that the program is consistent with our compensation philosophy. The Committee reviews compensation levels for all of our executive officers, including our NEOs. The Committee also makes all final compensation decisions regarding our NEOs and officers, except for the CEO, whose compensation is reviewed and approved by the full Board, excluding Mr. Lowe, based upon recommendations of the Committee.</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The Committee also works very closely with its independent compensation consultant and with management to examine the effectiveness of the Company’s executive compensation program. Details of the Committee’s authority and responsibilities are specified in the Committee’s charter, which is available on our website (www.spx.com) under the heading “Investor Relations—Corporate Governance—Board Committees.”</w:t>
      </w:r>
    </w:p>
    <w:p>
      <w:pPr>
        <w:pStyle w:val="TextBody"/>
        <w:bidi w:val="0"/>
        <w:spacing w:lineRule="auto" w:line="288" w:before="0" w:after="60"/>
        <w:jc w:val="both"/>
        <w:rPr>
          <w:rFonts w:ascii="Arial;sans-serif" w:hAnsi="Arial;sans-serif"/>
          <w:b/>
          <w:color w:val="004C97"/>
          <w:sz w:val="20"/>
        </w:rPr>
      </w:pPr>
      <w:r>
        <w:rPr>
          <w:rFonts w:ascii="Arial;sans-serif" w:hAnsi="Arial;sans-serif"/>
          <w:b/>
          <w:color w:val="004C97"/>
          <w:sz w:val="20"/>
        </w:rPr>
        <w:t>The Role of Management</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Certain members of our senior management team help prepare for and attend meetings where executive compensation, Company and individual performance, and competitive compensation levels and practices are discussed and evaluated. However, only the Committee members are allowed to vote on decisions regarding executive compensation. The Committee also receives recommendations from the CEO regarding the compensation of our other officers, including the other NEOs. The CEO does not participate in the deliberations of the Committee and Board regarding his own compensation.</w:t>
      </w:r>
    </w:p>
    <w:p>
      <w:pPr>
        <w:pStyle w:val="TextBody"/>
        <w:bidi w:val="0"/>
        <w:spacing w:lineRule="auto" w:line="288" w:before="0" w:after="60"/>
        <w:jc w:val="both"/>
        <w:rPr>
          <w:rFonts w:ascii="Arial;sans-serif" w:hAnsi="Arial;sans-serif"/>
          <w:b/>
          <w:color w:val="004C97"/>
          <w:sz w:val="20"/>
        </w:rPr>
      </w:pPr>
      <w:r>
        <w:rPr>
          <w:rFonts w:ascii="Arial;sans-serif" w:hAnsi="Arial;sans-serif"/>
          <w:b/>
          <w:color w:val="004C97"/>
          <w:sz w:val="20"/>
        </w:rPr>
        <w:t>The Role of the Independent Compensation Consultant</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 xml:space="preserve">The Committee retained Pearl Meyer &amp; Partners, LLC (“Pearl Meyer”) as its sole independent compensation consultant through September 13, 2023 and Pearl Meyer acted as sole compensation consultant with respect to compensation structure for and awards made in 2023. On September 14, 2023, the Committee retained Meridian Compensation Partners, LLC (“Meridian”) as its sole independent compensation consultant. Meridian does not, and Pearl Meyer did not, provide any services to our Company other than advice to and services for the Committee relating to compensation of all executives and the Governance &amp; Sustainability Committee relating to compensation of our non-employee directors. The independent compensation consultant may provide other consulting services to SPX, on a limited basis and only with approval from the Committee and the Governance &amp; Sustainability Committee. The Committee reviews services provided by its independent compensation consultant on at least an annual basis.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739140"/>
                <wp:effectExtent l="0" t="0" r="0" b="0"/>
                <wp:wrapNone/>
                <wp:docPr id="120" name="Frame35"/>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292" w:type="dxa"/>
                              <w:jc w:val="right"/>
                              <w:tblInd w:w="0" w:type="dxa"/>
                              <w:tblLayout w:type="fixed"/>
                              <w:tblCellMar>
                                <w:top w:w="28" w:type="dxa"/>
                                <w:left w:w="28" w:type="dxa"/>
                                <w:bottom w:w="28" w:type="dxa"/>
                                <w:right w:w="28" w:type="dxa"/>
                              </w:tblCellMar>
                            </w:tblPr>
                            <w:tblGrid>
                              <w:gridCol w:w="292"/>
                              <w:gridCol w:w="256"/>
                              <w:gridCol w:w="258"/>
                              <w:gridCol w:w="704"/>
                              <w:gridCol w:w="704"/>
                              <w:gridCol w:w="706"/>
                              <w:gridCol w:w="109"/>
                              <w:gridCol w:w="109"/>
                              <w:gridCol w:w="154"/>
                            </w:tblGrid>
                            <w:tr>
                              <w:trPr/>
                              <w:tc>
                                <w:tcPr>
                                  <w:tcW w:w="29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0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121"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Image58" descr=""/>
                                                <pic:cNvPicPr>
                                                  <a:picLocks noChangeAspect="1" noChangeArrowheads="1"/>
                                                </pic:cNvPicPr>
                                              </pic:nvPicPr>
                                              <pic:blipFill>
                                                <a:blip r:embed="rId87"/>
                                                <a:stretch>
                                                  <a:fillRect/>
                                                </a:stretch>
                                              </pic:blipFill>
                                              <pic:spPr bwMode="auto">
                                                <a:xfrm>
                                                  <a:off x="0" y="0"/>
                                                  <a:ext cx="447675" cy="161925"/>
                                                </a:xfrm>
                                                <a:prstGeom prst="rect">
                                                  <a:avLst/>
                                                </a:prstGeom>
                                              </pic:spPr>
                                            </pic:pic>
                                          </a:graphicData>
                                        </a:graphic>
                                      </wp:inline>
                                    </w:drawing>
                                  </w:r>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2024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000000"/>
                                      <w:sz w:val="16"/>
                                    </w:rPr>
                                  </w:pPr>
                                  <w:r>
                                    <w:rPr>
                                      <w:rFonts w:ascii="Arial;sans-serif" w:hAnsi="Arial;sans-serif"/>
                                      <w:b/>
                                      <w:color w:val="000000"/>
                                      <w:sz w:val="16"/>
                                    </w:rPr>
                                    <w:t>29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292" w:type="dxa"/>
                        <w:jc w:val="right"/>
                        <w:tblInd w:w="0" w:type="dxa"/>
                        <w:tblLayout w:type="fixed"/>
                        <w:tblCellMar>
                          <w:top w:w="28" w:type="dxa"/>
                          <w:left w:w="28" w:type="dxa"/>
                          <w:bottom w:w="28" w:type="dxa"/>
                          <w:right w:w="28" w:type="dxa"/>
                        </w:tblCellMar>
                      </w:tblPr>
                      <w:tblGrid>
                        <w:gridCol w:w="292"/>
                        <w:gridCol w:w="256"/>
                        <w:gridCol w:w="258"/>
                        <w:gridCol w:w="704"/>
                        <w:gridCol w:w="704"/>
                        <w:gridCol w:w="706"/>
                        <w:gridCol w:w="109"/>
                        <w:gridCol w:w="109"/>
                        <w:gridCol w:w="154"/>
                      </w:tblGrid>
                      <w:tr>
                        <w:trPr/>
                        <w:tc>
                          <w:tcPr>
                            <w:tcW w:w="29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0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122"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Image58" descr=""/>
                                          <pic:cNvPicPr>
                                            <a:picLocks noChangeAspect="1" noChangeArrowheads="1"/>
                                          </pic:cNvPicPr>
                                        </pic:nvPicPr>
                                        <pic:blipFill>
                                          <a:blip r:embed="rId88"/>
                                          <a:stretch>
                                            <a:fillRect/>
                                          </a:stretch>
                                        </pic:blipFill>
                                        <pic:spPr bwMode="auto">
                                          <a:xfrm>
                                            <a:off x="0" y="0"/>
                                            <a:ext cx="447675" cy="161925"/>
                                          </a:xfrm>
                                          <a:prstGeom prst="rect">
                                            <a:avLst/>
                                          </a:prstGeom>
                                        </pic:spPr>
                                      </pic:pic>
                                    </a:graphicData>
                                  </a:graphic>
                                </wp:inline>
                              </w:drawing>
                            </w:r>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2024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000000"/>
                                <w:sz w:val="16"/>
                              </w:rPr>
                            </w:pPr>
                            <w:r>
                              <w:rPr>
                                <w:rFonts w:ascii="Arial;sans-serif" w:hAnsi="Arial;sans-serif"/>
                                <w:b/>
                                <w:color w:val="000000"/>
                                <w:sz w:val="16"/>
                              </w:rPr>
                              <w:t>29</w:t>
                            </w:r>
                          </w:p>
                        </w:tc>
                      </w:tr>
                    </w:tbl>
                    <w:p>
                      <w:pPr>
                        <w:pStyle w:val="TextBody"/>
                        <w:bidi w:val="0"/>
                        <w:spacing w:before="0" w:after="283"/>
                        <w:jc w:val="left"/>
                        <w:rPr/>
                      </w:pPr>
                      <w:r>
                        <w:rPr/>
                      </w:r>
                    </w:p>
                  </w:txbxContent>
                </v:textbox>
                <w10:wrap type="none"/>
              </v:rect>
            </w:pict>
          </mc:Fallback>
        </mc:AlternateContent>
      </w:r>
    </w:p>
    <w:tbl>
      <w:tblPr>
        <w:tblW w:w="2459" w:type="dxa"/>
        <w:jc w:val="right"/>
        <w:tblInd w:w="0" w:type="dxa"/>
        <w:tblLayout w:type="fixed"/>
        <w:tblCellMar>
          <w:top w:w="28" w:type="dxa"/>
          <w:left w:w="28" w:type="dxa"/>
          <w:bottom w:w="28" w:type="dxa"/>
          <w:right w:w="28" w:type="dxa"/>
        </w:tblCellMar>
      </w:tblPr>
      <w:tblGrid>
        <w:gridCol w:w="786"/>
        <w:gridCol w:w="691"/>
        <w:gridCol w:w="982"/>
      </w:tblGrid>
      <w:tr>
        <w:trPr/>
        <w:tc>
          <w:tcPr>
            <w:tcW w:w="78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r>
      <w:tr>
        <w:trPr/>
        <w:tc>
          <w:tcPr>
            <w:tcW w:w="2459" w:type="dxa"/>
            <w:gridSpan w:val="3"/>
            <w:tcBorders>
              <w:bottom w:val="single" w:sz="4" w:space="0" w:color="004C97"/>
            </w:tcBorders>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4C97"/>
                <w:sz w:val="16"/>
              </w:rPr>
            </w:pPr>
            <w:r>
              <w:rPr>
                <w:rFonts w:ascii="Arial;sans-serif" w:hAnsi="Arial;sans-serif"/>
                <w:b w:val="false"/>
                <w:color w:val="004C97"/>
                <w:sz w:val="16"/>
              </w:rPr>
              <w:t>EXECUTIVE COMPENSATION</w:t>
            </w:r>
          </w:p>
        </w:tc>
      </w:tr>
    </w:tbl>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The independent compensation consultant reviews, analyzes and assesses the Company’s executive compensation program and management’s recommendations for compensation; conducts risk assessments on the Company’s executive incentive plans; and presents recommendations on compensation amounts and structure for the President and CEO. In addition the independent compensation consultant recommends the list of peer companies against which we benchmark our executive officer and director compensation.</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 xml:space="preserve">The Committee has directed the independent compensation consultants to collaborate with management, including our human resources function, to obtain data, clarify information, and review preliminary recommendations prior to the time they are shared with the relevant committee. </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 xml:space="preserve">The Committee has considered the independence of Pearl Meyer and Meridian in light of SEC rules, NYSE listing standards, and the requirements of the Committee’s charter. The Committee requested and received a letter from each of Pearl Meyer and Meridian addressing relationships with and the independence of such firm and the senior advisor involved in the engagement of such firm. </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The Committee concluded that the work performed by Pearl Meyer and Pearl Meyer’s senior advisor involved in the engagement and by Meridian and Meridian’s senior advisor involved in the engagement did not raise any conflict of interest and that each was independent.</w:t>
      </w:r>
    </w:p>
    <w:p>
      <w:pPr>
        <w:pStyle w:val="TextBody"/>
        <w:bidi w:val="0"/>
        <w:spacing w:lineRule="auto" w:line="288" w:before="0" w:after="60"/>
        <w:jc w:val="both"/>
        <w:rPr>
          <w:rFonts w:ascii="Arial;sans-serif" w:hAnsi="Arial;sans-serif"/>
          <w:b/>
          <w:color w:val="004C97"/>
          <w:sz w:val="20"/>
        </w:rPr>
      </w:pPr>
      <w:r>
        <w:rPr>
          <w:rFonts w:ascii="Arial;sans-serif" w:hAnsi="Arial;sans-serif"/>
          <w:b/>
          <w:color w:val="004C97"/>
          <w:sz w:val="20"/>
        </w:rPr>
        <w:t>The Role of the Peer Group</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Our executive compensation program takes into account the compensation practices of companies with which we compete or could compete for executive talent. Peer companies are selected based on a number of factors including size, industry, and markets served. Based on changes in corporate structures and market caps, each of Altra Industrial Motion Corp, CIRCOR International, Inc., and Regal Rexnord Corp were removed and John Bean Technologies Corporation was adopted as a peer for 2023. In June 2023, Harsco Corp. changed its name to Enviri Corporation.</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For purposes of setting 2023 executive compensation, the Committee used the following peer companies (“peer group”):</w:t>
      </w:r>
    </w:p>
    <w:tbl>
      <w:tblPr>
        <w:tblW w:w="5084" w:type="dxa"/>
        <w:jc w:val="left"/>
        <w:tblInd w:w="0" w:type="dxa"/>
        <w:tblLayout w:type="fixed"/>
        <w:tblCellMar>
          <w:top w:w="28" w:type="dxa"/>
          <w:left w:w="28" w:type="dxa"/>
          <w:bottom w:w="28" w:type="dxa"/>
          <w:right w:w="28" w:type="dxa"/>
        </w:tblCellMar>
      </w:tblPr>
      <w:tblGrid>
        <w:gridCol w:w="749"/>
        <w:gridCol w:w="653"/>
        <w:gridCol w:w="653"/>
        <w:gridCol w:w="880"/>
        <w:gridCol w:w="880"/>
        <w:gridCol w:w="1269"/>
      </w:tblGrid>
      <w:tr>
        <w:trPr/>
        <w:tc>
          <w:tcPr>
            <w:tcW w:w="749"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269" w:type="dxa"/>
            <w:tcBorders/>
            <w:vAlign w:val="center"/>
          </w:tcPr>
          <w:p>
            <w:pPr>
              <w:pStyle w:val="TableContents"/>
              <w:bidi w:val="0"/>
              <w:spacing w:before="0" w:after="283"/>
              <w:jc w:val="left"/>
              <w:rPr>
                <w:sz w:val="4"/>
                <w:szCs w:val="4"/>
              </w:rPr>
            </w:pPr>
            <w:r>
              <w:rPr>
                <w:sz w:val="4"/>
                <w:szCs w:val="4"/>
              </w:rPr>
            </w:r>
          </w:p>
        </w:tc>
      </w:tr>
      <w:tr>
        <w:trPr/>
        <w:tc>
          <w:tcPr>
            <w:tcW w:w="5084" w:type="dxa"/>
            <w:gridSpan w:val="6"/>
            <w:tcBorders>
              <w:top w:val="single" w:sz="2" w:space="0" w:color="000000"/>
              <w:left w:val="single" w:sz="2" w:space="0" w:color="000000"/>
              <w:right w:val="single" w:sz="2" w:space="0" w:color="000000"/>
            </w:tcBorders>
            <w:shd w:fill="004C97" w:val="clear"/>
            <w:tcMar>
              <w:top w:w="30" w:type="dxa"/>
              <w:bottom w:w="0" w:type="dxa"/>
            </w:tcMar>
            <w:vAlign w:val="center"/>
          </w:tcPr>
          <w:p>
            <w:pPr>
              <w:pStyle w:val="TableContents"/>
              <w:bidi w:val="0"/>
              <w:spacing w:lineRule="auto" w:line="240" w:before="0" w:after="0"/>
              <w:jc w:val="center"/>
              <w:rPr>
                <w:rFonts w:ascii="Arial;sans-serif" w:hAnsi="Arial;sans-serif"/>
                <w:b/>
                <w:color w:val="FFFFFF"/>
                <w:sz w:val="16"/>
              </w:rPr>
            </w:pPr>
            <w:r>
              <w:rPr>
                <w:rFonts w:ascii="Arial;sans-serif" w:hAnsi="Arial;sans-serif"/>
                <w:b/>
                <w:color w:val="FFFFFF"/>
                <w:sz w:val="16"/>
              </w:rPr>
              <w:t>SPX Peer Companies</w:t>
            </w:r>
          </w:p>
        </w:tc>
      </w:tr>
      <w:tr>
        <w:trPr/>
        <w:tc>
          <w:tcPr>
            <w:tcW w:w="2055" w:type="dxa"/>
            <w:gridSpan w:val="3"/>
            <w:tcBorders>
              <w:top w:val="single" w:sz="2" w:space="0" w:color="000000"/>
              <w:left w:val="single" w:sz="2" w:space="0" w:color="000000"/>
            </w:tcBorders>
            <w:shd w:fill="DBDBDB" w:val="clear"/>
            <w:tcMar>
              <w:top w:w="3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Barnes Group Inc.</w:t>
            </w:r>
          </w:p>
        </w:tc>
        <w:tc>
          <w:tcPr>
            <w:tcW w:w="3029" w:type="dxa"/>
            <w:gridSpan w:val="3"/>
            <w:tcBorders>
              <w:top w:val="single" w:sz="2" w:space="0" w:color="000000"/>
              <w:left w:val="single" w:sz="2" w:space="0" w:color="000000"/>
              <w:right w:val="single" w:sz="2" w:space="0" w:color="000000"/>
            </w:tcBorders>
            <w:shd w:fill="DBDBDB" w:val="clear"/>
            <w:tcMar>
              <w:top w:w="30" w:type="dxa"/>
              <w:bottom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Franklin Electric Co., Inc.</w:t>
            </w:r>
          </w:p>
        </w:tc>
      </w:tr>
      <w:tr>
        <w:trPr/>
        <w:tc>
          <w:tcPr>
            <w:tcW w:w="2055"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Chart Industries, Inc.</w:t>
            </w:r>
          </w:p>
        </w:tc>
        <w:tc>
          <w:tcPr>
            <w:tcW w:w="3029" w:type="dxa"/>
            <w:gridSpan w:val="3"/>
            <w:tcBorders>
              <w:top w:val="single" w:sz="2" w:space="0" w:color="000000"/>
              <w:left w:val="single" w:sz="2" w:space="0" w:color="000000"/>
              <w:right w:val="single" w:sz="2" w:space="0" w:color="000000"/>
            </w:tcBorders>
            <w:shd w:fill="FFFFFF" w:val="clear"/>
            <w:tcMar>
              <w:top w:w="30" w:type="dxa"/>
              <w:bottom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Graco, Inc.</w:t>
            </w:r>
          </w:p>
        </w:tc>
      </w:tr>
      <w:tr>
        <w:trPr/>
        <w:tc>
          <w:tcPr>
            <w:tcW w:w="2055" w:type="dxa"/>
            <w:gridSpan w:val="3"/>
            <w:tcBorders>
              <w:top w:val="single" w:sz="2" w:space="0" w:color="000000"/>
              <w:left w:val="single" w:sz="2" w:space="0" w:color="000000"/>
            </w:tcBorders>
            <w:shd w:fill="DBDBDB" w:val="clear"/>
            <w:tcMar>
              <w:top w:w="3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Crane Co.</w:t>
            </w:r>
          </w:p>
        </w:tc>
        <w:tc>
          <w:tcPr>
            <w:tcW w:w="3029" w:type="dxa"/>
            <w:gridSpan w:val="3"/>
            <w:tcBorders>
              <w:top w:val="single" w:sz="2" w:space="0" w:color="000000"/>
              <w:left w:val="single" w:sz="2" w:space="0" w:color="000000"/>
              <w:right w:val="single" w:sz="2" w:space="0" w:color="000000"/>
            </w:tcBorders>
            <w:shd w:fill="DBDBDB" w:val="clear"/>
            <w:tcMar>
              <w:top w:w="30" w:type="dxa"/>
              <w:bottom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IDEX Corp.</w:t>
            </w:r>
          </w:p>
        </w:tc>
      </w:tr>
      <w:tr>
        <w:trPr/>
        <w:tc>
          <w:tcPr>
            <w:tcW w:w="2055"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Curtiss-Wright Corp.</w:t>
            </w:r>
          </w:p>
        </w:tc>
        <w:tc>
          <w:tcPr>
            <w:tcW w:w="3029" w:type="dxa"/>
            <w:gridSpan w:val="3"/>
            <w:tcBorders>
              <w:top w:val="single" w:sz="2" w:space="0" w:color="000000"/>
              <w:left w:val="single" w:sz="2" w:space="0" w:color="000000"/>
              <w:right w:val="single" w:sz="2" w:space="0" w:color="000000"/>
            </w:tcBorders>
            <w:shd w:fill="FFFFFF" w:val="clear"/>
            <w:tcMar>
              <w:top w:w="30" w:type="dxa"/>
              <w:bottom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John Bean Technologies Corp.</w:t>
            </w:r>
          </w:p>
        </w:tc>
      </w:tr>
      <w:tr>
        <w:trPr/>
        <w:tc>
          <w:tcPr>
            <w:tcW w:w="2055" w:type="dxa"/>
            <w:gridSpan w:val="3"/>
            <w:tcBorders>
              <w:top w:val="single" w:sz="2" w:space="0" w:color="000000"/>
              <w:left w:val="single" w:sz="2" w:space="0" w:color="000000"/>
            </w:tcBorders>
            <w:shd w:fill="DBDBDB" w:val="clear"/>
            <w:tcMar>
              <w:top w:w="3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Enpro Inc.</w:t>
            </w:r>
          </w:p>
        </w:tc>
        <w:tc>
          <w:tcPr>
            <w:tcW w:w="3029" w:type="dxa"/>
            <w:gridSpan w:val="3"/>
            <w:tcBorders>
              <w:top w:val="single" w:sz="2" w:space="0" w:color="000000"/>
              <w:left w:val="single" w:sz="2" w:space="0" w:color="000000"/>
              <w:right w:val="single" w:sz="2" w:space="0" w:color="000000"/>
            </w:tcBorders>
            <w:shd w:fill="DBDBDB" w:val="clear"/>
            <w:tcMar>
              <w:top w:w="30" w:type="dxa"/>
              <w:bottom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Nordson Corp.</w:t>
            </w:r>
          </w:p>
        </w:tc>
      </w:tr>
      <w:tr>
        <w:trPr/>
        <w:tc>
          <w:tcPr>
            <w:tcW w:w="2055"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Enviri Corporation</w:t>
            </w:r>
          </w:p>
        </w:tc>
        <w:tc>
          <w:tcPr>
            <w:tcW w:w="3029" w:type="dxa"/>
            <w:gridSpan w:val="3"/>
            <w:tcBorders>
              <w:top w:val="single" w:sz="2" w:space="0" w:color="000000"/>
              <w:left w:val="single" w:sz="2" w:space="0" w:color="000000"/>
              <w:right w:val="single" w:sz="2" w:space="0" w:color="000000"/>
            </w:tcBorders>
            <w:shd w:fill="FFFFFF" w:val="clear"/>
            <w:tcMar>
              <w:top w:w="30" w:type="dxa"/>
              <w:bottom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TriMas Corp.</w:t>
            </w:r>
          </w:p>
        </w:tc>
      </w:tr>
      <w:tr>
        <w:trPr/>
        <w:tc>
          <w:tcPr>
            <w:tcW w:w="2055" w:type="dxa"/>
            <w:gridSpan w:val="3"/>
            <w:tcBorders>
              <w:top w:val="single" w:sz="2" w:space="0" w:color="000000"/>
              <w:left w:val="single" w:sz="2" w:space="0" w:color="000000"/>
            </w:tcBorders>
            <w:shd w:fill="DBDBDB" w:val="clear"/>
            <w:tcMar>
              <w:top w:w="3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ESAB Corporation</w:t>
            </w:r>
          </w:p>
        </w:tc>
        <w:tc>
          <w:tcPr>
            <w:tcW w:w="3029" w:type="dxa"/>
            <w:gridSpan w:val="3"/>
            <w:tcBorders>
              <w:top w:val="single" w:sz="2" w:space="0" w:color="000000"/>
              <w:left w:val="single" w:sz="2" w:space="0" w:color="000000"/>
              <w:right w:val="single" w:sz="2" w:space="0" w:color="000000"/>
            </w:tcBorders>
            <w:shd w:fill="DBDBDB" w:val="clear"/>
            <w:tcMar>
              <w:top w:w="30" w:type="dxa"/>
              <w:bottom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Watts Water Technologies, Inc.</w:t>
            </w:r>
          </w:p>
        </w:tc>
      </w:tr>
      <w:tr>
        <w:trPr/>
        <w:tc>
          <w:tcPr>
            <w:tcW w:w="2055" w:type="dxa"/>
            <w:gridSpan w:val="3"/>
            <w:tcBorders>
              <w:top w:val="single" w:sz="2" w:space="0" w:color="000000"/>
              <w:left w:val="single" w:sz="2" w:space="0" w:color="000000"/>
              <w:bottom w:val="single" w:sz="8" w:space="0" w:color="929292"/>
            </w:tcBorders>
            <w:tcMar>
              <w:top w:w="3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Federal Signal Corporation</w:t>
            </w:r>
          </w:p>
        </w:tc>
        <w:tc>
          <w:tcPr>
            <w:tcW w:w="3029" w:type="dxa"/>
            <w:gridSpan w:val="3"/>
            <w:tcBorders>
              <w:top w:val="single" w:sz="2" w:space="0" w:color="000000"/>
              <w:left w:val="single" w:sz="2" w:space="0" w:color="000000"/>
              <w:bottom w:val="single" w:sz="8" w:space="0" w:color="929292"/>
              <w:right w:val="single" w:sz="2" w:space="0" w:color="000000"/>
            </w:tcBorders>
            <w:shd w:fill="FFFFFF" w:val="clear"/>
            <w:tcMar>
              <w:top w:w="30" w:type="dxa"/>
              <w:bottom w:w="3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Zurn Elkay Water Solutions Corporation</w:t>
            </w:r>
          </w:p>
        </w:tc>
      </w:tr>
    </w:tbl>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Our peer companies were drawn from a pool of potential companies identified by our management either as key competitors for senior talent or as having businesses or serving end markets similar to our Company. These companies were further reviewed for appropriateness as peers by Pearl Meyer prior to Committee approval. The primary factors used to generate the group were as follows:</w:t>
      </w:r>
    </w:p>
    <w:p>
      <w:pPr>
        <w:pStyle w:val="TextBody"/>
        <w:bidi w:val="0"/>
        <w:spacing w:lineRule="auto" w:line="288" w:before="0" w:after="180"/>
        <w:ind w:left="0" w:right="0" w:hanging="216"/>
        <w:jc w:val="both"/>
        <w:rPr/>
      </w:pPr>
      <w:r>
        <w:rPr>
          <w:color w:val="000000"/>
        </w:rPr>
        <w:t>•</w:t>
      </w:r>
      <w:r>
        <w:rPr>
          <w:rFonts w:ascii="Arial;sans-serif" w:hAnsi="Arial;sans-serif"/>
          <w:b w:val="false"/>
          <w:color w:val="000000"/>
          <w:sz w:val="18"/>
        </w:rPr>
        <w:t>Similar business mix to SPX;</w:t>
      </w:r>
    </w:p>
    <w:p>
      <w:pPr>
        <w:pStyle w:val="TextBody"/>
        <w:bidi w:val="0"/>
        <w:spacing w:lineRule="auto" w:line="288" w:before="0" w:after="180"/>
        <w:ind w:left="0" w:right="0" w:hanging="216"/>
        <w:jc w:val="both"/>
        <w:rPr/>
      </w:pPr>
      <w:r>
        <w:rPr>
          <w:color w:val="000000"/>
        </w:rPr>
        <w:t>•</w:t>
      </w:r>
      <w:r>
        <w:rPr>
          <w:rFonts w:ascii="Arial;sans-serif" w:hAnsi="Arial;sans-serif"/>
          <w:b w:val="false"/>
          <w:color w:val="000000"/>
          <w:sz w:val="18"/>
        </w:rPr>
        <w:t>Similar end markets to SPX;</w:t>
      </w:r>
    </w:p>
    <w:p>
      <w:pPr>
        <w:pStyle w:val="TextBody"/>
        <w:bidi w:val="0"/>
        <w:spacing w:lineRule="auto" w:line="288" w:before="0" w:after="180"/>
        <w:ind w:left="0" w:right="0" w:hanging="216"/>
        <w:jc w:val="both"/>
        <w:rPr/>
      </w:pPr>
      <w:r>
        <w:rPr>
          <w:color w:val="000000"/>
        </w:rPr>
        <w:t>•</w:t>
      </w:r>
      <w:r>
        <w:rPr>
          <w:rFonts w:ascii="Arial;sans-serif" w:hAnsi="Arial;sans-serif"/>
          <w:b w:val="false"/>
          <w:color w:val="000000"/>
          <w:sz w:val="18"/>
        </w:rPr>
        <w:t>Competitors for executive talent;</w:t>
      </w:r>
    </w:p>
    <w:p>
      <w:pPr>
        <w:pStyle w:val="TextBody"/>
        <w:bidi w:val="0"/>
        <w:spacing w:lineRule="auto" w:line="288" w:before="0" w:after="180"/>
        <w:ind w:left="0" w:right="0" w:hanging="216"/>
        <w:jc w:val="both"/>
        <w:rPr/>
      </w:pPr>
      <w:r>
        <w:rPr>
          <w:color w:val="000000"/>
        </w:rPr>
        <w:t>•</w:t>
      </w:r>
      <w:r>
        <w:rPr>
          <w:rFonts w:ascii="Arial;sans-serif" w:hAnsi="Arial;sans-serif"/>
          <w:b w:val="false"/>
          <w:color w:val="000000"/>
          <w:sz w:val="18"/>
        </w:rPr>
        <w:t>Market capitalization; and</w:t>
      </w:r>
    </w:p>
    <w:p>
      <w:pPr>
        <w:pStyle w:val="TextBody"/>
        <w:bidi w:val="0"/>
        <w:spacing w:lineRule="auto" w:line="288" w:before="0" w:after="180"/>
        <w:ind w:left="0" w:right="0" w:hanging="216"/>
        <w:jc w:val="both"/>
        <w:rPr/>
      </w:pPr>
      <w:r>
        <w:rPr>
          <w:color w:val="000000"/>
        </w:rPr>
        <w:t>•</w:t>
      </w:r>
      <w:r>
        <w:rPr>
          <w:rFonts w:ascii="Arial;sans-serif" w:hAnsi="Arial;sans-serif"/>
          <w:b w:val="false"/>
          <w:color w:val="000000"/>
          <w:sz w:val="18"/>
        </w:rPr>
        <w:t>Revenue of approximately 0.4 to 2.5 times SPX’s revenue.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739140"/>
                <wp:effectExtent l="0" t="0" r="0" b="0"/>
                <wp:wrapNone/>
                <wp:docPr id="123" name="Frame36"/>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292" w:type="dxa"/>
                              <w:jc w:val="left"/>
                              <w:tblInd w:w="0" w:type="dxa"/>
                              <w:tblLayout w:type="fixed"/>
                              <w:tblCellMar>
                                <w:top w:w="28" w:type="dxa"/>
                                <w:left w:w="28" w:type="dxa"/>
                                <w:bottom w:w="28" w:type="dxa"/>
                                <w:right w:w="28" w:type="dxa"/>
                              </w:tblCellMar>
                            </w:tblPr>
                            <w:tblGrid>
                              <w:gridCol w:w="124"/>
                              <w:gridCol w:w="109"/>
                              <w:gridCol w:w="109"/>
                              <w:gridCol w:w="704"/>
                              <w:gridCol w:w="704"/>
                              <w:gridCol w:w="706"/>
                              <w:gridCol w:w="244"/>
                              <w:gridCol w:w="244"/>
                              <w:gridCol w:w="34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6"/>
                                    </w:rPr>
                                  </w:pPr>
                                  <w:r>
                                    <w:rPr>
                                      <w:rFonts w:ascii="Arial;sans-serif" w:hAnsi="Arial;sans-serif"/>
                                      <w:b/>
                                      <w:color w:val="000000"/>
                                      <w:sz w:val="16"/>
                                    </w:rPr>
                                    <w:t>30</w:t>
                                  </w:r>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2024 PROXY STATEMENT</w:t>
                                  </w:r>
                                </w:p>
                              </w:tc>
                              <w:tc>
                                <w:tcPr>
                                  <w:tcW w:w="83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124"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Image59" descr=""/>
                                                <pic:cNvPicPr>
                                                  <a:picLocks noChangeAspect="1" noChangeArrowheads="1"/>
                                                </pic:cNvPicPr>
                                              </pic:nvPicPr>
                                              <pic:blipFill>
                                                <a:blip r:embed="rId89"/>
                                                <a:stretch>
                                                  <a:fillRect/>
                                                </a:stretch>
                                              </pic:blipFill>
                                              <pic:spPr bwMode="auto">
                                                <a:xfrm>
                                                  <a:off x="0" y="0"/>
                                                  <a:ext cx="447675" cy="161925"/>
                                                </a:xfrm>
                                                <a:prstGeom prst="rect">
                                                  <a:avLst/>
                                                </a:prstGeom>
                                              </pic:spPr>
                                            </pic:pic>
                                          </a:graphicData>
                                        </a:graphic>
                                      </wp:inline>
                                    </w:drawing>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292" w:type="dxa"/>
                        <w:jc w:val="left"/>
                        <w:tblInd w:w="0" w:type="dxa"/>
                        <w:tblLayout w:type="fixed"/>
                        <w:tblCellMar>
                          <w:top w:w="28" w:type="dxa"/>
                          <w:left w:w="28" w:type="dxa"/>
                          <w:bottom w:w="28" w:type="dxa"/>
                          <w:right w:w="28" w:type="dxa"/>
                        </w:tblCellMar>
                      </w:tblPr>
                      <w:tblGrid>
                        <w:gridCol w:w="124"/>
                        <w:gridCol w:w="109"/>
                        <w:gridCol w:w="109"/>
                        <w:gridCol w:w="704"/>
                        <w:gridCol w:w="704"/>
                        <w:gridCol w:w="706"/>
                        <w:gridCol w:w="244"/>
                        <w:gridCol w:w="244"/>
                        <w:gridCol w:w="34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6"/>
                              </w:rPr>
                            </w:pPr>
                            <w:r>
                              <w:rPr>
                                <w:rFonts w:ascii="Arial;sans-serif" w:hAnsi="Arial;sans-serif"/>
                                <w:b/>
                                <w:color w:val="000000"/>
                                <w:sz w:val="16"/>
                              </w:rPr>
                              <w:t>30</w:t>
                            </w:r>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2024 PROXY STATEMENT</w:t>
                            </w:r>
                          </w:p>
                        </w:tc>
                        <w:tc>
                          <w:tcPr>
                            <w:tcW w:w="83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125"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Image59" descr=""/>
                                          <pic:cNvPicPr>
                                            <a:picLocks noChangeAspect="1" noChangeArrowheads="1"/>
                                          </pic:cNvPicPr>
                                        </pic:nvPicPr>
                                        <pic:blipFill>
                                          <a:blip r:embed="rId90"/>
                                          <a:stretch>
                                            <a:fillRect/>
                                          </a:stretch>
                                        </pic:blipFill>
                                        <pic:spPr bwMode="auto">
                                          <a:xfrm>
                                            <a:off x="0" y="0"/>
                                            <a:ext cx="447675" cy="161925"/>
                                          </a:xfrm>
                                          <a:prstGeom prst="rect">
                                            <a:avLst/>
                                          </a:prstGeom>
                                        </pic:spPr>
                                      </pic:pic>
                                    </a:graphicData>
                                  </a:graphic>
                                </wp:inline>
                              </w:drawing>
                            </w:r>
                          </w:p>
                        </w:tc>
                      </w:tr>
                    </w:tbl>
                    <w:p>
                      <w:pPr>
                        <w:pStyle w:val="TextBody"/>
                        <w:bidi w:val="0"/>
                        <w:spacing w:before="0" w:after="283"/>
                        <w:jc w:val="left"/>
                        <w:rPr/>
                      </w:pPr>
                      <w:r>
                        <w:rPr/>
                      </w:r>
                    </w:p>
                  </w:txbxContent>
                </v:textbox>
                <w10:wrap type="none"/>
              </v:rect>
            </w:pict>
          </mc:Fallback>
        </mc:AlternateContent>
      </w:r>
    </w:p>
    <w:tbl>
      <w:tblPr>
        <w:tblW w:w="2459" w:type="dxa"/>
        <w:jc w:val="left"/>
        <w:tblInd w:w="0" w:type="dxa"/>
        <w:tblLayout w:type="fixed"/>
        <w:tblCellMar>
          <w:top w:w="28" w:type="dxa"/>
          <w:left w:w="28" w:type="dxa"/>
          <w:bottom w:w="28" w:type="dxa"/>
          <w:right w:w="28" w:type="dxa"/>
        </w:tblCellMar>
      </w:tblPr>
      <w:tblGrid>
        <w:gridCol w:w="786"/>
        <w:gridCol w:w="691"/>
        <w:gridCol w:w="982"/>
      </w:tblGrid>
      <w:tr>
        <w:trPr/>
        <w:tc>
          <w:tcPr>
            <w:tcW w:w="78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r>
      <w:tr>
        <w:trPr/>
        <w:tc>
          <w:tcPr>
            <w:tcW w:w="2459" w:type="dxa"/>
            <w:gridSpan w:val="3"/>
            <w:tcBorders>
              <w:bottom w:val="single" w:sz="4" w:space="0" w:color="004C97"/>
            </w:tcBorders>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4C97"/>
                <w:sz w:val="16"/>
              </w:rPr>
            </w:pPr>
            <w:r>
              <w:rPr>
                <w:rFonts w:ascii="Arial;sans-serif" w:hAnsi="Arial;sans-serif"/>
                <w:b w:val="false"/>
                <w:color w:val="004C97"/>
                <w:sz w:val="16"/>
              </w:rPr>
              <w:t>EXECUTIVE COMPENSATION</w:t>
            </w:r>
          </w:p>
        </w:tc>
      </w:tr>
    </w:tbl>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SPX annual revenues for 2023 are approximately at the median of peer companies.</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The Committee reviews the peer group annually to assure alignment and adds or removes companies as peers as it deems appropriate and necessary to maintain competitive and balanced alignment. The Committee uses the peer group data to assist in compensation decisions around base salary, short-term incentives, and long-term incentives, as well as in benchmarking other executive compensation matters.</w:t>
      </w:r>
    </w:p>
    <w:p>
      <w:pPr>
        <w:pStyle w:val="TextBody"/>
        <w:bidi w:val="0"/>
        <w:spacing w:lineRule="auto" w:line="288" w:before="0" w:after="60"/>
        <w:jc w:val="both"/>
        <w:rPr>
          <w:rFonts w:ascii="Arial;sans-serif" w:hAnsi="Arial;sans-serif"/>
          <w:b/>
          <w:color w:val="004C97"/>
          <w:sz w:val="20"/>
        </w:rPr>
      </w:pPr>
      <w:r>
        <w:rPr>
          <w:rFonts w:ascii="Arial;sans-serif" w:hAnsi="Arial;sans-serif"/>
          <w:b/>
          <w:color w:val="004C97"/>
          <w:sz w:val="20"/>
        </w:rPr>
        <w:t>Base Salary</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Base salary represents annual fixed compensation and is a standard element of compensation necessary to attract and retain talent. Base salary levels are reviewed annually. When making adjustments, the Committee considers the Company’s overall performance; the NEO’s individual performance, experience, career potential, and tenure with the Company; and competitive market practices. The Committee approved increases in annual base salary, effective March 27, 2023, as reflected in the table below, to continue to improve the competitive market position of our NEO’s base salaries relative to our peer group.</w:t>
      </w:r>
    </w:p>
    <w:tbl>
      <w:tblPr>
        <w:tblW w:w="6523" w:type="dxa"/>
        <w:jc w:val="left"/>
        <w:tblInd w:w="0" w:type="dxa"/>
        <w:tblLayout w:type="fixed"/>
        <w:tblCellMar>
          <w:top w:w="28" w:type="dxa"/>
          <w:left w:w="28" w:type="dxa"/>
          <w:bottom w:w="28" w:type="dxa"/>
          <w:right w:w="28" w:type="dxa"/>
        </w:tblCellMar>
      </w:tblPr>
      <w:tblGrid>
        <w:gridCol w:w="750"/>
        <w:gridCol w:w="659"/>
        <w:gridCol w:w="661"/>
        <w:gridCol w:w="544"/>
        <w:gridCol w:w="544"/>
        <w:gridCol w:w="546"/>
        <w:gridCol w:w="305"/>
        <w:gridCol w:w="305"/>
        <w:gridCol w:w="306"/>
        <w:gridCol w:w="271"/>
        <w:gridCol w:w="271"/>
        <w:gridCol w:w="280"/>
        <w:gridCol w:w="316"/>
        <w:gridCol w:w="316"/>
        <w:gridCol w:w="449"/>
      </w:tblGrid>
      <w:tr>
        <w:trPr/>
        <w:tc>
          <w:tcPr>
            <w:tcW w:w="750"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r>
      <w:tr>
        <w:trPr/>
        <w:tc>
          <w:tcPr>
            <w:tcW w:w="2070" w:type="dxa"/>
            <w:gridSpan w:val="3"/>
            <w:tcBorders>
              <w:top w:val="single" w:sz="4" w:space="0" w:color="000000"/>
              <w:left w:val="single" w:sz="4" w:space="0" w:color="000000"/>
            </w:tcBorders>
            <w:shd w:fill="004C97" w:val="clear"/>
            <w:tcMar>
              <w:top w:w="30" w:type="dxa"/>
              <w:bottom w:w="0" w:type="dxa"/>
              <w:right w:w="0" w:type="dxa"/>
            </w:tcMar>
            <w:vAlign w:val="center"/>
          </w:tcPr>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Named Executive Officer</w:t>
            </w:r>
          </w:p>
        </w:tc>
        <w:tc>
          <w:tcPr>
            <w:tcW w:w="1634" w:type="dxa"/>
            <w:gridSpan w:val="3"/>
            <w:tcBorders>
              <w:top w:val="single" w:sz="4" w:space="0" w:color="000000"/>
              <w:left w:val="single" w:sz="4" w:space="0" w:color="000000"/>
            </w:tcBorders>
            <w:shd w:fill="004C97" w:val="clear"/>
            <w:tcMar>
              <w:top w:w="30" w:type="dxa"/>
              <w:bottom w:w="0" w:type="dxa"/>
              <w:right w:w="0" w:type="dxa"/>
            </w:tcMar>
            <w:vAlign w:val="center"/>
          </w:tcPr>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Annual Base Salary</w:t>
            </w:r>
          </w:p>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(From 3/28/2022)</w:t>
            </w:r>
          </w:p>
        </w:tc>
        <w:tc>
          <w:tcPr>
            <w:tcW w:w="1738" w:type="dxa"/>
            <w:gridSpan w:val="6"/>
            <w:tcBorders>
              <w:top w:val="single" w:sz="4" w:space="0" w:color="000000"/>
              <w:left w:val="single" w:sz="4" w:space="0" w:color="000000"/>
            </w:tcBorders>
            <w:shd w:fill="004C97" w:val="clear"/>
            <w:tcMar>
              <w:top w:w="30" w:type="dxa"/>
              <w:bottom w:w="0" w:type="dxa"/>
              <w:right w:w="0" w:type="dxa"/>
            </w:tcMar>
            <w:vAlign w:val="center"/>
          </w:tcPr>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Annual Base Salary</w:t>
            </w:r>
          </w:p>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(From 3/27/2023)</w:t>
            </w:r>
          </w:p>
        </w:tc>
        <w:tc>
          <w:tcPr>
            <w:tcW w:w="1081" w:type="dxa"/>
            <w:gridSpan w:val="3"/>
            <w:tcBorders>
              <w:top w:val="single" w:sz="4" w:space="0" w:color="000000"/>
              <w:left w:val="single" w:sz="4" w:space="0" w:color="000000"/>
              <w:right w:val="single" w:sz="4" w:space="0" w:color="000000"/>
            </w:tcBorders>
            <w:shd w:fill="004C97" w:val="clear"/>
            <w:tcMar>
              <w:top w:w="30" w:type="dxa"/>
              <w:bottom w:w="0" w:type="dxa"/>
            </w:tcMar>
            <w:vAlign w:val="center"/>
          </w:tcPr>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 xml:space="preserve">% </w:t>
              <w:br/>
              <w:t>Adjustment</w:t>
            </w:r>
          </w:p>
        </w:tc>
      </w:tr>
      <w:tr>
        <w:trPr/>
        <w:tc>
          <w:tcPr>
            <w:tcW w:w="2070" w:type="dxa"/>
            <w:gridSpan w:val="3"/>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Eugene J. Lowe, III</w:t>
            </w:r>
          </w:p>
        </w:tc>
        <w:tc>
          <w:tcPr>
            <w:tcW w:w="1634" w:type="dxa"/>
            <w:gridSpan w:val="3"/>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$1,000,000</w:t>
            </w:r>
          </w:p>
        </w:tc>
        <w:tc>
          <w:tcPr>
            <w:tcW w:w="916" w:type="dxa"/>
            <w:gridSpan w:val="3"/>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$1,035,000</w:t>
            </w:r>
          </w:p>
        </w:tc>
        <w:tc>
          <w:tcPr>
            <w:tcW w:w="822" w:type="dxa"/>
            <w:gridSpan w:val="3"/>
            <w:tcBorders>
              <w:top w:val="single" w:sz="4"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4" w:space="0" w:color="000000"/>
              <w:left w:val="single" w:sz="4" w:space="0" w:color="000000"/>
              <w:right w:val="single" w:sz="4" w:space="0" w:color="000000"/>
            </w:tcBorders>
            <w:shd w:fill="DBDBDB" w:val="clear"/>
            <w:tcMar>
              <w:top w:w="30" w:type="dxa"/>
              <w:bottom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3.5%</w:t>
            </w:r>
          </w:p>
        </w:tc>
      </w:tr>
      <w:tr>
        <w:trPr/>
        <w:tc>
          <w:tcPr>
            <w:tcW w:w="2070" w:type="dxa"/>
            <w:gridSpan w:val="3"/>
            <w:tcBorders>
              <w:top w:val="single" w:sz="4" w:space="0" w:color="000000"/>
              <w:left w:val="single" w:sz="4" w:space="0" w:color="000000"/>
            </w:tcBorders>
            <w:tcMar>
              <w:top w:w="30" w:type="dxa"/>
              <w:left w:w="20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Mark A. Carano</w:t>
            </w:r>
          </w:p>
        </w:tc>
        <w:tc>
          <w:tcPr>
            <w:tcW w:w="163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91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$500,000</w:t>
            </w:r>
          </w:p>
        </w:tc>
        <w:tc>
          <w:tcPr>
            <w:tcW w:w="82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(1)</w:t>
            </w:r>
          </w:p>
        </w:tc>
        <w:tc>
          <w:tcPr>
            <w:tcW w:w="1081"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283"/>
              <w:jc w:val="center"/>
              <w:rPr>
                <w:color w:val="000000"/>
              </w:rPr>
            </w:pPr>
            <w:r>
              <w:rPr>
                <w:color w:val="000000"/>
              </w:rPr>
              <w:t>—</w:t>
            </w:r>
          </w:p>
        </w:tc>
      </w:tr>
      <w:tr>
        <w:trPr/>
        <w:tc>
          <w:tcPr>
            <w:tcW w:w="2070" w:type="dxa"/>
            <w:gridSpan w:val="3"/>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J. Randall Data</w:t>
            </w:r>
          </w:p>
        </w:tc>
        <w:tc>
          <w:tcPr>
            <w:tcW w:w="1634" w:type="dxa"/>
            <w:gridSpan w:val="3"/>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$521,167</w:t>
            </w:r>
          </w:p>
        </w:tc>
        <w:tc>
          <w:tcPr>
            <w:tcW w:w="916" w:type="dxa"/>
            <w:gridSpan w:val="3"/>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$544,619</w:t>
            </w:r>
          </w:p>
        </w:tc>
        <w:tc>
          <w:tcPr>
            <w:tcW w:w="822" w:type="dxa"/>
            <w:gridSpan w:val="3"/>
            <w:tcBorders>
              <w:top w:val="single" w:sz="4"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4" w:space="0" w:color="000000"/>
              <w:left w:val="single" w:sz="4" w:space="0" w:color="000000"/>
              <w:right w:val="single" w:sz="4" w:space="0" w:color="000000"/>
            </w:tcBorders>
            <w:shd w:fill="DBDBDB" w:val="clear"/>
            <w:tcMar>
              <w:top w:w="30" w:type="dxa"/>
              <w:bottom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4.5%</w:t>
            </w:r>
          </w:p>
        </w:tc>
      </w:tr>
      <w:tr>
        <w:trPr/>
        <w:tc>
          <w:tcPr>
            <w:tcW w:w="207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John W. Swann, III</w:t>
            </w:r>
          </w:p>
        </w:tc>
        <w:tc>
          <w:tcPr>
            <w:tcW w:w="163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$560,000</w:t>
            </w:r>
          </w:p>
        </w:tc>
        <w:tc>
          <w:tcPr>
            <w:tcW w:w="91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$576,800</w:t>
            </w:r>
          </w:p>
        </w:tc>
        <w:tc>
          <w:tcPr>
            <w:tcW w:w="82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3.0%</w:t>
            </w:r>
          </w:p>
        </w:tc>
      </w:tr>
      <w:tr>
        <w:trPr/>
        <w:tc>
          <w:tcPr>
            <w:tcW w:w="2070" w:type="dxa"/>
            <w:gridSpan w:val="3"/>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Sean McClenaghan</w:t>
            </w:r>
          </w:p>
        </w:tc>
        <w:tc>
          <w:tcPr>
            <w:tcW w:w="1634" w:type="dxa"/>
            <w:gridSpan w:val="3"/>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$560,000</w:t>
            </w:r>
          </w:p>
        </w:tc>
        <w:tc>
          <w:tcPr>
            <w:tcW w:w="916" w:type="dxa"/>
            <w:gridSpan w:val="3"/>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$576,800</w:t>
            </w:r>
          </w:p>
        </w:tc>
        <w:tc>
          <w:tcPr>
            <w:tcW w:w="822" w:type="dxa"/>
            <w:gridSpan w:val="3"/>
            <w:tcBorders>
              <w:top w:val="single" w:sz="4"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4" w:space="0" w:color="000000"/>
              <w:left w:val="single" w:sz="4" w:space="0" w:color="000000"/>
              <w:right w:val="single" w:sz="4" w:space="0" w:color="000000"/>
            </w:tcBorders>
            <w:shd w:fill="DBDBDB" w:val="clear"/>
            <w:tcMar>
              <w:top w:w="30" w:type="dxa"/>
              <w:bottom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3.0%</w:t>
            </w:r>
          </w:p>
        </w:tc>
      </w:tr>
      <w:tr>
        <w:trPr/>
        <w:tc>
          <w:tcPr>
            <w:tcW w:w="2070"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Michael A. Reilly</w:t>
            </w:r>
          </w:p>
        </w:tc>
        <w:tc>
          <w:tcPr>
            <w:tcW w:w="163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$451,049</w:t>
            </w:r>
          </w:p>
        </w:tc>
        <w:tc>
          <w:tcPr>
            <w:tcW w:w="916"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$451,049</w:t>
            </w:r>
          </w:p>
        </w:tc>
        <w:tc>
          <w:tcPr>
            <w:tcW w:w="822" w:type="dxa"/>
            <w:gridSpan w:val="3"/>
            <w:tcBorders>
              <w:top w:val="single" w:sz="4" w:space="0" w:color="000000"/>
              <w:bottom w:val="single" w:sz="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88" w:before="0" w:after="283"/>
              <w:jc w:val="center"/>
              <w:rPr>
                <w:color w:val="000000"/>
              </w:rPr>
            </w:pPr>
            <w:r>
              <w:rPr>
                <w:color w:val="000000"/>
              </w:rPr>
              <w:t>—</w:t>
            </w:r>
          </w:p>
        </w:tc>
      </w:tr>
    </w:tbl>
    <w:p>
      <w:pPr>
        <w:pStyle w:val="TextBody"/>
        <w:bidi w:val="0"/>
        <w:spacing w:lineRule="auto" w:line="288" w:before="0" w:after="360"/>
        <w:ind w:left="0" w:right="0" w:hanging="360"/>
        <w:jc w:val="both"/>
        <w:rPr>
          <w:rFonts w:ascii="Arial;sans-serif" w:hAnsi="Arial;sans-serif"/>
          <w:b w:val="false"/>
          <w:color w:val="000000"/>
          <w:sz w:val="14"/>
        </w:rPr>
      </w:pPr>
      <w:r>
        <w:rPr>
          <w:rFonts w:ascii="Arial;sans-serif" w:hAnsi="Arial;sans-serif"/>
          <w:b w:val="false"/>
          <w:color w:val="000000"/>
          <w:sz w:val="14"/>
        </w:rPr>
        <w:t>(1)Mr. Carano was hired effective January 3, 2023, with a base salary of $500,000. In addition, to offset the loss of a portion of the incentive compensation under his prior employment arrangement, in connection with the commencement of his employment with the Company, Mr. Carano received a sign-on bonus of $100,000. Mr. Carano was obligated to repay the full amount of the sign-on bonus if he voluntarily terminated his employment with the Company or his employment was terminated by the Company for cause within 12 months of the payment date. The repayment obligation continues for the subsequent 12-month period upon a termination of employment under these circumstances, with the amount being ratably reduced for each month of his continued employment unless he fails to repay such amount upon the Company’s demand, in which case the full amount of the sign-on bonus is required to be repaid. The full amount of the sign-on bonus is included as “Bonus” for 2023 in the Summary Compensation Table appearing on page 38.</w:t>
      </w:r>
    </w:p>
    <w:p>
      <w:pPr>
        <w:pStyle w:val="TextBody"/>
        <w:bidi w:val="0"/>
        <w:spacing w:lineRule="auto" w:line="288" w:before="0" w:after="60"/>
        <w:jc w:val="left"/>
        <w:rPr>
          <w:rFonts w:ascii="Arial;sans-serif" w:hAnsi="Arial;sans-serif"/>
          <w:b/>
          <w:color w:val="004C97"/>
          <w:sz w:val="20"/>
        </w:rPr>
      </w:pPr>
      <w:r>
        <w:rPr>
          <w:rFonts w:ascii="Arial;sans-serif" w:hAnsi="Arial;sans-serif"/>
          <w:b/>
          <w:color w:val="004C97"/>
          <w:sz w:val="20"/>
        </w:rPr>
        <w:t>Annual Incentive</w:t>
      </w:r>
    </w:p>
    <w:p>
      <w:pPr>
        <w:pStyle w:val="TextBody"/>
        <w:bidi w:val="0"/>
        <w:spacing w:lineRule="auto" w:line="288" w:before="0" w:after="60"/>
        <w:jc w:val="left"/>
        <w:rPr>
          <w:rFonts w:ascii="Arial;sans-serif" w:hAnsi="Arial;sans-serif"/>
          <w:b w:val="false"/>
          <w:i/>
          <w:color w:val="004C97"/>
          <w:sz w:val="20"/>
        </w:rPr>
      </w:pPr>
      <w:r>
        <w:rPr>
          <w:rFonts w:ascii="Arial;sans-serif" w:hAnsi="Arial;sans-serif"/>
          <w:b w:val="false"/>
          <w:i/>
          <w:color w:val="004C97"/>
          <w:sz w:val="20"/>
        </w:rPr>
        <w:t>Executive Bonus Program</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Our Executive Bonus Program pays annual bonuses ranging from 0% to 200% of target by reference to three key metrics: adjusted operating income* adjusted free cash flow*, and adjusted revenue.*</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The Committee selected these metrics to be transparent and to provide clarity and consistency in calculating bonuses. In setting short-term incentive goals, SPX management and the Committee utilized a number of data points to focus targets on driving the Company’s strategic priorities, including setting goals that incentivize delivery of annual objectives.</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2023 targets were set to drive continued growth in adjusted revenue*, adjusted operating income*, and adjusted free cash flow*.</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As previously discussed, we were able to deliver very strong financial performance in 2023. The majority of our businesses exceeded their revenue targets and showed positive growth in operating income through active management of pricing, the delivery of continuous improvement initiatives and cost controls. Cost controls at the Corporate level also facilitated a positive impact on the adjusted operating income*. As a result, we achieved year-over-year growth in adjusted revenue* and adjusted earnings per share* of approximately 12% and 39%, respectively. In addition, we generated strong adjusted free cash flow* reporting $295.3 million. All three metrics generated over double digit improvement from prior year results.</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The table below shows the 2023 threshold, target, and maximum goals for each of the relevant metrics under our Executive Bonus Program, as well as the actual performance results. Threshold payout is 50% of target and maximum payout is 200% of target, with linear interpolation of payouts for results between threshold and target or between target and maximum.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739140"/>
                <wp:effectExtent l="0" t="0" r="0" b="0"/>
                <wp:wrapNone/>
                <wp:docPr id="126" name="Frame37"/>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292" w:type="dxa"/>
                              <w:jc w:val="right"/>
                              <w:tblInd w:w="0" w:type="dxa"/>
                              <w:tblLayout w:type="fixed"/>
                              <w:tblCellMar>
                                <w:top w:w="28" w:type="dxa"/>
                                <w:left w:w="28" w:type="dxa"/>
                                <w:bottom w:w="28" w:type="dxa"/>
                                <w:right w:w="28" w:type="dxa"/>
                              </w:tblCellMar>
                            </w:tblPr>
                            <w:tblGrid>
                              <w:gridCol w:w="292"/>
                              <w:gridCol w:w="256"/>
                              <w:gridCol w:w="258"/>
                              <w:gridCol w:w="704"/>
                              <w:gridCol w:w="704"/>
                              <w:gridCol w:w="706"/>
                              <w:gridCol w:w="109"/>
                              <w:gridCol w:w="109"/>
                              <w:gridCol w:w="154"/>
                            </w:tblGrid>
                            <w:tr>
                              <w:trPr/>
                              <w:tc>
                                <w:tcPr>
                                  <w:tcW w:w="29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0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127"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Image60" descr=""/>
                                                <pic:cNvPicPr>
                                                  <a:picLocks noChangeAspect="1" noChangeArrowheads="1"/>
                                                </pic:cNvPicPr>
                                              </pic:nvPicPr>
                                              <pic:blipFill>
                                                <a:blip r:embed="rId91"/>
                                                <a:stretch>
                                                  <a:fillRect/>
                                                </a:stretch>
                                              </pic:blipFill>
                                              <pic:spPr bwMode="auto">
                                                <a:xfrm>
                                                  <a:off x="0" y="0"/>
                                                  <a:ext cx="447675" cy="161925"/>
                                                </a:xfrm>
                                                <a:prstGeom prst="rect">
                                                  <a:avLst/>
                                                </a:prstGeom>
                                              </pic:spPr>
                                            </pic:pic>
                                          </a:graphicData>
                                        </a:graphic>
                                      </wp:inline>
                                    </w:drawing>
                                  </w:r>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2024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000000"/>
                                      <w:sz w:val="16"/>
                                    </w:rPr>
                                  </w:pPr>
                                  <w:r>
                                    <w:rPr>
                                      <w:rFonts w:ascii="Arial;sans-serif" w:hAnsi="Arial;sans-serif"/>
                                      <w:b/>
                                      <w:color w:val="000000"/>
                                      <w:sz w:val="16"/>
                                    </w:rPr>
                                    <w:t>31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292" w:type="dxa"/>
                        <w:jc w:val="right"/>
                        <w:tblInd w:w="0" w:type="dxa"/>
                        <w:tblLayout w:type="fixed"/>
                        <w:tblCellMar>
                          <w:top w:w="28" w:type="dxa"/>
                          <w:left w:w="28" w:type="dxa"/>
                          <w:bottom w:w="28" w:type="dxa"/>
                          <w:right w:w="28" w:type="dxa"/>
                        </w:tblCellMar>
                      </w:tblPr>
                      <w:tblGrid>
                        <w:gridCol w:w="292"/>
                        <w:gridCol w:w="256"/>
                        <w:gridCol w:w="258"/>
                        <w:gridCol w:w="704"/>
                        <w:gridCol w:w="704"/>
                        <w:gridCol w:w="706"/>
                        <w:gridCol w:w="109"/>
                        <w:gridCol w:w="109"/>
                        <w:gridCol w:w="154"/>
                      </w:tblGrid>
                      <w:tr>
                        <w:trPr/>
                        <w:tc>
                          <w:tcPr>
                            <w:tcW w:w="29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0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128"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Image60" descr=""/>
                                          <pic:cNvPicPr>
                                            <a:picLocks noChangeAspect="1" noChangeArrowheads="1"/>
                                          </pic:cNvPicPr>
                                        </pic:nvPicPr>
                                        <pic:blipFill>
                                          <a:blip r:embed="rId92"/>
                                          <a:stretch>
                                            <a:fillRect/>
                                          </a:stretch>
                                        </pic:blipFill>
                                        <pic:spPr bwMode="auto">
                                          <a:xfrm>
                                            <a:off x="0" y="0"/>
                                            <a:ext cx="447675" cy="161925"/>
                                          </a:xfrm>
                                          <a:prstGeom prst="rect">
                                            <a:avLst/>
                                          </a:prstGeom>
                                        </pic:spPr>
                                      </pic:pic>
                                    </a:graphicData>
                                  </a:graphic>
                                </wp:inline>
                              </w:drawing>
                            </w:r>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2024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000000"/>
                                <w:sz w:val="16"/>
                              </w:rPr>
                            </w:pPr>
                            <w:r>
                              <w:rPr>
                                <w:rFonts w:ascii="Arial;sans-serif" w:hAnsi="Arial;sans-serif"/>
                                <w:b/>
                                <w:color w:val="000000"/>
                                <w:sz w:val="16"/>
                              </w:rPr>
                              <w:t>31</w:t>
                            </w:r>
                          </w:p>
                        </w:tc>
                      </w:tr>
                    </w:tbl>
                    <w:p>
                      <w:pPr>
                        <w:pStyle w:val="TextBody"/>
                        <w:bidi w:val="0"/>
                        <w:spacing w:before="0" w:after="283"/>
                        <w:jc w:val="left"/>
                        <w:rPr/>
                      </w:pPr>
                      <w:r>
                        <w:rPr/>
                      </w:r>
                    </w:p>
                  </w:txbxContent>
                </v:textbox>
                <w10:wrap type="none"/>
              </v:rect>
            </w:pict>
          </mc:Fallback>
        </mc:AlternateContent>
      </w:r>
    </w:p>
    <w:tbl>
      <w:tblPr>
        <w:tblW w:w="2459" w:type="dxa"/>
        <w:jc w:val="right"/>
        <w:tblInd w:w="0" w:type="dxa"/>
        <w:tblLayout w:type="fixed"/>
        <w:tblCellMar>
          <w:top w:w="28" w:type="dxa"/>
          <w:left w:w="28" w:type="dxa"/>
          <w:bottom w:w="28" w:type="dxa"/>
          <w:right w:w="28" w:type="dxa"/>
        </w:tblCellMar>
      </w:tblPr>
      <w:tblGrid>
        <w:gridCol w:w="786"/>
        <w:gridCol w:w="691"/>
        <w:gridCol w:w="982"/>
      </w:tblGrid>
      <w:tr>
        <w:trPr/>
        <w:tc>
          <w:tcPr>
            <w:tcW w:w="78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r>
      <w:tr>
        <w:trPr/>
        <w:tc>
          <w:tcPr>
            <w:tcW w:w="2459" w:type="dxa"/>
            <w:gridSpan w:val="3"/>
            <w:tcBorders>
              <w:bottom w:val="single" w:sz="4" w:space="0" w:color="004C97"/>
            </w:tcBorders>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4C97"/>
                <w:sz w:val="16"/>
              </w:rPr>
            </w:pPr>
            <w:r>
              <w:rPr>
                <w:rFonts w:ascii="Arial;sans-serif" w:hAnsi="Arial;sans-serif"/>
                <w:b w:val="false"/>
                <w:color w:val="004C97"/>
                <w:sz w:val="16"/>
              </w:rPr>
              <w:t>EXECUTIVE COMPENSATION</w:t>
            </w:r>
          </w:p>
        </w:tc>
      </w:tr>
    </w:tbl>
    <w:tbl>
      <w:tblPr>
        <w:tblW w:w="7589" w:type="dxa"/>
        <w:jc w:val="left"/>
        <w:tblInd w:w="0" w:type="dxa"/>
        <w:tblLayout w:type="fixed"/>
        <w:tblCellMar>
          <w:top w:w="28" w:type="dxa"/>
          <w:left w:w="28" w:type="dxa"/>
          <w:bottom w:w="28" w:type="dxa"/>
          <w:right w:w="28" w:type="dxa"/>
        </w:tblCellMar>
      </w:tblPr>
      <w:tblGrid>
        <w:gridCol w:w="1033"/>
        <w:gridCol w:w="906"/>
        <w:gridCol w:w="911"/>
        <w:gridCol w:w="389"/>
        <w:gridCol w:w="389"/>
        <w:gridCol w:w="391"/>
        <w:gridCol w:w="290"/>
        <w:gridCol w:w="290"/>
        <w:gridCol w:w="290"/>
        <w:gridCol w:w="374"/>
        <w:gridCol w:w="374"/>
        <w:gridCol w:w="376"/>
        <w:gridCol w:w="290"/>
        <w:gridCol w:w="290"/>
        <w:gridCol w:w="290"/>
        <w:gridCol w:w="206"/>
        <w:gridCol w:w="206"/>
        <w:gridCol w:w="294"/>
      </w:tblGrid>
      <w:tr>
        <w:trPr/>
        <w:tc>
          <w:tcPr>
            <w:tcW w:w="1033"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r>
      <w:tr>
        <w:trPr/>
        <w:tc>
          <w:tcPr>
            <w:tcW w:w="2850" w:type="dxa"/>
            <w:gridSpan w:val="3"/>
            <w:vMerge w:val="restart"/>
            <w:tcBorders>
              <w:top w:val="single" w:sz="4" w:space="0" w:color="000000"/>
              <w:left w:val="single" w:sz="4" w:space="0" w:color="000000"/>
            </w:tcBorders>
            <w:shd w:fill="004C97" w:val="clear"/>
            <w:tcMar>
              <w:top w:w="30" w:type="dxa"/>
              <w:bottom w:w="0" w:type="dxa"/>
              <w:right w:w="0" w:type="dxa"/>
            </w:tcMar>
            <w:vAlign w:val="center"/>
          </w:tcPr>
          <w:p>
            <w:pPr>
              <w:pStyle w:val="TableContents"/>
              <w:bidi w:val="0"/>
              <w:spacing w:lineRule="auto" w:line="240" w:before="0" w:after="0"/>
              <w:jc w:val="center"/>
              <w:rPr>
                <w:rFonts w:ascii="Arial;sans-serif" w:hAnsi="Arial;sans-serif"/>
                <w:b/>
                <w:color w:val="FFFFFF"/>
                <w:sz w:val="16"/>
              </w:rPr>
            </w:pPr>
            <w:r>
              <w:rPr>
                <w:rFonts w:ascii="Arial;sans-serif" w:hAnsi="Arial;sans-serif"/>
                <w:b/>
                <w:color w:val="FFFFFF"/>
                <w:sz w:val="16"/>
              </w:rPr>
              <w:t>Performance Metric and Weighting</w:t>
            </w:r>
          </w:p>
        </w:tc>
        <w:tc>
          <w:tcPr>
            <w:tcW w:w="4033" w:type="dxa"/>
            <w:gridSpan w:val="12"/>
            <w:tcBorders>
              <w:top w:val="single" w:sz="4" w:space="0" w:color="000000"/>
              <w:left w:val="single" w:sz="4" w:space="0" w:color="000000"/>
            </w:tcBorders>
            <w:shd w:fill="004C97" w:val="clear"/>
            <w:tcMar>
              <w:top w:w="30" w:type="dxa"/>
              <w:bottom w:w="0" w:type="dxa"/>
              <w:right w:w="0" w:type="dxa"/>
            </w:tcMar>
            <w:vAlign w:val="center"/>
          </w:tcPr>
          <w:p>
            <w:pPr>
              <w:pStyle w:val="TableContents"/>
              <w:bidi w:val="0"/>
              <w:spacing w:lineRule="auto" w:line="240" w:before="0" w:after="0"/>
              <w:jc w:val="center"/>
              <w:rPr>
                <w:rFonts w:ascii="Arial;sans-serif" w:hAnsi="Arial;sans-serif"/>
                <w:b/>
                <w:color w:val="FFFFFF"/>
                <w:sz w:val="16"/>
              </w:rPr>
            </w:pPr>
            <w:r>
              <w:rPr>
                <w:rFonts w:ascii="Arial;sans-serif" w:hAnsi="Arial;sans-serif"/>
                <w:b/>
                <w:color w:val="FFFFFF"/>
                <w:sz w:val="16"/>
              </w:rPr>
              <w:t>Level of Performance ($ Millions)</w:t>
            </w:r>
          </w:p>
        </w:tc>
        <w:tc>
          <w:tcPr>
            <w:tcW w:w="706" w:type="dxa"/>
            <w:gridSpan w:val="3"/>
            <w:vMerge w:val="restart"/>
            <w:tcBorders>
              <w:top w:val="single" w:sz="4" w:space="0" w:color="000000"/>
              <w:left w:val="single" w:sz="4" w:space="0" w:color="000000"/>
              <w:right w:val="single" w:sz="4" w:space="0" w:color="000000"/>
            </w:tcBorders>
            <w:shd w:fill="004C97" w:val="clear"/>
            <w:tcMar>
              <w:top w:w="30" w:type="dxa"/>
              <w:bottom w:w="0" w:type="dxa"/>
            </w:tcMar>
            <w:vAlign w:val="center"/>
          </w:tcPr>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Payout</w:t>
            </w:r>
          </w:p>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w:t>
            </w:r>
          </w:p>
        </w:tc>
      </w:tr>
      <w:tr>
        <w:trPr/>
        <w:tc>
          <w:tcPr>
            <w:tcW w:w="2850" w:type="dxa"/>
            <w:gridSpan w:val="3"/>
            <w:vMerge w:val="continue"/>
            <w:tcBorders>
              <w:top w:val="single" w:sz="4" w:space="0" w:color="000000"/>
              <w:left w:val="single" w:sz="4" w:space="0" w:color="000000"/>
            </w:tcBorders>
            <w:shd w:fill="004C97" w:val="clear"/>
            <w:tcMar>
              <w:top w:w="30" w:type="dxa"/>
              <w:bottom w:w="0" w:type="dxa"/>
              <w:right w:w="0" w:type="dxa"/>
            </w:tcMar>
            <w:vAlign w:val="center"/>
          </w:tcPr>
          <w:p>
            <w:pPr>
              <w:pStyle w:val="Normal"/>
              <w:bidi w:val="0"/>
              <w:jc w:val="left"/>
              <w:rPr/>
            </w:pPr>
            <w:r>
              <w:rPr/>
            </w:r>
          </w:p>
        </w:tc>
        <w:tc>
          <w:tcPr>
            <w:tcW w:w="1169" w:type="dxa"/>
            <w:gridSpan w:val="3"/>
            <w:tcBorders>
              <w:top w:val="single" w:sz="4" w:space="0" w:color="000000"/>
              <w:left w:val="single" w:sz="4" w:space="0" w:color="000000"/>
            </w:tcBorders>
            <w:shd w:fill="004C97" w:val="clear"/>
            <w:tcMar>
              <w:top w:w="30" w:type="dxa"/>
              <w:bottom w:w="0" w:type="dxa"/>
              <w:right w:w="0" w:type="dxa"/>
            </w:tcMar>
            <w:vAlign w:val="center"/>
          </w:tcPr>
          <w:p>
            <w:pPr>
              <w:pStyle w:val="TableContents"/>
              <w:bidi w:val="0"/>
              <w:spacing w:lineRule="auto" w:line="240" w:before="0" w:after="0"/>
              <w:jc w:val="center"/>
              <w:rPr>
                <w:rFonts w:ascii="Arial;sans-serif" w:hAnsi="Arial;sans-serif"/>
                <w:b/>
                <w:color w:val="FFFFFF"/>
                <w:sz w:val="16"/>
              </w:rPr>
            </w:pPr>
            <w:r>
              <w:rPr>
                <w:rFonts w:ascii="Arial;sans-serif" w:hAnsi="Arial;sans-serif"/>
                <w:b/>
                <w:color w:val="FFFFFF"/>
                <w:sz w:val="16"/>
              </w:rPr>
              <w:t>Threshold ($)</w:t>
            </w:r>
          </w:p>
        </w:tc>
        <w:tc>
          <w:tcPr>
            <w:tcW w:w="870" w:type="dxa"/>
            <w:gridSpan w:val="3"/>
            <w:tcBorders>
              <w:top w:val="single" w:sz="4" w:space="0" w:color="000000"/>
              <w:left w:val="single" w:sz="4" w:space="0" w:color="000000"/>
            </w:tcBorders>
            <w:shd w:fill="004C97" w:val="clear"/>
            <w:tcMar>
              <w:top w:w="30" w:type="dxa"/>
              <w:bottom w:w="0" w:type="dxa"/>
              <w:right w:w="0" w:type="dxa"/>
            </w:tcMar>
            <w:vAlign w:val="center"/>
          </w:tcPr>
          <w:p>
            <w:pPr>
              <w:pStyle w:val="TableContents"/>
              <w:bidi w:val="0"/>
              <w:spacing w:lineRule="auto" w:line="240" w:before="0" w:after="0"/>
              <w:jc w:val="center"/>
              <w:rPr>
                <w:rFonts w:ascii="Arial;sans-serif" w:hAnsi="Arial;sans-serif"/>
                <w:b/>
                <w:color w:val="FFFFFF"/>
                <w:sz w:val="16"/>
              </w:rPr>
            </w:pPr>
            <w:r>
              <w:rPr>
                <w:rFonts w:ascii="Arial;sans-serif" w:hAnsi="Arial;sans-serif"/>
                <w:b/>
                <w:color w:val="FFFFFF"/>
                <w:sz w:val="16"/>
              </w:rPr>
              <w:t>Target ($)</w:t>
            </w:r>
          </w:p>
        </w:tc>
        <w:tc>
          <w:tcPr>
            <w:tcW w:w="1124" w:type="dxa"/>
            <w:gridSpan w:val="3"/>
            <w:tcBorders>
              <w:top w:val="single" w:sz="4" w:space="0" w:color="000000"/>
              <w:left w:val="single" w:sz="4" w:space="0" w:color="000000"/>
            </w:tcBorders>
            <w:shd w:fill="004C97" w:val="clear"/>
            <w:tcMar>
              <w:top w:w="30" w:type="dxa"/>
              <w:bottom w:w="0" w:type="dxa"/>
              <w:right w:w="0" w:type="dxa"/>
            </w:tcMar>
            <w:vAlign w:val="center"/>
          </w:tcPr>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Maximum ($)</w:t>
            </w:r>
          </w:p>
        </w:tc>
        <w:tc>
          <w:tcPr>
            <w:tcW w:w="870" w:type="dxa"/>
            <w:gridSpan w:val="3"/>
            <w:tcBorders>
              <w:top w:val="single" w:sz="4" w:space="0" w:color="000000"/>
              <w:left w:val="single" w:sz="4" w:space="0" w:color="000000"/>
              <w:right w:val="single" w:sz="4" w:space="0" w:color="000000"/>
            </w:tcBorders>
            <w:shd w:fill="004C97" w:val="clear"/>
            <w:tcMar>
              <w:top w:w="30" w:type="dxa"/>
              <w:bottom w:w="0" w:type="dxa"/>
            </w:tcMar>
            <w:vAlign w:val="center"/>
          </w:tcPr>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Actual ($)</w:t>
            </w:r>
          </w:p>
        </w:tc>
        <w:tc>
          <w:tcPr>
            <w:tcW w:w="706" w:type="dxa"/>
            <w:gridSpan w:val="3"/>
            <w:vMerge w:val="continue"/>
            <w:tcBorders>
              <w:top w:val="single" w:sz="4" w:space="0" w:color="000000"/>
              <w:left w:val="single" w:sz="4" w:space="0" w:color="000000"/>
              <w:right w:val="single" w:sz="4" w:space="0" w:color="000000"/>
            </w:tcBorders>
            <w:shd w:fill="004C97" w:val="clear"/>
            <w:tcMar>
              <w:top w:w="30" w:type="dxa"/>
              <w:bottom w:w="0" w:type="dxa"/>
            </w:tcMar>
            <w:vAlign w:val="center"/>
          </w:tcPr>
          <w:p>
            <w:pPr>
              <w:pStyle w:val="Normal"/>
              <w:bidi w:val="0"/>
              <w:jc w:val="left"/>
              <w:rPr/>
            </w:pPr>
            <w:r>
              <w:rPr/>
            </w:r>
          </w:p>
        </w:tc>
      </w:tr>
      <w:tr>
        <w:trPr/>
        <w:tc>
          <w:tcPr>
            <w:tcW w:w="2850" w:type="dxa"/>
            <w:gridSpan w:val="3"/>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Adjusted Operating Income* (50%)</w:t>
            </w:r>
          </w:p>
        </w:tc>
        <w:tc>
          <w:tcPr>
            <w:tcW w:w="1169" w:type="dxa"/>
            <w:gridSpan w:val="3"/>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$ 197.0</w:t>
            </w:r>
          </w:p>
        </w:tc>
        <w:tc>
          <w:tcPr>
            <w:tcW w:w="870" w:type="dxa"/>
            <w:gridSpan w:val="3"/>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$ 217.0</w:t>
            </w:r>
          </w:p>
        </w:tc>
        <w:tc>
          <w:tcPr>
            <w:tcW w:w="1124" w:type="dxa"/>
            <w:gridSpan w:val="3"/>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$ 237.0</w:t>
            </w:r>
          </w:p>
        </w:tc>
        <w:tc>
          <w:tcPr>
            <w:tcW w:w="870" w:type="dxa"/>
            <w:gridSpan w:val="3"/>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$ 271.2</w:t>
            </w:r>
          </w:p>
        </w:tc>
        <w:tc>
          <w:tcPr>
            <w:tcW w:w="706" w:type="dxa"/>
            <w:gridSpan w:val="3"/>
            <w:tcBorders>
              <w:top w:val="single" w:sz="4" w:space="0" w:color="000000"/>
              <w:left w:val="single" w:sz="4" w:space="0" w:color="000000"/>
              <w:right w:val="single" w:sz="4" w:space="0" w:color="000000"/>
            </w:tcBorders>
            <w:shd w:fill="E6E7E8" w:val="clear"/>
            <w:tcMar>
              <w:top w:w="30" w:type="dxa"/>
              <w:bottom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200.0%</w:t>
            </w:r>
          </w:p>
        </w:tc>
      </w:tr>
      <w:tr>
        <w:trPr/>
        <w:tc>
          <w:tcPr>
            <w:tcW w:w="2850"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Adjusted Free Cash Flow* (25%)</w:t>
            </w:r>
          </w:p>
        </w:tc>
        <w:tc>
          <w:tcPr>
            <w:tcW w:w="1169"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$ 205.0</w:t>
            </w:r>
          </w:p>
        </w:tc>
        <w:tc>
          <w:tcPr>
            <w:tcW w:w="870"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$ 230.0</w:t>
            </w:r>
          </w:p>
        </w:tc>
        <w:tc>
          <w:tcPr>
            <w:tcW w:w="1124"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$ 260.0</w:t>
            </w:r>
          </w:p>
        </w:tc>
        <w:tc>
          <w:tcPr>
            <w:tcW w:w="870"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$ 295.3</w:t>
            </w:r>
          </w:p>
        </w:tc>
        <w:tc>
          <w:tcPr>
            <w:tcW w:w="706" w:type="dxa"/>
            <w:gridSpan w:val="3"/>
            <w:tcBorders>
              <w:top w:val="single" w:sz="4" w:space="0" w:color="000000"/>
              <w:left w:val="single" w:sz="4" w:space="0" w:color="000000"/>
              <w:right w:val="single" w:sz="4" w:space="0" w:color="000000"/>
            </w:tcBorders>
            <w:shd w:fill="FFFFFF" w:val="clear"/>
            <w:tcMar>
              <w:top w:w="30" w:type="dxa"/>
              <w:bottom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200.0%</w:t>
            </w:r>
          </w:p>
        </w:tc>
      </w:tr>
      <w:tr>
        <w:trPr/>
        <w:tc>
          <w:tcPr>
            <w:tcW w:w="2850" w:type="dxa"/>
            <w:gridSpan w:val="3"/>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Adjusted Revenue* (25%)</w:t>
            </w:r>
          </w:p>
        </w:tc>
        <w:tc>
          <w:tcPr>
            <w:tcW w:w="1169" w:type="dxa"/>
            <w:gridSpan w:val="3"/>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$1,490.0</w:t>
            </w:r>
          </w:p>
        </w:tc>
        <w:tc>
          <w:tcPr>
            <w:tcW w:w="870" w:type="dxa"/>
            <w:gridSpan w:val="3"/>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$1,550.0</w:t>
            </w:r>
          </w:p>
        </w:tc>
        <w:tc>
          <w:tcPr>
            <w:tcW w:w="1124" w:type="dxa"/>
            <w:gridSpan w:val="3"/>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$1,625.0</w:t>
            </w:r>
          </w:p>
        </w:tc>
        <w:tc>
          <w:tcPr>
            <w:tcW w:w="870" w:type="dxa"/>
            <w:gridSpan w:val="3"/>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$1,639.7</w:t>
            </w:r>
          </w:p>
        </w:tc>
        <w:tc>
          <w:tcPr>
            <w:tcW w:w="706" w:type="dxa"/>
            <w:gridSpan w:val="3"/>
            <w:tcBorders>
              <w:top w:val="single" w:sz="4" w:space="0" w:color="000000"/>
              <w:left w:val="single" w:sz="4" w:space="0" w:color="000000"/>
              <w:right w:val="single" w:sz="4" w:space="0" w:color="000000"/>
            </w:tcBorders>
            <w:shd w:fill="E6E7E8" w:val="clear"/>
            <w:tcMar>
              <w:top w:w="30" w:type="dxa"/>
              <w:bottom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200.0%</w:t>
            </w:r>
          </w:p>
        </w:tc>
      </w:tr>
      <w:tr>
        <w:trPr/>
        <w:tc>
          <w:tcPr>
            <w:tcW w:w="2850" w:type="dxa"/>
            <w:gridSpan w:val="3"/>
            <w:tcBorders>
              <w:top w:val="single" w:sz="4" w:space="0" w:color="000000"/>
              <w:left w:val="single" w:sz="4" w:space="0" w:color="000000"/>
              <w:bottom w:val="single" w:sz="4" w:space="0" w:color="000000"/>
            </w:tcBorders>
            <w:shd w:fill="FFFFFF" w:val="clear"/>
            <w:tcMar>
              <w:top w:w="30" w:type="dxa"/>
              <w:bottom w:w="3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Total Corporate Results</w:t>
            </w:r>
          </w:p>
        </w:tc>
        <w:tc>
          <w:tcPr>
            <w:tcW w:w="1169" w:type="dxa"/>
            <w:gridSpan w:val="3"/>
            <w:tcBorders>
              <w:top w:val="single" w:sz="4" w:space="0" w:color="000000"/>
              <w:left w:val="single" w:sz="4" w:space="0" w:color="000000"/>
              <w:bottom w:val="single" w:sz="4" w:space="0" w:color="000000"/>
            </w:tcBorders>
            <w:shd w:fill="FFFFFF" w:val="clear"/>
            <w:tcMar>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top w:val="single" w:sz="4" w:space="0" w:color="000000"/>
              <w:left w:val="single" w:sz="4" w:space="0" w:color="000000"/>
              <w:bottom w:val="single" w:sz="4" w:space="0" w:color="000000"/>
            </w:tcBorders>
            <w:shd w:fill="FFFFFF" w:val="clear"/>
            <w:tcMar>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4" w:space="0" w:color="000000"/>
              <w:left w:val="single" w:sz="4" w:space="0" w:color="000000"/>
              <w:bottom w:val="single" w:sz="4" w:space="0" w:color="000000"/>
            </w:tcBorders>
            <w:shd w:fill="FFFFFF" w:val="clear"/>
            <w:tcMar>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top w:val="single" w:sz="4" w:space="0" w:color="000000"/>
              <w:left w:val="single" w:sz="4" w:space="0" w:color="000000"/>
              <w:bottom w:val="single" w:sz="4" w:space="0" w:color="000000"/>
            </w:tcBorders>
            <w:shd w:fill="FFFFFF" w:val="clear"/>
            <w:tcMar>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4" w:space="0" w:color="000000"/>
              <w:left w:val="single" w:sz="4" w:space="0" w:color="000000"/>
              <w:bottom w:val="single" w:sz="4" w:space="0" w:color="000000"/>
              <w:right w:val="single" w:sz="4" w:space="0" w:color="000000"/>
            </w:tcBorders>
            <w:shd w:fill="FFFFFF" w:val="clear"/>
            <w:tcMar>
              <w:top w:w="30" w:type="dxa"/>
              <w:bottom w:w="3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200.0%</w:t>
            </w:r>
          </w:p>
        </w:tc>
      </w:tr>
    </w:tbl>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 xml:space="preserve">For 2023, adjusted operating income* of $271.2 million resulted in a 200% payout, with a weighting of 50%. Adjusted free cash flow* of $295.3 million resulted in a 200% payout, with a weighting of 25%. Adjusted revenue* of $1,639.7 million resulted in a 200% payout, with a weighting of 25%. Accordingly, based on these performance metrics the cumulative payout for 2023 results would be 200% of target for those NEOs with 100% of their bonus tied to corporate metrics. </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Mr. Lowe, Mr. Carano, Mr. Data, and Mr. Reilly’s bonus payouts are tied 100% to the corporate results. Mr. Swann and Mr. McClenaghan have target incentives that include both business unit and corporate results: 75% of each of their incentives is based on their respective roles as a business unit or segment President, and 25% is based on corporate metrics. For 2023, the segment performance achievement metric for Mr. Swann was 149.0%, generating an overall payout of 162.0% for him, and the business unit performance achievement metric for Mr. McClenaghan was 195.0%, generating an overall payout of 196.2% for him. We do not include the specific segment and business unit financial metrics and performance levels for Mr. Swann and Mr. McClenaghan because we believe this information is confidential information and its public disclosure could cause competitive harm to those businesses. At the time these performance goals were set, the Committee deemed the target performance levels to be realistic “stretch” goals, with a maximum payout possible only in the event of superior performance. Following application of calculated awards, the payout by named executive officer is noted in the table below. Mr. Reilly’s annual incentive payout is prorated based on time service prior to his retirement.</w:t>
      </w:r>
    </w:p>
    <w:p>
      <w:pPr>
        <w:pStyle w:val="TextBody"/>
        <w:bidi w:val="0"/>
        <w:spacing w:lineRule="auto" w:line="288" w:before="0" w:after="180"/>
        <w:ind w:left="0" w:right="0" w:hanging="90"/>
        <w:jc w:val="both"/>
        <w:rPr>
          <w:rFonts w:ascii="Arial;sans-serif" w:hAnsi="Arial;sans-serif"/>
          <w:b w:val="false"/>
          <w:color w:val="000000"/>
          <w:sz w:val="14"/>
          <w:shd w:fill="FFFFFF" w:val="clear"/>
        </w:rPr>
      </w:pPr>
      <w:r>
        <w:rPr>
          <w:rFonts w:ascii="Arial;sans-serif" w:hAnsi="Arial;sans-serif"/>
          <w:b w:val="false"/>
          <w:color w:val="000000"/>
          <w:sz w:val="14"/>
          <w:shd w:fill="FFFFFF" w:val="clear"/>
        </w:rPr>
        <w:t>* Non-GAAP financial measure. Reconciliations of amounts presented as non-GAAP financial measures with the amounts of the most comparable measures calculated and presented in accordance with GAAP are presented in Appendix E of this Proxy Statement.</w:t>
      </w:r>
    </w:p>
    <w:p>
      <w:pPr>
        <w:pStyle w:val="TextBody"/>
        <w:bidi w:val="0"/>
        <w:spacing w:lineRule="auto" w:line="288" w:before="240" w:after="60"/>
        <w:jc w:val="left"/>
        <w:rPr>
          <w:rFonts w:ascii="Arial;sans-serif" w:hAnsi="Arial;sans-serif"/>
          <w:b w:val="false"/>
          <w:i/>
          <w:color w:val="004C97"/>
          <w:sz w:val="20"/>
        </w:rPr>
      </w:pPr>
      <w:r>
        <w:rPr>
          <w:rFonts w:ascii="Arial;sans-serif" w:hAnsi="Arial;sans-serif"/>
          <w:b w:val="false"/>
          <w:i/>
          <w:color w:val="004C97"/>
          <w:sz w:val="20"/>
        </w:rPr>
        <w:t>Executive Bonus Results for 2023</w:t>
      </w:r>
    </w:p>
    <w:p>
      <w:pPr>
        <w:pStyle w:val="TextBody"/>
        <w:bidi w:val="0"/>
        <w:spacing w:lineRule="auto" w:line="240" w:before="0" w:after="120"/>
        <w:jc w:val="left"/>
        <w:rPr>
          <w:rFonts w:ascii="Arial;sans-serif" w:hAnsi="Arial;sans-serif"/>
          <w:b w:val="false"/>
          <w:color w:val="000000"/>
          <w:sz w:val="20"/>
        </w:rPr>
      </w:pPr>
      <w:r>
        <w:rPr>
          <w:rFonts w:ascii="Arial;sans-serif" w:hAnsi="Arial;sans-serif"/>
          <w:b w:val="false"/>
          <w:color w:val="000000"/>
          <w:sz w:val="20"/>
        </w:rPr>
        <w:t>The table below shows the total annual bonuses earned by our NEOs for 2023.</w:t>
      </w:r>
    </w:p>
    <w:tbl>
      <w:tblPr>
        <w:tblW w:w="6343" w:type="dxa"/>
        <w:jc w:val="left"/>
        <w:tblInd w:w="0" w:type="dxa"/>
        <w:tblLayout w:type="fixed"/>
        <w:tblCellMar>
          <w:top w:w="28" w:type="dxa"/>
          <w:left w:w="28" w:type="dxa"/>
          <w:bottom w:w="28" w:type="dxa"/>
          <w:right w:w="28" w:type="dxa"/>
        </w:tblCellMar>
      </w:tblPr>
      <w:tblGrid>
        <w:gridCol w:w="750"/>
        <w:gridCol w:w="659"/>
        <w:gridCol w:w="661"/>
        <w:gridCol w:w="384"/>
        <w:gridCol w:w="384"/>
        <w:gridCol w:w="386"/>
        <w:gridCol w:w="359"/>
        <w:gridCol w:w="359"/>
        <w:gridCol w:w="361"/>
        <w:gridCol w:w="359"/>
        <w:gridCol w:w="359"/>
        <w:gridCol w:w="361"/>
        <w:gridCol w:w="281"/>
        <w:gridCol w:w="281"/>
        <w:gridCol w:w="399"/>
      </w:tblGrid>
      <w:tr>
        <w:trPr/>
        <w:tc>
          <w:tcPr>
            <w:tcW w:w="750"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r>
      <w:tr>
        <w:trPr/>
        <w:tc>
          <w:tcPr>
            <w:tcW w:w="2070" w:type="dxa"/>
            <w:gridSpan w:val="3"/>
            <w:tcBorders>
              <w:top w:val="single" w:sz="4" w:space="0" w:color="000000"/>
              <w:left w:val="single" w:sz="4" w:space="0" w:color="000000"/>
            </w:tcBorders>
            <w:shd w:fill="004C97"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6"/>
              </w:rPr>
            </w:pPr>
            <w:r>
              <w:rPr>
                <w:rFonts w:ascii="Arial;sans-serif" w:hAnsi="Arial;sans-serif"/>
                <w:b/>
                <w:color w:val="FFFFFF"/>
                <w:sz w:val="16"/>
              </w:rPr>
              <w:t>Named Executive Officer</w:t>
            </w:r>
          </w:p>
        </w:tc>
        <w:tc>
          <w:tcPr>
            <w:tcW w:w="1154" w:type="dxa"/>
            <w:gridSpan w:val="3"/>
            <w:tcBorders>
              <w:top w:val="single" w:sz="4" w:space="0" w:color="000000"/>
              <w:left w:val="single" w:sz="4" w:space="0" w:color="000000"/>
            </w:tcBorders>
            <w:shd w:fill="004C97" w:val="clear"/>
            <w:tcMar>
              <w:top w:w="30" w:type="dxa"/>
              <w:bottom w:w="0" w:type="dxa"/>
              <w:right w:w="0" w:type="dxa"/>
            </w:tcMar>
            <w:vAlign w:val="center"/>
          </w:tcPr>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 xml:space="preserve">Annual Base </w:t>
            </w:r>
          </w:p>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 xml:space="preserve">Salary </w:t>
            </w:r>
          </w:p>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as of</w:t>
            </w:r>
          </w:p>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12/31/2023</w:t>
            </w:r>
          </w:p>
        </w:tc>
        <w:tc>
          <w:tcPr>
            <w:tcW w:w="1079" w:type="dxa"/>
            <w:gridSpan w:val="3"/>
            <w:tcBorders>
              <w:top w:val="single" w:sz="4" w:space="0" w:color="000000"/>
              <w:left w:val="single" w:sz="4" w:space="0" w:color="000000"/>
            </w:tcBorders>
            <w:shd w:fill="004C97" w:val="clear"/>
            <w:tcMar>
              <w:top w:w="30" w:type="dxa"/>
              <w:bottom w:w="0" w:type="dxa"/>
              <w:right w:w="0" w:type="dxa"/>
            </w:tcMar>
            <w:vAlign w:val="center"/>
          </w:tcPr>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Target</w:t>
            </w:r>
          </w:p>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 xml:space="preserve">Payout </w:t>
            </w:r>
          </w:p>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 xml:space="preserve">(as a % of </w:t>
              <w:br/>
              <w:t>Base Salary)</w:t>
            </w:r>
          </w:p>
        </w:tc>
        <w:tc>
          <w:tcPr>
            <w:tcW w:w="1079" w:type="dxa"/>
            <w:gridSpan w:val="3"/>
            <w:tcBorders>
              <w:top w:val="single" w:sz="4" w:space="0" w:color="000000"/>
              <w:left w:val="single" w:sz="4" w:space="0" w:color="000000"/>
            </w:tcBorders>
            <w:shd w:fill="004C97" w:val="clear"/>
            <w:tcMar>
              <w:top w:w="30" w:type="dxa"/>
              <w:bottom w:w="0" w:type="dxa"/>
              <w:right w:w="0" w:type="dxa"/>
            </w:tcMar>
            <w:vAlign w:val="center"/>
          </w:tcPr>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Bonus</w:t>
            </w:r>
          </w:p>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Achieved</w:t>
            </w:r>
          </w:p>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 of Target</w:t>
            </w:r>
          </w:p>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Payout)</w:t>
            </w:r>
          </w:p>
        </w:tc>
        <w:tc>
          <w:tcPr>
            <w:tcW w:w="961" w:type="dxa"/>
            <w:gridSpan w:val="3"/>
            <w:tcBorders>
              <w:top w:val="single" w:sz="4" w:space="0" w:color="000000"/>
              <w:left w:val="single" w:sz="4" w:space="0" w:color="000000"/>
              <w:right w:val="single" w:sz="4" w:space="0" w:color="000000"/>
            </w:tcBorders>
            <w:shd w:fill="004C97" w:val="clear"/>
            <w:tcMar>
              <w:top w:w="30" w:type="dxa"/>
              <w:bottom w:w="0" w:type="dxa"/>
            </w:tcMar>
            <w:vAlign w:val="center"/>
          </w:tcPr>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Total</w:t>
            </w:r>
          </w:p>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Bonus</w:t>
            </w:r>
          </w:p>
        </w:tc>
      </w:tr>
      <w:tr>
        <w:trPr/>
        <w:tc>
          <w:tcPr>
            <w:tcW w:w="2070" w:type="dxa"/>
            <w:gridSpan w:val="3"/>
            <w:tcBorders>
              <w:top w:val="single" w:sz="4" w:space="0" w:color="000000"/>
              <w:left w:val="single" w:sz="4" w:space="0" w:color="000000"/>
            </w:tcBorders>
            <w:shd w:fill="E6E7E8" w:val="clear"/>
            <w:tcMar>
              <w:top w:w="30" w:type="dxa"/>
              <w:left w:w="20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Eugene J. Lowe, III</w:t>
            </w:r>
          </w:p>
        </w:tc>
        <w:tc>
          <w:tcPr>
            <w:tcW w:w="1154" w:type="dxa"/>
            <w:gridSpan w:val="3"/>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$1,035,000</w:t>
            </w:r>
          </w:p>
        </w:tc>
        <w:tc>
          <w:tcPr>
            <w:tcW w:w="1079" w:type="dxa"/>
            <w:gridSpan w:val="3"/>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110%</w:t>
            </w:r>
          </w:p>
        </w:tc>
        <w:tc>
          <w:tcPr>
            <w:tcW w:w="1079" w:type="dxa"/>
            <w:gridSpan w:val="3"/>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200.0%</w:t>
            </w:r>
          </w:p>
        </w:tc>
        <w:tc>
          <w:tcPr>
            <w:tcW w:w="961" w:type="dxa"/>
            <w:gridSpan w:val="3"/>
            <w:tcBorders>
              <w:top w:val="single" w:sz="4" w:space="0" w:color="000000"/>
              <w:left w:val="single" w:sz="4" w:space="0" w:color="000000"/>
              <w:right w:val="single" w:sz="4" w:space="0" w:color="000000"/>
            </w:tcBorders>
            <w:shd w:fill="E6E7E8" w:val="clear"/>
            <w:tcMar>
              <w:top w:w="30" w:type="dxa"/>
              <w:bottom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$2,277,000</w:t>
            </w:r>
          </w:p>
        </w:tc>
      </w:tr>
      <w:tr>
        <w:trPr/>
        <w:tc>
          <w:tcPr>
            <w:tcW w:w="2070" w:type="dxa"/>
            <w:gridSpan w:val="3"/>
            <w:tcBorders>
              <w:top w:val="single" w:sz="4" w:space="0" w:color="000000"/>
              <w:left w:val="single" w:sz="4" w:space="0" w:color="000000"/>
            </w:tcBorders>
            <w:shd w:fill="FFFFFF" w:val="clear"/>
            <w:tcMar>
              <w:top w:w="30" w:type="dxa"/>
              <w:left w:w="20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Mark A. Carano</w:t>
            </w:r>
          </w:p>
        </w:tc>
        <w:tc>
          <w:tcPr>
            <w:tcW w:w="1154"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$500,000</w:t>
            </w:r>
          </w:p>
        </w:tc>
        <w:tc>
          <w:tcPr>
            <w:tcW w:w="1079"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70%</w:t>
            </w:r>
          </w:p>
        </w:tc>
        <w:tc>
          <w:tcPr>
            <w:tcW w:w="1079"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200.0%</w:t>
            </w:r>
          </w:p>
        </w:tc>
        <w:tc>
          <w:tcPr>
            <w:tcW w:w="961" w:type="dxa"/>
            <w:gridSpan w:val="3"/>
            <w:tcBorders>
              <w:top w:val="single" w:sz="4" w:space="0" w:color="000000"/>
              <w:left w:val="single" w:sz="4" w:space="0" w:color="000000"/>
              <w:right w:val="single" w:sz="4" w:space="0" w:color="000000"/>
            </w:tcBorders>
            <w:shd w:fill="FFFFFF" w:val="clear"/>
            <w:tcMar>
              <w:top w:w="30" w:type="dxa"/>
              <w:bottom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$700,000</w:t>
            </w:r>
          </w:p>
        </w:tc>
      </w:tr>
      <w:tr>
        <w:trPr/>
        <w:tc>
          <w:tcPr>
            <w:tcW w:w="2070" w:type="dxa"/>
            <w:gridSpan w:val="3"/>
            <w:tcBorders>
              <w:top w:val="single" w:sz="4" w:space="0" w:color="000000"/>
              <w:left w:val="single" w:sz="4" w:space="0" w:color="000000"/>
            </w:tcBorders>
            <w:shd w:fill="E6E7E8" w:val="clear"/>
            <w:tcMar>
              <w:top w:w="30" w:type="dxa"/>
              <w:left w:w="20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J. Randall Data</w:t>
            </w:r>
          </w:p>
        </w:tc>
        <w:tc>
          <w:tcPr>
            <w:tcW w:w="1154" w:type="dxa"/>
            <w:gridSpan w:val="3"/>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$544,619</w:t>
            </w:r>
          </w:p>
        </w:tc>
        <w:tc>
          <w:tcPr>
            <w:tcW w:w="1079" w:type="dxa"/>
            <w:gridSpan w:val="3"/>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70%</w:t>
            </w:r>
          </w:p>
        </w:tc>
        <w:tc>
          <w:tcPr>
            <w:tcW w:w="1079" w:type="dxa"/>
            <w:gridSpan w:val="3"/>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200.0%</w:t>
            </w:r>
          </w:p>
        </w:tc>
        <w:tc>
          <w:tcPr>
            <w:tcW w:w="961" w:type="dxa"/>
            <w:gridSpan w:val="3"/>
            <w:tcBorders>
              <w:top w:val="single" w:sz="4" w:space="0" w:color="000000"/>
              <w:left w:val="single" w:sz="4" w:space="0" w:color="000000"/>
              <w:right w:val="single" w:sz="4" w:space="0" w:color="000000"/>
            </w:tcBorders>
            <w:shd w:fill="E6E7E8" w:val="clear"/>
            <w:tcMar>
              <w:top w:w="30" w:type="dxa"/>
              <w:bottom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$762,467</w:t>
            </w:r>
          </w:p>
        </w:tc>
      </w:tr>
      <w:tr>
        <w:trPr/>
        <w:tc>
          <w:tcPr>
            <w:tcW w:w="2070" w:type="dxa"/>
            <w:gridSpan w:val="3"/>
            <w:tcBorders>
              <w:top w:val="single" w:sz="4" w:space="0" w:color="000000"/>
              <w:left w:val="single" w:sz="4" w:space="0" w:color="000000"/>
            </w:tcBorders>
            <w:shd w:fill="FFFFFF" w:val="clear"/>
            <w:tcMar>
              <w:top w:w="30" w:type="dxa"/>
              <w:left w:w="20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John W. Swann, III</w:t>
            </w:r>
          </w:p>
        </w:tc>
        <w:tc>
          <w:tcPr>
            <w:tcW w:w="1154"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$576,800</w:t>
            </w:r>
          </w:p>
        </w:tc>
        <w:tc>
          <w:tcPr>
            <w:tcW w:w="1079"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70%</w:t>
            </w:r>
          </w:p>
        </w:tc>
        <w:tc>
          <w:tcPr>
            <w:tcW w:w="1079"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162.0%</w:t>
            </w:r>
          </w:p>
        </w:tc>
        <w:tc>
          <w:tcPr>
            <w:tcW w:w="961" w:type="dxa"/>
            <w:gridSpan w:val="3"/>
            <w:tcBorders>
              <w:top w:val="single" w:sz="4" w:space="0" w:color="000000"/>
              <w:left w:val="single" w:sz="4" w:space="0" w:color="000000"/>
              <w:right w:val="single" w:sz="4" w:space="0" w:color="000000"/>
            </w:tcBorders>
            <w:shd w:fill="FFFFFF" w:val="clear"/>
            <w:tcMar>
              <w:top w:w="30" w:type="dxa"/>
              <w:bottom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$654,071</w:t>
            </w:r>
          </w:p>
        </w:tc>
      </w:tr>
      <w:tr>
        <w:trPr/>
        <w:tc>
          <w:tcPr>
            <w:tcW w:w="2070" w:type="dxa"/>
            <w:gridSpan w:val="3"/>
            <w:tcBorders>
              <w:top w:val="single" w:sz="4" w:space="0" w:color="000000"/>
              <w:left w:val="single" w:sz="4" w:space="0" w:color="000000"/>
            </w:tcBorders>
            <w:shd w:fill="E6E7E8" w:val="clear"/>
            <w:tcMar>
              <w:top w:w="30" w:type="dxa"/>
              <w:left w:w="20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Sean McClenaghan</w:t>
            </w:r>
          </w:p>
        </w:tc>
        <w:tc>
          <w:tcPr>
            <w:tcW w:w="1154" w:type="dxa"/>
            <w:gridSpan w:val="3"/>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$576,800</w:t>
            </w:r>
          </w:p>
        </w:tc>
        <w:tc>
          <w:tcPr>
            <w:tcW w:w="1079" w:type="dxa"/>
            <w:gridSpan w:val="3"/>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70%</w:t>
            </w:r>
          </w:p>
        </w:tc>
        <w:tc>
          <w:tcPr>
            <w:tcW w:w="1079" w:type="dxa"/>
            <w:gridSpan w:val="3"/>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196.2%</w:t>
            </w:r>
          </w:p>
        </w:tc>
        <w:tc>
          <w:tcPr>
            <w:tcW w:w="961" w:type="dxa"/>
            <w:gridSpan w:val="3"/>
            <w:tcBorders>
              <w:top w:val="single" w:sz="4" w:space="0" w:color="000000"/>
              <w:left w:val="single" w:sz="4" w:space="0" w:color="000000"/>
              <w:right w:val="single" w:sz="4" w:space="0" w:color="000000"/>
            </w:tcBorders>
            <w:shd w:fill="E6E7E8" w:val="clear"/>
            <w:tcMar>
              <w:top w:w="30" w:type="dxa"/>
              <w:bottom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$792,207</w:t>
            </w:r>
          </w:p>
        </w:tc>
      </w:tr>
      <w:tr>
        <w:trPr/>
        <w:tc>
          <w:tcPr>
            <w:tcW w:w="2070" w:type="dxa"/>
            <w:gridSpan w:val="3"/>
            <w:tcBorders>
              <w:top w:val="single" w:sz="4" w:space="0" w:color="000000"/>
              <w:left w:val="single" w:sz="4" w:space="0" w:color="000000"/>
              <w:bottom w:val="single" w:sz="4" w:space="0" w:color="000000"/>
            </w:tcBorders>
            <w:shd w:fill="FFFFFF" w:val="clear"/>
            <w:tcMar>
              <w:top w:w="30" w:type="dxa"/>
              <w:bottom w:w="30" w:type="dxa"/>
              <w:right w:w="0" w:type="dxa"/>
            </w:tcMar>
            <w:vAlign w:val="center"/>
          </w:tcPr>
          <w:p>
            <w:pPr>
              <w:pStyle w:val="TableContents"/>
              <w:bidi w:val="0"/>
              <w:spacing w:lineRule="auto" w:line="288" w:before="0" w:after="0"/>
              <w:jc w:val="left"/>
              <w:rPr/>
            </w:pPr>
            <w:r>
              <w:rPr>
                <w:rFonts w:ascii="Arial;sans-serif" w:hAnsi="Arial;sans-serif"/>
                <w:b w:val="false"/>
                <w:color w:val="000000"/>
                <w:sz w:val="16"/>
              </w:rPr>
              <w:t>Michael A. Reilly</w:t>
            </w:r>
            <w:r>
              <w:rPr>
                <w:rFonts w:ascii="Arial;sans-serif" w:hAnsi="Arial;sans-serif"/>
                <w:b w:val="false"/>
                <w:color w:val="000000"/>
                <w:sz w:val="10"/>
              </w:rPr>
              <w:t>(1)</w:t>
            </w:r>
          </w:p>
        </w:tc>
        <w:tc>
          <w:tcPr>
            <w:tcW w:w="1154" w:type="dxa"/>
            <w:gridSpan w:val="3"/>
            <w:tcBorders>
              <w:top w:val="single" w:sz="4" w:space="0" w:color="000000"/>
              <w:left w:val="single" w:sz="4" w:space="0" w:color="000000"/>
              <w:bottom w:val="single" w:sz="4" w:space="0" w:color="000000"/>
            </w:tcBorders>
            <w:shd w:fill="FFFFFF" w:val="clear"/>
            <w:tcMar>
              <w:top w:w="3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$451,049</w:t>
            </w:r>
          </w:p>
        </w:tc>
        <w:tc>
          <w:tcPr>
            <w:tcW w:w="1079" w:type="dxa"/>
            <w:gridSpan w:val="3"/>
            <w:tcBorders>
              <w:top w:val="single" w:sz="4" w:space="0" w:color="000000"/>
              <w:left w:val="single" w:sz="4" w:space="0" w:color="000000"/>
              <w:bottom w:val="single" w:sz="4" w:space="0" w:color="000000"/>
            </w:tcBorders>
            <w:shd w:fill="FFFFFF" w:val="clear"/>
            <w:tcMar>
              <w:top w:w="30" w:type="dxa"/>
              <w:bottom w:w="30" w:type="dxa"/>
              <w:right w:w="0" w:type="dxa"/>
            </w:tcMar>
            <w:vAlign w:val="center"/>
          </w:tcPr>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50%</w:t>
            </w:r>
          </w:p>
        </w:tc>
        <w:tc>
          <w:tcPr>
            <w:tcW w:w="1079" w:type="dxa"/>
            <w:gridSpan w:val="3"/>
            <w:tcBorders>
              <w:top w:val="single" w:sz="4" w:space="0" w:color="000000"/>
              <w:left w:val="single" w:sz="4" w:space="0" w:color="000000"/>
              <w:bottom w:val="single" w:sz="4" w:space="0" w:color="000000"/>
            </w:tcBorders>
            <w:shd w:fill="FFFFFF" w:val="clear"/>
            <w:tcMar>
              <w:top w:w="30" w:type="dxa"/>
              <w:bottom w:w="30" w:type="dxa"/>
              <w:right w:w="0" w:type="dxa"/>
            </w:tcMar>
            <w:vAlign w:val="center"/>
          </w:tcPr>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200.0%</w:t>
            </w:r>
          </w:p>
        </w:tc>
        <w:tc>
          <w:tcPr>
            <w:tcW w:w="961" w:type="dxa"/>
            <w:gridSpan w:val="3"/>
            <w:tcBorders>
              <w:top w:val="single" w:sz="4" w:space="0" w:color="000000"/>
              <w:left w:val="single" w:sz="4" w:space="0" w:color="000000"/>
              <w:bottom w:val="single" w:sz="4" w:space="0" w:color="000000"/>
              <w:right w:val="single" w:sz="4" w:space="0" w:color="000000"/>
            </w:tcBorders>
            <w:shd w:fill="FFFFFF" w:val="clear"/>
            <w:tcMar>
              <w:top w:w="30" w:type="dxa"/>
              <w:bottom w:w="3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$121,783</w:t>
            </w:r>
          </w:p>
        </w:tc>
      </w:tr>
    </w:tbl>
    <w:p>
      <w:pPr>
        <w:pStyle w:val="TextBody"/>
        <w:bidi w:val="0"/>
        <w:spacing w:lineRule="auto" w:line="288" w:before="0" w:after="60"/>
        <w:ind w:left="0" w:right="0" w:hanging="360"/>
        <w:jc w:val="both"/>
        <w:rPr>
          <w:rFonts w:ascii="Arial;sans-serif" w:hAnsi="Arial;sans-serif"/>
          <w:b w:val="false"/>
          <w:color w:val="000000"/>
          <w:sz w:val="14"/>
        </w:rPr>
      </w:pPr>
      <w:r>
        <w:rPr>
          <w:rFonts w:ascii="Arial;sans-serif" w:hAnsi="Arial;sans-serif"/>
          <w:b w:val="false"/>
          <w:color w:val="000000"/>
          <w:sz w:val="14"/>
        </w:rPr>
        <w:t>(1)Mr. Reilly’s bonus was prorated for his length of service in 2023.</w:t>
      </w:r>
    </w:p>
    <w:p>
      <w:pPr>
        <w:pStyle w:val="TextBody"/>
        <w:bidi w:val="0"/>
        <w:spacing w:lineRule="auto" w:line="288" w:before="360" w:after="60"/>
        <w:jc w:val="left"/>
        <w:rPr>
          <w:rFonts w:ascii="Arial;sans-serif" w:hAnsi="Arial;sans-serif"/>
          <w:b/>
          <w:color w:val="004C97"/>
          <w:sz w:val="20"/>
        </w:rPr>
      </w:pPr>
      <w:r>
        <w:rPr>
          <w:rFonts w:ascii="Arial;sans-serif" w:hAnsi="Arial;sans-serif"/>
          <w:b/>
          <w:color w:val="004C97"/>
          <w:sz w:val="20"/>
        </w:rPr>
        <w:t>Long-Term Incentives</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Long-term incentives are an integral part of our executive compensation program. They are designed to align the financial interests of our NEOs with those of our stockholders through performance-based compensation that correlates with the creation of long-term stockholder value. Our long-term incentive awards also support our executive retention strategy.</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For 2023, the Committee approved the following mix of LTI awards, which awards were granted in March 2023 under our stockholder approved plans: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739140"/>
                <wp:effectExtent l="0" t="0" r="0" b="0"/>
                <wp:wrapNone/>
                <wp:docPr id="129" name="Frame38"/>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292" w:type="dxa"/>
                              <w:jc w:val="left"/>
                              <w:tblInd w:w="0" w:type="dxa"/>
                              <w:tblLayout w:type="fixed"/>
                              <w:tblCellMar>
                                <w:top w:w="28" w:type="dxa"/>
                                <w:left w:w="28" w:type="dxa"/>
                                <w:bottom w:w="28" w:type="dxa"/>
                                <w:right w:w="28" w:type="dxa"/>
                              </w:tblCellMar>
                            </w:tblPr>
                            <w:tblGrid>
                              <w:gridCol w:w="124"/>
                              <w:gridCol w:w="109"/>
                              <w:gridCol w:w="109"/>
                              <w:gridCol w:w="704"/>
                              <w:gridCol w:w="704"/>
                              <w:gridCol w:w="706"/>
                              <w:gridCol w:w="244"/>
                              <w:gridCol w:w="244"/>
                              <w:gridCol w:w="34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6"/>
                                    </w:rPr>
                                  </w:pPr>
                                  <w:r>
                                    <w:rPr>
                                      <w:rFonts w:ascii="Arial;sans-serif" w:hAnsi="Arial;sans-serif"/>
                                      <w:b/>
                                      <w:color w:val="000000"/>
                                      <w:sz w:val="16"/>
                                    </w:rPr>
                                    <w:t>32</w:t>
                                  </w:r>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2024 PROXY STATEMENT</w:t>
                                  </w:r>
                                </w:p>
                              </w:tc>
                              <w:tc>
                                <w:tcPr>
                                  <w:tcW w:w="83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130"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Image61" descr=""/>
                                                <pic:cNvPicPr>
                                                  <a:picLocks noChangeAspect="1" noChangeArrowheads="1"/>
                                                </pic:cNvPicPr>
                                              </pic:nvPicPr>
                                              <pic:blipFill>
                                                <a:blip r:embed="rId93"/>
                                                <a:stretch>
                                                  <a:fillRect/>
                                                </a:stretch>
                                              </pic:blipFill>
                                              <pic:spPr bwMode="auto">
                                                <a:xfrm>
                                                  <a:off x="0" y="0"/>
                                                  <a:ext cx="447675" cy="161925"/>
                                                </a:xfrm>
                                                <a:prstGeom prst="rect">
                                                  <a:avLst/>
                                                </a:prstGeom>
                                              </pic:spPr>
                                            </pic:pic>
                                          </a:graphicData>
                                        </a:graphic>
                                      </wp:inline>
                                    </w:drawing>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292" w:type="dxa"/>
                        <w:jc w:val="left"/>
                        <w:tblInd w:w="0" w:type="dxa"/>
                        <w:tblLayout w:type="fixed"/>
                        <w:tblCellMar>
                          <w:top w:w="28" w:type="dxa"/>
                          <w:left w:w="28" w:type="dxa"/>
                          <w:bottom w:w="28" w:type="dxa"/>
                          <w:right w:w="28" w:type="dxa"/>
                        </w:tblCellMar>
                      </w:tblPr>
                      <w:tblGrid>
                        <w:gridCol w:w="124"/>
                        <w:gridCol w:w="109"/>
                        <w:gridCol w:w="109"/>
                        <w:gridCol w:w="704"/>
                        <w:gridCol w:w="704"/>
                        <w:gridCol w:w="706"/>
                        <w:gridCol w:w="244"/>
                        <w:gridCol w:w="244"/>
                        <w:gridCol w:w="34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6"/>
                              </w:rPr>
                            </w:pPr>
                            <w:r>
                              <w:rPr>
                                <w:rFonts w:ascii="Arial;sans-serif" w:hAnsi="Arial;sans-serif"/>
                                <w:b/>
                                <w:color w:val="000000"/>
                                <w:sz w:val="16"/>
                              </w:rPr>
                              <w:t>32</w:t>
                            </w:r>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2024 PROXY STATEMENT</w:t>
                            </w:r>
                          </w:p>
                        </w:tc>
                        <w:tc>
                          <w:tcPr>
                            <w:tcW w:w="83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131"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Image61" descr=""/>
                                          <pic:cNvPicPr>
                                            <a:picLocks noChangeAspect="1" noChangeArrowheads="1"/>
                                          </pic:cNvPicPr>
                                        </pic:nvPicPr>
                                        <pic:blipFill>
                                          <a:blip r:embed="rId94"/>
                                          <a:stretch>
                                            <a:fillRect/>
                                          </a:stretch>
                                        </pic:blipFill>
                                        <pic:spPr bwMode="auto">
                                          <a:xfrm>
                                            <a:off x="0" y="0"/>
                                            <a:ext cx="447675" cy="161925"/>
                                          </a:xfrm>
                                          <a:prstGeom prst="rect">
                                            <a:avLst/>
                                          </a:prstGeom>
                                        </pic:spPr>
                                      </pic:pic>
                                    </a:graphicData>
                                  </a:graphic>
                                </wp:inline>
                              </w:drawing>
                            </w:r>
                          </w:p>
                        </w:tc>
                      </w:tr>
                    </w:tbl>
                    <w:p>
                      <w:pPr>
                        <w:pStyle w:val="TextBody"/>
                        <w:bidi w:val="0"/>
                        <w:spacing w:before="0" w:after="283"/>
                        <w:jc w:val="left"/>
                        <w:rPr/>
                      </w:pPr>
                      <w:r>
                        <w:rPr/>
                      </w:r>
                    </w:p>
                  </w:txbxContent>
                </v:textbox>
                <w10:wrap type="none"/>
              </v:rect>
            </w:pict>
          </mc:Fallback>
        </mc:AlternateContent>
      </w:r>
    </w:p>
    <w:tbl>
      <w:tblPr>
        <w:tblW w:w="2459" w:type="dxa"/>
        <w:jc w:val="left"/>
        <w:tblInd w:w="0" w:type="dxa"/>
        <w:tblLayout w:type="fixed"/>
        <w:tblCellMar>
          <w:top w:w="28" w:type="dxa"/>
          <w:left w:w="28" w:type="dxa"/>
          <w:bottom w:w="28" w:type="dxa"/>
          <w:right w:w="28" w:type="dxa"/>
        </w:tblCellMar>
      </w:tblPr>
      <w:tblGrid>
        <w:gridCol w:w="786"/>
        <w:gridCol w:w="691"/>
        <w:gridCol w:w="982"/>
      </w:tblGrid>
      <w:tr>
        <w:trPr/>
        <w:tc>
          <w:tcPr>
            <w:tcW w:w="78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r>
      <w:tr>
        <w:trPr/>
        <w:tc>
          <w:tcPr>
            <w:tcW w:w="2459" w:type="dxa"/>
            <w:gridSpan w:val="3"/>
            <w:tcBorders>
              <w:bottom w:val="single" w:sz="4" w:space="0" w:color="004C97"/>
            </w:tcBorders>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4C97"/>
                <w:sz w:val="16"/>
              </w:rPr>
            </w:pPr>
            <w:r>
              <w:rPr>
                <w:rFonts w:ascii="Arial;sans-serif" w:hAnsi="Arial;sans-serif"/>
                <w:b w:val="false"/>
                <w:color w:val="004C97"/>
                <w:sz w:val="16"/>
              </w:rPr>
              <w:t>EXECUTIVE COMPENSATION</w:t>
            </w:r>
          </w:p>
        </w:tc>
      </w:tr>
    </w:tbl>
    <w:p>
      <w:pPr>
        <w:pStyle w:val="TextBody"/>
        <w:bidi w:val="0"/>
        <w:spacing w:lineRule="auto" w:line="288" w:before="0" w:after="60"/>
        <w:jc w:val="left"/>
        <w:rPr>
          <w:rFonts w:ascii="Arial;sans-serif" w:hAnsi="Arial;sans-serif"/>
          <w:b w:val="false"/>
          <w:i/>
          <w:color w:val="004C97"/>
          <w:sz w:val="20"/>
        </w:rPr>
      </w:pPr>
      <w:r>
        <w:rPr>
          <w:rFonts w:ascii="Arial;sans-serif" w:hAnsi="Arial;sans-serif"/>
          <w:b w:val="false"/>
          <w:i/>
          <w:color w:val="004C97"/>
          <w:sz w:val="20"/>
        </w:rPr>
        <w:t>Stock Options (25% Weighting)</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In 2023, awards of Options were granted to eligible participants, including each of the NEOs, other than Mr. Reilly. The Committee approved the 2023 Option grants to the NEOs in March 2023. The exercise price per share of the 2023 Options is the closing trading price per share on the NYSE on the date of grant. The 2023 Options grant agreement provides generally for time-based ratable vesting in equal installments (of 33 1/3 percent per year) over a three-year period (generally subject to continued service during the period) with a maximum exercise term of ten years. The Committee approves all grants of Options to officers based on its equity grant guidelines.</w:t>
      </w:r>
    </w:p>
    <w:p>
      <w:pPr>
        <w:pStyle w:val="TextBody"/>
        <w:bidi w:val="0"/>
        <w:spacing w:lineRule="auto" w:line="288" w:before="0" w:after="60"/>
        <w:jc w:val="left"/>
        <w:rPr>
          <w:rFonts w:ascii="Arial;sans-serif" w:hAnsi="Arial;sans-serif"/>
          <w:b w:val="false"/>
          <w:i/>
          <w:color w:val="004C97"/>
          <w:sz w:val="20"/>
        </w:rPr>
      </w:pPr>
      <w:r>
        <w:rPr>
          <w:rFonts w:ascii="Arial;sans-serif" w:hAnsi="Arial;sans-serif"/>
          <w:b w:val="false"/>
          <w:i/>
          <w:color w:val="004C97"/>
          <w:sz w:val="20"/>
        </w:rPr>
        <w:t>Performance Stock Units (50% Weighting)</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The 2023 awards of PSUs provide eligible participants, including each of the NEOs, other than Mr. Reilly, the opportunity to receive shares of common stock based on pre-established financial performance targets over a specified three-year period (and generally subject to continued service during the performance period). The performance criteria for the PSUs are based on the r-TSR of SPX as compared to the results of a peer group within the S&amp;P 600 Small Cap Capital Goods Index. At grant date, this peer group was comprised of 57 companies that compete in similar markets. Payouts under the program are made in shares of our common stock and range from 0% to 150% based on our TSR achievement versus the peer group. Threshold payout is 50% of target and maximum payout is 150% of target, with linear interpolation of payouts for results between threshold and target or between target and maximum. Threshold payout is achieved at the 30th percentile, target at the 50th percentile, and maximum at the 75th percentile. No payout is awarded unless SPX performance is equal to or greater than the 30th percentile. Payout cannot exceed target if our TSR is negative.</w:t>
      </w:r>
    </w:p>
    <w:p>
      <w:pPr>
        <w:pStyle w:val="TextBody"/>
        <w:bidi w:val="0"/>
        <w:spacing w:lineRule="auto" w:line="288" w:before="0" w:after="60"/>
        <w:jc w:val="left"/>
        <w:rPr>
          <w:rFonts w:ascii="Arial;sans-serif" w:hAnsi="Arial;sans-serif"/>
          <w:b w:val="false"/>
          <w:i/>
          <w:color w:val="004C97"/>
          <w:sz w:val="20"/>
        </w:rPr>
      </w:pPr>
      <w:r>
        <w:rPr>
          <w:rFonts w:ascii="Arial;sans-serif" w:hAnsi="Arial;sans-serif"/>
          <w:b w:val="false"/>
          <w:i/>
          <w:color w:val="004C97"/>
          <w:sz w:val="20"/>
        </w:rPr>
        <w:t>Restricted Stock Units (25% Weighting)</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As part of the 2023 long-term incentive program, participants, including each of the NEOs, other than Mr. Reilly, received RSUs. The Committee approved the 2023 RSU grants to the NEOs in February 2023, other than the award to Mr. McClenaghan which was approved in connection with his commencement of his employment. The 2022 RSU grant agreement provides generally for time-based ratable vesting in annual installments (of 33 1/3 percent per year) over a three-year period (generally subject to continued service during the period). The Committee approves all grants of RSUs to be issued by the Company pursuant to approved equity grant guidelines. In addition, to offset the loss of incentive compensation under his prior employment arrangement, in connection with the commencement of his employment with the Company, Mr. Carano was granted restricted stock units having a value at grant equal to approximately $250,000. These restricted stock units vest in annual one-third increments over three years from the date of grant, with vesting contingent upon Mr. Carano’s continued employment.</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Our NEOs received the following long-term incentive award opportunities in 2023:</w:t>
      </w:r>
    </w:p>
    <w:tbl>
      <w:tblPr>
        <w:tblW w:w="5244" w:type="dxa"/>
        <w:jc w:val="left"/>
        <w:tblInd w:w="0" w:type="dxa"/>
        <w:tblLayout w:type="fixed"/>
        <w:tblCellMar>
          <w:top w:w="28" w:type="dxa"/>
          <w:left w:w="28" w:type="dxa"/>
          <w:bottom w:w="28" w:type="dxa"/>
          <w:right w:w="28" w:type="dxa"/>
        </w:tblCellMar>
      </w:tblPr>
      <w:tblGrid>
        <w:gridCol w:w="750"/>
        <w:gridCol w:w="659"/>
        <w:gridCol w:w="661"/>
        <w:gridCol w:w="196"/>
        <w:gridCol w:w="871"/>
        <w:gridCol w:w="109"/>
        <w:gridCol w:w="250"/>
        <w:gridCol w:w="250"/>
        <w:gridCol w:w="251"/>
        <w:gridCol w:w="199"/>
        <w:gridCol w:w="199"/>
        <w:gridCol w:w="203"/>
        <w:gridCol w:w="188"/>
        <w:gridCol w:w="188"/>
        <w:gridCol w:w="270"/>
      </w:tblGrid>
      <w:tr>
        <w:trPr/>
        <w:tc>
          <w:tcPr>
            <w:tcW w:w="750"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r>
      <w:tr>
        <w:trPr/>
        <w:tc>
          <w:tcPr>
            <w:tcW w:w="2070" w:type="dxa"/>
            <w:gridSpan w:val="3"/>
            <w:vMerge w:val="restart"/>
            <w:tcBorders>
              <w:top w:val="single" w:sz="4" w:space="0" w:color="000000"/>
              <w:left w:val="single" w:sz="4" w:space="0" w:color="000000"/>
              <w:right w:val="single" w:sz="4" w:space="0" w:color="000000"/>
            </w:tcBorders>
            <w:shd w:fill="004C97" w:val="clear"/>
            <w:tcMar>
              <w:top w:w="30" w:type="dxa"/>
              <w:bottom w:w="0" w:type="dxa"/>
            </w:tcMar>
            <w:vAlign w:val="center"/>
          </w:tcPr>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Named Executive Officer</w:t>
            </w:r>
          </w:p>
        </w:tc>
        <w:tc>
          <w:tcPr>
            <w:tcW w:w="1176" w:type="dxa"/>
            <w:gridSpan w:val="3"/>
            <w:vMerge w:val="restart"/>
            <w:tcBorders>
              <w:top w:val="single" w:sz="4" w:space="0" w:color="000000"/>
              <w:left w:val="single" w:sz="4" w:space="0" w:color="000000"/>
            </w:tcBorders>
            <w:shd w:fill="004C97" w:val="clear"/>
            <w:tcMar>
              <w:top w:w="30" w:type="dxa"/>
              <w:bottom w:w="0" w:type="dxa"/>
              <w:right w:w="0" w:type="dxa"/>
            </w:tcMar>
            <w:vAlign w:val="center"/>
          </w:tcPr>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 xml:space="preserve">Target LTI </w:t>
            </w:r>
          </w:p>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Value</w:t>
            </w:r>
          </w:p>
        </w:tc>
        <w:tc>
          <w:tcPr>
            <w:tcW w:w="1998" w:type="dxa"/>
            <w:gridSpan w:val="9"/>
            <w:tcBorders>
              <w:top w:val="single" w:sz="4" w:space="0" w:color="000000"/>
              <w:left w:val="single" w:sz="4" w:space="0" w:color="000000"/>
              <w:right w:val="single" w:sz="4" w:space="0" w:color="000000"/>
            </w:tcBorders>
            <w:shd w:fill="004C97" w:val="clear"/>
            <w:tcMar>
              <w:top w:w="30" w:type="dxa"/>
              <w:bottom w:w="0" w:type="dxa"/>
            </w:tcMar>
            <w:vAlign w:val="center"/>
          </w:tcPr>
          <w:p>
            <w:pPr>
              <w:pStyle w:val="TableContents"/>
              <w:bidi w:val="0"/>
              <w:spacing w:lineRule="auto" w:line="288" w:before="0" w:after="283"/>
              <w:jc w:val="center"/>
              <w:rPr>
                <w:rFonts w:ascii="Arial;sans-serif" w:hAnsi="Arial;sans-serif"/>
                <w:b/>
                <w:color w:val="FFFFFF"/>
                <w:sz w:val="16"/>
              </w:rPr>
            </w:pPr>
            <w:r>
              <w:rPr>
                <w:rFonts w:ascii="Arial;sans-serif" w:hAnsi="Arial;sans-serif"/>
                <w:b/>
                <w:color w:val="FFFFFF"/>
                <w:sz w:val="16"/>
              </w:rPr>
              <w:t>Units</w:t>
            </w:r>
          </w:p>
        </w:tc>
      </w:tr>
      <w:tr>
        <w:trPr/>
        <w:tc>
          <w:tcPr>
            <w:tcW w:w="2070" w:type="dxa"/>
            <w:gridSpan w:val="3"/>
            <w:vMerge w:val="continue"/>
            <w:tcBorders>
              <w:top w:val="single" w:sz="4" w:space="0" w:color="000000"/>
              <w:left w:val="single" w:sz="4" w:space="0" w:color="000000"/>
              <w:right w:val="single" w:sz="4" w:space="0" w:color="000000"/>
            </w:tcBorders>
            <w:shd w:fill="004C97" w:val="clear"/>
            <w:tcMar>
              <w:top w:w="30" w:type="dxa"/>
              <w:bottom w:w="0" w:type="dxa"/>
            </w:tcMar>
            <w:vAlign w:val="center"/>
          </w:tcPr>
          <w:p>
            <w:pPr>
              <w:pStyle w:val="Normal"/>
              <w:bidi w:val="0"/>
              <w:jc w:val="left"/>
              <w:rPr/>
            </w:pPr>
            <w:r>
              <w:rPr/>
            </w:r>
          </w:p>
        </w:tc>
        <w:tc>
          <w:tcPr>
            <w:tcW w:w="1176" w:type="dxa"/>
            <w:gridSpan w:val="3"/>
            <w:vMerge w:val="continue"/>
            <w:tcBorders>
              <w:top w:val="single" w:sz="4" w:space="0" w:color="000000"/>
              <w:left w:val="single" w:sz="4" w:space="0" w:color="000000"/>
            </w:tcBorders>
            <w:shd w:fill="004C97" w:val="clear"/>
            <w:tcMar>
              <w:top w:w="30" w:type="dxa"/>
              <w:bottom w:w="0" w:type="dxa"/>
              <w:right w:w="0" w:type="dxa"/>
            </w:tcMar>
            <w:vAlign w:val="center"/>
          </w:tcPr>
          <w:p>
            <w:pPr>
              <w:pStyle w:val="Normal"/>
              <w:bidi w:val="0"/>
              <w:jc w:val="left"/>
              <w:rPr/>
            </w:pPr>
            <w:r>
              <w:rPr/>
            </w:r>
          </w:p>
        </w:tc>
        <w:tc>
          <w:tcPr>
            <w:tcW w:w="751" w:type="dxa"/>
            <w:gridSpan w:val="3"/>
            <w:tcBorders>
              <w:top w:val="single" w:sz="4" w:space="0" w:color="000000"/>
              <w:left w:val="single" w:sz="4" w:space="0" w:color="000000"/>
            </w:tcBorders>
            <w:shd w:fill="004C97"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6"/>
              </w:rPr>
            </w:pPr>
            <w:r>
              <w:rPr>
                <w:rFonts w:ascii="Arial;sans-serif" w:hAnsi="Arial;sans-serif"/>
                <w:b/>
                <w:color w:val="FFFFFF"/>
                <w:sz w:val="16"/>
              </w:rPr>
              <w:t>Options</w:t>
            </w:r>
          </w:p>
        </w:tc>
        <w:tc>
          <w:tcPr>
            <w:tcW w:w="601" w:type="dxa"/>
            <w:gridSpan w:val="3"/>
            <w:tcBorders>
              <w:top w:val="single" w:sz="4" w:space="0" w:color="000000"/>
              <w:left w:val="single" w:sz="4" w:space="0" w:color="000000"/>
            </w:tcBorders>
            <w:shd w:fill="004C97"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6"/>
              </w:rPr>
            </w:pPr>
            <w:r>
              <w:rPr>
                <w:rFonts w:ascii="Arial;sans-serif" w:hAnsi="Arial;sans-serif"/>
                <w:b/>
                <w:color w:val="FFFFFF"/>
                <w:sz w:val="16"/>
              </w:rPr>
              <w:t>PSUs</w:t>
            </w:r>
          </w:p>
        </w:tc>
        <w:tc>
          <w:tcPr>
            <w:tcW w:w="646" w:type="dxa"/>
            <w:gridSpan w:val="3"/>
            <w:tcBorders>
              <w:top w:val="single" w:sz="4" w:space="0" w:color="000000"/>
              <w:left w:val="single" w:sz="4" w:space="0" w:color="000000"/>
              <w:right w:val="single" w:sz="4" w:space="0" w:color="000000"/>
            </w:tcBorders>
            <w:shd w:fill="004C97" w:val="clear"/>
            <w:tcMar>
              <w:top w:w="30" w:type="dxa"/>
              <w:bottom w:w="0" w:type="dxa"/>
            </w:tcMar>
            <w:vAlign w:val="center"/>
          </w:tcPr>
          <w:p>
            <w:pPr>
              <w:pStyle w:val="TableContents"/>
              <w:bidi w:val="0"/>
              <w:spacing w:lineRule="auto" w:line="288" w:before="0" w:after="283"/>
              <w:jc w:val="center"/>
              <w:rPr>
                <w:rFonts w:ascii="Arial;sans-serif" w:hAnsi="Arial;sans-serif"/>
                <w:b/>
                <w:color w:val="FFFFFF"/>
                <w:sz w:val="16"/>
              </w:rPr>
            </w:pPr>
            <w:r>
              <w:rPr>
                <w:rFonts w:ascii="Arial;sans-serif" w:hAnsi="Arial;sans-serif"/>
                <w:b/>
                <w:color w:val="FFFFFF"/>
                <w:sz w:val="16"/>
              </w:rPr>
              <w:t>RSUs</w:t>
            </w:r>
          </w:p>
        </w:tc>
      </w:tr>
      <w:tr>
        <w:trPr/>
        <w:tc>
          <w:tcPr>
            <w:tcW w:w="2070" w:type="dxa"/>
            <w:gridSpan w:val="3"/>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Eugene J. Lowe, III</w:t>
            </w:r>
          </w:p>
        </w:tc>
        <w:tc>
          <w:tcPr>
            <w:tcW w:w="196" w:type="dxa"/>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4" w:space="0" w:color="000000"/>
            </w:tcBorders>
            <w:shd w:fill="E6E7E8"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4,250,000 </w:t>
            </w:r>
          </w:p>
        </w:tc>
        <w:tc>
          <w:tcPr>
            <w:tcW w:w="109" w:type="dxa"/>
            <w:tcBorders>
              <w:top w:val="single" w:sz="4" w:space="0" w:color="000000"/>
            </w:tcBorders>
            <w:shd w:fill="E6E7E8"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33,707</w:t>
            </w:r>
          </w:p>
        </w:tc>
        <w:tc>
          <w:tcPr>
            <w:tcW w:w="601" w:type="dxa"/>
            <w:gridSpan w:val="3"/>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29,238</w:t>
            </w:r>
          </w:p>
        </w:tc>
        <w:tc>
          <w:tcPr>
            <w:tcW w:w="646" w:type="dxa"/>
            <w:gridSpan w:val="3"/>
            <w:tcBorders>
              <w:top w:val="single" w:sz="4" w:space="0" w:color="000000"/>
              <w:left w:val="single" w:sz="4" w:space="0" w:color="000000"/>
              <w:right w:val="single" w:sz="4" w:space="0" w:color="000000"/>
            </w:tcBorders>
            <w:shd w:fill="E6E7E8" w:val="clear"/>
            <w:tcMar>
              <w:top w:w="30" w:type="dxa"/>
              <w:bottom w:w="0" w:type="dxa"/>
              <w:right w:w="26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14,619</w:t>
            </w:r>
          </w:p>
        </w:tc>
      </w:tr>
      <w:tr>
        <w:trPr/>
        <w:tc>
          <w:tcPr>
            <w:tcW w:w="2070"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6"/>
              </w:rPr>
              <w:t>Mark A. Carano</w:t>
            </w:r>
            <w:r>
              <w:rPr>
                <w:rFonts w:ascii="Arial;sans-serif" w:hAnsi="Arial;sans-serif"/>
                <w:b w:val="false"/>
                <w:color w:val="000000"/>
                <w:sz w:val="10"/>
              </w:rPr>
              <w:t>(1)</w:t>
            </w:r>
          </w:p>
        </w:tc>
        <w:tc>
          <w:tcPr>
            <w:tcW w:w="196" w:type="dxa"/>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950,000 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5,552</w:t>
            </w:r>
          </w:p>
        </w:tc>
        <w:tc>
          <w:tcPr>
            <w:tcW w:w="601"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4,816</w:t>
            </w:r>
          </w:p>
        </w:tc>
        <w:tc>
          <w:tcPr>
            <w:tcW w:w="646" w:type="dxa"/>
            <w:gridSpan w:val="3"/>
            <w:tcBorders>
              <w:top w:val="single" w:sz="4" w:space="0" w:color="000000"/>
              <w:left w:val="single" w:sz="4" w:space="0" w:color="000000"/>
              <w:right w:val="single" w:sz="4" w:space="0" w:color="000000"/>
            </w:tcBorders>
            <w:shd w:fill="FFFFFF" w:val="clear"/>
            <w:tcMar>
              <w:top w:w="30" w:type="dxa"/>
              <w:bottom w:w="0" w:type="dxa"/>
              <w:right w:w="26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5,907</w:t>
            </w:r>
          </w:p>
        </w:tc>
      </w:tr>
      <w:tr>
        <w:trPr/>
        <w:tc>
          <w:tcPr>
            <w:tcW w:w="2070" w:type="dxa"/>
            <w:gridSpan w:val="3"/>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J. Randall Data</w:t>
            </w:r>
          </w:p>
        </w:tc>
        <w:tc>
          <w:tcPr>
            <w:tcW w:w="196" w:type="dxa"/>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4" w:space="0" w:color="000000"/>
            </w:tcBorders>
            <w:shd w:fill="E6E7E8"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795,000 </w:t>
            </w:r>
          </w:p>
        </w:tc>
        <w:tc>
          <w:tcPr>
            <w:tcW w:w="109" w:type="dxa"/>
            <w:tcBorders>
              <w:top w:val="single" w:sz="4" w:space="0" w:color="000000"/>
            </w:tcBorders>
            <w:shd w:fill="E6E7E8"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6,305</w:t>
            </w:r>
          </w:p>
        </w:tc>
        <w:tc>
          <w:tcPr>
            <w:tcW w:w="601" w:type="dxa"/>
            <w:gridSpan w:val="3"/>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5,469</w:t>
            </w:r>
          </w:p>
        </w:tc>
        <w:tc>
          <w:tcPr>
            <w:tcW w:w="646" w:type="dxa"/>
            <w:gridSpan w:val="3"/>
            <w:tcBorders>
              <w:top w:val="single" w:sz="4" w:space="0" w:color="000000"/>
              <w:left w:val="single" w:sz="4" w:space="0" w:color="000000"/>
              <w:right w:val="single" w:sz="4" w:space="0" w:color="000000"/>
            </w:tcBorders>
            <w:shd w:fill="E6E7E8" w:val="clear"/>
            <w:tcMar>
              <w:top w:w="30" w:type="dxa"/>
              <w:bottom w:w="0" w:type="dxa"/>
              <w:right w:w="26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2,735</w:t>
            </w:r>
          </w:p>
        </w:tc>
      </w:tr>
      <w:tr>
        <w:trPr/>
        <w:tc>
          <w:tcPr>
            <w:tcW w:w="2070"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John W. Swann, III</w:t>
            </w:r>
          </w:p>
        </w:tc>
        <w:tc>
          <w:tcPr>
            <w:tcW w:w="196" w:type="dxa"/>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750,000 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5,948</w:t>
            </w:r>
          </w:p>
        </w:tc>
        <w:tc>
          <w:tcPr>
            <w:tcW w:w="601"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5,160</w:t>
            </w:r>
          </w:p>
        </w:tc>
        <w:tc>
          <w:tcPr>
            <w:tcW w:w="646" w:type="dxa"/>
            <w:gridSpan w:val="3"/>
            <w:tcBorders>
              <w:top w:val="single" w:sz="4" w:space="0" w:color="000000"/>
              <w:left w:val="single" w:sz="4" w:space="0" w:color="000000"/>
              <w:right w:val="single" w:sz="4" w:space="0" w:color="000000"/>
            </w:tcBorders>
            <w:shd w:fill="FFFFFF" w:val="clear"/>
            <w:tcMar>
              <w:top w:w="30" w:type="dxa"/>
              <w:bottom w:w="0" w:type="dxa"/>
              <w:right w:w="26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2,580</w:t>
            </w:r>
          </w:p>
        </w:tc>
      </w:tr>
      <w:tr>
        <w:trPr/>
        <w:tc>
          <w:tcPr>
            <w:tcW w:w="2070" w:type="dxa"/>
            <w:gridSpan w:val="3"/>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Sean McClenaghan</w:t>
            </w:r>
          </w:p>
        </w:tc>
        <w:tc>
          <w:tcPr>
            <w:tcW w:w="196" w:type="dxa"/>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4" w:space="0" w:color="000000"/>
            </w:tcBorders>
            <w:shd w:fill="E6E7E8"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750,000 </w:t>
            </w:r>
          </w:p>
        </w:tc>
        <w:tc>
          <w:tcPr>
            <w:tcW w:w="109" w:type="dxa"/>
            <w:tcBorders>
              <w:top w:val="single" w:sz="4" w:space="0" w:color="000000"/>
            </w:tcBorders>
            <w:shd w:fill="E6E7E8"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5,948</w:t>
            </w:r>
          </w:p>
        </w:tc>
        <w:tc>
          <w:tcPr>
            <w:tcW w:w="601" w:type="dxa"/>
            <w:gridSpan w:val="3"/>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5,160</w:t>
            </w:r>
          </w:p>
        </w:tc>
        <w:tc>
          <w:tcPr>
            <w:tcW w:w="646" w:type="dxa"/>
            <w:gridSpan w:val="3"/>
            <w:tcBorders>
              <w:top w:val="single" w:sz="4" w:space="0" w:color="000000"/>
              <w:left w:val="single" w:sz="4" w:space="0" w:color="000000"/>
              <w:right w:val="single" w:sz="4" w:space="0" w:color="000000"/>
            </w:tcBorders>
            <w:shd w:fill="E6E7E8" w:val="clear"/>
            <w:tcMar>
              <w:top w:w="30" w:type="dxa"/>
              <w:bottom w:w="0" w:type="dxa"/>
              <w:right w:w="26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2,580</w:t>
            </w:r>
          </w:p>
        </w:tc>
      </w:tr>
      <w:tr>
        <w:trPr/>
        <w:tc>
          <w:tcPr>
            <w:tcW w:w="2070" w:type="dxa"/>
            <w:gridSpan w:val="3"/>
            <w:tcBorders>
              <w:top w:val="single" w:sz="4" w:space="0" w:color="000000"/>
              <w:left w:val="single" w:sz="4" w:space="0" w:color="000000"/>
              <w:bottom w:val="single" w:sz="4" w:space="0" w:color="000000"/>
            </w:tcBorders>
            <w:shd w:fill="FFFFFF" w:val="clear"/>
            <w:tcMar>
              <w:top w:w="30" w:type="dxa"/>
              <w:bottom w:w="30" w:type="dxa"/>
              <w:right w:w="0" w:type="dxa"/>
            </w:tcMar>
            <w:vAlign w:val="center"/>
          </w:tcPr>
          <w:p>
            <w:pPr>
              <w:pStyle w:val="TableContents"/>
              <w:bidi w:val="0"/>
              <w:spacing w:lineRule="auto" w:line="288" w:before="0" w:after="0"/>
              <w:jc w:val="left"/>
              <w:rPr/>
            </w:pPr>
            <w:r>
              <w:rPr>
                <w:rFonts w:ascii="Arial;sans-serif" w:hAnsi="Arial;sans-serif"/>
                <w:b w:val="false"/>
                <w:color w:val="000000"/>
                <w:sz w:val="16"/>
              </w:rPr>
              <w:t>Michael A. Reilly</w:t>
            </w:r>
            <w:r>
              <w:rPr>
                <w:rFonts w:ascii="Arial;sans-serif" w:hAnsi="Arial;sans-serif"/>
                <w:b w:val="false"/>
                <w:color w:val="000000"/>
                <w:sz w:val="10"/>
              </w:rPr>
              <w:t>(2)</w:t>
            </w:r>
          </w:p>
        </w:tc>
        <w:tc>
          <w:tcPr>
            <w:tcW w:w="1176" w:type="dxa"/>
            <w:gridSpan w:val="3"/>
            <w:tcBorders>
              <w:top w:val="single" w:sz="4" w:space="0" w:color="000000"/>
              <w:left w:val="single" w:sz="4" w:space="0" w:color="000000"/>
              <w:bottom w:val="single" w:sz="4" w:space="0" w:color="000000"/>
            </w:tcBorders>
            <w:shd w:fill="FFFFFF" w:val="clear"/>
            <w:tcMar>
              <w:top w:w="3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     —</w:t>
            </w:r>
          </w:p>
        </w:tc>
        <w:tc>
          <w:tcPr>
            <w:tcW w:w="751" w:type="dxa"/>
            <w:gridSpan w:val="3"/>
            <w:tcBorders>
              <w:top w:val="single" w:sz="4" w:space="0" w:color="000000"/>
              <w:left w:val="single" w:sz="4" w:space="0" w:color="000000"/>
              <w:bottom w:val="single" w:sz="4" w:space="0" w:color="000000"/>
            </w:tcBorders>
            <w:shd w:fill="FFFFFF" w:val="clear"/>
            <w:tcMar>
              <w:top w:w="30" w:type="dxa"/>
              <w:bottom w:w="30" w:type="dxa"/>
              <w:right w:w="0" w:type="dxa"/>
            </w:tcMar>
            <w:vAlign w:val="center"/>
          </w:tcPr>
          <w:p>
            <w:pPr>
              <w:pStyle w:val="TableContents"/>
              <w:bidi w:val="0"/>
              <w:spacing w:lineRule="auto" w:line="288" w:before="0" w:after="283"/>
              <w:jc w:val="right"/>
              <w:rPr>
                <w:color w:val="000000"/>
              </w:rPr>
            </w:pPr>
            <w:r>
              <w:rPr>
                <w:color w:val="000000"/>
              </w:rPr>
              <w:t>—</w:t>
            </w:r>
          </w:p>
        </w:tc>
        <w:tc>
          <w:tcPr>
            <w:tcW w:w="601" w:type="dxa"/>
            <w:gridSpan w:val="3"/>
            <w:tcBorders>
              <w:top w:val="single" w:sz="4" w:space="0" w:color="000000"/>
              <w:left w:val="single" w:sz="4" w:space="0" w:color="000000"/>
              <w:bottom w:val="single" w:sz="4" w:space="0" w:color="000000"/>
            </w:tcBorders>
            <w:shd w:fill="FFFFFF" w:val="clear"/>
            <w:tcMar>
              <w:top w:w="30" w:type="dxa"/>
              <w:bottom w:w="30" w:type="dxa"/>
              <w:right w:w="0" w:type="dxa"/>
            </w:tcMar>
            <w:vAlign w:val="center"/>
          </w:tcPr>
          <w:p>
            <w:pPr>
              <w:pStyle w:val="TableContents"/>
              <w:bidi w:val="0"/>
              <w:spacing w:lineRule="auto" w:line="288" w:before="0" w:after="283"/>
              <w:jc w:val="right"/>
              <w:rPr>
                <w:color w:val="000000"/>
              </w:rPr>
            </w:pPr>
            <w:r>
              <w:rPr>
                <w:color w:val="000000"/>
              </w:rPr>
              <w:t>—</w:t>
            </w:r>
          </w:p>
        </w:tc>
        <w:tc>
          <w:tcPr>
            <w:tcW w:w="646" w:type="dxa"/>
            <w:gridSpan w:val="3"/>
            <w:tcBorders>
              <w:top w:val="single" w:sz="4" w:space="0" w:color="000000"/>
              <w:left w:val="single" w:sz="4" w:space="0" w:color="000000"/>
              <w:bottom w:val="single" w:sz="4" w:space="0" w:color="000000"/>
              <w:right w:val="single" w:sz="4" w:space="0" w:color="000000"/>
            </w:tcBorders>
            <w:shd w:fill="FFFFFF" w:val="clear"/>
            <w:tcMar>
              <w:top w:w="30" w:type="dxa"/>
              <w:bottom w:w="30" w:type="dxa"/>
              <w:right w:w="260" w:type="dxa"/>
            </w:tcMar>
            <w:vAlign w:val="center"/>
          </w:tcPr>
          <w:p>
            <w:pPr>
              <w:pStyle w:val="TableContents"/>
              <w:bidi w:val="0"/>
              <w:spacing w:lineRule="auto" w:line="288" w:before="0" w:after="283"/>
              <w:jc w:val="right"/>
              <w:rPr>
                <w:color w:val="000000"/>
              </w:rPr>
            </w:pPr>
            <w:r>
              <w:rPr>
                <w:color w:val="000000"/>
              </w:rPr>
              <w:t>—</w:t>
            </w:r>
          </w:p>
        </w:tc>
      </w:tr>
    </w:tbl>
    <w:p>
      <w:pPr>
        <w:pStyle w:val="TextBody"/>
        <w:bidi w:val="0"/>
        <w:spacing w:lineRule="auto" w:line="288" w:before="0" w:after="60"/>
        <w:ind w:left="0" w:right="0" w:hanging="360"/>
        <w:jc w:val="both"/>
        <w:rPr>
          <w:rFonts w:ascii="Arial;sans-serif" w:hAnsi="Arial;sans-serif"/>
          <w:b w:val="false"/>
          <w:color w:val="000000"/>
          <w:sz w:val="14"/>
        </w:rPr>
      </w:pPr>
      <w:r>
        <w:rPr>
          <w:rFonts w:ascii="Arial;sans-serif" w:hAnsi="Arial;sans-serif"/>
          <w:b w:val="false"/>
          <w:color w:val="000000"/>
          <w:sz w:val="14"/>
        </w:rPr>
        <w:t>(1)In addition to annual grant of 2,408 RSUs, Mr. Carano received a grant of 3,499 RSUs effective February 1, 2023 in connection with the commencement of his employment in January 2023 to offset the loss of a portion of the incentive compensation under his prior employment arrangement. These additional RSUs vest in annual one-third increments over three years from the date of grant, contingent upon Mr. Carano’s continued employment.</w:t>
      </w:r>
    </w:p>
    <w:p>
      <w:pPr>
        <w:pStyle w:val="TextBody"/>
        <w:bidi w:val="0"/>
        <w:spacing w:lineRule="auto" w:line="288" w:before="0" w:after="360"/>
        <w:ind w:left="0" w:right="0" w:hanging="360"/>
        <w:jc w:val="both"/>
        <w:rPr>
          <w:rFonts w:ascii="Arial;sans-serif" w:hAnsi="Arial;sans-serif"/>
          <w:b w:val="false"/>
          <w:color w:val="000000"/>
          <w:sz w:val="14"/>
        </w:rPr>
      </w:pPr>
      <w:r>
        <w:rPr>
          <w:rFonts w:ascii="Arial;sans-serif" w:hAnsi="Arial;sans-serif"/>
          <w:b w:val="false"/>
          <w:color w:val="000000"/>
          <w:sz w:val="14"/>
        </w:rPr>
        <w:t>(2)Mr. Reilly did not receive a long-term equity grant in 2023 given his retirement.</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The allocation of Options was based on the Black-Scholes valuation and RSUs and PSUs were based on the average closing fair market value of SPX stock for the 15 trading days immediately preceding the date of grant. The amounts included for PSUs in the “Summary Compensation Table” beginning on page 38 and in the table included in “Grants of Plan-Based Awards” beginning on page 41 are based on the grant date fair value of the PSUs determined using financial accounting assumptions as required by SEC rules for reporting the related compensation in those tables, which differ from the values assigned to these awards in the allocations described above.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739140"/>
                <wp:effectExtent l="0" t="0" r="0" b="0"/>
                <wp:wrapNone/>
                <wp:docPr id="132" name="Frame39"/>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292" w:type="dxa"/>
                              <w:jc w:val="right"/>
                              <w:tblInd w:w="0" w:type="dxa"/>
                              <w:tblLayout w:type="fixed"/>
                              <w:tblCellMar>
                                <w:top w:w="28" w:type="dxa"/>
                                <w:left w:w="28" w:type="dxa"/>
                                <w:bottom w:w="28" w:type="dxa"/>
                                <w:right w:w="28" w:type="dxa"/>
                              </w:tblCellMar>
                            </w:tblPr>
                            <w:tblGrid>
                              <w:gridCol w:w="292"/>
                              <w:gridCol w:w="256"/>
                              <w:gridCol w:w="258"/>
                              <w:gridCol w:w="704"/>
                              <w:gridCol w:w="704"/>
                              <w:gridCol w:w="706"/>
                              <w:gridCol w:w="109"/>
                              <w:gridCol w:w="109"/>
                              <w:gridCol w:w="154"/>
                            </w:tblGrid>
                            <w:tr>
                              <w:trPr/>
                              <w:tc>
                                <w:tcPr>
                                  <w:tcW w:w="29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0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133"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Image62" descr=""/>
                                                <pic:cNvPicPr>
                                                  <a:picLocks noChangeAspect="1" noChangeArrowheads="1"/>
                                                </pic:cNvPicPr>
                                              </pic:nvPicPr>
                                              <pic:blipFill>
                                                <a:blip r:embed="rId95"/>
                                                <a:stretch>
                                                  <a:fillRect/>
                                                </a:stretch>
                                              </pic:blipFill>
                                              <pic:spPr bwMode="auto">
                                                <a:xfrm>
                                                  <a:off x="0" y="0"/>
                                                  <a:ext cx="447675" cy="161925"/>
                                                </a:xfrm>
                                                <a:prstGeom prst="rect">
                                                  <a:avLst/>
                                                </a:prstGeom>
                                              </pic:spPr>
                                            </pic:pic>
                                          </a:graphicData>
                                        </a:graphic>
                                      </wp:inline>
                                    </w:drawing>
                                  </w:r>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2024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000000"/>
                                      <w:sz w:val="16"/>
                                    </w:rPr>
                                  </w:pPr>
                                  <w:r>
                                    <w:rPr>
                                      <w:rFonts w:ascii="Arial;sans-serif" w:hAnsi="Arial;sans-serif"/>
                                      <w:b/>
                                      <w:color w:val="000000"/>
                                      <w:sz w:val="16"/>
                                    </w:rPr>
                                    <w:t>33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292" w:type="dxa"/>
                        <w:jc w:val="right"/>
                        <w:tblInd w:w="0" w:type="dxa"/>
                        <w:tblLayout w:type="fixed"/>
                        <w:tblCellMar>
                          <w:top w:w="28" w:type="dxa"/>
                          <w:left w:w="28" w:type="dxa"/>
                          <w:bottom w:w="28" w:type="dxa"/>
                          <w:right w:w="28" w:type="dxa"/>
                        </w:tblCellMar>
                      </w:tblPr>
                      <w:tblGrid>
                        <w:gridCol w:w="292"/>
                        <w:gridCol w:w="256"/>
                        <w:gridCol w:w="258"/>
                        <w:gridCol w:w="704"/>
                        <w:gridCol w:w="704"/>
                        <w:gridCol w:w="706"/>
                        <w:gridCol w:w="109"/>
                        <w:gridCol w:w="109"/>
                        <w:gridCol w:w="154"/>
                      </w:tblGrid>
                      <w:tr>
                        <w:trPr/>
                        <w:tc>
                          <w:tcPr>
                            <w:tcW w:w="29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0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134"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Image62" descr=""/>
                                          <pic:cNvPicPr>
                                            <a:picLocks noChangeAspect="1" noChangeArrowheads="1"/>
                                          </pic:cNvPicPr>
                                        </pic:nvPicPr>
                                        <pic:blipFill>
                                          <a:blip r:embed="rId96"/>
                                          <a:stretch>
                                            <a:fillRect/>
                                          </a:stretch>
                                        </pic:blipFill>
                                        <pic:spPr bwMode="auto">
                                          <a:xfrm>
                                            <a:off x="0" y="0"/>
                                            <a:ext cx="447675" cy="161925"/>
                                          </a:xfrm>
                                          <a:prstGeom prst="rect">
                                            <a:avLst/>
                                          </a:prstGeom>
                                        </pic:spPr>
                                      </pic:pic>
                                    </a:graphicData>
                                  </a:graphic>
                                </wp:inline>
                              </w:drawing>
                            </w:r>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2024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000000"/>
                                <w:sz w:val="16"/>
                              </w:rPr>
                            </w:pPr>
                            <w:r>
                              <w:rPr>
                                <w:rFonts w:ascii="Arial;sans-serif" w:hAnsi="Arial;sans-serif"/>
                                <w:b/>
                                <w:color w:val="000000"/>
                                <w:sz w:val="16"/>
                              </w:rPr>
                              <w:t>33</w:t>
                            </w:r>
                          </w:p>
                        </w:tc>
                      </w:tr>
                    </w:tbl>
                    <w:p>
                      <w:pPr>
                        <w:pStyle w:val="TextBody"/>
                        <w:bidi w:val="0"/>
                        <w:spacing w:before="0" w:after="283"/>
                        <w:jc w:val="left"/>
                        <w:rPr/>
                      </w:pPr>
                      <w:r>
                        <w:rPr/>
                      </w:r>
                    </w:p>
                  </w:txbxContent>
                </v:textbox>
                <w10:wrap type="none"/>
              </v:rect>
            </w:pict>
          </mc:Fallback>
        </mc:AlternateContent>
      </w:r>
    </w:p>
    <w:tbl>
      <w:tblPr>
        <w:tblW w:w="2459" w:type="dxa"/>
        <w:jc w:val="right"/>
        <w:tblInd w:w="0" w:type="dxa"/>
        <w:tblLayout w:type="fixed"/>
        <w:tblCellMar>
          <w:top w:w="28" w:type="dxa"/>
          <w:left w:w="28" w:type="dxa"/>
          <w:bottom w:w="28" w:type="dxa"/>
          <w:right w:w="28" w:type="dxa"/>
        </w:tblCellMar>
      </w:tblPr>
      <w:tblGrid>
        <w:gridCol w:w="786"/>
        <w:gridCol w:w="691"/>
        <w:gridCol w:w="982"/>
      </w:tblGrid>
      <w:tr>
        <w:trPr/>
        <w:tc>
          <w:tcPr>
            <w:tcW w:w="78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r>
      <w:tr>
        <w:trPr/>
        <w:tc>
          <w:tcPr>
            <w:tcW w:w="2459" w:type="dxa"/>
            <w:gridSpan w:val="3"/>
            <w:tcBorders>
              <w:bottom w:val="single" w:sz="4" w:space="0" w:color="004C97"/>
            </w:tcBorders>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4C97"/>
                <w:sz w:val="16"/>
              </w:rPr>
            </w:pPr>
            <w:r>
              <w:rPr>
                <w:rFonts w:ascii="Arial;sans-serif" w:hAnsi="Arial;sans-serif"/>
                <w:b w:val="false"/>
                <w:color w:val="004C97"/>
                <w:sz w:val="16"/>
              </w:rPr>
              <w:t>EXECUTIVE COMPENSATION</w:t>
            </w:r>
          </w:p>
        </w:tc>
      </w:tr>
    </w:tbl>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Outstanding equity awards are more fully described in the “Outstanding Equity Awards at Fiscal Year-End” table in “Executive Compensation,” beginning on page 43.</w:t>
      </w:r>
    </w:p>
    <w:p>
      <w:pPr>
        <w:pStyle w:val="TextBody"/>
        <w:bidi w:val="0"/>
        <w:spacing w:lineRule="auto" w:line="288" w:before="0" w:after="60"/>
        <w:jc w:val="left"/>
        <w:rPr>
          <w:rFonts w:ascii="Arial;sans-serif" w:hAnsi="Arial;sans-serif"/>
          <w:b w:val="false"/>
          <w:i/>
          <w:color w:val="004C97"/>
          <w:sz w:val="20"/>
        </w:rPr>
      </w:pPr>
      <w:r>
        <w:rPr>
          <w:rFonts w:ascii="Arial;sans-serif" w:hAnsi="Arial;sans-serif"/>
          <w:b w:val="false"/>
          <w:i/>
          <w:color w:val="004C97"/>
          <w:sz w:val="20"/>
        </w:rPr>
        <w:t>Performance Stock Units Awards in 2021</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The grant of PSUs made in February 2021 to the NEOs other than Mr. Carano and Mr. McClenaghan (who joined SPX after those grants had been made) covered the measurement period of January 1, 2021 through December 31, 2023. The performance metric for these PSUs measures r-TSR compared to a peer group within the S&amp;P 600 Small Cap Capital Goods Index. Total stockholder return delivered in the measurement period was 66.99%, which ranked in the 68th percentile, compared to threshold of 30th percentile, target of 50th percentile, and maximum of 75th percentile. The resulting performance achievement of the February 2021 grant was a 136.0% payout of the PSUs. The final value of the payout reflects both the appreciation of the value of stock since the time of the grant and the payout at 136.0% of the performance award.</w:t>
      </w:r>
    </w:p>
    <w:p>
      <w:pPr>
        <w:pStyle w:val="TextBody"/>
        <w:bidi w:val="0"/>
        <w:spacing w:lineRule="auto" w:line="288" w:before="0" w:after="60"/>
        <w:jc w:val="left"/>
        <w:rPr>
          <w:rFonts w:ascii="Arial;sans-serif" w:hAnsi="Arial;sans-serif"/>
          <w:b/>
          <w:color w:val="000000"/>
          <w:sz w:val="22"/>
        </w:rPr>
      </w:pPr>
      <w:r>
        <w:rPr>
          <w:rFonts w:ascii="Arial;sans-serif" w:hAnsi="Arial;sans-serif"/>
          <w:b/>
          <w:color w:val="000000"/>
          <w:sz w:val="22"/>
        </w:rPr>
        <w:t>OTHER PRACTICES, POLICIES, AND GUIDELINES</w:t>
      </w:r>
    </w:p>
    <w:p>
      <w:pPr>
        <w:pStyle w:val="TextBody"/>
        <w:bidi w:val="0"/>
        <w:spacing w:lineRule="auto" w:line="288" w:before="0" w:after="60"/>
        <w:jc w:val="left"/>
        <w:rPr>
          <w:rFonts w:ascii="Arial;sans-serif" w:hAnsi="Arial;sans-serif"/>
          <w:b/>
          <w:color w:val="004C97"/>
          <w:sz w:val="20"/>
        </w:rPr>
      </w:pPr>
      <w:r>
        <w:rPr>
          <w:rFonts w:ascii="Arial;sans-serif" w:hAnsi="Arial;sans-serif"/>
          <w:b/>
          <w:color w:val="004C97"/>
          <w:sz w:val="20"/>
        </w:rPr>
        <w:t>Policy on Hedging</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No SPX director or employee may trade in derivative securities relating to SPX securities, such as put and call options or forward transactions.</w:t>
      </w:r>
    </w:p>
    <w:p>
      <w:pPr>
        <w:pStyle w:val="TextBody"/>
        <w:bidi w:val="0"/>
        <w:spacing w:lineRule="auto" w:line="288" w:before="0" w:after="60"/>
        <w:jc w:val="left"/>
        <w:rPr>
          <w:rFonts w:ascii="Arial;sans-serif" w:hAnsi="Arial;sans-serif"/>
          <w:b/>
          <w:color w:val="004C97"/>
          <w:sz w:val="20"/>
        </w:rPr>
      </w:pPr>
      <w:r>
        <w:rPr>
          <w:rFonts w:ascii="Arial;sans-serif" w:hAnsi="Arial;sans-serif"/>
          <w:b/>
          <w:color w:val="004C97"/>
          <w:sz w:val="20"/>
        </w:rPr>
        <w:t>Policy on Pledging</w:t>
      </w:r>
    </w:p>
    <w:p>
      <w:pPr>
        <w:pStyle w:val="TextBody"/>
        <w:bidi w:val="0"/>
        <w:spacing w:lineRule="auto" w:line="240" w:before="0" w:after="120"/>
        <w:jc w:val="left"/>
        <w:rPr>
          <w:rFonts w:ascii="Arial;sans-serif" w:hAnsi="Arial;sans-serif"/>
          <w:b w:val="false"/>
          <w:color w:val="000000"/>
          <w:sz w:val="18"/>
        </w:rPr>
      </w:pPr>
      <w:r>
        <w:rPr>
          <w:rFonts w:ascii="Arial;sans-serif" w:hAnsi="Arial;sans-serif"/>
          <w:b w:val="false"/>
          <w:color w:val="000000"/>
          <w:sz w:val="18"/>
        </w:rPr>
        <w:t>No SPX director or officer may pledge SPX securities.</w:t>
      </w:r>
    </w:p>
    <w:p>
      <w:pPr>
        <w:pStyle w:val="TextBody"/>
        <w:bidi w:val="0"/>
        <w:spacing w:lineRule="auto" w:line="288" w:before="0" w:after="60"/>
        <w:jc w:val="left"/>
        <w:rPr>
          <w:rFonts w:ascii="Arial;sans-serif" w:hAnsi="Arial;sans-serif"/>
          <w:b/>
          <w:color w:val="004C97"/>
          <w:sz w:val="20"/>
        </w:rPr>
      </w:pPr>
      <w:r>
        <w:rPr>
          <w:rFonts w:ascii="Arial;sans-serif" w:hAnsi="Arial;sans-serif"/>
          <w:b/>
          <w:color w:val="004C97"/>
          <w:sz w:val="20"/>
        </w:rPr>
        <w:t>Stock Ownership Guidelines</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Our Stock Ownership Guidelines are designed to help ensure our officers’ interests are closely aligned with those of our long-term stockholders. Additional detail can be found in “Ownership of Common Stock—Stock Ownership Guidelines” on page 20.</w:t>
      </w:r>
    </w:p>
    <w:p>
      <w:pPr>
        <w:pStyle w:val="TextBody"/>
        <w:bidi w:val="0"/>
        <w:spacing w:lineRule="auto" w:line="288" w:before="0" w:after="60"/>
        <w:jc w:val="left"/>
        <w:rPr>
          <w:rFonts w:ascii="Arial;sans-serif" w:hAnsi="Arial;sans-serif"/>
          <w:b/>
          <w:color w:val="004C97"/>
          <w:sz w:val="20"/>
        </w:rPr>
      </w:pPr>
      <w:r>
        <w:rPr>
          <w:rFonts w:ascii="Arial;sans-serif" w:hAnsi="Arial;sans-serif"/>
          <w:b/>
          <w:color w:val="004C97"/>
          <w:sz w:val="20"/>
        </w:rPr>
        <w:t>Compensation Clawback Policies</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The Company maintains two executive compensation clawback policies with respect to its executive officers, including a policy adopted effective as of December 1, 2023 to address new requirements under rules recently adopted by the SEC and NYSE under the Dodd-Frank Wall Street Reform and Consumer Protection Act of 2010 mandating the clawback of incentive compensation upon the restatement of the Company’s financial statements. The prior-existing clawback policy that had been adopted by the Company defines the economic consequences misconduct could have on the compensation of executive officers. Under that policy, we retroactively adjust compensation in the event of a restatement of financial or other performance results to the extent required under applicable rules under the Sarbanes-Oxley Act of 2002. Our executive bonus program provides for repayment or forfeiture of awards under specified circumstances if the Company, as a result of misconduct, is required to prepare an accounting restatement due to material noncompliance with any financial reporting requirement under the securities laws. Any awards earned or accrued during the 12-month period following the first public issuance or filing with the SEC (whichever first occurred) of the financial document that failed to materially comply with a financial reporting requirement must be paid back to the Company. To the extent that the affected award was deferred under a nonqualified deferred compensation plan maintained by the Company rather than paid to the executive officer, the deferred amount (and any earnings from it) must be forfeited. If the Board were to determine that a NEO had engaged in fraudulent or intentional misconduct, it would take action to remedy the misconduct and impose appropriate discipline. Discipline would vary based on the facts and circumstances, but could include termination of employment and/or other appropriate actions.</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 xml:space="preserve">The recently adopted Dodd-Frank clawback policy is of broader scope and applies with respect to a restatement of the Company’s financial statements even in the absence of any fraud or misconduct by an executive officer. The policy generally requires the recovery by the Company, in the event of a required accounting restatement (including a “little-r” restatement) of the Company’s financial statements, of incentive-based compensation received after the effective date of the adoption of the policy, which is based wholly or in part upon the attainment of any financial reporting measure, received by current or former executive officers to the extent that such compensation based on the erroneously reported financial information exceeds the amount derived from the restated financial information. Clawback under the policy is required for any such excess compensation received during the three completed fiscal years immediately preceding the date the Company is required to prepare an accounting restatement. The policy provides for mandatory clawback by the Company of such excess compensation, with exceptions applicable only if (1) the direct expense paid to a third party to assist in enforcing the policy would exceed the amount to be recovered (provided that the Company must make a reasonable attempt to recover such erroneously awarded compensation, document its reasonable attempts to recover, and provide that documentation to the NYSE) or (2) a recovery from certain tax-qualified retirement plans would likely cause such plans to fail to meet the statutory requirements for tax exemption.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739140"/>
                <wp:effectExtent l="0" t="0" r="0" b="0"/>
                <wp:wrapNone/>
                <wp:docPr id="135" name="Frame40"/>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292" w:type="dxa"/>
                              <w:jc w:val="left"/>
                              <w:tblInd w:w="0" w:type="dxa"/>
                              <w:tblLayout w:type="fixed"/>
                              <w:tblCellMar>
                                <w:top w:w="28" w:type="dxa"/>
                                <w:left w:w="28" w:type="dxa"/>
                                <w:bottom w:w="28" w:type="dxa"/>
                                <w:right w:w="28" w:type="dxa"/>
                              </w:tblCellMar>
                            </w:tblPr>
                            <w:tblGrid>
                              <w:gridCol w:w="124"/>
                              <w:gridCol w:w="109"/>
                              <w:gridCol w:w="109"/>
                              <w:gridCol w:w="704"/>
                              <w:gridCol w:w="704"/>
                              <w:gridCol w:w="706"/>
                              <w:gridCol w:w="244"/>
                              <w:gridCol w:w="244"/>
                              <w:gridCol w:w="34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6"/>
                                    </w:rPr>
                                  </w:pPr>
                                  <w:r>
                                    <w:rPr>
                                      <w:rFonts w:ascii="Arial;sans-serif" w:hAnsi="Arial;sans-serif"/>
                                      <w:b/>
                                      <w:color w:val="000000"/>
                                      <w:sz w:val="16"/>
                                    </w:rPr>
                                    <w:t>34</w:t>
                                  </w:r>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2024 PROXY STATEMENT</w:t>
                                  </w:r>
                                </w:p>
                              </w:tc>
                              <w:tc>
                                <w:tcPr>
                                  <w:tcW w:w="83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136"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 name="Image63" descr=""/>
                                                <pic:cNvPicPr>
                                                  <a:picLocks noChangeAspect="1" noChangeArrowheads="1"/>
                                                </pic:cNvPicPr>
                                              </pic:nvPicPr>
                                              <pic:blipFill>
                                                <a:blip r:embed="rId97"/>
                                                <a:stretch>
                                                  <a:fillRect/>
                                                </a:stretch>
                                              </pic:blipFill>
                                              <pic:spPr bwMode="auto">
                                                <a:xfrm>
                                                  <a:off x="0" y="0"/>
                                                  <a:ext cx="447675" cy="161925"/>
                                                </a:xfrm>
                                                <a:prstGeom prst="rect">
                                                  <a:avLst/>
                                                </a:prstGeom>
                                              </pic:spPr>
                                            </pic:pic>
                                          </a:graphicData>
                                        </a:graphic>
                                      </wp:inline>
                                    </w:drawing>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292" w:type="dxa"/>
                        <w:jc w:val="left"/>
                        <w:tblInd w:w="0" w:type="dxa"/>
                        <w:tblLayout w:type="fixed"/>
                        <w:tblCellMar>
                          <w:top w:w="28" w:type="dxa"/>
                          <w:left w:w="28" w:type="dxa"/>
                          <w:bottom w:w="28" w:type="dxa"/>
                          <w:right w:w="28" w:type="dxa"/>
                        </w:tblCellMar>
                      </w:tblPr>
                      <w:tblGrid>
                        <w:gridCol w:w="124"/>
                        <w:gridCol w:w="109"/>
                        <w:gridCol w:w="109"/>
                        <w:gridCol w:w="704"/>
                        <w:gridCol w:w="704"/>
                        <w:gridCol w:w="706"/>
                        <w:gridCol w:w="244"/>
                        <w:gridCol w:w="244"/>
                        <w:gridCol w:w="34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6"/>
                              </w:rPr>
                            </w:pPr>
                            <w:r>
                              <w:rPr>
                                <w:rFonts w:ascii="Arial;sans-serif" w:hAnsi="Arial;sans-serif"/>
                                <w:b/>
                                <w:color w:val="000000"/>
                                <w:sz w:val="16"/>
                              </w:rPr>
                              <w:t>34</w:t>
                            </w:r>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2024 PROXY STATEMENT</w:t>
                            </w:r>
                          </w:p>
                        </w:tc>
                        <w:tc>
                          <w:tcPr>
                            <w:tcW w:w="83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137"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 name="Image63" descr=""/>
                                          <pic:cNvPicPr>
                                            <a:picLocks noChangeAspect="1" noChangeArrowheads="1"/>
                                          </pic:cNvPicPr>
                                        </pic:nvPicPr>
                                        <pic:blipFill>
                                          <a:blip r:embed="rId98"/>
                                          <a:stretch>
                                            <a:fillRect/>
                                          </a:stretch>
                                        </pic:blipFill>
                                        <pic:spPr bwMode="auto">
                                          <a:xfrm>
                                            <a:off x="0" y="0"/>
                                            <a:ext cx="447675" cy="161925"/>
                                          </a:xfrm>
                                          <a:prstGeom prst="rect">
                                            <a:avLst/>
                                          </a:prstGeom>
                                        </pic:spPr>
                                      </pic:pic>
                                    </a:graphicData>
                                  </a:graphic>
                                </wp:inline>
                              </w:drawing>
                            </w:r>
                          </w:p>
                        </w:tc>
                      </w:tr>
                    </w:tbl>
                    <w:p>
                      <w:pPr>
                        <w:pStyle w:val="TextBody"/>
                        <w:bidi w:val="0"/>
                        <w:spacing w:before="0" w:after="283"/>
                        <w:jc w:val="left"/>
                        <w:rPr/>
                      </w:pPr>
                      <w:r>
                        <w:rPr/>
                      </w:r>
                    </w:p>
                  </w:txbxContent>
                </v:textbox>
                <w10:wrap type="none"/>
              </v:rect>
            </w:pict>
          </mc:Fallback>
        </mc:AlternateContent>
      </w:r>
    </w:p>
    <w:tbl>
      <w:tblPr>
        <w:tblW w:w="2459" w:type="dxa"/>
        <w:jc w:val="left"/>
        <w:tblInd w:w="0" w:type="dxa"/>
        <w:tblLayout w:type="fixed"/>
        <w:tblCellMar>
          <w:top w:w="28" w:type="dxa"/>
          <w:left w:w="28" w:type="dxa"/>
          <w:bottom w:w="28" w:type="dxa"/>
          <w:right w:w="28" w:type="dxa"/>
        </w:tblCellMar>
      </w:tblPr>
      <w:tblGrid>
        <w:gridCol w:w="786"/>
        <w:gridCol w:w="691"/>
        <w:gridCol w:w="982"/>
      </w:tblGrid>
      <w:tr>
        <w:trPr/>
        <w:tc>
          <w:tcPr>
            <w:tcW w:w="78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r>
      <w:tr>
        <w:trPr/>
        <w:tc>
          <w:tcPr>
            <w:tcW w:w="2459" w:type="dxa"/>
            <w:gridSpan w:val="3"/>
            <w:tcBorders>
              <w:bottom w:val="single" w:sz="4" w:space="0" w:color="004C97"/>
            </w:tcBorders>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4C97"/>
                <w:sz w:val="16"/>
              </w:rPr>
            </w:pPr>
            <w:r>
              <w:rPr>
                <w:rFonts w:ascii="Arial;sans-serif" w:hAnsi="Arial;sans-serif"/>
                <w:b w:val="false"/>
                <w:color w:val="004C97"/>
                <w:sz w:val="16"/>
              </w:rPr>
              <w:t>EXECUTIVE COMPENSATION</w:t>
            </w:r>
          </w:p>
        </w:tc>
      </w:tr>
    </w:tbl>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To facilitate the application of the Dodd-Frank clawback policy, the Company requires recipients of awards of incentive compensation based wholly or in part upon the attainment of any financial reporting measure, including relative TSR, to agree to repay any such excess compensation in accordance with the policy. Since 2013, our equity award agreements have provided that awards are subject to any compensation recovery policy adopted by the Company, as amended from time to time.</w:t>
      </w:r>
    </w:p>
    <w:p>
      <w:pPr>
        <w:pStyle w:val="TextBody"/>
        <w:bidi w:val="0"/>
        <w:spacing w:lineRule="auto" w:line="288" w:before="0" w:after="60"/>
        <w:jc w:val="left"/>
        <w:rPr>
          <w:rFonts w:ascii="Arial;sans-serif" w:hAnsi="Arial;sans-serif"/>
          <w:b/>
          <w:color w:val="004C97"/>
          <w:sz w:val="20"/>
        </w:rPr>
      </w:pPr>
      <w:r>
        <w:rPr>
          <w:rFonts w:ascii="Arial;sans-serif" w:hAnsi="Arial;sans-serif"/>
          <w:b/>
          <w:color w:val="004C97"/>
          <w:sz w:val="20"/>
        </w:rPr>
        <w:t>Other Benefits and Perquisites</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We provide perquisites to attract and retain executives in a competitive marketplace, and we believe these benefits are generally consistent with market practices of our peer group and other comparable public industrial manufacturing companies. For a full listing of benefits and perquisites, see the “Summary Compensation Table” and accompanying footnotes beginning on page 38. We do not provide tax gross-up payments for perquisites.</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Our CEO may utilize our aircraft for personal travel for himself and his family. Other executive officers may be permitted personal use of our aircraft for themselves and their families if approved by our CEO. We report the value of any personal use of our corporate aircraft by NEOs as ordinary taxable income based on Standard Industry Fare Levels and as compensation in the “Summary Compensation Table” on page 38. based on our incremental costs.</w:t>
      </w:r>
    </w:p>
    <w:p>
      <w:pPr>
        <w:pStyle w:val="TextBody"/>
        <w:bidi w:val="0"/>
        <w:spacing w:lineRule="auto" w:line="288" w:before="0" w:after="60"/>
        <w:jc w:val="left"/>
        <w:rPr>
          <w:rFonts w:ascii="Arial;sans-serif" w:hAnsi="Arial;sans-serif"/>
          <w:b/>
          <w:color w:val="004C97"/>
          <w:sz w:val="20"/>
        </w:rPr>
      </w:pPr>
      <w:r>
        <w:rPr>
          <w:rFonts w:ascii="Arial;sans-serif" w:hAnsi="Arial;sans-serif"/>
          <w:b/>
          <w:color w:val="004C97"/>
          <w:sz w:val="20"/>
        </w:rPr>
        <w:t>Retirement and Deferred Compensation Plans</w:t>
      </w:r>
    </w:p>
    <w:tbl>
      <w:tblPr>
        <w:tblW w:w="6645" w:type="dxa"/>
        <w:jc w:val="left"/>
        <w:tblInd w:w="0" w:type="dxa"/>
        <w:tblLayout w:type="fixed"/>
        <w:tblCellMar>
          <w:top w:w="28" w:type="dxa"/>
          <w:left w:w="28" w:type="dxa"/>
          <w:bottom w:w="28" w:type="dxa"/>
          <w:right w:w="28" w:type="dxa"/>
        </w:tblCellMar>
      </w:tblPr>
      <w:tblGrid>
        <w:gridCol w:w="2126"/>
        <w:gridCol w:w="1869"/>
        <w:gridCol w:w="2650"/>
      </w:tblGrid>
      <w:tr>
        <w:trPr/>
        <w:tc>
          <w:tcPr>
            <w:tcW w:w="2126" w:type="dxa"/>
            <w:tcBorders/>
            <w:vAlign w:val="center"/>
          </w:tcPr>
          <w:p>
            <w:pPr>
              <w:pStyle w:val="TableContents"/>
              <w:bidi w:val="0"/>
              <w:spacing w:before="0" w:after="283"/>
              <w:jc w:val="left"/>
              <w:rPr>
                <w:sz w:val="4"/>
                <w:szCs w:val="4"/>
              </w:rPr>
            </w:pPr>
            <w:r>
              <w:rPr>
                <w:sz w:val="4"/>
                <w:szCs w:val="4"/>
              </w:rPr>
            </w:r>
          </w:p>
        </w:tc>
        <w:tc>
          <w:tcPr>
            <w:tcW w:w="1869" w:type="dxa"/>
            <w:tcBorders/>
            <w:vAlign w:val="center"/>
          </w:tcPr>
          <w:p>
            <w:pPr>
              <w:pStyle w:val="TableContents"/>
              <w:bidi w:val="0"/>
              <w:spacing w:before="0" w:after="283"/>
              <w:jc w:val="left"/>
              <w:rPr>
                <w:sz w:val="4"/>
                <w:szCs w:val="4"/>
              </w:rPr>
            </w:pPr>
            <w:r>
              <w:rPr>
                <w:sz w:val="4"/>
                <w:szCs w:val="4"/>
              </w:rPr>
            </w:r>
          </w:p>
        </w:tc>
        <w:tc>
          <w:tcPr>
            <w:tcW w:w="2650" w:type="dxa"/>
            <w:tcBorders/>
            <w:vAlign w:val="center"/>
          </w:tcPr>
          <w:p>
            <w:pPr>
              <w:pStyle w:val="TableContents"/>
              <w:bidi w:val="0"/>
              <w:spacing w:before="0" w:after="283"/>
              <w:jc w:val="left"/>
              <w:rPr>
                <w:sz w:val="4"/>
                <w:szCs w:val="4"/>
              </w:rPr>
            </w:pPr>
            <w:r>
              <w:rPr>
                <w:sz w:val="4"/>
                <w:szCs w:val="4"/>
              </w:rPr>
            </w:r>
          </w:p>
        </w:tc>
      </w:tr>
      <w:tr>
        <w:trPr/>
        <w:tc>
          <w:tcPr>
            <w:tcW w:w="6645" w:type="dxa"/>
            <w:gridSpan w:val="3"/>
            <w:tcBorders>
              <w:top w:val="single" w:sz="12" w:space="0" w:color="0070AF"/>
              <w:left w:val="single" w:sz="12" w:space="0" w:color="0070AF"/>
              <w:bottom w:val="single" w:sz="12" w:space="0" w:color="0070AF"/>
              <w:right w:val="single" w:sz="12" w:space="0" w:color="0070AF"/>
            </w:tcBorders>
            <w:tcMar>
              <w:top w:w="30" w:type="dxa"/>
              <w:bottom w:w="3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None of our NEOs participate in an SPX defined benefit pension plan.</w:t>
            </w:r>
          </w:p>
        </w:tc>
      </w:tr>
    </w:tbl>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Our executives, along with the majority of our U.S.-based employee population, are eligible to receive matching contributions into the SPX Retirement Savings and Stock Ownership Plan (the “401(k) Plan”), a tax-qualified retirement savings plan. Matching contributions are immediately vested and are invested initially in the SPX Common Stock Fund in the form of units. This fund under the 401(k) Plan is primarily invested in SPX common stock, with a small portion of the fund in cash, for purposes of administrative convenience.</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Executive officers and other senior-level management employees are also eligible to participate in the SPX Supplemental Retirement Savings Plan (the “SRSP”), a non-qualified deferred compensation plan that permits voluntary deferrals of base salary and annual bonuses.</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For more information regarding these plans, see the Nonqualified Deferred Compensation table and accompanying narrative and footnotes, beginning on page 45.</w:t>
      </w:r>
    </w:p>
    <w:p>
      <w:pPr>
        <w:pStyle w:val="TextBody"/>
        <w:bidi w:val="0"/>
        <w:spacing w:lineRule="auto" w:line="288" w:before="0" w:after="60"/>
        <w:jc w:val="left"/>
        <w:rPr>
          <w:rFonts w:ascii="Arial;sans-serif" w:hAnsi="Arial;sans-serif"/>
          <w:b/>
          <w:color w:val="004C97"/>
          <w:sz w:val="20"/>
        </w:rPr>
      </w:pPr>
      <w:r>
        <w:rPr>
          <w:rFonts w:ascii="Arial;sans-serif" w:hAnsi="Arial;sans-serif"/>
          <w:b/>
          <w:color w:val="004C97"/>
          <w:sz w:val="20"/>
        </w:rPr>
        <w:t>Termination and Change-in-Control Provisions</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As described below, all our NEOs who are currently employed, except Mr. Lowe, have entered into the current form of our change-in-control agreement as filed with the SEC.</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On September 28, 2015, the Committee recommended, and the Board approved, an employment agreement and a change-in-control agreement for Mr. Lowe, President and Chief Executive Officer, and the form of severance benefit agreements and change-in-control agreements for all other current executive officers. The Committee reviews these agreements annually considering stakeholder interests and market competitiveness and will address adjustments as it deems appropriate.</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Our severance arrangements are designed to protect stockholder interests by stabilizing management during periods of uncertainty. Executives often assign significant value to severance agreements because these agreements provide compensation for lost professional opportunities in the event of a negative qualifying event following a change-in-control.</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Severance agreements can also be a powerful tool to discourage entrenchment of management, in that these agreements can offset the risk of financial and professional loss that management may face when recommending a sale to or merger with another company. Our severance arrangements are structured to serve the above functions, which differ, and are perceived by recipients to differ, from pay for performance. Accordingly, decisions relating to other elements of compensation have minimal effect on decisions relating to existing severance agreements. As described above, all our NEOs who are currently employed, except Mr. Lowe, have entered into the most current form of our severance benefit agreement as filed with the SEC. In lieu of a separate severance benefit agreement, we have entered into an employment agreement with Mr. Lowe that provides for certain severance benefits.</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 xml:space="preserve">We utilize a double-trigger in the event of a change-in-control. If the executive officer experiences a qualifying negative employment action following a change-in-control, then the executive officer becomes immediately vested in all previously granted unvested SPX equity, including shares subject to performance vesting, at the target level of vesting. This feature is designed to be equitable in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739140"/>
                <wp:effectExtent l="0" t="0" r="0" b="0"/>
                <wp:wrapNone/>
                <wp:docPr id="138" name="Frame41"/>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292" w:type="dxa"/>
                              <w:jc w:val="right"/>
                              <w:tblInd w:w="0" w:type="dxa"/>
                              <w:tblLayout w:type="fixed"/>
                              <w:tblCellMar>
                                <w:top w:w="28" w:type="dxa"/>
                                <w:left w:w="28" w:type="dxa"/>
                                <w:bottom w:w="28" w:type="dxa"/>
                                <w:right w:w="28" w:type="dxa"/>
                              </w:tblCellMar>
                            </w:tblPr>
                            <w:tblGrid>
                              <w:gridCol w:w="292"/>
                              <w:gridCol w:w="256"/>
                              <w:gridCol w:w="258"/>
                              <w:gridCol w:w="704"/>
                              <w:gridCol w:w="704"/>
                              <w:gridCol w:w="706"/>
                              <w:gridCol w:w="109"/>
                              <w:gridCol w:w="109"/>
                              <w:gridCol w:w="154"/>
                            </w:tblGrid>
                            <w:tr>
                              <w:trPr/>
                              <w:tc>
                                <w:tcPr>
                                  <w:tcW w:w="29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0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139"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Image64" descr=""/>
                                                <pic:cNvPicPr>
                                                  <a:picLocks noChangeAspect="1" noChangeArrowheads="1"/>
                                                </pic:cNvPicPr>
                                              </pic:nvPicPr>
                                              <pic:blipFill>
                                                <a:blip r:embed="rId99"/>
                                                <a:stretch>
                                                  <a:fillRect/>
                                                </a:stretch>
                                              </pic:blipFill>
                                              <pic:spPr bwMode="auto">
                                                <a:xfrm>
                                                  <a:off x="0" y="0"/>
                                                  <a:ext cx="447675" cy="161925"/>
                                                </a:xfrm>
                                                <a:prstGeom prst="rect">
                                                  <a:avLst/>
                                                </a:prstGeom>
                                              </pic:spPr>
                                            </pic:pic>
                                          </a:graphicData>
                                        </a:graphic>
                                      </wp:inline>
                                    </w:drawing>
                                  </w:r>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2024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000000"/>
                                      <w:sz w:val="16"/>
                                    </w:rPr>
                                  </w:pPr>
                                  <w:r>
                                    <w:rPr>
                                      <w:rFonts w:ascii="Arial;sans-serif" w:hAnsi="Arial;sans-serif"/>
                                      <w:b/>
                                      <w:color w:val="000000"/>
                                      <w:sz w:val="16"/>
                                    </w:rPr>
                                    <w:t>35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292" w:type="dxa"/>
                        <w:jc w:val="right"/>
                        <w:tblInd w:w="0" w:type="dxa"/>
                        <w:tblLayout w:type="fixed"/>
                        <w:tblCellMar>
                          <w:top w:w="28" w:type="dxa"/>
                          <w:left w:w="28" w:type="dxa"/>
                          <w:bottom w:w="28" w:type="dxa"/>
                          <w:right w:w="28" w:type="dxa"/>
                        </w:tblCellMar>
                      </w:tblPr>
                      <w:tblGrid>
                        <w:gridCol w:w="292"/>
                        <w:gridCol w:w="256"/>
                        <w:gridCol w:w="258"/>
                        <w:gridCol w:w="704"/>
                        <w:gridCol w:w="704"/>
                        <w:gridCol w:w="706"/>
                        <w:gridCol w:w="109"/>
                        <w:gridCol w:w="109"/>
                        <w:gridCol w:w="154"/>
                      </w:tblGrid>
                      <w:tr>
                        <w:trPr/>
                        <w:tc>
                          <w:tcPr>
                            <w:tcW w:w="29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0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140"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 name="Image64" descr=""/>
                                          <pic:cNvPicPr>
                                            <a:picLocks noChangeAspect="1" noChangeArrowheads="1"/>
                                          </pic:cNvPicPr>
                                        </pic:nvPicPr>
                                        <pic:blipFill>
                                          <a:blip r:embed="rId100"/>
                                          <a:stretch>
                                            <a:fillRect/>
                                          </a:stretch>
                                        </pic:blipFill>
                                        <pic:spPr bwMode="auto">
                                          <a:xfrm>
                                            <a:off x="0" y="0"/>
                                            <a:ext cx="447675" cy="161925"/>
                                          </a:xfrm>
                                          <a:prstGeom prst="rect">
                                            <a:avLst/>
                                          </a:prstGeom>
                                        </pic:spPr>
                                      </pic:pic>
                                    </a:graphicData>
                                  </a:graphic>
                                </wp:inline>
                              </w:drawing>
                            </w:r>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2024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000000"/>
                                <w:sz w:val="16"/>
                              </w:rPr>
                            </w:pPr>
                            <w:r>
                              <w:rPr>
                                <w:rFonts w:ascii="Arial;sans-serif" w:hAnsi="Arial;sans-serif"/>
                                <w:b/>
                                <w:color w:val="000000"/>
                                <w:sz w:val="16"/>
                              </w:rPr>
                              <w:t>35</w:t>
                            </w:r>
                          </w:p>
                        </w:tc>
                      </w:tr>
                    </w:tbl>
                    <w:p>
                      <w:pPr>
                        <w:pStyle w:val="TextBody"/>
                        <w:bidi w:val="0"/>
                        <w:spacing w:before="0" w:after="283"/>
                        <w:jc w:val="left"/>
                        <w:rPr/>
                      </w:pPr>
                      <w:r>
                        <w:rPr/>
                      </w:r>
                    </w:p>
                  </w:txbxContent>
                </v:textbox>
                <w10:wrap type="none"/>
              </v:rect>
            </w:pict>
          </mc:Fallback>
        </mc:AlternateContent>
      </w:r>
    </w:p>
    <w:tbl>
      <w:tblPr>
        <w:tblW w:w="2459" w:type="dxa"/>
        <w:jc w:val="right"/>
        <w:tblInd w:w="0" w:type="dxa"/>
        <w:tblLayout w:type="fixed"/>
        <w:tblCellMar>
          <w:top w:w="28" w:type="dxa"/>
          <w:left w:w="28" w:type="dxa"/>
          <w:bottom w:w="28" w:type="dxa"/>
          <w:right w:w="28" w:type="dxa"/>
        </w:tblCellMar>
      </w:tblPr>
      <w:tblGrid>
        <w:gridCol w:w="786"/>
        <w:gridCol w:w="691"/>
        <w:gridCol w:w="982"/>
      </w:tblGrid>
      <w:tr>
        <w:trPr/>
        <w:tc>
          <w:tcPr>
            <w:tcW w:w="78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r>
      <w:tr>
        <w:trPr/>
        <w:tc>
          <w:tcPr>
            <w:tcW w:w="2459" w:type="dxa"/>
            <w:gridSpan w:val="3"/>
            <w:tcBorders>
              <w:bottom w:val="single" w:sz="4" w:space="0" w:color="004C97"/>
            </w:tcBorders>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4C97"/>
                <w:sz w:val="16"/>
              </w:rPr>
            </w:pPr>
            <w:r>
              <w:rPr>
                <w:rFonts w:ascii="Arial;sans-serif" w:hAnsi="Arial;sans-serif"/>
                <w:b w:val="false"/>
                <w:color w:val="004C97"/>
                <w:sz w:val="16"/>
              </w:rPr>
              <w:t>EXECUTIVE COMPENSATION</w:t>
            </w:r>
          </w:p>
        </w:tc>
      </w:tr>
    </w:tbl>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event of dismissal without cause or resignation for good reason, and we believe it is appropriate in the event of termination following a change-in-control.</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Severance and change-in-control terms are further discussed and quantified in “Potential Payments Upon Termination or Change-in-Control,” beginning on page 47.</w:t>
      </w:r>
    </w:p>
    <w:p>
      <w:pPr>
        <w:pStyle w:val="TextBody"/>
        <w:bidi w:val="0"/>
        <w:spacing w:lineRule="auto" w:line="288" w:before="0" w:after="60"/>
        <w:jc w:val="left"/>
        <w:rPr>
          <w:rFonts w:ascii="Arial;sans-serif" w:hAnsi="Arial;sans-serif"/>
          <w:b/>
          <w:color w:val="004C97"/>
          <w:sz w:val="20"/>
        </w:rPr>
      </w:pPr>
      <w:r>
        <w:rPr>
          <w:rFonts w:ascii="Arial;sans-serif" w:hAnsi="Arial;sans-serif"/>
          <w:b/>
          <w:color w:val="004C97"/>
          <w:sz w:val="20"/>
        </w:rPr>
        <w:t>Notes</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The discussion of performance targets in this CD&amp;A is exclusively in the context of executive compensation and should not be used for any other purpose or regarded as an indication of management’s expectations of future results.</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References to “bonus” or “bonuses” in this CD&amp;A and the compensation tables are to our annual performance-based payments reflected as “Non-Equity Incentive Plan Compensation” in the “Summary Compensation Table” on page 38 and “Estimated Future Payouts under Non-Equity Incentive Plan Awards” in the “Grants of Plan-Based Awards” table on page 41.</w:t>
      </w:r>
    </w:p>
    <w:p>
      <w:pPr>
        <w:pStyle w:val="TextBody"/>
        <w:bidi w:val="0"/>
        <w:spacing w:lineRule="auto" w:line="288" w:before="360" w:after="283"/>
        <w:jc w:val="both"/>
        <w:rPr>
          <w:rFonts w:ascii="Arial;sans-serif" w:hAnsi="Arial;sans-serif"/>
          <w:b/>
          <w:color w:val="000000"/>
          <w:sz w:val="32"/>
        </w:rPr>
      </w:pPr>
      <w:bookmarkStart w:id="11" w:name="i52e69073c4b44be18b26bb8ffcaf1259_294475"/>
      <w:bookmarkEnd w:id="11"/>
      <w:r>
        <w:rPr>
          <w:rFonts w:ascii="Arial;sans-serif" w:hAnsi="Arial;sans-serif"/>
          <w:b/>
          <w:color w:val="000000"/>
          <w:sz w:val="32"/>
        </w:rPr>
        <w:t>Risk Analysis</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Management regularly monitors and reviews our compensation program and the related risks and reports its findings to the Committee.</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We do not believe our compensation policies and practices give rise to risks that are reasonably likely to have a material adverse effect on our Company. In reaching this conclusion, we considered the following factors:</w:t>
      </w:r>
    </w:p>
    <w:p>
      <w:pPr>
        <w:pStyle w:val="TextBody"/>
        <w:bidi w:val="0"/>
        <w:spacing w:lineRule="auto" w:line="288" w:before="0" w:after="180"/>
        <w:ind w:left="0" w:right="0" w:hanging="216"/>
        <w:jc w:val="both"/>
        <w:rPr/>
      </w:pPr>
      <w:r>
        <w:rPr>
          <w:color w:val="000000"/>
        </w:rPr>
        <w:t>•</w:t>
      </w:r>
      <w:r>
        <w:rPr>
          <w:rFonts w:ascii="Arial;sans-serif" w:hAnsi="Arial;sans-serif"/>
          <w:b w:val="false"/>
          <w:color w:val="000000"/>
          <w:sz w:val="18"/>
        </w:rPr>
        <w:t>Our compensation program is designed to provide a mix of both fixed and variable incentive compensation.</w:t>
      </w:r>
    </w:p>
    <w:p>
      <w:pPr>
        <w:pStyle w:val="TextBody"/>
        <w:bidi w:val="0"/>
        <w:spacing w:lineRule="auto" w:line="288" w:before="0" w:after="180"/>
        <w:ind w:left="0" w:right="0" w:hanging="216"/>
        <w:jc w:val="both"/>
        <w:rPr/>
      </w:pPr>
      <w:r>
        <w:rPr>
          <w:color w:val="000000"/>
        </w:rPr>
        <w:t>•</w:t>
      </w:r>
      <w:r>
        <w:rPr>
          <w:rFonts w:ascii="Arial;sans-serif" w:hAnsi="Arial;sans-serif"/>
          <w:b w:val="false"/>
          <w:color w:val="000000"/>
          <w:sz w:val="18"/>
        </w:rPr>
        <w:t>The variable portions of compensation (cash incentive and equity awards) are designed to reward both annual performance and longer-term performance. We believe this design mitigates any incentive for short-term risk-taking that could be detrimental to our Company’s long-term best interests.</w:t>
      </w:r>
    </w:p>
    <w:p>
      <w:pPr>
        <w:pStyle w:val="TextBody"/>
        <w:bidi w:val="0"/>
        <w:spacing w:lineRule="auto" w:line="288" w:before="0" w:after="180"/>
        <w:ind w:left="0" w:right="0" w:hanging="216"/>
        <w:jc w:val="both"/>
        <w:rPr/>
      </w:pPr>
      <w:r>
        <w:rPr>
          <w:color w:val="000000"/>
        </w:rPr>
        <w:t>•</w:t>
      </w:r>
      <w:r>
        <w:rPr>
          <w:rFonts w:ascii="Arial;sans-serif" w:hAnsi="Arial;sans-serif"/>
          <w:b w:val="false"/>
          <w:color w:val="000000"/>
          <w:sz w:val="18"/>
        </w:rPr>
        <w:t>For business unit level executives, a significant percentage of their compensation is based on the performance of our Company as a whole. This is designed to mitigate any incentive to pursue strategies that might maximize the performance of a single operating business unit to the detriment of our Company as a whole.</w:t>
      </w:r>
    </w:p>
    <w:p>
      <w:pPr>
        <w:pStyle w:val="TextBody"/>
        <w:bidi w:val="0"/>
        <w:spacing w:lineRule="auto" w:line="288" w:before="0" w:after="180"/>
        <w:ind w:left="0" w:right="0" w:hanging="216"/>
        <w:jc w:val="both"/>
        <w:rPr/>
      </w:pPr>
      <w:r>
        <w:rPr>
          <w:color w:val="000000"/>
        </w:rPr>
        <w:t>•</w:t>
      </w:r>
      <w:r>
        <w:rPr>
          <w:rFonts w:ascii="Arial;sans-serif" w:hAnsi="Arial;sans-serif"/>
          <w:b w:val="false"/>
          <w:color w:val="000000"/>
          <w:sz w:val="18"/>
        </w:rPr>
        <w:t>Our executive officers are subject to stock ownership guidelines that we believe incentivize our executives to consider the long-term interests of our Company and our stockholders and discourage excessive risk-taking that could negatively impact our stock price.</w:t>
      </w:r>
    </w:p>
    <w:p>
      <w:pPr>
        <w:pStyle w:val="TextBody"/>
        <w:bidi w:val="0"/>
        <w:spacing w:lineRule="auto" w:line="288" w:before="0" w:after="180"/>
        <w:ind w:left="0" w:right="0" w:hanging="216"/>
        <w:jc w:val="both"/>
        <w:rPr/>
      </w:pPr>
      <w:r>
        <w:rPr>
          <w:color w:val="000000"/>
        </w:rPr>
        <w:t>•</w:t>
      </w:r>
      <w:r>
        <w:rPr>
          <w:rFonts w:ascii="Arial;sans-serif" w:hAnsi="Arial;sans-serif"/>
          <w:b w:val="false"/>
          <w:color w:val="000000"/>
          <w:sz w:val="18"/>
        </w:rPr>
        <w:t>The Committee exercises risk oversight of our executive compensation program.</w:t>
      </w:r>
    </w:p>
    <w:p>
      <w:pPr>
        <w:pStyle w:val="TextBody"/>
        <w:bidi w:val="0"/>
        <w:spacing w:lineRule="auto" w:line="288" w:before="0" w:after="180"/>
        <w:ind w:left="0" w:right="0" w:hanging="216"/>
        <w:jc w:val="both"/>
        <w:rPr/>
      </w:pPr>
      <w:r>
        <w:rPr>
          <w:color w:val="000000"/>
        </w:rPr>
        <w:t>•</w:t>
      </w:r>
      <w:r>
        <w:rPr>
          <w:rFonts w:ascii="Arial;sans-serif" w:hAnsi="Arial;sans-serif"/>
          <w:b w:val="false"/>
          <w:color w:val="000000"/>
          <w:sz w:val="18"/>
        </w:rPr>
        <w:t>A qualitative risk assessment concluded that our plans do not have an unreasonable ratio between fixed and variable compensation. The annual bonus plans are capped at specified maximum percentages, which limits incentives to undertake excessive risk.</w:t>
      </w:r>
    </w:p>
    <w:p>
      <w:pPr>
        <w:pStyle w:val="TextBody"/>
        <w:bidi w:val="0"/>
        <w:spacing w:lineRule="auto" w:line="288" w:before="0" w:after="180"/>
        <w:ind w:left="0" w:right="0" w:hanging="216"/>
        <w:jc w:val="both"/>
        <w:rPr/>
      </w:pPr>
      <w:r>
        <w:rPr>
          <w:color w:val="000000"/>
        </w:rPr>
        <w:t>•</w:t>
      </w:r>
      <w:r>
        <w:rPr>
          <w:rFonts w:ascii="Arial;sans-serif" w:hAnsi="Arial;sans-serif"/>
          <w:b w:val="false"/>
          <w:color w:val="000000"/>
          <w:sz w:val="18"/>
        </w:rPr>
        <w:t>The management annual bonus plan also has clawback provisions relating to any fraud, manipulation, or negligence in connection with computation of performance measures or payments under the plans.</w:t>
      </w:r>
    </w:p>
    <w:p>
      <w:pPr>
        <w:pStyle w:val="TextBody"/>
        <w:bidi w:val="0"/>
        <w:spacing w:lineRule="auto" w:line="288" w:before="0" w:after="180"/>
        <w:ind w:left="0" w:right="0" w:hanging="216"/>
        <w:jc w:val="both"/>
        <w:rPr/>
      </w:pPr>
      <w:r>
        <w:rPr>
          <w:color w:val="000000"/>
        </w:rPr>
        <w:t>•</w:t>
      </w:r>
      <w:r>
        <w:rPr>
          <w:rFonts w:ascii="Arial;sans-serif" w:hAnsi="Arial;sans-serif"/>
          <w:b w:val="false"/>
          <w:color w:val="000000"/>
          <w:sz w:val="18"/>
        </w:rPr>
        <w:t>Incentive plans are primarily determined by a formula tied directly to Company performance.</w:t>
      </w:r>
    </w:p>
    <w:p>
      <w:pPr>
        <w:pStyle w:val="TextBody"/>
        <w:bidi w:val="0"/>
        <w:spacing w:lineRule="auto" w:line="288" w:before="0" w:after="180"/>
        <w:ind w:left="0" w:right="0" w:hanging="216"/>
        <w:jc w:val="both"/>
        <w:rPr/>
      </w:pPr>
      <w:r>
        <w:rPr>
          <w:color w:val="000000"/>
        </w:rPr>
        <w:t>•</w:t>
      </w:r>
      <w:r>
        <w:rPr>
          <w:rFonts w:ascii="Arial;sans-serif" w:hAnsi="Arial;sans-serif"/>
          <w:b w:val="false"/>
          <w:color w:val="000000"/>
          <w:sz w:val="18"/>
        </w:rPr>
        <w:t>Sales incentive plans are regularly reviewed within the context of enterprise risk.</w:t>
      </w:r>
    </w:p>
    <w:p>
      <w:pPr>
        <w:pStyle w:val="TextBody"/>
        <w:bidi w:val="0"/>
        <w:spacing w:lineRule="auto" w:line="288" w:before="0" w:after="180"/>
        <w:ind w:left="0" w:right="0" w:hanging="216"/>
        <w:jc w:val="both"/>
        <w:rPr/>
      </w:pPr>
      <w:r>
        <w:rPr>
          <w:color w:val="000000"/>
        </w:rPr>
        <w:t>•</w:t>
      </w:r>
      <w:r>
        <w:rPr>
          <w:rFonts w:ascii="Arial;sans-serif" w:hAnsi="Arial;sans-serif"/>
          <w:b w:val="false"/>
          <w:color w:val="000000"/>
          <w:sz w:val="18"/>
        </w:rPr>
        <w:t>In addition to the structure of our plans, we mitigate any risk that may be generated by compensation plans through management oversight, compliance training and enforcement, and periodic reviews.</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No single SPX business unit carries a significant portion of the Company’s risk profile, or has compensation structured in a significantly different manner than other business units within the Company, regardless of relative business unit profitability or compensation expense as a percentage of revenues.</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Management does not believe that any of the design features pose a significant concern. Based upon this analysis, we determined that the compensation programs do not present a material risk.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739140"/>
                <wp:effectExtent l="0" t="0" r="0" b="0"/>
                <wp:wrapNone/>
                <wp:docPr id="141" name="Frame42"/>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292" w:type="dxa"/>
                              <w:jc w:val="left"/>
                              <w:tblInd w:w="0" w:type="dxa"/>
                              <w:tblLayout w:type="fixed"/>
                              <w:tblCellMar>
                                <w:top w:w="28" w:type="dxa"/>
                                <w:left w:w="28" w:type="dxa"/>
                                <w:bottom w:w="28" w:type="dxa"/>
                                <w:right w:w="28" w:type="dxa"/>
                              </w:tblCellMar>
                            </w:tblPr>
                            <w:tblGrid>
                              <w:gridCol w:w="124"/>
                              <w:gridCol w:w="109"/>
                              <w:gridCol w:w="109"/>
                              <w:gridCol w:w="704"/>
                              <w:gridCol w:w="704"/>
                              <w:gridCol w:w="706"/>
                              <w:gridCol w:w="244"/>
                              <w:gridCol w:w="244"/>
                              <w:gridCol w:w="34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6"/>
                                    </w:rPr>
                                  </w:pPr>
                                  <w:r>
                                    <w:rPr>
                                      <w:rFonts w:ascii="Arial;sans-serif" w:hAnsi="Arial;sans-serif"/>
                                      <w:b/>
                                      <w:color w:val="000000"/>
                                      <w:sz w:val="16"/>
                                    </w:rPr>
                                    <w:t>36</w:t>
                                  </w:r>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2024 PROXY STATEMENT</w:t>
                                  </w:r>
                                </w:p>
                              </w:tc>
                              <w:tc>
                                <w:tcPr>
                                  <w:tcW w:w="83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142"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 name="Image65" descr=""/>
                                                <pic:cNvPicPr>
                                                  <a:picLocks noChangeAspect="1" noChangeArrowheads="1"/>
                                                </pic:cNvPicPr>
                                              </pic:nvPicPr>
                                              <pic:blipFill>
                                                <a:blip r:embed="rId101"/>
                                                <a:stretch>
                                                  <a:fillRect/>
                                                </a:stretch>
                                              </pic:blipFill>
                                              <pic:spPr bwMode="auto">
                                                <a:xfrm>
                                                  <a:off x="0" y="0"/>
                                                  <a:ext cx="447675" cy="161925"/>
                                                </a:xfrm>
                                                <a:prstGeom prst="rect">
                                                  <a:avLst/>
                                                </a:prstGeom>
                                              </pic:spPr>
                                            </pic:pic>
                                          </a:graphicData>
                                        </a:graphic>
                                      </wp:inline>
                                    </w:drawing>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292" w:type="dxa"/>
                        <w:jc w:val="left"/>
                        <w:tblInd w:w="0" w:type="dxa"/>
                        <w:tblLayout w:type="fixed"/>
                        <w:tblCellMar>
                          <w:top w:w="28" w:type="dxa"/>
                          <w:left w:w="28" w:type="dxa"/>
                          <w:bottom w:w="28" w:type="dxa"/>
                          <w:right w:w="28" w:type="dxa"/>
                        </w:tblCellMar>
                      </w:tblPr>
                      <w:tblGrid>
                        <w:gridCol w:w="124"/>
                        <w:gridCol w:w="109"/>
                        <w:gridCol w:w="109"/>
                        <w:gridCol w:w="704"/>
                        <w:gridCol w:w="704"/>
                        <w:gridCol w:w="706"/>
                        <w:gridCol w:w="244"/>
                        <w:gridCol w:w="244"/>
                        <w:gridCol w:w="34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6"/>
                              </w:rPr>
                            </w:pPr>
                            <w:r>
                              <w:rPr>
                                <w:rFonts w:ascii="Arial;sans-serif" w:hAnsi="Arial;sans-serif"/>
                                <w:b/>
                                <w:color w:val="000000"/>
                                <w:sz w:val="16"/>
                              </w:rPr>
                              <w:t>36</w:t>
                            </w:r>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2024 PROXY STATEMENT</w:t>
                            </w:r>
                          </w:p>
                        </w:tc>
                        <w:tc>
                          <w:tcPr>
                            <w:tcW w:w="83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143"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Image65" descr=""/>
                                          <pic:cNvPicPr>
                                            <a:picLocks noChangeAspect="1" noChangeArrowheads="1"/>
                                          </pic:cNvPicPr>
                                        </pic:nvPicPr>
                                        <pic:blipFill>
                                          <a:blip r:embed="rId102"/>
                                          <a:stretch>
                                            <a:fillRect/>
                                          </a:stretch>
                                        </pic:blipFill>
                                        <pic:spPr bwMode="auto">
                                          <a:xfrm>
                                            <a:off x="0" y="0"/>
                                            <a:ext cx="447675" cy="161925"/>
                                          </a:xfrm>
                                          <a:prstGeom prst="rect">
                                            <a:avLst/>
                                          </a:prstGeom>
                                        </pic:spPr>
                                      </pic:pic>
                                    </a:graphicData>
                                  </a:graphic>
                                </wp:inline>
                              </w:drawing>
                            </w:r>
                          </w:p>
                        </w:tc>
                      </w:tr>
                    </w:tbl>
                    <w:p>
                      <w:pPr>
                        <w:pStyle w:val="TextBody"/>
                        <w:bidi w:val="0"/>
                        <w:spacing w:before="0" w:after="283"/>
                        <w:jc w:val="left"/>
                        <w:rPr/>
                      </w:pPr>
                      <w:r>
                        <w:rPr/>
                      </w:r>
                    </w:p>
                  </w:txbxContent>
                </v:textbox>
                <w10:wrap type="none"/>
              </v:rect>
            </w:pict>
          </mc:Fallback>
        </mc:AlternateContent>
      </w:r>
    </w:p>
    <w:tbl>
      <w:tblPr>
        <w:tblW w:w="2459" w:type="dxa"/>
        <w:jc w:val="left"/>
        <w:tblInd w:w="0" w:type="dxa"/>
        <w:tblLayout w:type="fixed"/>
        <w:tblCellMar>
          <w:top w:w="28" w:type="dxa"/>
          <w:left w:w="28" w:type="dxa"/>
          <w:bottom w:w="28" w:type="dxa"/>
          <w:right w:w="28" w:type="dxa"/>
        </w:tblCellMar>
      </w:tblPr>
      <w:tblGrid>
        <w:gridCol w:w="786"/>
        <w:gridCol w:w="691"/>
        <w:gridCol w:w="982"/>
      </w:tblGrid>
      <w:tr>
        <w:trPr/>
        <w:tc>
          <w:tcPr>
            <w:tcW w:w="78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r>
      <w:tr>
        <w:trPr/>
        <w:tc>
          <w:tcPr>
            <w:tcW w:w="2459" w:type="dxa"/>
            <w:gridSpan w:val="3"/>
            <w:tcBorders>
              <w:bottom w:val="single" w:sz="4" w:space="0" w:color="004C97"/>
            </w:tcBorders>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4C97"/>
                <w:sz w:val="16"/>
              </w:rPr>
            </w:pPr>
            <w:r>
              <w:rPr>
                <w:rFonts w:ascii="Arial;sans-serif" w:hAnsi="Arial;sans-serif"/>
                <w:b w:val="false"/>
                <w:color w:val="004C97"/>
                <w:sz w:val="16"/>
              </w:rPr>
              <w:t>EXECUTIVE COMPENSATION</w:t>
            </w:r>
          </w:p>
        </w:tc>
      </w:tr>
    </w:tbl>
    <w:p>
      <w:pPr>
        <w:pStyle w:val="TextBody"/>
        <w:bidi w:val="0"/>
        <w:spacing w:lineRule="auto" w:line="288" w:before="360" w:after="283"/>
        <w:jc w:val="left"/>
        <w:rPr>
          <w:rFonts w:ascii="Arial;sans-serif" w:hAnsi="Arial;sans-serif"/>
          <w:b/>
          <w:color w:val="000000"/>
          <w:sz w:val="32"/>
        </w:rPr>
      </w:pPr>
      <w:bookmarkStart w:id="12" w:name="i52e69073c4b44be18b26bb8ffcaf1259_294476"/>
      <w:bookmarkEnd w:id="12"/>
      <w:r>
        <w:rPr>
          <w:rFonts w:ascii="Arial;sans-serif" w:hAnsi="Arial;sans-serif"/>
          <w:b/>
          <w:color w:val="000000"/>
          <w:sz w:val="32"/>
        </w:rPr>
        <w:t>Compensation Committee Report</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The Compensation Committee of the SPX Board of Directors consists of five directors. Each of the Committee members is independent, as defined under SEC rules and the listing standards of the NYSE. The Committee reviews SPX’s “Compensation Discussion and Analysis” on behalf of the Board.</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The Committee has reviewed and discussed the “Compensation Discussion and Analysis” with management, and based on the review and discussions, the Committee recommended to the Board that the “Compensation Discussion and Analysis” be included in this Proxy Statement and SPX’s Annual Report on Form 10-K for the year ended December 31, 2023.</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Compensation Committee,</w:t>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Ricky D. Puckett, Chairman</w:t>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David A. Roberts</w:t>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Ruth G. Shaw</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Robert B. Toth</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Tana L. Utley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739140"/>
                <wp:effectExtent l="0" t="0" r="0" b="0"/>
                <wp:wrapNone/>
                <wp:docPr id="144" name="Frame43"/>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292" w:type="dxa"/>
                              <w:jc w:val="right"/>
                              <w:tblInd w:w="0" w:type="dxa"/>
                              <w:tblLayout w:type="fixed"/>
                              <w:tblCellMar>
                                <w:top w:w="28" w:type="dxa"/>
                                <w:left w:w="28" w:type="dxa"/>
                                <w:bottom w:w="28" w:type="dxa"/>
                                <w:right w:w="28" w:type="dxa"/>
                              </w:tblCellMar>
                            </w:tblPr>
                            <w:tblGrid>
                              <w:gridCol w:w="292"/>
                              <w:gridCol w:w="256"/>
                              <w:gridCol w:w="258"/>
                              <w:gridCol w:w="704"/>
                              <w:gridCol w:w="704"/>
                              <w:gridCol w:w="706"/>
                              <w:gridCol w:w="109"/>
                              <w:gridCol w:w="109"/>
                              <w:gridCol w:w="154"/>
                            </w:tblGrid>
                            <w:tr>
                              <w:trPr/>
                              <w:tc>
                                <w:tcPr>
                                  <w:tcW w:w="29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0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145"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 name="Image66" descr=""/>
                                                <pic:cNvPicPr>
                                                  <a:picLocks noChangeAspect="1" noChangeArrowheads="1"/>
                                                </pic:cNvPicPr>
                                              </pic:nvPicPr>
                                              <pic:blipFill>
                                                <a:blip r:embed="rId103"/>
                                                <a:stretch>
                                                  <a:fillRect/>
                                                </a:stretch>
                                              </pic:blipFill>
                                              <pic:spPr bwMode="auto">
                                                <a:xfrm>
                                                  <a:off x="0" y="0"/>
                                                  <a:ext cx="447675" cy="161925"/>
                                                </a:xfrm>
                                                <a:prstGeom prst="rect">
                                                  <a:avLst/>
                                                </a:prstGeom>
                                              </pic:spPr>
                                            </pic:pic>
                                          </a:graphicData>
                                        </a:graphic>
                                      </wp:inline>
                                    </w:drawing>
                                  </w:r>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2024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000000"/>
                                      <w:sz w:val="16"/>
                                    </w:rPr>
                                  </w:pPr>
                                  <w:r>
                                    <w:rPr>
                                      <w:rFonts w:ascii="Arial;sans-serif" w:hAnsi="Arial;sans-serif"/>
                                      <w:b/>
                                      <w:color w:val="000000"/>
                                      <w:sz w:val="16"/>
                                    </w:rPr>
                                    <w:t>37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292" w:type="dxa"/>
                        <w:jc w:val="right"/>
                        <w:tblInd w:w="0" w:type="dxa"/>
                        <w:tblLayout w:type="fixed"/>
                        <w:tblCellMar>
                          <w:top w:w="28" w:type="dxa"/>
                          <w:left w:w="28" w:type="dxa"/>
                          <w:bottom w:w="28" w:type="dxa"/>
                          <w:right w:w="28" w:type="dxa"/>
                        </w:tblCellMar>
                      </w:tblPr>
                      <w:tblGrid>
                        <w:gridCol w:w="292"/>
                        <w:gridCol w:w="256"/>
                        <w:gridCol w:w="258"/>
                        <w:gridCol w:w="704"/>
                        <w:gridCol w:w="704"/>
                        <w:gridCol w:w="706"/>
                        <w:gridCol w:w="109"/>
                        <w:gridCol w:w="109"/>
                        <w:gridCol w:w="154"/>
                      </w:tblGrid>
                      <w:tr>
                        <w:trPr/>
                        <w:tc>
                          <w:tcPr>
                            <w:tcW w:w="29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0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146"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 name="Image66" descr=""/>
                                          <pic:cNvPicPr>
                                            <a:picLocks noChangeAspect="1" noChangeArrowheads="1"/>
                                          </pic:cNvPicPr>
                                        </pic:nvPicPr>
                                        <pic:blipFill>
                                          <a:blip r:embed="rId104"/>
                                          <a:stretch>
                                            <a:fillRect/>
                                          </a:stretch>
                                        </pic:blipFill>
                                        <pic:spPr bwMode="auto">
                                          <a:xfrm>
                                            <a:off x="0" y="0"/>
                                            <a:ext cx="447675" cy="161925"/>
                                          </a:xfrm>
                                          <a:prstGeom prst="rect">
                                            <a:avLst/>
                                          </a:prstGeom>
                                        </pic:spPr>
                                      </pic:pic>
                                    </a:graphicData>
                                  </a:graphic>
                                </wp:inline>
                              </w:drawing>
                            </w:r>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2024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000000"/>
                                <w:sz w:val="16"/>
                              </w:rPr>
                            </w:pPr>
                            <w:r>
                              <w:rPr>
                                <w:rFonts w:ascii="Arial;sans-serif" w:hAnsi="Arial;sans-serif"/>
                                <w:b/>
                                <w:color w:val="000000"/>
                                <w:sz w:val="16"/>
                              </w:rPr>
                              <w:t>37</w:t>
                            </w:r>
                          </w:p>
                        </w:tc>
                      </w:tr>
                    </w:tbl>
                    <w:p>
                      <w:pPr>
                        <w:pStyle w:val="TextBody"/>
                        <w:bidi w:val="0"/>
                        <w:spacing w:before="0" w:after="283"/>
                        <w:jc w:val="left"/>
                        <w:rPr/>
                      </w:pPr>
                      <w:r>
                        <w:rPr/>
                      </w:r>
                    </w:p>
                  </w:txbxContent>
                </v:textbox>
                <w10:wrap type="none"/>
              </v:rect>
            </w:pict>
          </mc:Fallback>
        </mc:AlternateContent>
      </w:r>
    </w:p>
    <w:tbl>
      <w:tblPr>
        <w:tblW w:w="2459" w:type="dxa"/>
        <w:jc w:val="right"/>
        <w:tblInd w:w="0" w:type="dxa"/>
        <w:tblLayout w:type="fixed"/>
        <w:tblCellMar>
          <w:top w:w="28" w:type="dxa"/>
          <w:left w:w="28" w:type="dxa"/>
          <w:bottom w:w="28" w:type="dxa"/>
          <w:right w:w="28" w:type="dxa"/>
        </w:tblCellMar>
      </w:tblPr>
      <w:tblGrid>
        <w:gridCol w:w="786"/>
        <w:gridCol w:w="691"/>
        <w:gridCol w:w="982"/>
      </w:tblGrid>
      <w:tr>
        <w:trPr/>
        <w:tc>
          <w:tcPr>
            <w:tcW w:w="78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r>
      <w:tr>
        <w:trPr/>
        <w:tc>
          <w:tcPr>
            <w:tcW w:w="2459" w:type="dxa"/>
            <w:gridSpan w:val="3"/>
            <w:tcBorders>
              <w:bottom w:val="single" w:sz="4" w:space="0" w:color="004C97"/>
            </w:tcBorders>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4C97"/>
                <w:sz w:val="16"/>
              </w:rPr>
            </w:pPr>
            <w:r>
              <w:rPr>
                <w:rFonts w:ascii="Arial;sans-serif" w:hAnsi="Arial;sans-serif"/>
                <w:b w:val="false"/>
                <w:color w:val="004C97"/>
                <w:sz w:val="16"/>
              </w:rPr>
              <w:t>EXECUTIVE COMPENSATION</w:t>
            </w:r>
          </w:p>
        </w:tc>
      </w:tr>
    </w:tbl>
    <w:p>
      <w:pPr>
        <w:pStyle w:val="TextBody"/>
        <w:bidi w:val="0"/>
        <w:spacing w:lineRule="auto" w:line="288" w:before="0" w:after="0"/>
        <w:jc w:val="left"/>
        <w:rPr>
          <w:rFonts w:ascii="Arial;sans-serif" w:hAnsi="Arial;sans-serif"/>
          <w:b/>
          <w:color w:val="000000"/>
          <w:sz w:val="32"/>
        </w:rPr>
      </w:pPr>
      <w:bookmarkStart w:id="13" w:name="i52e69073c4b44be18b26bb8ffcaf1259_294477"/>
      <w:bookmarkEnd w:id="13"/>
      <w:r>
        <w:rPr>
          <w:rFonts w:ascii="Arial;sans-serif" w:hAnsi="Arial;sans-serif"/>
          <w:b/>
          <w:color w:val="000000"/>
          <w:sz w:val="32"/>
        </w:rPr>
        <w:t>Compensation Tables</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left"/>
        <w:rPr>
          <w:rFonts w:ascii="Arial;sans-serif" w:hAnsi="Arial;sans-serif"/>
          <w:b/>
          <w:color w:val="000000"/>
          <w:sz w:val="22"/>
        </w:rPr>
      </w:pPr>
      <w:bookmarkStart w:id="14" w:name="i52e69073c4b44be18b26bb8ffcaf1259_294478"/>
      <w:bookmarkEnd w:id="14"/>
      <w:r>
        <w:rPr>
          <w:rFonts w:ascii="Arial;sans-serif" w:hAnsi="Arial;sans-serif"/>
          <w:b/>
          <w:color w:val="000000"/>
          <w:sz w:val="22"/>
        </w:rPr>
        <w:t>SUMMARY COMPENSATION TABLE</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The following table summarizes the compensation for our named executive officers during 2023. The “named executive officers” or “NEOs” are our Chief Executive Officer, our Chief Financial Officer, our next three most highly compensated officers who were executive officers at year end and a retired officer who served as interim Chief Financial Officer for the first few days of 2023. Only 2023 compensation amounts are provided for Mr. Carano, and only 2022 and 2023 compensation amounts are provided Messrs. Reilly and McClenaghan, as they were not NEOs prior to then.</w:t>
      </w:r>
    </w:p>
    <w:tbl>
      <w:tblPr>
        <w:tblW w:w="10922" w:type="dxa"/>
        <w:jc w:val="left"/>
        <w:tblInd w:w="0" w:type="dxa"/>
        <w:tblLayout w:type="fixed"/>
        <w:tblCellMar>
          <w:top w:w="28" w:type="dxa"/>
          <w:left w:w="28" w:type="dxa"/>
          <w:bottom w:w="28" w:type="dxa"/>
          <w:right w:w="28" w:type="dxa"/>
        </w:tblCellMar>
      </w:tblPr>
      <w:tblGrid>
        <w:gridCol w:w="759"/>
        <w:gridCol w:w="258"/>
        <w:gridCol w:w="259"/>
        <w:gridCol w:w="154"/>
        <w:gridCol w:w="154"/>
        <w:gridCol w:w="158"/>
        <w:gridCol w:w="435"/>
        <w:gridCol w:w="436"/>
        <w:gridCol w:w="196"/>
        <w:gridCol w:w="368"/>
        <w:gridCol w:w="368"/>
        <w:gridCol w:w="211"/>
        <w:gridCol w:w="524"/>
        <w:gridCol w:w="347"/>
        <w:gridCol w:w="236"/>
        <w:gridCol w:w="559"/>
        <w:gridCol w:w="312"/>
        <w:gridCol w:w="236"/>
        <w:gridCol w:w="446"/>
        <w:gridCol w:w="425"/>
        <w:gridCol w:w="426"/>
        <w:gridCol w:w="425"/>
        <w:gridCol w:w="425"/>
        <w:gridCol w:w="426"/>
        <w:gridCol w:w="425"/>
        <w:gridCol w:w="425"/>
        <w:gridCol w:w="426"/>
        <w:gridCol w:w="435"/>
        <w:gridCol w:w="436"/>
        <w:gridCol w:w="232"/>
      </w:tblGrid>
      <w:tr>
        <w:trPr/>
        <w:tc>
          <w:tcPr>
            <w:tcW w:w="75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r>
      <w:tr>
        <w:trPr/>
        <w:tc>
          <w:tcPr>
            <w:tcW w:w="1276" w:type="dxa"/>
            <w:gridSpan w:val="3"/>
            <w:tcBorders>
              <w:top w:val="single" w:sz="4" w:space="0" w:color="000000"/>
              <w:left w:val="single" w:sz="4" w:space="0" w:color="000000"/>
            </w:tcBorders>
            <w:shd w:fill="004C97" w:val="clear"/>
            <w:tcMar>
              <w:top w:w="30" w:type="dxa"/>
              <w:bottom w:w="0" w:type="dxa"/>
              <w:right w:w="0" w:type="dxa"/>
            </w:tcMar>
            <w:vAlign w:val="center"/>
          </w:tcPr>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Name and Principal Position</w:t>
            </w:r>
          </w:p>
        </w:tc>
        <w:tc>
          <w:tcPr>
            <w:tcW w:w="466" w:type="dxa"/>
            <w:gridSpan w:val="3"/>
            <w:tcBorders>
              <w:top w:val="single" w:sz="4" w:space="0" w:color="000000"/>
              <w:left w:val="single" w:sz="4" w:space="0" w:color="000000"/>
            </w:tcBorders>
            <w:shd w:fill="004C97"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6"/>
              </w:rPr>
            </w:pPr>
            <w:r>
              <w:rPr>
                <w:rFonts w:ascii="Arial;sans-serif" w:hAnsi="Arial;sans-serif"/>
                <w:b/>
                <w:color w:val="FFFFFF"/>
                <w:sz w:val="16"/>
              </w:rPr>
              <w:t>Year</w:t>
            </w:r>
          </w:p>
        </w:tc>
        <w:tc>
          <w:tcPr>
            <w:tcW w:w="1067" w:type="dxa"/>
            <w:gridSpan w:val="3"/>
            <w:tcBorders>
              <w:top w:val="single" w:sz="4" w:space="0" w:color="000000"/>
              <w:left w:val="single" w:sz="4" w:space="0" w:color="000000"/>
            </w:tcBorders>
            <w:shd w:fill="004C97" w:val="clear"/>
            <w:tcMar>
              <w:top w:w="30" w:type="dxa"/>
              <w:bottom w:w="0" w:type="dxa"/>
              <w:right w:w="0" w:type="dxa"/>
            </w:tcMar>
            <w:vAlign w:val="center"/>
          </w:tcPr>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Salary</w:t>
            </w:r>
          </w:p>
          <w:p>
            <w:pPr>
              <w:pStyle w:val="TableContents"/>
              <w:bidi w:val="0"/>
              <w:spacing w:lineRule="auto" w:line="288" w:before="0" w:after="0"/>
              <w:jc w:val="center"/>
              <w:rPr/>
            </w:pPr>
            <w:r>
              <w:rPr>
                <w:rFonts w:ascii="Arial;sans-serif" w:hAnsi="Arial;sans-serif"/>
                <w:b/>
                <w:color w:val="FFFFFF"/>
                <w:sz w:val="16"/>
              </w:rPr>
              <w:t>($)</w:t>
            </w:r>
            <w:r>
              <w:rPr>
                <w:rFonts w:ascii="Arial;sans-serif" w:hAnsi="Arial;sans-serif"/>
                <w:b/>
                <w:color w:val="FFFFFF"/>
                <w:sz w:val="10"/>
              </w:rPr>
              <w:t>(1)</w:t>
            </w:r>
          </w:p>
        </w:tc>
        <w:tc>
          <w:tcPr>
            <w:tcW w:w="947" w:type="dxa"/>
            <w:gridSpan w:val="3"/>
            <w:tcBorders>
              <w:top w:val="single" w:sz="4" w:space="0" w:color="000000"/>
              <w:left w:val="single" w:sz="4" w:space="0" w:color="000000"/>
            </w:tcBorders>
            <w:shd w:fill="004C97" w:val="clear"/>
            <w:tcMar>
              <w:top w:w="30" w:type="dxa"/>
              <w:bottom w:w="0" w:type="dxa"/>
              <w:right w:w="0" w:type="dxa"/>
            </w:tcMar>
            <w:vAlign w:val="center"/>
          </w:tcPr>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Bonus</w:t>
            </w:r>
          </w:p>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w:t>
            </w:r>
          </w:p>
        </w:tc>
        <w:tc>
          <w:tcPr>
            <w:tcW w:w="1107" w:type="dxa"/>
            <w:gridSpan w:val="3"/>
            <w:tcBorders>
              <w:top w:val="single" w:sz="4" w:space="0" w:color="000000"/>
              <w:left w:val="single" w:sz="4" w:space="0" w:color="000000"/>
            </w:tcBorders>
            <w:shd w:fill="004C97" w:val="clear"/>
            <w:tcMar>
              <w:top w:w="30" w:type="dxa"/>
              <w:bottom w:w="0" w:type="dxa"/>
              <w:right w:w="0" w:type="dxa"/>
            </w:tcMar>
            <w:vAlign w:val="center"/>
          </w:tcPr>
          <w:p>
            <w:pPr>
              <w:pStyle w:val="TableContents"/>
              <w:bidi w:val="0"/>
              <w:spacing w:lineRule="auto" w:line="288" w:before="0" w:after="0"/>
              <w:jc w:val="center"/>
              <w:rPr/>
            </w:pPr>
            <w:r>
              <w:rPr>
                <w:rFonts w:ascii="Arial;sans-serif" w:hAnsi="Arial;sans-serif"/>
                <w:b/>
                <w:color w:val="FFFFFF"/>
                <w:sz w:val="16"/>
              </w:rPr>
              <w:t>Stock Awards ($)</w:t>
            </w:r>
            <w:r>
              <w:rPr>
                <w:rFonts w:ascii="Arial;sans-serif" w:hAnsi="Arial;sans-serif"/>
                <w:b/>
                <w:color w:val="FFFFFF"/>
                <w:sz w:val="10"/>
              </w:rPr>
              <w:t>(2)</w:t>
            </w:r>
          </w:p>
        </w:tc>
        <w:tc>
          <w:tcPr>
            <w:tcW w:w="1107" w:type="dxa"/>
            <w:gridSpan w:val="3"/>
            <w:tcBorders>
              <w:top w:val="single" w:sz="4" w:space="0" w:color="000000"/>
              <w:left w:val="single" w:sz="4" w:space="0" w:color="000000"/>
            </w:tcBorders>
            <w:shd w:fill="004C97" w:val="clear"/>
            <w:tcMar>
              <w:top w:w="30" w:type="dxa"/>
              <w:bottom w:w="0" w:type="dxa"/>
              <w:right w:w="0" w:type="dxa"/>
            </w:tcMar>
            <w:vAlign w:val="center"/>
          </w:tcPr>
          <w:p>
            <w:pPr>
              <w:pStyle w:val="TableContents"/>
              <w:bidi w:val="0"/>
              <w:spacing w:lineRule="auto" w:line="288" w:before="0" w:after="0"/>
              <w:jc w:val="center"/>
              <w:rPr/>
            </w:pPr>
            <w:r>
              <w:rPr>
                <w:rFonts w:ascii="Arial;sans-serif" w:hAnsi="Arial;sans-serif"/>
                <w:b/>
                <w:color w:val="FFFFFF"/>
                <w:sz w:val="16"/>
              </w:rPr>
              <w:t>Option Awards ($)</w:t>
            </w:r>
            <w:r>
              <w:rPr>
                <w:rFonts w:ascii="Arial;sans-serif" w:hAnsi="Arial;sans-serif"/>
                <w:b/>
                <w:color w:val="FFFFFF"/>
                <w:sz w:val="10"/>
              </w:rPr>
              <w:t>(3)</w:t>
            </w:r>
          </w:p>
        </w:tc>
        <w:tc>
          <w:tcPr>
            <w:tcW w:w="1297" w:type="dxa"/>
            <w:gridSpan w:val="3"/>
            <w:tcBorders>
              <w:top w:val="single" w:sz="4" w:space="0" w:color="000000"/>
              <w:left w:val="single" w:sz="4" w:space="0" w:color="000000"/>
            </w:tcBorders>
            <w:shd w:fill="004C97" w:val="clear"/>
            <w:tcMar>
              <w:top w:w="30" w:type="dxa"/>
              <w:bottom w:w="0" w:type="dxa"/>
              <w:right w:w="0" w:type="dxa"/>
            </w:tcMar>
            <w:vAlign w:val="center"/>
          </w:tcPr>
          <w:p>
            <w:pPr>
              <w:pStyle w:val="TableContents"/>
              <w:bidi w:val="0"/>
              <w:spacing w:lineRule="auto" w:line="288" w:before="0" w:after="0"/>
              <w:jc w:val="center"/>
              <w:rPr/>
            </w:pPr>
            <w:r>
              <w:rPr>
                <w:rFonts w:ascii="Arial;sans-serif" w:hAnsi="Arial;sans-serif"/>
                <w:b/>
                <w:color w:val="FFFFFF"/>
                <w:sz w:val="16"/>
              </w:rPr>
              <w:t>Non-Equity Incentive Plan Compensation ($)</w:t>
            </w:r>
            <w:r>
              <w:rPr>
                <w:rFonts w:ascii="Arial;sans-serif" w:hAnsi="Arial;sans-serif"/>
                <w:b/>
                <w:color w:val="FFFFFF"/>
                <w:sz w:val="10"/>
              </w:rPr>
              <w:t>(4)</w:t>
            </w:r>
          </w:p>
        </w:tc>
        <w:tc>
          <w:tcPr>
            <w:tcW w:w="1276" w:type="dxa"/>
            <w:gridSpan w:val="3"/>
            <w:tcBorders>
              <w:top w:val="single" w:sz="4" w:space="0" w:color="000000"/>
              <w:left w:val="single" w:sz="4" w:space="0" w:color="000000"/>
            </w:tcBorders>
            <w:shd w:fill="004C97" w:val="clear"/>
            <w:tcMar>
              <w:top w:w="30" w:type="dxa"/>
              <w:bottom w:w="0" w:type="dxa"/>
              <w:right w:w="0" w:type="dxa"/>
            </w:tcMar>
            <w:vAlign w:val="center"/>
          </w:tcPr>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Change in Pension Value and Nonqualified Deferred Compensation Earnings ($)</w:t>
            </w:r>
          </w:p>
        </w:tc>
        <w:tc>
          <w:tcPr>
            <w:tcW w:w="1276" w:type="dxa"/>
            <w:gridSpan w:val="3"/>
            <w:tcBorders>
              <w:top w:val="single" w:sz="4" w:space="0" w:color="000000"/>
              <w:left w:val="single" w:sz="4" w:space="0" w:color="000000"/>
            </w:tcBorders>
            <w:shd w:fill="004C97" w:val="clear"/>
            <w:tcMar>
              <w:top w:w="30" w:type="dxa"/>
              <w:bottom w:w="0" w:type="dxa"/>
              <w:right w:w="0" w:type="dxa"/>
            </w:tcMar>
            <w:vAlign w:val="center"/>
          </w:tcPr>
          <w:p>
            <w:pPr>
              <w:pStyle w:val="TableContents"/>
              <w:bidi w:val="0"/>
              <w:spacing w:lineRule="auto" w:line="288" w:before="0" w:after="0"/>
              <w:jc w:val="center"/>
              <w:rPr/>
            </w:pPr>
            <w:r>
              <w:rPr>
                <w:rFonts w:ascii="Arial;sans-serif" w:hAnsi="Arial;sans-serif"/>
                <w:b/>
                <w:color w:val="FFFFFF"/>
                <w:sz w:val="16"/>
              </w:rPr>
              <w:t>All Other Compensation ($)</w:t>
            </w:r>
            <w:r>
              <w:rPr>
                <w:rFonts w:ascii="Arial;sans-serif" w:hAnsi="Arial;sans-serif"/>
                <w:b/>
                <w:color w:val="FFFFFF"/>
                <w:sz w:val="10"/>
              </w:rPr>
              <w:t>(5)</w:t>
            </w:r>
          </w:p>
        </w:tc>
        <w:tc>
          <w:tcPr>
            <w:tcW w:w="1103" w:type="dxa"/>
            <w:gridSpan w:val="3"/>
            <w:tcBorders>
              <w:top w:val="single" w:sz="4" w:space="0" w:color="000000"/>
              <w:left w:val="single" w:sz="4" w:space="0" w:color="000000"/>
              <w:right w:val="single" w:sz="4" w:space="0" w:color="000000"/>
            </w:tcBorders>
            <w:shd w:fill="004C97" w:val="clear"/>
            <w:tcMar>
              <w:top w:w="30" w:type="dxa"/>
              <w:bottom w:w="0" w:type="dxa"/>
            </w:tcMar>
            <w:vAlign w:val="center"/>
          </w:tcPr>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Total</w:t>
            </w:r>
          </w:p>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w:t>
            </w:r>
          </w:p>
        </w:tc>
      </w:tr>
      <w:tr>
        <w:trPr/>
        <w:tc>
          <w:tcPr>
            <w:tcW w:w="1276" w:type="dxa"/>
            <w:gridSpan w:val="3"/>
            <w:vMerge w:val="restart"/>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Eugene J. Lowe, III</w:t>
            </w:r>
          </w:p>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President and Chief Executive Officer</w:t>
            </w:r>
          </w:p>
        </w:tc>
        <w:tc>
          <w:tcPr>
            <w:tcW w:w="466" w:type="dxa"/>
            <w:gridSpan w:val="3"/>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2023</w:t>
            </w:r>
          </w:p>
        </w:tc>
        <w:tc>
          <w:tcPr>
            <w:tcW w:w="871" w:type="dxa"/>
            <w:gridSpan w:val="2"/>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1,026,849 </w:t>
            </w:r>
          </w:p>
        </w:tc>
        <w:tc>
          <w:tcPr>
            <w:tcW w:w="196" w:type="dxa"/>
            <w:tcBorders>
              <w:top w:val="single" w:sz="4"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top w:val="single" w:sz="4"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3,175,978 </w:t>
            </w:r>
          </w:p>
        </w:tc>
        <w:tc>
          <w:tcPr>
            <w:tcW w:w="236" w:type="dxa"/>
            <w:tcBorders>
              <w:top w:val="single" w:sz="4"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1,051,658 </w:t>
            </w:r>
          </w:p>
        </w:tc>
        <w:tc>
          <w:tcPr>
            <w:tcW w:w="236" w:type="dxa"/>
            <w:tcBorders>
              <w:top w:val="single" w:sz="4"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2,277,000 </w:t>
            </w:r>
          </w:p>
        </w:tc>
        <w:tc>
          <w:tcPr>
            <w:tcW w:w="426" w:type="dxa"/>
            <w:tcBorders>
              <w:top w:val="single" w:sz="4"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26" w:type="dxa"/>
            <w:tcBorders>
              <w:top w:val="single" w:sz="4"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127,129 </w:t>
            </w:r>
          </w:p>
        </w:tc>
        <w:tc>
          <w:tcPr>
            <w:tcW w:w="426" w:type="dxa"/>
            <w:tcBorders>
              <w:top w:val="single" w:sz="4"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7,658,614 </w:t>
            </w:r>
          </w:p>
        </w:tc>
        <w:tc>
          <w:tcPr>
            <w:tcW w:w="232" w:type="dxa"/>
            <w:tcBorders>
              <w:top w:val="single" w:sz="4" w:space="0" w:color="000000"/>
              <w:right w:val="single" w:sz="4" w:space="0" w:color="000000"/>
            </w:tcBorders>
            <w:shd w:fill="DBDBDB"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276" w:type="dxa"/>
            <w:gridSpan w:val="3"/>
            <w:vMerge w:val="continue"/>
            <w:tcBorders>
              <w:top w:val="single" w:sz="4" w:space="0" w:color="000000"/>
              <w:left w:val="single" w:sz="4" w:space="0" w:color="000000"/>
            </w:tcBorders>
            <w:tcMar>
              <w:top w:w="30" w:type="dxa"/>
              <w:bottom w:w="0" w:type="dxa"/>
              <w:right w:w="0" w:type="dxa"/>
            </w:tcMar>
            <w:vAlign w:val="center"/>
          </w:tcPr>
          <w:p>
            <w:pPr>
              <w:pStyle w:val="Normal"/>
              <w:bidi w:val="0"/>
              <w:jc w:val="left"/>
              <w:rPr/>
            </w:pPr>
            <w:r>
              <w:rPr/>
            </w:r>
          </w:p>
        </w:tc>
        <w:tc>
          <w:tcPr>
            <w:tcW w:w="4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2022</w:t>
            </w:r>
          </w:p>
        </w:tc>
        <w:tc>
          <w:tcPr>
            <w:tcW w:w="871" w:type="dxa"/>
            <w:gridSpan w:val="2"/>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991,047 </w:t>
            </w:r>
          </w:p>
        </w:tc>
        <w:tc>
          <w:tcPr>
            <w:tcW w:w="19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2,937,238 </w:t>
            </w:r>
          </w:p>
        </w:tc>
        <w:tc>
          <w:tcPr>
            <w:tcW w:w="23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954,477 </w:t>
            </w:r>
          </w:p>
        </w:tc>
        <w:tc>
          <w:tcPr>
            <w:tcW w:w="23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1,454,313 </w:t>
            </w:r>
          </w:p>
        </w:tc>
        <w:tc>
          <w:tcPr>
            <w:tcW w:w="42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2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247,000 </w:t>
            </w:r>
          </w:p>
        </w:tc>
        <w:tc>
          <w:tcPr>
            <w:tcW w:w="42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6,584,075 </w:t>
            </w:r>
          </w:p>
        </w:tc>
        <w:tc>
          <w:tcPr>
            <w:tcW w:w="232" w:type="dxa"/>
            <w:tcBorders>
              <w:top w:val="single" w:sz="4" w:space="0" w:color="000000"/>
              <w:right w:val="single" w:sz="4" w:space="0" w:color="000000"/>
            </w:tcBorders>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276" w:type="dxa"/>
            <w:gridSpan w:val="3"/>
            <w:vMerge w:val="continue"/>
            <w:tcBorders>
              <w:top w:val="single" w:sz="4" w:space="0" w:color="000000"/>
              <w:left w:val="single" w:sz="4" w:space="0" w:color="000000"/>
            </w:tcBorders>
            <w:tcMar>
              <w:top w:w="30" w:type="dxa"/>
              <w:bottom w:w="0" w:type="dxa"/>
              <w:right w:w="0" w:type="dxa"/>
            </w:tcMar>
            <w:vAlign w:val="center"/>
          </w:tcPr>
          <w:p>
            <w:pPr>
              <w:pStyle w:val="Normal"/>
              <w:bidi w:val="0"/>
              <w:jc w:val="left"/>
              <w:rPr/>
            </w:pPr>
            <w:r>
              <w:rPr/>
            </w:r>
          </w:p>
        </w:tc>
        <w:tc>
          <w:tcPr>
            <w:tcW w:w="466" w:type="dxa"/>
            <w:gridSpan w:val="3"/>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2021</w:t>
            </w:r>
          </w:p>
        </w:tc>
        <w:tc>
          <w:tcPr>
            <w:tcW w:w="871" w:type="dxa"/>
            <w:gridSpan w:val="2"/>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953,181 </w:t>
            </w:r>
          </w:p>
        </w:tc>
        <w:tc>
          <w:tcPr>
            <w:tcW w:w="196" w:type="dxa"/>
            <w:tcBorders>
              <w:top w:val="single" w:sz="4"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top w:val="single" w:sz="4"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3,245,177 </w:t>
            </w:r>
          </w:p>
        </w:tc>
        <w:tc>
          <w:tcPr>
            <w:tcW w:w="236" w:type="dxa"/>
            <w:tcBorders>
              <w:top w:val="single" w:sz="4"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1,087,376 </w:t>
            </w:r>
          </w:p>
        </w:tc>
        <w:tc>
          <w:tcPr>
            <w:tcW w:w="236" w:type="dxa"/>
            <w:tcBorders>
              <w:top w:val="single" w:sz="4"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1,143,493 </w:t>
            </w:r>
          </w:p>
        </w:tc>
        <w:tc>
          <w:tcPr>
            <w:tcW w:w="426" w:type="dxa"/>
            <w:tcBorders>
              <w:top w:val="single" w:sz="4"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26" w:type="dxa"/>
            <w:tcBorders>
              <w:top w:val="single" w:sz="4"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88,258 </w:t>
            </w:r>
          </w:p>
        </w:tc>
        <w:tc>
          <w:tcPr>
            <w:tcW w:w="426" w:type="dxa"/>
            <w:tcBorders>
              <w:top w:val="single" w:sz="4"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6,517,485 </w:t>
            </w:r>
          </w:p>
        </w:tc>
        <w:tc>
          <w:tcPr>
            <w:tcW w:w="232" w:type="dxa"/>
            <w:tcBorders>
              <w:top w:val="single" w:sz="4" w:space="0" w:color="000000"/>
              <w:right w:val="single" w:sz="4" w:space="0" w:color="000000"/>
            </w:tcBorders>
            <w:shd w:fill="DBDBDB"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276" w:type="dxa"/>
            <w:gridSpan w:val="3"/>
            <w:vMerge w:val="restart"/>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6"/>
              </w:rPr>
              <w:t>Mark A. Carano</w:t>
            </w:r>
            <w:r>
              <w:rPr>
                <w:rFonts w:ascii="Arial;sans-serif" w:hAnsi="Arial;sans-serif"/>
                <w:b w:val="false"/>
                <w:color w:val="000000"/>
                <w:sz w:val="10"/>
              </w:rPr>
              <w:t>(6)</w:t>
            </w:r>
          </w:p>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Vice President, Chief Financial Officer and Treasurer</w:t>
            </w:r>
          </w:p>
        </w:tc>
        <w:tc>
          <w:tcPr>
            <w:tcW w:w="4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2023</w:t>
            </w:r>
          </w:p>
        </w:tc>
        <w:tc>
          <w:tcPr>
            <w:tcW w:w="871" w:type="dxa"/>
            <w:gridSpan w:val="2"/>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497,260 </w:t>
            </w:r>
          </w:p>
        </w:tc>
        <w:tc>
          <w:tcPr>
            <w:tcW w:w="19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100,000 </w:t>
            </w:r>
          </w:p>
        </w:tc>
        <w:tc>
          <w:tcPr>
            <w:tcW w:w="211"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787,103 </w:t>
            </w:r>
          </w:p>
        </w:tc>
        <w:tc>
          <w:tcPr>
            <w:tcW w:w="23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173,222 </w:t>
            </w:r>
          </w:p>
        </w:tc>
        <w:tc>
          <w:tcPr>
            <w:tcW w:w="23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700,000 </w:t>
            </w:r>
          </w:p>
        </w:tc>
        <w:tc>
          <w:tcPr>
            <w:tcW w:w="42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2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29,320 </w:t>
            </w:r>
          </w:p>
        </w:tc>
        <w:tc>
          <w:tcPr>
            <w:tcW w:w="42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2,286,905 </w:t>
            </w:r>
          </w:p>
        </w:tc>
        <w:tc>
          <w:tcPr>
            <w:tcW w:w="232" w:type="dxa"/>
            <w:tcBorders>
              <w:top w:val="single" w:sz="4" w:space="0" w:color="000000"/>
              <w:right w:val="single" w:sz="4" w:space="0" w:color="000000"/>
            </w:tcBorders>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276" w:type="dxa"/>
            <w:gridSpan w:val="3"/>
            <w:vMerge w:val="continue"/>
            <w:tcBorders>
              <w:top w:val="single" w:sz="4" w:space="0" w:color="000000"/>
              <w:left w:val="single" w:sz="4" w:space="0" w:color="000000"/>
            </w:tcBorders>
            <w:tcMar>
              <w:top w:w="30" w:type="dxa"/>
              <w:bottom w:w="0" w:type="dxa"/>
              <w:right w:w="0" w:type="dxa"/>
            </w:tcMar>
            <w:vAlign w:val="center"/>
          </w:tcPr>
          <w:p>
            <w:pPr>
              <w:pStyle w:val="Normal"/>
              <w:bidi w:val="0"/>
              <w:jc w:val="left"/>
              <w:rPr/>
            </w:pPr>
            <w:r>
              <w:rPr/>
            </w:r>
          </w:p>
        </w:tc>
        <w:tc>
          <w:tcPr>
            <w:tcW w:w="466" w:type="dxa"/>
            <w:gridSpan w:val="3"/>
            <w:tcBorders>
              <w:top w:val="single" w:sz="4" w:space="0" w:color="000000"/>
              <w:left w:val="single" w:sz="4" w:space="0" w:color="000000"/>
            </w:tcBorders>
            <w:shd w:fill="DBDBDB" w:val="clear"/>
            <w:tcMar>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single" w:sz="4" w:space="0" w:color="000000"/>
              <w:left w:val="single" w:sz="4" w:space="0" w:color="000000"/>
            </w:tcBorders>
            <w:shd w:fill="DBDBDB" w:val="clear"/>
            <w:tcMar>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op w:val="single" w:sz="4" w:space="0" w:color="000000"/>
              <w:left w:val="single" w:sz="4" w:space="0" w:color="000000"/>
            </w:tcBorders>
            <w:shd w:fill="DBDBDB" w:val="clear"/>
            <w:tcMar>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single" w:sz="4" w:space="0" w:color="000000"/>
              <w:left w:val="single" w:sz="4" w:space="0" w:color="000000"/>
            </w:tcBorders>
            <w:shd w:fill="DBDBDB" w:val="clear"/>
            <w:tcMar>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single" w:sz="4" w:space="0" w:color="000000"/>
              <w:left w:val="single" w:sz="4" w:space="0" w:color="000000"/>
            </w:tcBorders>
            <w:shd w:fill="DBDBDB" w:val="clear"/>
            <w:tcMar>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op w:val="single" w:sz="4" w:space="0" w:color="000000"/>
              <w:left w:val="single" w:sz="4" w:space="0" w:color="000000"/>
            </w:tcBorders>
            <w:shd w:fill="DBDBDB" w:val="clear"/>
            <w:tcMar>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op w:val="single" w:sz="4" w:space="0" w:color="000000"/>
              <w:left w:val="single" w:sz="4" w:space="0" w:color="000000"/>
            </w:tcBorders>
            <w:shd w:fill="DBDBDB" w:val="clear"/>
            <w:tcMar>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op w:val="single" w:sz="4" w:space="0" w:color="000000"/>
              <w:left w:val="single" w:sz="4" w:space="0" w:color="000000"/>
            </w:tcBorders>
            <w:shd w:fill="DBDBDB" w:val="clear"/>
            <w:tcMar>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single" w:sz="4" w:space="0" w:color="000000"/>
              <w:left w:val="single" w:sz="4" w:space="0" w:color="000000"/>
              <w:right w:val="single" w:sz="4" w:space="0" w:color="000000"/>
            </w:tcBorders>
            <w:shd w:fill="DBDBDB" w:val="clear"/>
            <w:tcMar>
              <w:bottom w:w="0" w:type="dxa"/>
            </w:tcMar>
            <w:vAlign w:val="center"/>
          </w:tcPr>
          <w:p>
            <w:pPr>
              <w:pStyle w:val="TableContents"/>
              <w:bidi w:val="0"/>
              <w:spacing w:before="0" w:after="283"/>
              <w:jc w:val="left"/>
              <w:rPr>
                <w:sz w:val="4"/>
                <w:szCs w:val="4"/>
              </w:rPr>
            </w:pPr>
            <w:r>
              <w:rPr>
                <w:sz w:val="4"/>
                <w:szCs w:val="4"/>
              </w:rPr>
            </w:r>
          </w:p>
        </w:tc>
      </w:tr>
      <w:tr>
        <w:trPr/>
        <w:tc>
          <w:tcPr>
            <w:tcW w:w="1276" w:type="dxa"/>
            <w:gridSpan w:val="3"/>
            <w:vMerge w:val="continue"/>
            <w:tcBorders>
              <w:top w:val="single" w:sz="4" w:space="0" w:color="000000"/>
              <w:left w:val="single" w:sz="4" w:space="0" w:color="000000"/>
            </w:tcBorders>
            <w:tcMar>
              <w:top w:w="30" w:type="dxa"/>
              <w:bottom w:w="0" w:type="dxa"/>
              <w:right w:w="0" w:type="dxa"/>
            </w:tcMar>
            <w:vAlign w:val="center"/>
          </w:tcPr>
          <w:p>
            <w:pPr>
              <w:pStyle w:val="Normal"/>
              <w:bidi w:val="0"/>
              <w:jc w:val="left"/>
              <w:rPr/>
            </w:pPr>
            <w:r>
              <w:rPr/>
            </w:r>
          </w:p>
        </w:tc>
        <w:tc>
          <w:tcPr>
            <w:tcW w:w="466" w:type="dxa"/>
            <w:gridSpan w:val="3"/>
            <w:tcBorders>
              <w:left w:val="single" w:sz="4" w:space="0" w:color="000000"/>
            </w:tcBorders>
            <w:shd w:fill="DBDBDB"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left w:val="single" w:sz="4" w:space="0" w:color="000000"/>
            </w:tcBorders>
            <w:shd w:fill="DBDBDB"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left w:val="single" w:sz="4" w:space="0" w:color="000000"/>
            </w:tcBorders>
            <w:shd w:fill="DBDBDB"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left w:val="single" w:sz="4" w:space="0" w:color="000000"/>
            </w:tcBorders>
            <w:shd w:fill="DBDBDB"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left w:val="single" w:sz="4" w:space="0" w:color="000000"/>
            </w:tcBorders>
            <w:shd w:fill="DBDBDB"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left w:val="single" w:sz="4" w:space="0" w:color="000000"/>
            </w:tcBorders>
            <w:shd w:fill="DBDBDB"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left w:val="single" w:sz="4" w:space="0" w:color="000000"/>
            </w:tcBorders>
            <w:shd w:fill="DBDBDB"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left w:val="single" w:sz="4" w:space="0" w:color="000000"/>
            </w:tcBorders>
            <w:shd w:fill="DBDBDB"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left w:val="single" w:sz="4" w:space="0" w:color="000000"/>
              <w:right w:val="single" w:sz="4" w:space="0" w:color="000000"/>
            </w:tcBorders>
            <w:shd w:fill="DBDBDB" w:val="clear"/>
            <w:tcMar>
              <w:top w:w="0" w:type="dxa"/>
              <w:bottom w:w="0" w:type="dxa"/>
            </w:tcMar>
            <w:vAlign w:val="center"/>
          </w:tcPr>
          <w:p>
            <w:pPr>
              <w:pStyle w:val="TableContents"/>
              <w:bidi w:val="0"/>
              <w:spacing w:before="0" w:after="283"/>
              <w:jc w:val="left"/>
              <w:rPr>
                <w:sz w:val="4"/>
                <w:szCs w:val="4"/>
              </w:rPr>
            </w:pPr>
            <w:r>
              <w:rPr>
                <w:sz w:val="4"/>
                <w:szCs w:val="4"/>
              </w:rPr>
            </w:r>
          </w:p>
        </w:tc>
      </w:tr>
      <w:tr>
        <w:trPr/>
        <w:tc>
          <w:tcPr>
            <w:tcW w:w="1276" w:type="dxa"/>
            <w:gridSpan w:val="3"/>
            <w:vMerge w:val="restart"/>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J. Randall Data</w:t>
              <w:br/>
              <w:t>President, Heating and Global Operations</w:t>
            </w:r>
          </w:p>
        </w:tc>
        <w:tc>
          <w:tcPr>
            <w:tcW w:w="4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2023</w:t>
            </w:r>
          </w:p>
        </w:tc>
        <w:tc>
          <w:tcPr>
            <w:tcW w:w="871" w:type="dxa"/>
            <w:gridSpan w:val="2"/>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539,157 </w:t>
            </w:r>
          </w:p>
        </w:tc>
        <w:tc>
          <w:tcPr>
            <w:tcW w:w="19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594,107 </w:t>
            </w:r>
          </w:p>
        </w:tc>
        <w:tc>
          <w:tcPr>
            <w:tcW w:w="23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196,716 </w:t>
            </w:r>
          </w:p>
        </w:tc>
        <w:tc>
          <w:tcPr>
            <w:tcW w:w="23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762,467 </w:t>
            </w:r>
          </w:p>
        </w:tc>
        <w:tc>
          <w:tcPr>
            <w:tcW w:w="42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2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61,102 </w:t>
            </w:r>
          </w:p>
        </w:tc>
        <w:tc>
          <w:tcPr>
            <w:tcW w:w="42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2,153,549 </w:t>
            </w:r>
          </w:p>
        </w:tc>
        <w:tc>
          <w:tcPr>
            <w:tcW w:w="232" w:type="dxa"/>
            <w:tcBorders>
              <w:top w:val="single" w:sz="4" w:space="0" w:color="000000"/>
              <w:right w:val="single" w:sz="4" w:space="0" w:color="000000"/>
            </w:tcBorders>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276" w:type="dxa"/>
            <w:gridSpan w:val="3"/>
            <w:vMerge w:val="continue"/>
            <w:tcBorders>
              <w:top w:val="single" w:sz="4" w:space="0" w:color="000000"/>
              <w:left w:val="single" w:sz="4" w:space="0" w:color="000000"/>
            </w:tcBorders>
            <w:tcMar>
              <w:top w:w="30" w:type="dxa"/>
              <w:bottom w:w="0" w:type="dxa"/>
              <w:right w:w="0" w:type="dxa"/>
            </w:tcMar>
            <w:vAlign w:val="center"/>
          </w:tcPr>
          <w:p>
            <w:pPr>
              <w:pStyle w:val="Normal"/>
              <w:bidi w:val="0"/>
              <w:jc w:val="left"/>
              <w:rPr/>
            </w:pPr>
            <w:r>
              <w:rPr/>
            </w:r>
          </w:p>
        </w:tc>
        <w:tc>
          <w:tcPr>
            <w:tcW w:w="466" w:type="dxa"/>
            <w:gridSpan w:val="3"/>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2022</w:t>
            </w:r>
          </w:p>
        </w:tc>
        <w:tc>
          <w:tcPr>
            <w:tcW w:w="871" w:type="dxa"/>
            <w:gridSpan w:val="2"/>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516,444 </w:t>
            </w:r>
          </w:p>
        </w:tc>
        <w:tc>
          <w:tcPr>
            <w:tcW w:w="196" w:type="dxa"/>
            <w:tcBorders>
              <w:top w:val="single" w:sz="4"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top w:val="single" w:sz="4"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583,800 </w:t>
            </w:r>
          </w:p>
        </w:tc>
        <w:tc>
          <w:tcPr>
            <w:tcW w:w="236" w:type="dxa"/>
            <w:tcBorders>
              <w:top w:val="single" w:sz="4"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189,705 </w:t>
            </w:r>
          </w:p>
        </w:tc>
        <w:tc>
          <w:tcPr>
            <w:tcW w:w="236" w:type="dxa"/>
            <w:tcBorders>
              <w:top w:val="single" w:sz="4"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505,293 </w:t>
            </w:r>
          </w:p>
        </w:tc>
        <w:tc>
          <w:tcPr>
            <w:tcW w:w="426" w:type="dxa"/>
            <w:tcBorders>
              <w:top w:val="single" w:sz="4"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26" w:type="dxa"/>
            <w:tcBorders>
              <w:top w:val="single" w:sz="4"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85,097 </w:t>
            </w:r>
          </w:p>
        </w:tc>
        <w:tc>
          <w:tcPr>
            <w:tcW w:w="426" w:type="dxa"/>
            <w:tcBorders>
              <w:top w:val="single" w:sz="4"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1,880,339 </w:t>
            </w:r>
          </w:p>
        </w:tc>
        <w:tc>
          <w:tcPr>
            <w:tcW w:w="232" w:type="dxa"/>
            <w:tcBorders>
              <w:top w:val="single" w:sz="4" w:space="0" w:color="000000"/>
              <w:right w:val="single" w:sz="4" w:space="0" w:color="000000"/>
            </w:tcBorders>
            <w:shd w:fill="DBDBDB"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276" w:type="dxa"/>
            <w:gridSpan w:val="3"/>
            <w:vMerge w:val="continue"/>
            <w:tcBorders>
              <w:top w:val="single" w:sz="4" w:space="0" w:color="000000"/>
              <w:left w:val="single" w:sz="4" w:space="0" w:color="000000"/>
            </w:tcBorders>
            <w:tcMar>
              <w:top w:w="30" w:type="dxa"/>
              <w:bottom w:w="0" w:type="dxa"/>
              <w:right w:w="0" w:type="dxa"/>
            </w:tcMar>
            <w:vAlign w:val="center"/>
          </w:tcPr>
          <w:p>
            <w:pPr>
              <w:pStyle w:val="Normal"/>
              <w:bidi w:val="0"/>
              <w:jc w:val="left"/>
              <w:rPr/>
            </w:pPr>
            <w:r>
              <w:rPr/>
            </w:r>
          </w:p>
        </w:tc>
        <w:tc>
          <w:tcPr>
            <w:tcW w:w="4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2021</w:t>
            </w:r>
          </w:p>
        </w:tc>
        <w:tc>
          <w:tcPr>
            <w:tcW w:w="871" w:type="dxa"/>
            <w:gridSpan w:val="2"/>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497,082 </w:t>
            </w:r>
          </w:p>
        </w:tc>
        <w:tc>
          <w:tcPr>
            <w:tcW w:w="19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624,733 </w:t>
            </w:r>
          </w:p>
        </w:tc>
        <w:tc>
          <w:tcPr>
            <w:tcW w:w="23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209,319 </w:t>
            </w:r>
          </w:p>
        </w:tc>
        <w:tc>
          <w:tcPr>
            <w:tcW w:w="23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416,965 </w:t>
            </w:r>
          </w:p>
        </w:tc>
        <w:tc>
          <w:tcPr>
            <w:tcW w:w="42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2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57,432 </w:t>
            </w:r>
          </w:p>
        </w:tc>
        <w:tc>
          <w:tcPr>
            <w:tcW w:w="42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1,805,531 </w:t>
            </w:r>
          </w:p>
        </w:tc>
        <w:tc>
          <w:tcPr>
            <w:tcW w:w="232" w:type="dxa"/>
            <w:tcBorders>
              <w:top w:val="single" w:sz="4" w:space="0" w:color="000000"/>
              <w:right w:val="single" w:sz="4" w:space="0" w:color="000000"/>
            </w:tcBorders>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276" w:type="dxa"/>
            <w:gridSpan w:val="3"/>
            <w:vMerge w:val="restart"/>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John W. Swann, III</w:t>
            </w:r>
          </w:p>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Segment President, Detection &amp; Measurement</w:t>
            </w:r>
          </w:p>
        </w:tc>
        <w:tc>
          <w:tcPr>
            <w:tcW w:w="466" w:type="dxa"/>
            <w:gridSpan w:val="3"/>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2023</w:t>
            </w:r>
          </w:p>
        </w:tc>
        <w:tc>
          <w:tcPr>
            <w:tcW w:w="871" w:type="dxa"/>
            <w:gridSpan w:val="2"/>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572,888 </w:t>
            </w:r>
          </w:p>
        </w:tc>
        <w:tc>
          <w:tcPr>
            <w:tcW w:w="196" w:type="dxa"/>
            <w:tcBorders>
              <w:top w:val="single" w:sz="4"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top w:val="single" w:sz="4"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560,505 </w:t>
            </w:r>
          </w:p>
        </w:tc>
        <w:tc>
          <w:tcPr>
            <w:tcW w:w="236" w:type="dxa"/>
            <w:tcBorders>
              <w:top w:val="single" w:sz="4"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185,578 </w:t>
            </w:r>
          </w:p>
        </w:tc>
        <w:tc>
          <w:tcPr>
            <w:tcW w:w="236" w:type="dxa"/>
            <w:tcBorders>
              <w:top w:val="single" w:sz="4"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654,071 </w:t>
            </w:r>
          </w:p>
        </w:tc>
        <w:tc>
          <w:tcPr>
            <w:tcW w:w="426" w:type="dxa"/>
            <w:tcBorders>
              <w:top w:val="single" w:sz="4"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26" w:type="dxa"/>
            <w:tcBorders>
              <w:top w:val="single" w:sz="4"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67,939 </w:t>
            </w:r>
          </w:p>
        </w:tc>
        <w:tc>
          <w:tcPr>
            <w:tcW w:w="426" w:type="dxa"/>
            <w:tcBorders>
              <w:top w:val="single" w:sz="4"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2,040,981 </w:t>
            </w:r>
          </w:p>
        </w:tc>
        <w:tc>
          <w:tcPr>
            <w:tcW w:w="232" w:type="dxa"/>
            <w:tcBorders>
              <w:top w:val="single" w:sz="4" w:space="0" w:color="000000"/>
              <w:right w:val="single" w:sz="4" w:space="0" w:color="000000"/>
            </w:tcBorders>
            <w:shd w:fill="DBDBDB"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276" w:type="dxa"/>
            <w:gridSpan w:val="3"/>
            <w:vMerge w:val="continue"/>
            <w:tcBorders>
              <w:top w:val="single" w:sz="4" w:space="0" w:color="000000"/>
              <w:left w:val="single" w:sz="4" w:space="0" w:color="000000"/>
            </w:tcBorders>
            <w:tcMar>
              <w:top w:w="30" w:type="dxa"/>
              <w:bottom w:w="0" w:type="dxa"/>
              <w:right w:w="0" w:type="dxa"/>
            </w:tcMar>
            <w:vAlign w:val="center"/>
          </w:tcPr>
          <w:p>
            <w:pPr>
              <w:pStyle w:val="Normal"/>
              <w:bidi w:val="0"/>
              <w:jc w:val="left"/>
              <w:rPr/>
            </w:pPr>
            <w:r>
              <w:rPr/>
            </w:r>
          </w:p>
        </w:tc>
        <w:tc>
          <w:tcPr>
            <w:tcW w:w="4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2022</w:t>
            </w:r>
          </w:p>
        </w:tc>
        <w:tc>
          <w:tcPr>
            <w:tcW w:w="871" w:type="dxa"/>
            <w:gridSpan w:val="2"/>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511,855 </w:t>
            </w:r>
          </w:p>
        </w:tc>
        <w:tc>
          <w:tcPr>
            <w:tcW w:w="19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514,021 </w:t>
            </w:r>
          </w:p>
        </w:tc>
        <w:tc>
          <w:tcPr>
            <w:tcW w:w="23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167,031 </w:t>
            </w:r>
          </w:p>
        </w:tc>
        <w:tc>
          <w:tcPr>
            <w:tcW w:w="23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425,828 </w:t>
            </w:r>
          </w:p>
        </w:tc>
        <w:tc>
          <w:tcPr>
            <w:tcW w:w="42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2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139,158 </w:t>
            </w:r>
          </w:p>
        </w:tc>
        <w:tc>
          <w:tcPr>
            <w:tcW w:w="42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1,757,893 </w:t>
            </w:r>
          </w:p>
        </w:tc>
        <w:tc>
          <w:tcPr>
            <w:tcW w:w="232" w:type="dxa"/>
            <w:tcBorders>
              <w:top w:val="single" w:sz="4" w:space="0" w:color="000000"/>
              <w:right w:val="single" w:sz="4" w:space="0" w:color="000000"/>
            </w:tcBorders>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276" w:type="dxa"/>
            <w:gridSpan w:val="3"/>
            <w:vMerge w:val="continue"/>
            <w:tcBorders>
              <w:top w:val="single" w:sz="4" w:space="0" w:color="000000"/>
              <w:left w:val="single" w:sz="4" w:space="0" w:color="000000"/>
            </w:tcBorders>
            <w:tcMar>
              <w:top w:w="30" w:type="dxa"/>
              <w:bottom w:w="0" w:type="dxa"/>
              <w:right w:w="0" w:type="dxa"/>
            </w:tcMar>
            <w:vAlign w:val="center"/>
          </w:tcPr>
          <w:p>
            <w:pPr>
              <w:pStyle w:val="Normal"/>
              <w:bidi w:val="0"/>
              <w:jc w:val="left"/>
              <w:rPr/>
            </w:pPr>
            <w:r>
              <w:rPr/>
            </w:r>
          </w:p>
        </w:tc>
        <w:tc>
          <w:tcPr>
            <w:tcW w:w="466" w:type="dxa"/>
            <w:gridSpan w:val="3"/>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2021</w:t>
            </w:r>
          </w:p>
        </w:tc>
        <w:tc>
          <w:tcPr>
            <w:tcW w:w="871" w:type="dxa"/>
            <w:gridSpan w:val="2"/>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487,012 </w:t>
            </w:r>
          </w:p>
        </w:tc>
        <w:tc>
          <w:tcPr>
            <w:tcW w:w="196" w:type="dxa"/>
            <w:tcBorders>
              <w:top w:val="single" w:sz="4"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top w:val="single" w:sz="4"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567,894 </w:t>
            </w:r>
          </w:p>
        </w:tc>
        <w:tc>
          <w:tcPr>
            <w:tcW w:w="236" w:type="dxa"/>
            <w:tcBorders>
              <w:top w:val="single" w:sz="4"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190,292 </w:t>
            </w:r>
          </w:p>
        </w:tc>
        <w:tc>
          <w:tcPr>
            <w:tcW w:w="236" w:type="dxa"/>
            <w:tcBorders>
              <w:top w:val="single" w:sz="4"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431,124 </w:t>
            </w:r>
          </w:p>
        </w:tc>
        <w:tc>
          <w:tcPr>
            <w:tcW w:w="426" w:type="dxa"/>
            <w:tcBorders>
              <w:top w:val="single" w:sz="4"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26" w:type="dxa"/>
            <w:tcBorders>
              <w:top w:val="single" w:sz="4"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59,296 </w:t>
            </w:r>
          </w:p>
        </w:tc>
        <w:tc>
          <w:tcPr>
            <w:tcW w:w="426" w:type="dxa"/>
            <w:tcBorders>
              <w:top w:val="single" w:sz="4"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1,735,618 </w:t>
            </w:r>
          </w:p>
        </w:tc>
        <w:tc>
          <w:tcPr>
            <w:tcW w:w="232" w:type="dxa"/>
            <w:tcBorders>
              <w:top w:val="single" w:sz="4" w:space="0" w:color="000000"/>
              <w:right w:val="single" w:sz="4" w:space="0" w:color="000000"/>
            </w:tcBorders>
            <w:shd w:fill="DBDBDB"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276" w:type="dxa"/>
            <w:gridSpan w:val="3"/>
            <w:vMerge w:val="restart"/>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6"/>
              </w:rPr>
              <w:t>Sean McClenaghan</w:t>
            </w:r>
            <w:r>
              <w:rPr>
                <w:rFonts w:ascii="Arial;sans-serif" w:hAnsi="Arial;sans-serif"/>
                <w:b w:val="false"/>
                <w:color w:val="000000"/>
                <w:sz w:val="10"/>
              </w:rPr>
              <w:t>(7)</w:t>
            </w:r>
          </w:p>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Segment President, HVAC</w:t>
            </w:r>
          </w:p>
        </w:tc>
        <w:tc>
          <w:tcPr>
            <w:tcW w:w="4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2023</w:t>
            </w:r>
          </w:p>
        </w:tc>
        <w:tc>
          <w:tcPr>
            <w:tcW w:w="871" w:type="dxa"/>
            <w:gridSpan w:val="2"/>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572,888 </w:t>
            </w:r>
          </w:p>
        </w:tc>
        <w:tc>
          <w:tcPr>
            <w:tcW w:w="19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125,000 </w:t>
            </w:r>
          </w:p>
        </w:tc>
        <w:tc>
          <w:tcPr>
            <w:tcW w:w="211"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560,505 </w:t>
            </w:r>
          </w:p>
        </w:tc>
        <w:tc>
          <w:tcPr>
            <w:tcW w:w="23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185,578 </w:t>
            </w:r>
          </w:p>
        </w:tc>
        <w:tc>
          <w:tcPr>
            <w:tcW w:w="23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792,207 </w:t>
            </w:r>
          </w:p>
        </w:tc>
        <w:tc>
          <w:tcPr>
            <w:tcW w:w="42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2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22,771 </w:t>
            </w:r>
          </w:p>
        </w:tc>
        <w:tc>
          <w:tcPr>
            <w:tcW w:w="42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2,258,949 </w:t>
            </w:r>
          </w:p>
        </w:tc>
        <w:tc>
          <w:tcPr>
            <w:tcW w:w="232" w:type="dxa"/>
            <w:tcBorders>
              <w:top w:val="single" w:sz="4" w:space="0" w:color="000000"/>
              <w:right w:val="single" w:sz="4" w:space="0" w:color="000000"/>
            </w:tcBorders>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276" w:type="dxa"/>
            <w:gridSpan w:val="3"/>
            <w:vMerge w:val="continue"/>
            <w:tcBorders>
              <w:top w:val="single" w:sz="4" w:space="0" w:color="000000"/>
              <w:left w:val="single" w:sz="4" w:space="0" w:color="000000"/>
            </w:tcBorders>
            <w:tcMar>
              <w:top w:w="30" w:type="dxa"/>
              <w:bottom w:w="0" w:type="dxa"/>
              <w:right w:w="0" w:type="dxa"/>
            </w:tcMar>
            <w:vAlign w:val="center"/>
          </w:tcPr>
          <w:p>
            <w:pPr>
              <w:pStyle w:val="Normal"/>
              <w:bidi w:val="0"/>
              <w:jc w:val="left"/>
              <w:rPr/>
            </w:pPr>
            <w:r>
              <w:rPr/>
            </w:r>
          </w:p>
        </w:tc>
        <w:tc>
          <w:tcPr>
            <w:tcW w:w="466" w:type="dxa"/>
            <w:gridSpan w:val="3"/>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2022</w:t>
            </w:r>
          </w:p>
        </w:tc>
        <w:tc>
          <w:tcPr>
            <w:tcW w:w="871" w:type="dxa"/>
            <w:gridSpan w:val="2"/>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148,822 </w:t>
            </w:r>
          </w:p>
        </w:tc>
        <w:tc>
          <w:tcPr>
            <w:tcW w:w="196" w:type="dxa"/>
            <w:tcBorders>
              <w:top w:val="single" w:sz="4"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125,000 </w:t>
            </w:r>
          </w:p>
        </w:tc>
        <w:tc>
          <w:tcPr>
            <w:tcW w:w="211" w:type="dxa"/>
            <w:tcBorders>
              <w:top w:val="single" w:sz="4"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490,519 </w:t>
            </w:r>
          </w:p>
        </w:tc>
        <w:tc>
          <w:tcPr>
            <w:tcW w:w="236" w:type="dxa"/>
            <w:tcBorders>
              <w:top w:val="single" w:sz="4"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490,541 </w:t>
            </w:r>
          </w:p>
        </w:tc>
        <w:tc>
          <w:tcPr>
            <w:tcW w:w="236" w:type="dxa"/>
            <w:tcBorders>
              <w:top w:val="single" w:sz="4"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154,281 </w:t>
            </w:r>
          </w:p>
        </w:tc>
        <w:tc>
          <w:tcPr>
            <w:tcW w:w="426" w:type="dxa"/>
            <w:tcBorders>
              <w:top w:val="single" w:sz="4"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26" w:type="dxa"/>
            <w:tcBorders>
              <w:top w:val="single" w:sz="4"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5,800 </w:t>
            </w:r>
          </w:p>
        </w:tc>
        <w:tc>
          <w:tcPr>
            <w:tcW w:w="426" w:type="dxa"/>
            <w:tcBorders>
              <w:top w:val="single" w:sz="4"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1,414,963 </w:t>
            </w:r>
          </w:p>
        </w:tc>
        <w:tc>
          <w:tcPr>
            <w:tcW w:w="232" w:type="dxa"/>
            <w:tcBorders>
              <w:top w:val="single" w:sz="4" w:space="0" w:color="000000"/>
              <w:right w:val="single" w:sz="4" w:space="0" w:color="000000"/>
            </w:tcBorders>
            <w:shd w:fill="DBDBDB"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276" w:type="dxa"/>
            <w:gridSpan w:val="3"/>
            <w:vMerge w:val="restart"/>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0" w:after="0"/>
              <w:jc w:val="left"/>
              <w:rPr/>
            </w:pPr>
            <w:r>
              <w:rPr>
                <w:rFonts w:ascii="Arial;sans-serif" w:hAnsi="Arial;sans-serif"/>
                <w:b w:val="false"/>
                <w:color w:val="000000"/>
                <w:sz w:val="16"/>
              </w:rPr>
              <w:t>Michael A. Reilly</w:t>
            </w:r>
            <w:r>
              <w:rPr>
                <w:rFonts w:ascii="Arial;sans-serif" w:hAnsi="Arial;sans-serif"/>
                <w:b w:val="false"/>
                <w:color w:val="000000"/>
                <w:sz w:val="10"/>
              </w:rPr>
              <w:t>(8)</w:t>
            </w:r>
          </w:p>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Former Interim Chief Financial Officer &amp; Treasurer, Chief Accounting Officer and VP Finance</w:t>
            </w:r>
          </w:p>
        </w:tc>
        <w:tc>
          <w:tcPr>
            <w:tcW w:w="4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2023</w:t>
            </w:r>
          </w:p>
        </w:tc>
        <w:tc>
          <w:tcPr>
            <w:tcW w:w="871" w:type="dxa"/>
            <w:gridSpan w:val="2"/>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122,339 </w:t>
            </w:r>
          </w:p>
        </w:tc>
        <w:tc>
          <w:tcPr>
            <w:tcW w:w="19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150,000 </w:t>
            </w:r>
          </w:p>
        </w:tc>
        <w:tc>
          <w:tcPr>
            <w:tcW w:w="211"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121,783 </w:t>
            </w:r>
          </w:p>
        </w:tc>
        <w:tc>
          <w:tcPr>
            <w:tcW w:w="42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2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23,553 </w:t>
            </w:r>
          </w:p>
        </w:tc>
        <w:tc>
          <w:tcPr>
            <w:tcW w:w="42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417,675 </w:t>
            </w:r>
          </w:p>
        </w:tc>
        <w:tc>
          <w:tcPr>
            <w:tcW w:w="232" w:type="dxa"/>
            <w:tcBorders>
              <w:top w:val="single" w:sz="4" w:space="0" w:color="000000"/>
              <w:right w:val="single" w:sz="4" w:space="0" w:color="000000"/>
            </w:tcBorders>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276" w:type="dxa"/>
            <w:gridSpan w:val="3"/>
            <w:vMerge w:val="continue"/>
            <w:tcBorders>
              <w:top w:val="single" w:sz="4" w:space="0" w:color="000000"/>
              <w:left w:val="single" w:sz="4" w:space="0" w:color="000000"/>
              <w:bottom w:val="single" w:sz="4" w:space="0" w:color="000000"/>
            </w:tcBorders>
            <w:tcMar>
              <w:top w:w="30" w:type="dxa"/>
              <w:bottom w:w="30" w:type="dxa"/>
              <w:right w:w="0" w:type="dxa"/>
            </w:tcMar>
            <w:vAlign w:val="center"/>
          </w:tcPr>
          <w:p>
            <w:pPr>
              <w:pStyle w:val="Normal"/>
              <w:bidi w:val="0"/>
              <w:jc w:val="left"/>
              <w:rPr/>
            </w:pPr>
            <w:r>
              <w:rPr/>
            </w:r>
          </w:p>
        </w:tc>
        <w:tc>
          <w:tcPr>
            <w:tcW w:w="466" w:type="dxa"/>
            <w:gridSpan w:val="3"/>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2022</w:t>
            </w:r>
          </w:p>
        </w:tc>
        <w:tc>
          <w:tcPr>
            <w:tcW w:w="871" w:type="dxa"/>
            <w:gridSpan w:val="2"/>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448,356 </w:t>
            </w:r>
          </w:p>
        </w:tc>
        <w:tc>
          <w:tcPr>
            <w:tcW w:w="196" w:type="dxa"/>
            <w:tcBorders>
              <w:top w:val="single" w:sz="4"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top w:val="single" w:sz="4"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6" w:type="dxa"/>
            <w:tcBorders>
              <w:top w:val="single" w:sz="4"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6" w:type="dxa"/>
            <w:tcBorders>
              <w:top w:val="single" w:sz="4"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312,365 </w:t>
            </w:r>
          </w:p>
        </w:tc>
        <w:tc>
          <w:tcPr>
            <w:tcW w:w="426" w:type="dxa"/>
            <w:tcBorders>
              <w:top w:val="single" w:sz="4"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26" w:type="dxa"/>
            <w:tcBorders>
              <w:top w:val="single" w:sz="4"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89,787 </w:t>
            </w:r>
          </w:p>
        </w:tc>
        <w:tc>
          <w:tcPr>
            <w:tcW w:w="426" w:type="dxa"/>
            <w:tcBorders>
              <w:top w:val="single" w:sz="4"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850,508 </w:t>
            </w:r>
          </w:p>
        </w:tc>
        <w:tc>
          <w:tcPr>
            <w:tcW w:w="232" w:type="dxa"/>
            <w:tcBorders>
              <w:top w:val="single" w:sz="4" w:space="0" w:color="000000"/>
              <w:right w:val="single" w:sz="4" w:space="0" w:color="000000"/>
            </w:tcBorders>
            <w:shd w:fill="DBDBDB"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276" w:type="dxa"/>
            <w:gridSpan w:val="3"/>
            <w:vMerge w:val="continue"/>
            <w:tcBorders>
              <w:top w:val="single" w:sz="4" w:space="0" w:color="000000"/>
              <w:left w:val="single" w:sz="4" w:space="0" w:color="000000"/>
              <w:bottom w:val="single" w:sz="4" w:space="0" w:color="000000"/>
            </w:tcBorders>
            <w:tcMar>
              <w:top w:w="30" w:type="dxa"/>
              <w:bottom w:w="30" w:type="dxa"/>
              <w:right w:w="0" w:type="dxa"/>
            </w:tcMar>
            <w:vAlign w:val="center"/>
          </w:tcPr>
          <w:p>
            <w:pPr>
              <w:pStyle w:val="Normal"/>
              <w:bidi w:val="0"/>
              <w:jc w:val="left"/>
              <w:rPr/>
            </w:pPr>
            <w:r>
              <w:rPr/>
            </w:r>
          </w:p>
        </w:tc>
        <w:tc>
          <w:tcPr>
            <w:tcW w:w="466"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op w:val="single" w:sz="4" w:space="0" w:color="000000"/>
              <w:left w:val="single" w:sz="4" w:space="0" w:color="000000"/>
            </w:tcBorders>
            <w:tcMar>
              <w:bottom w:w="0" w:type="dxa"/>
              <w:right w:w="0" w:type="dxa"/>
            </w:tcMar>
            <w:vAlign w:val="center"/>
          </w:tcPr>
          <w:p>
            <w:pPr>
              <w:pStyle w:val="TableContents"/>
              <w:bidi w:val="0"/>
              <w:spacing w:before="70" w:after="283"/>
              <w:jc w:val="center"/>
              <w:rPr/>
            </w:pPr>
            <w:r>
              <w:rPr/>
            </w:r>
          </w:p>
        </w:tc>
        <w:tc>
          <w:tcPr>
            <w:tcW w:w="1276"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1276" w:type="dxa"/>
            <w:gridSpan w:val="3"/>
            <w:vMerge w:val="continue"/>
            <w:tcBorders>
              <w:top w:val="single" w:sz="4" w:space="0" w:color="000000"/>
              <w:left w:val="single" w:sz="4" w:space="0" w:color="000000"/>
              <w:bottom w:val="single" w:sz="4" w:space="0" w:color="000000"/>
            </w:tcBorders>
            <w:tcMar>
              <w:top w:w="30" w:type="dxa"/>
              <w:bottom w:w="30" w:type="dxa"/>
              <w:right w:w="0" w:type="dxa"/>
            </w:tcMar>
            <w:vAlign w:val="center"/>
          </w:tcPr>
          <w:p>
            <w:pPr>
              <w:pStyle w:val="Normal"/>
              <w:bidi w:val="0"/>
              <w:jc w:val="left"/>
              <w:rPr/>
            </w:pPr>
            <w:r>
              <w:rPr/>
            </w:r>
          </w:p>
        </w:tc>
        <w:tc>
          <w:tcPr>
            <w:tcW w:w="466" w:type="dxa"/>
            <w:gridSpan w:val="3"/>
            <w:tcBorders>
              <w:left w:val="single" w:sz="4" w:space="0" w:color="000000"/>
              <w:bottom w:val="single" w:sz="4"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left w:val="single" w:sz="4" w:space="0" w:color="000000"/>
              <w:bottom w:val="single" w:sz="4"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left w:val="single" w:sz="4" w:space="0" w:color="000000"/>
              <w:bottom w:val="single" w:sz="4"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left w:val="single" w:sz="4" w:space="0" w:color="000000"/>
              <w:bottom w:val="single" w:sz="4"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left w:val="single" w:sz="4" w:space="0" w:color="000000"/>
              <w:bottom w:val="single" w:sz="4"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left w:val="single" w:sz="4" w:space="0" w:color="000000"/>
              <w:bottom w:val="single" w:sz="4"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left w:val="single" w:sz="4" w:space="0" w:color="000000"/>
              <w:bottom w:val="single" w:sz="4"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left w:val="single" w:sz="4" w:space="0" w:color="000000"/>
              <w:bottom w:val="single" w:sz="4"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hanging="360"/>
        <w:jc w:val="both"/>
        <w:rPr>
          <w:rFonts w:ascii="Arial;sans-serif" w:hAnsi="Arial;sans-serif"/>
          <w:b w:val="false"/>
          <w:color w:val="000000"/>
          <w:sz w:val="14"/>
        </w:rPr>
      </w:pPr>
      <w:r>
        <w:rPr>
          <w:rFonts w:ascii="Arial;sans-serif" w:hAnsi="Arial;sans-serif"/>
          <w:b w:val="false"/>
          <w:color w:val="000000"/>
          <w:sz w:val="14"/>
        </w:rPr>
        <w:t>(1)NEOs are eligible to defer up to 50% of their salaries into the 401(k) Plan; and the SRSP. In 2023, the following NEOs deferred the following portions of their salaries into the 401(k) Plan and the SRSP:</w:t>
      </w:r>
    </w:p>
    <w:tbl>
      <w:tblPr>
        <w:tblW w:w="3959" w:type="dxa"/>
        <w:jc w:val="left"/>
        <w:tblInd w:w="0" w:type="dxa"/>
        <w:tblLayout w:type="fixed"/>
        <w:tblCellMar>
          <w:top w:w="28" w:type="dxa"/>
          <w:left w:w="28" w:type="dxa"/>
          <w:bottom w:w="28" w:type="dxa"/>
          <w:right w:w="28" w:type="dxa"/>
        </w:tblCellMar>
      </w:tblPr>
      <w:tblGrid>
        <w:gridCol w:w="560"/>
        <w:gridCol w:w="489"/>
        <w:gridCol w:w="496"/>
        <w:gridCol w:w="409"/>
        <w:gridCol w:w="409"/>
        <w:gridCol w:w="411"/>
        <w:gridCol w:w="347"/>
        <w:gridCol w:w="347"/>
        <w:gridCol w:w="491"/>
      </w:tblGrid>
      <w:tr>
        <w:trPr/>
        <w:tc>
          <w:tcPr>
            <w:tcW w:w="560"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1545" w:type="dxa"/>
            <w:gridSpan w:val="3"/>
            <w:tcBorders>
              <w:top w:val="single" w:sz="4" w:space="0" w:color="000000"/>
              <w:left w:val="single" w:sz="4" w:space="0" w:color="000000"/>
            </w:tcBorders>
            <w:shd w:fill="004C97" w:val="clear"/>
            <w:tcMar>
              <w:top w:w="30" w:type="dxa"/>
              <w:bottom w:w="0" w:type="dxa"/>
              <w:right w:w="0" w:type="dxa"/>
            </w:tcMar>
            <w:vAlign w:val="center"/>
          </w:tcPr>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Name</w:t>
            </w:r>
          </w:p>
        </w:tc>
        <w:tc>
          <w:tcPr>
            <w:tcW w:w="1229" w:type="dxa"/>
            <w:gridSpan w:val="3"/>
            <w:tcBorders>
              <w:top w:val="single" w:sz="4" w:space="0" w:color="000000"/>
              <w:left w:val="single" w:sz="4" w:space="0" w:color="000000"/>
            </w:tcBorders>
            <w:shd w:fill="004C97" w:val="clear"/>
            <w:tcMar>
              <w:top w:w="30" w:type="dxa"/>
              <w:bottom w:w="0" w:type="dxa"/>
              <w:right w:w="0" w:type="dxa"/>
            </w:tcMar>
            <w:vAlign w:val="center"/>
          </w:tcPr>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Deferred into</w:t>
            </w:r>
          </w:p>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401(k) Plan ($)</w:t>
            </w:r>
          </w:p>
        </w:tc>
        <w:tc>
          <w:tcPr>
            <w:tcW w:w="1185" w:type="dxa"/>
            <w:gridSpan w:val="3"/>
            <w:tcBorders>
              <w:top w:val="single" w:sz="4" w:space="0" w:color="000000"/>
              <w:left w:val="single" w:sz="4" w:space="0" w:color="000000"/>
              <w:right w:val="single" w:sz="4" w:space="0" w:color="000000"/>
            </w:tcBorders>
            <w:shd w:fill="004C97" w:val="clear"/>
            <w:tcMar>
              <w:top w:w="30" w:type="dxa"/>
              <w:bottom w:w="0" w:type="dxa"/>
            </w:tcMar>
            <w:vAlign w:val="center"/>
          </w:tcPr>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Deferred into</w:t>
            </w:r>
          </w:p>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SRSP ($)</w:t>
            </w:r>
          </w:p>
        </w:tc>
      </w:tr>
      <w:tr>
        <w:trPr/>
        <w:tc>
          <w:tcPr>
            <w:tcW w:w="1545" w:type="dxa"/>
            <w:gridSpan w:val="3"/>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Eugene J. Lowe, III</w:t>
            </w:r>
          </w:p>
        </w:tc>
        <w:tc>
          <w:tcPr>
            <w:tcW w:w="1229" w:type="dxa"/>
            <w:gridSpan w:val="3"/>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15,385</w:t>
            </w:r>
          </w:p>
        </w:tc>
        <w:tc>
          <w:tcPr>
            <w:tcW w:w="1185" w:type="dxa"/>
            <w:gridSpan w:val="3"/>
            <w:tcBorders>
              <w:top w:val="single" w:sz="4" w:space="0" w:color="000000"/>
              <w:left w:val="single" w:sz="4" w:space="0" w:color="000000"/>
              <w:right w:val="single" w:sz="4" w:space="0" w:color="000000"/>
            </w:tcBorders>
            <w:shd w:fill="E6E7E8" w:val="clear"/>
            <w:tcMar>
              <w:top w:w="30" w:type="dxa"/>
              <w:bottom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41,663</w:t>
            </w:r>
          </w:p>
        </w:tc>
      </w:tr>
      <w:tr>
        <w:trPr/>
        <w:tc>
          <w:tcPr>
            <w:tcW w:w="1545" w:type="dxa"/>
            <w:gridSpan w:val="3"/>
            <w:tcBorders>
              <w:top w:val="single" w:sz="4" w:space="0" w:color="000000"/>
              <w:left w:val="single" w:sz="4" w:space="0" w:color="000000"/>
            </w:tcBorders>
            <w:tcMar>
              <w:top w:w="30" w:type="dxa"/>
              <w:left w:w="20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Mark A. Carano</w:t>
            </w:r>
          </w:p>
        </w:tc>
        <w:tc>
          <w:tcPr>
            <w:tcW w:w="122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12,646</w:t>
            </w:r>
          </w:p>
        </w:tc>
        <w:tc>
          <w:tcPr>
            <w:tcW w:w="118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283"/>
              <w:jc w:val="center"/>
              <w:rPr>
                <w:color w:val="000000"/>
              </w:rPr>
            </w:pPr>
            <w:r>
              <w:rPr>
                <w:color w:val="000000"/>
              </w:rPr>
              <w:t>—</w:t>
            </w:r>
          </w:p>
        </w:tc>
      </w:tr>
      <w:tr>
        <w:trPr/>
        <w:tc>
          <w:tcPr>
            <w:tcW w:w="1545" w:type="dxa"/>
            <w:gridSpan w:val="3"/>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J. Randall Data</w:t>
            </w:r>
          </w:p>
        </w:tc>
        <w:tc>
          <w:tcPr>
            <w:tcW w:w="1229" w:type="dxa"/>
            <w:gridSpan w:val="3"/>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10,022</w:t>
            </w:r>
          </w:p>
        </w:tc>
        <w:tc>
          <w:tcPr>
            <w:tcW w:w="1185" w:type="dxa"/>
            <w:gridSpan w:val="3"/>
            <w:tcBorders>
              <w:top w:val="single" w:sz="4" w:space="0" w:color="000000"/>
              <w:left w:val="single" w:sz="4" w:space="0" w:color="000000"/>
              <w:right w:val="single" w:sz="4" w:space="0" w:color="000000"/>
            </w:tcBorders>
            <w:shd w:fill="E6E7E8" w:val="clear"/>
            <w:tcMar>
              <w:top w:w="30" w:type="dxa"/>
              <w:bottom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26,285</w:t>
            </w:r>
          </w:p>
        </w:tc>
      </w:tr>
      <w:tr>
        <w:trPr/>
        <w:tc>
          <w:tcPr>
            <w:tcW w:w="154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John W. Swann, III</w:t>
            </w:r>
          </w:p>
        </w:tc>
        <w:tc>
          <w:tcPr>
            <w:tcW w:w="122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16,154</w:t>
            </w:r>
          </w:p>
        </w:tc>
        <w:tc>
          <w:tcPr>
            <w:tcW w:w="118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27,875</w:t>
            </w:r>
          </w:p>
        </w:tc>
      </w:tr>
      <w:tr>
        <w:trPr/>
        <w:tc>
          <w:tcPr>
            <w:tcW w:w="1545" w:type="dxa"/>
            <w:gridSpan w:val="3"/>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Sean McClenaghan</w:t>
            </w:r>
          </w:p>
        </w:tc>
        <w:tc>
          <w:tcPr>
            <w:tcW w:w="1229" w:type="dxa"/>
            <w:gridSpan w:val="3"/>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10,543</w:t>
            </w:r>
          </w:p>
        </w:tc>
        <w:tc>
          <w:tcPr>
            <w:tcW w:w="1185" w:type="dxa"/>
            <w:gridSpan w:val="3"/>
            <w:tcBorders>
              <w:top w:val="single" w:sz="4" w:space="0" w:color="000000"/>
              <w:left w:val="single" w:sz="4" w:space="0" w:color="000000"/>
              <w:right w:val="single" w:sz="4" w:space="0" w:color="000000"/>
            </w:tcBorders>
            <w:shd w:fill="E6E7E8" w:val="clear"/>
            <w:tcMar>
              <w:top w:w="30" w:type="dxa"/>
              <w:bottom w:w="0" w:type="dxa"/>
            </w:tcMar>
            <w:vAlign w:val="center"/>
          </w:tcPr>
          <w:p>
            <w:pPr>
              <w:pStyle w:val="TableContents"/>
              <w:bidi w:val="0"/>
              <w:spacing w:lineRule="auto" w:line="288" w:before="0" w:after="283"/>
              <w:jc w:val="center"/>
              <w:rPr>
                <w:color w:val="000000"/>
              </w:rPr>
            </w:pPr>
            <w:r>
              <w:rPr>
                <w:color w:val="000000"/>
              </w:rPr>
              <w:t>—</w:t>
            </w:r>
          </w:p>
        </w:tc>
      </w:tr>
      <w:tr>
        <w:trPr/>
        <w:tc>
          <w:tcPr>
            <w:tcW w:w="1545"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Michael A. Reilly</w:t>
            </w:r>
          </w:p>
        </w:tc>
        <w:tc>
          <w:tcPr>
            <w:tcW w:w="1229"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22,552</w:t>
            </w:r>
          </w:p>
        </w:tc>
        <w:tc>
          <w:tcPr>
            <w:tcW w:w="1185"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3,123</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739140"/>
                <wp:effectExtent l="0" t="0" r="0" b="0"/>
                <wp:wrapNone/>
                <wp:docPr id="147" name="Frame44"/>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292" w:type="dxa"/>
                              <w:jc w:val="left"/>
                              <w:tblInd w:w="0" w:type="dxa"/>
                              <w:tblLayout w:type="fixed"/>
                              <w:tblCellMar>
                                <w:top w:w="28" w:type="dxa"/>
                                <w:left w:w="28" w:type="dxa"/>
                                <w:bottom w:w="28" w:type="dxa"/>
                                <w:right w:w="28" w:type="dxa"/>
                              </w:tblCellMar>
                            </w:tblPr>
                            <w:tblGrid>
                              <w:gridCol w:w="124"/>
                              <w:gridCol w:w="109"/>
                              <w:gridCol w:w="109"/>
                              <w:gridCol w:w="704"/>
                              <w:gridCol w:w="704"/>
                              <w:gridCol w:w="706"/>
                              <w:gridCol w:w="244"/>
                              <w:gridCol w:w="244"/>
                              <w:gridCol w:w="34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6"/>
                                    </w:rPr>
                                  </w:pPr>
                                  <w:r>
                                    <w:rPr>
                                      <w:rFonts w:ascii="Arial;sans-serif" w:hAnsi="Arial;sans-serif"/>
                                      <w:b/>
                                      <w:color w:val="000000"/>
                                      <w:sz w:val="16"/>
                                    </w:rPr>
                                    <w:t>38</w:t>
                                  </w:r>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2024 PROXY STATEMENT</w:t>
                                  </w:r>
                                </w:p>
                              </w:tc>
                              <w:tc>
                                <w:tcPr>
                                  <w:tcW w:w="83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148"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 name="Image67" descr=""/>
                                                <pic:cNvPicPr>
                                                  <a:picLocks noChangeAspect="1" noChangeArrowheads="1"/>
                                                </pic:cNvPicPr>
                                              </pic:nvPicPr>
                                              <pic:blipFill>
                                                <a:blip r:embed="rId105"/>
                                                <a:stretch>
                                                  <a:fillRect/>
                                                </a:stretch>
                                              </pic:blipFill>
                                              <pic:spPr bwMode="auto">
                                                <a:xfrm>
                                                  <a:off x="0" y="0"/>
                                                  <a:ext cx="447675" cy="161925"/>
                                                </a:xfrm>
                                                <a:prstGeom prst="rect">
                                                  <a:avLst/>
                                                </a:prstGeom>
                                              </pic:spPr>
                                            </pic:pic>
                                          </a:graphicData>
                                        </a:graphic>
                                      </wp:inline>
                                    </w:drawing>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292" w:type="dxa"/>
                        <w:jc w:val="left"/>
                        <w:tblInd w:w="0" w:type="dxa"/>
                        <w:tblLayout w:type="fixed"/>
                        <w:tblCellMar>
                          <w:top w:w="28" w:type="dxa"/>
                          <w:left w:w="28" w:type="dxa"/>
                          <w:bottom w:w="28" w:type="dxa"/>
                          <w:right w:w="28" w:type="dxa"/>
                        </w:tblCellMar>
                      </w:tblPr>
                      <w:tblGrid>
                        <w:gridCol w:w="124"/>
                        <w:gridCol w:w="109"/>
                        <w:gridCol w:w="109"/>
                        <w:gridCol w:w="704"/>
                        <w:gridCol w:w="704"/>
                        <w:gridCol w:w="706"/>
                        <w:gridCol w:w="244"/>
                        <w:gridCol w:w="244"/>
                        <w:gridCol w:w="34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6"/>
                              </w:rPr>
                            </w:pPr>
                            <w:r>
                              <w:rPr>
                                <w:rFonts w:ascii="Arial;sans-serif" w:hAnsi="Arial;sans-serif"/>
                                <w:b/>
                                <w:color w:val="000000"/>
                                <w:sz w:val="16"/>
                              </w:rPr>
                              <w:t>38</w:t>
                            </w:r>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2024 PROXY STATEMENT</w:t>
                            </w:r>
                          </w:p>
                        </w:tc>
                        <w:tc>
                          <w:tcPr>
                            <w:tcW w:w="83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149"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 name="Image67" descr=""/>
                                          <pic:cNvPicPr>
                                            <a:picLocks noChangeAspect="1" noChangeArrowheads="1"/>
                                          </pic:cNvPicPr>
                                        </pic:nvPicPr>
                                        <pic:blipFill>
                                          <a:blip r:embed="rId106"/>
                                          <a:stretch>
                                            <a:fillRect/>
                                          </a:stretch>
                                        </pic:blipFill>
                                        <pic:spPr bwMode="auto">
                                          <a:xfrm>
                                            <a:off x="0" y="0"/>
                                            <a:ext cx="447675" cy="161925"/>
                                          </a:xfrm>
                                          <a:prstGeom prst="rect">
                                            <a:avLst/>
                                          </a:prstGeom>
                                        </pic:spPr>
                                      </pic:pic>
                                    </a:graphicData>
                                  </a:graphic>
                                </wp:inline>
                              </w:drawing>
                            </w:r>
                          </w:p>
                        </w:tc>
                      </w:tr>
                    </w:tbl>
                    <w:p>
                      <w:pPr>
                        <w:pStyle w:val="TextBody"/>
                        <w:bidi w:val="0"/>
                        <w:spacing w:before="0" w:after="283"/>
                        <w:jc w:val="left"/>
                        <w:rPr/>
                      </w:pPr>
                      <w:r>
                        <w:rPr/>
                      </w:r>
                    </w:p>
                  </w:txbxContent>
                </v:textbox>
                <w10:wrap type="none"/>
              </v:rect>
            </w:pict>
          </mc:Fallback>
        </mc:AlternateContent>
      </w:r>
    </w:p>
    <w:tbl>
      <w:tblPr>
        <w:tblW w:w="2459" w:type="dxa"/>
        <w:jc w:val="left"/>
        <w:tblInd w:w="0" w:type="dxa"/>
        <w:tblLayout w:type="fixed"/>
        <w:tblCellMar>
          <w:top w:w="28" w:type="dxa"/>
          <w:left w:w="28" w:type="dxa"/>
          <w:bottom w:w="28" w:type="dxa"/>
          <w:right w:w="28" w:type="dxa"/>
        </w:tblCellMar>
      </w:tblPr>
      <w:tblGrid>
        <w:gridCol w:w="786"/>
        <w:gridCol w:w="691"/>
        <w:gridCol w:w="982"/>
      </w:tblGrid>
      <w:tr>
        <w:trPr/>
        <w:tc>
          <w:tcPr>
            <w:tcW w:w="78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r>
      <w:tr>
        <w:trPr/>
        <w:tc>
          <w:tcPr>
            <w:tcW w:w="2459" w:type="dxa"/>
            <w:gridSpan w:val="3"/>
            <w:tcBorders>
              <w:bottom w:val="single" w:sz="4" w:space="0" w:color="004C97"/>
            </w:tcBorders>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4C97"/>
                <w:sz w:val="16"/>
              </w:rPr>
            </w:pPr>
            <w:r>
              <w:rPr>
                <w:rFonts w:ascii="Arial;sans-serif" w:hAnsi="Arial;sans-serif"/>
                <w:b w:val="false"/>
                <w:color w:val="004C97"/>
                <w:sz w:val="16"/>
              </w:rPr>
              <w:t>EXECUTIVE COMPENSATION</w:t>
            </w:r>
          </w:p>
        </w:tc>
      </w:tr>
    </w:tbl>
    <w:p>
      <w:pPr>
        <w:pStyle w:val="TextBody"/>
        <w:bidi w:val="0"/>
        <w:spacing w:lineRule="auto" w:line="288" w:before="0" w:after="60"/>
        <w:ind w:left="0" w:right="0" w:hanging="360"/>
        <w:jc w:val="both"/>
        <w:rPr>
          <w:rFonts w:ascii="Arial;sans-serif" w:hAnsi="Arial;sans-serif"/>
          <w:b w:val="false"/>
          <w:color w:val="000000"/>
          <w:sz w:val="14"/>
        </w:rPr>
      </w:pPr>
      <w:r>
        <w:rPr>
          <w:rFonts w:ascii="Arial;sans-serif" w:hAnsi="Arial;sans-serif"/>
          <w:b w:val="false"/>
          <w:color w:val="000000"/>
          <w:sz w:val="14"/>
        </w:rPr>
        <w:t>(2)The amounts reported in the above table were calculated in accordance with FASB Accounting Standard Codification Topic 718 (“Topic 718”) to reflect their grant date fair-value given vesting requirements. See Note 16 to the consolidated financial statements contained in our Annual Report on Form 10-K for the year ended December 31, 2023 for additional information regarding the calculation of these numbers. Amounts presented for 2023 include RSU and PSU awards. The values for PSUs assumes achievement at the target performance level. At the maximum performance level of 150%, Mr. Lowe would receive $3,186,650, Mr, Carano would receive $524,896, Mr. Data would receive $596,066, Mr. Swann would receive $562,388, and Mr. McClenaghan would receive $562,388. Mr. Reilly did not receive and RSU or PSU award in 2023.</w:t>
      </w:r>
    </w:p>
    <w:p>
      <w:pPr>
        <w:pStyle w:val="TextBody"/>
        <w:bidi w:val="0"/>
        <w:spacing w:lineRule="auto" w:line="288" w:before="0" w:after="60"/>
        <w:ind w:left="0" w:right="0" w:hanging="360"/>
        <w:jc w:val="both"/>
        <w:rPr>
          <w:rFonts w:ascii="Arial;sans-serif" w:hAnsi="Arial;sans-serif"/>
          <w:b w:val="false"/>
          <w:color w:val="000000"/>
          <w:sz w:val="14"/>
        </w:rPr>
      </w:pPr>
      <w:r>
        <w:rPr>
          <w:rFonts w:ascii="Arial;sans-serif" w:hAnsi="Arial;sans-serif"/>
          <w:b w:val="false"/>
          <w:color w:val="000000"/>
          <w:sz w:val="14"/>
        </w:rPr>
        <w:t>(3)Option Awards reflect the fair-value at time of grant in accordance with Topic 718 to reflect their grant date fair value given vesting requirements. See note 16 to the consolidated financial statements contained in our Annual Report on Form 10-K for the year ended December 31, 2023 for additional information regarding the calculation of these numbers. See the “Grants of Plan-Based Awards” table for more information on these grants.</w:t>
      </w:r>
    </w:p>
    <w:p>
      <w:pPr>
        <w:pStyle w:val="TextBody"/>
        <w:bidi w:val="0"/>
        <w:spacing w:lineRule="auto" w:line="288" w:before="0" w:after="120"/>
        <w:ind w:left="0" w:right="0" w:hanging="360"/>
        <w:jc w:val="both"/>
        <w:rPr>
          <w:rFonts w:ascii="Arial;sans-serif" w:hAnsi="Arial;sans-serif"/>
          <w:b w:val="false"/>
          <w:color w:val="000000"/>
          <w:sz w:val="14"/>
        </w:rPr>
      </w:pPr>
      <w:r>
        <w:rPr>
          <w:rFonts w:ascii="Arial;sans-serif" w:hAnsi="Arial;sans-serif"/>
          <w:b w:val="false"/>
          <w:color w:val="000000"/>
          <w:sz w:val="14"/>
        </w:rPr>
        <w:t>(4)In 2024, the year in which they received the 2023 bonus payout, the following NEOs deferred the following portions of their bonuses into the 401(k) Plan and the SRSP:</w:t>
      </w:r>
    </w:p>
    <w:tbl>
      <w:tblPr>
        <w:tblW w:w="3959" w:type="dxa"/>
        <w:jc w:val="left"/>
        <w:tblInd w:w="0" w:type="dxa"/>
        <w:tblLayout w:type="fixed"/>
        <w:tblCellMar>
          <w:top w:w="28" w:type="dxa"/>
          <w:left w:w="28" w:type="dxa"/>
          <w:bottom w:w="28" w:type="dxa"/>
          <w:right w:w="28" w:type="dxa"/>
        </w:tblCellMar>
      </w:tblPr>
      <w:tblGrid>
        <w:gridCol w:w="560"/>
        <w:gridCol w:w="489"/>
        <w:gridCol w:w="496"/>
        <w:gridCol w:w="409"/>
        <w:gridCol w:w="409"/>
        <w:gridCol w:w="411"/>
        <w:gridCol w:w="347"/>
        <w:gridCol w:w="347"/>
        <w:gridCol w:w="491"/>
      </w:tblGrid>
      <w:tr>
        <w:trPr/>
        <w:tc>
          <w:tcPr>
            <w:tcW w:w="560"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1545" w:type="dxa"/>
            <w:gridSpan w:val="3"/>
            <w:tcBorders>
              <w:top w:val="single" w:sz="4" w:space="0" w:color="000000"/>
              <w:left w:val="single" w:sz="4" w:space="0" w:color="000000"/>
            </w:tcBorders>
            <w:shd w:fill="004C97"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6"/>
              </w:rPr>
            </w:pPr>
            <w:r>
              <w:rPr>
                <w:rFonts w:ascii="Arial;sans-serif" w:hAnsi="Arial;sans-serif"/>
                <w:b/>
                <w:color w:val="FFFFFF"/>
                <w:sz w:val="16"/>
              </w:rPr>
              <w:t>Name</w:t>
            </w:r>
          </w:p>
        </w:tc>
        <w:tc>
          <w:tcPr>
            <w:tcW w:w="1229" w:type="dxa"/>
            <w:gridSpan w:val="3"/>
            <w:tcBorders>
              <w:top w:val="single" w:sz="4" w:space="0" w:color="000000"/>
              <w:left w:val="single" w:sz="4" w:space="0" w:color="000000"/>
            </w:tcBorders>
            <w:shd w:fill="004C97" w:val="clear"/>
            <w:tcMar>
              <w:top w:w="30" w:type="dxa"/>
              <w:bottom w:w="0" w:type="dxa"/>
              <w:right w:w="0" w:type="dxa"/>
            </w:tcMar>
            <w:vAlign w:val="center"/>
          </w:tcPr>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Deferred into</w:t>
            </w:r>
          </w:p>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401(k) Plan ($)</w:t>
            </w:r>
          </w:p>
        </w:tc>
        <w:tc>
          <w:tcPr>
            <w:tcW w:w="1185" w:type="dxa"/>
            <w:gridSpan w:val="3"/>
            <w:tcBorders>
              <w:top w:val="single" w:sz="4" w:space="0" w:color="000000"/>
              <w:left w:val="single" w:sz="4" w:space="0" w:color="000000"/>
              <w:right w:val="single" w:sz="4" w:space="0" w:color="000000"/>
            </w:tcBorders>
            <w:shd w:fill="004C97" w:val="clear"/>
            <w:tcMar>
              <w:top w:w="30" w:type="dxa"/>
              <w:bottom w:w="0" w:type="dxa"/>
            </w:tcMar>
            <w:vAlign w:val="center"/>
          </w:tcPr>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Deferred into</w:t>
            </w:r>
          </w:p>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SRSP ($)</w:t>
            </w:r>
          </w:p>
        </w:tc>
      </w:tr>
      <w:tr>
        <w:trPr/>
        <w:tc>
          <w:tcPr>
            <w:tcW w:w="1545" w:type="dxa"/>
            <w:gridSpan w:val="3"/>
            <w:tcBorders>
              <w:top w:val="single" w:sz="4" w:space="0" w:color="000000"/>
              <w:left w:val="single" w:sz="4" w:space="0" w:color="000000"/>
            </w:tcBorders>
            <w:shd w:fill="E6E7E8" w:val="clear"/>
            <w:tcMar>
              <w:top w:w="30" w:type="dxa"/>
              <w:left w:w="20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Eugene J. Lowe, III</w:t>
            </w:r>
          </w:p>
        </w:tc>
        <w:tc>
          <w:tcPr>
            <w:tcW w:w="1229" w:type="dxa"/>
            <w:gridSpan w:val="3"/>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7,077</w:t>
            </w:r>
          </w:p>
        </w:tc>
        <w:tc>
          <w:tcPr>
            <w:tcW w:w="1185" w:type="dxa"/>
            <w:gridSpan w:val="3"/>
            <w:tcBorders>
              <w:top w:val="single" w:sz="4" w:space="0" w:color="000000"/>
              <w:left w:val="single" w:sz="4" w:space="0" w:color="000000"/>
              <w:right w:val="single" w:sz="4" w:space="0" w:color="000000"/>
            </w:tcBorders>
            <w:shd w:fill="DBDBDB" w:val="clear"/>
            <w:tcMar>
              <w:top w:w="30" w:type="dxa"/>
              <w:bottom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106,552</w:t>
            </w:r>
          </w:p>
        </w:tc>
      </w:tr>
      <w:tr>
        <w:trPr/>
        <w:tc>
          <w:tcPr>
            <w:tcW w:w="1545" w:type="dxa"/>
            <w:gridSpan w:val="3"/>
            <w:tcBorders>
              <w:top w:val="single" w:sz="4" w:space="0" w:color="000000"/>
              <w:left w:val="single" w:sz="4" w:space="0" w:color="000000"/>
            </w:tcBorders>
            <w:shd w:fill="FFFFFF" w:val="clear"/>
            <w:tcMar>
              <w:top w:w="30" w:type="dxa"/>
              <w:left w:w="20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Mark A. Carano</w:t>
            </w:r>
          </w:p>
        </w:tc>
        <w:tc>
          <w:tcPr>
            <w:tcW w:w="1229"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16,662</w:t>
            </w:r>
          </w:p>
        </w:tc>
        <w:tc>
          <w:tcPr>
            <w:tcW w:w="1185" w:type="dxa"/>
            <w:gridSpan w:val="3"/>
            <w:tcBorders>
              <w:top w:val="single" w:sz="4" w:space="0" w:color="000000"/>
              <w:left w:val="single" w:sz="4" w:space="0" w:color="000000"/>
              <w:right w:val="single" w:sz="4" w:space="0" w:color="000000"/>
            </w:tcBorders>
            <w:shd w:fill="FFFFFF" w:val="clear"/>
            <w:tcMar>
              <w:top w:w="30" w:type="dxa"/>
              <w:bottom w:w="0" w:type="dxa"/>
            </w:tcMar>
            <w:vAlign w:val="center"/>
          </w:tcPr>
          <w:p>
            <w:pPr>
              <w:pStyle w:val="TableContents"/>
              <w:bidi w:val="0"/>
              <w:spacing w:lineRule="auto" w:line="288" w:before="0" w:after="283"/>
              <w:jc w:val="center"/>
              <w:rPr>
                <w:color w:val="000000"/>
              </w:rPr>
            </w:pPr>
            <w:r>
              <w:rPr>
                <w:color w:val="000000"/>
              </w:rPr>
              <w:t>—</w:t>
            </w:r>
          </w:p>
        </w:tc>
      </w:tr>
      <w:tr>
        <w:trPr/>
        <w:tc>
          <w:tcPr>
            <w:tcW w:w="1545" w:type="dxa"/>
            <w:gridSpan w:val="3"/>
            <w:tcBorders>
              <w:top w:val="single" w:sz="4" w:space="0" w:color="000000"/>
              <w:left w:val="single" w:sz="4" w:space="0" w:color="000000"/>
            </w:tcBorders>
            <w:shd w:fill="E6E7E8" w:val="clear"/>
            <w:tcMar>
              <w:top w:w="30" w:type="dxa"/>
              <w:left w:w="20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J. Randall Data</w:t>
            </w:r>
          </w:p>
        </w:tc>
        <w:tc>
          <w:tcPr>
            <w:tcW w:w="1229" w:type="dxa"/>
            <w:gridSpan w:val="3"/>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20,027</w:t>
            </w:r>
          </w:p>
        </w:tc>
        <w:tc>
          <w:tcPr>
            <w:tcW w:w="1185" w:type="dxa"/>
            <w:gridSpan w:val="3"/>
            <w:tcBorders>
              <w:top w:val="single" w:sz="4" w:space="0" w:color="000000"/>
              <w:left w:val="single" w:sz="4" w:space="0" w:color="000000"/>
              <w:right w:val="single" w:sz="4" w:space="0" w:color="000000"/>
            </w:tcBorders>
            <w:shd w:fill="DBDBDB" w:val="clear"/>
            <w:tcMar>
              <w:top w:w="30" w:type="dxa"/>
              <w:bottom w:w="0" w:type="dxa"/>
            </w:tcMar>
            <w:vAlign w:val="center"/>
          </w:tcPr>
          <w:p>
            <w:pPr>
              <w:pStyle w:val="TableContents"/>
              <w:bidi w:val="0"/>
              <w:spacing w:lineRule="auto" w:line="288" w:before="0" w:after="283"/>
              <w:jc w:val="center"/>
              <w:rPr>
                <w:color w:val="000000"/>
              </w:rPr>
            </w:pPr>
            <w:r>
              <w:rPr>
                <w:color w:val="000000"/>
              </w:rPr>
              <w:t>—</w:t>
            </w:r>
          </w:p>
        </w:tc>
      </w:tr>
      <w:tr>
        <w:trPr/>
        <w:tc>
          <w:tcPr>
            <w:tcW w:w="1545" w:type="dxa"/>
            <w:gridSpan w:val="3"/>
            <w:tcBorders>
              <w:top w:val="single" w:sz="4" w:space="0" w:color="000000"/>
              <w:left w:val="single" w:sz="4" w:space="0" w:color="000000"/>
            </w:tcBorders>
            <w:shd w:fill="FFFFFF" w:val="clear"/>
            <w:tcMar>
              <w:top w:w="30" w:type="dxa"/>
              <w:left w:w="20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John W. Swann, III</w:t>
            </w:r>
          </w:p>
        </w:tc>
        <w:tc>
          <w:tcPr>
            <w:tcW w:w="1229"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6,362</w:t>
            </w:r>
          </w:p>
        </w:tc>
        <w:tc>
          <w:tcPr>
            <w:tcW w:w="1185" w:type="dxa"/>
            <w:gridSpan w:val="3"/>
            <w:tcBorders>
              <w:top w:val="single" w:sz="4" w:space="0" w:color="000000"/>
              <w:left w:val="single" w:sz="4" w:space="0" w:color="000000"/>
              <w:right w:val="single" w:sz="4" w:space="0" w:color="000000"/>
            </w:tcBorders>
            <w:shd w:fill="FFFFFF" w:val="clear"/>
            <w:tcMar>
              <w:top w:w="30" w:type="dxa"/>
              <w:bottom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25,200</w:t>
            </w:r>
          </w:p>
        </w:tc>
      </w:tr>
      <w:tr>
        <w:trPr/>
        <w:tc>
          <w:tcPr>
            <w:tcW w:w="1545" w:type="dxa"/>
            <w:gridSpan w:val="3"/>
            <w:tcBorders>
              <w:top w:val="single" w:sz="4" w:space="0" w:color="000000"/>
              <w:left w:val="single" w:sz="4" w:space="0" w:color="000000"/>
            </w:tcBorders>
            <w:shd w:fill="E6E7E8" w:val="clear"/>
            <w:tcMar>
              <w:top w:w="30" w:type="dxa"/>
              <w:left w:w="20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Sean McClenaghan</w:t>
            </w:r>
          </w:p>
        </w:tc>
        <w:tc>
          <w:tcPr>
            <w:tcW w:w="1229" w:type="dxa"/>
            <w:gridSpan w:val="3"/>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14,055</w:t>
            </w:r>
          </w:p>
        </w:tc>
        <w:tc>
          <w:tcPr>
            <w:tcW w:w="1185" w:type="dxa"/>
            <w:gridSpan w:val="3"/>
            <w:tcBorders>
              <w:top w:val="single" w:sz="4" w:space="0" w:color="000000"/>
              <w:left w:val="single" w:sz="4" w:space="0" w:color="000000"/>
              <w:right w:val="single" w:sz="4" w:space="0" w:color="000000"/>
            </w:tcBorders>
            <w:shd w:fill="DBDBDB" w:val="clear"/>
            <w:tcMar>
              <w:top w:w="30" w:type="dxa"/>
              <w:bottom w:w="0" w:type="dxa"/>
            </w:tcMar>
            <w:vAlign w:val="center"/>
          </w:tcPr>
          <w:p>
            <w:pPr>
              <w:pStyle w:val="TableContents"/>
              <w:bidi w:val="0"/>
              <w:spacing w:lineRule="auto" w:line="288" w:before="0" w:after="283"/>
              <w:jc w:val="center"/>
              <w:rPr>
                <w:color w:val="000000"/>
              </w:rPr>
            </w:pPr>
            <w:r>
              <w:rPr>
                <w:color w:val="000000"/>
              </w:rPr>
              <w:t>—</w:t>
            </w:r>
          </w:p>
        </w:tc>
      </w:tr>
      <w:tr>
        <w:trPr/>
        <w:tc>
          <w:tcPr>
            <w:tcW w:w="1545" w:type="dxa"/>
            <w:gridSpan w:val="3"/>
            <w:tcBorders>
              <w:top w:val="single" w:sz="4" w:space="0" w:color="000000"/>
              <w:left w:val="single" w:sz="4" w:space="0" w:color="000000"/>
              <w:bottom w:val="single" w:sz="4" w:space="0" w:color="000000"/>
            </w:tcBorders>
            <w:shd w:fill="FFFFFF" w:val="clear"/>
            <w:tcMar>
              <w:top w:w="30" w:type="dxa"/>
              <w:left w:w="20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Michael A. Reilly</w:t>
            </w:r>
          </w:p>
        </w:tc>
        <w:tc>
          <w:tcPr>
            <w:tcW w:w="1229" w:type="dxa"/>
            <w:gridSpan w:val="3"/>
            <w:tcBorders>
              <w:top w:val="single" w:sz="4" w:space="0" w:color="000000"/>
              <w:left w:val="single" w:sz="4" w:space="0" w:color="000000"/>
              <w:bottom w:val="single" w:sz="4" w:space="0" w:color="000000"/>
            </w:tcBorders>
            <w:shd w:fill="FFFFFF" w:val="clear"/>
            <w:tcMar>
              <w:top w:w="30" w:type="dxa"/>
              <w:bottom w:w="30" w:type="dxa"/>
              <w:right w:w="0" w:type="dxa"/>
            </w:tcMar>
            <w:vAlign w:val="center"/>
          </w:tcPr>
          <w:p>
            <w:pPr>
              <w:pStyle w:val="TableContents"/>
              <w:bidi w:val="0"/>
              <w:spacing w:lineRule="auto" w:line="288" w:before="0" w:after="283"/>
              <w:jc w:val="center"/>
              <w:rPr>
                <w:color w:val="000000"/>
              </w:rPr>
            </w:pPr>
            <w:r>
              <w:rPr>
                <w:color w:val="000000"/>
              </w:rPr>
              <w:t>—</w:t>
            </w:r>
          </w:p>
        </w:tc>
        <w:tc>
          <w:tcPr>
            <w:tcW w:w="1185" w:type="dxa"/>
            <w:gridSpan w:val="3"/>
            <w:tcBorders>
              <w:top w:val="single" w:sz="4" w:space="0" w:color="000000"/>
              <w:left w:val="single" w:sz="4" w:space="0" w:color="000000"/>
              <w:bottom w:val="single" w:sz="4" w:space="0" w:color="000000"/>
              <w:right w:val="single" w:sz="4" w:space="0" w:color="000000"/>
            </w:tcBorders>
            <w:shd w:fill="FFFFFF" w:val="clear"/>
            <w:tcMar>
              <w:top w:w="30" w:type="dxa"/>
              <w:bottom w:w="30" w:type="dxa"/>
            </w:tcMar>
            <w:vAlign w:val="center"/>
          </w:tcPr>
          <w:p>
            <w:pPr>
              <w:pStyle w:val="TableContents"/>
              <w:bidi w:val="0"/>
              <w:spacing w:lineRule="auto" w:line="288" w:before="0" w:after="283"/>
              <w:jc w:val="center"/>
              <w:rPr>
                <w:color w:val="000000"/>
              </w:rPr>
            </w:pPr>
            <w:r>
              <w:rPr>
                <w:color w:val="000000"/>
              </w:rPr>
              <w:t>—</w:t>
            </w:r>
          </w:p>
        </w:tc>
      </w:tr>
    </w:tbl>
    <w:p>
      <w:pPr>
        <w:pStyle w:val="TextBody"/>
        <w:bidi w:val="0"/>
        <w:spacing w:lineRule="auto" w:line="288" w:before="0" w:after="120"/>
        <w:ind w:left="0" w:right="0" w:hanging="360"/>
        <w:jc w:val="both"/>
        <w:rPr>
          <w:rFonts w:ascii="Arial;sans-serif" w:hAnsi="Arial;sans-serif"/>
          <w:b w:val="false"/>
          <w:color w:val="000000"/>
          <w:sz w:val="14"/>
        </w:rPr>
      </w:pPr>
      <w:r>
        <w:rPr>
          <w:rFonts w:ascii="Arial;sans-serif" w:hAnsi="Arial;sans-serif"/>
          <w:b w:val="false"/>
          <w:color w:val="000000"/>
          <w:sz w:val="14"/>
        </w:rPr>
        <w:t>(5)All Other Compensation for 2023 for NEOs is outlined in the table below:</w:t>
      </w:r>
    </w:p>
    <w:tbl>
      <w:tblPr>
        <w:tblW w:w="10205" w:type="dxa"/>
        <w:jc w:val="left"/>
        <w:tblInd w:w="0" w:type="dxa"/>
        <w:tblLayout w:type="fixed"/>
        <w:tblCellMar>
          <w:top w:w="28" w:type="dxa"/>
          <w:left w:w="28" w:type="dxa"/>
          <w:bottom w:w="28" w:type="dxa"/>
          <w:right w:w="28" w:type="dxa"/>
        </w:tblCellMar>
      </w:tblPr>
      <w:tblGrid>
        <w:gridCol w:w="550"/>
        <w:gridCol w:w="372"/>
        <w:gridCol w:w="243"/>
        <w:gridCol w:w="326"/>
        <w:gridCol w:w="320"/>
        <w:gridCol w:w="277"/>
        <w:gridCol w:w="312"/>
        <w:gridCol w:w="312"/>
        <w:gridCol w:w="313"/>
        <w:gridCol w:w="323"/>
        <w:gridCol w:w="323"/>
        <w:gridCol w:w="282"/>
        <w:gridCol w:w="343"/>
        <w:gridCol w:w="343"/>
        <w:gridCol w:w="344"/>
        <w:gridCol w:w="378"/>
        <w:gridCol w:w="246"/>
        <w:gridCol w:w="247"/>
        <w:gridCol w:w="375"/>
        <w:gridCol w:w="375"/>
        <w:gridCol w:w="376"/>
        <w:gridCol w:w="478"/>
        <w:gridCol w:w="478"/>
        <w:gridCol w:w="480"/>
        <w:gridCol w:w="270"/>
        <w:gridCol w:w="270"/>
        <w:gridCol w:w="271"/>
        <w:gridCol w:w="368"/>
        <w:gridCol w:w="368"/>
        <w:gridCol w:w="242"/>
      </w:tblGrid>
      <w:tr>
        <w:trPr/>
        <w:tc>
          <w:tcPr>
            <w:tcW w:w="550"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r>
      <w:tr>
        <w:trPr/>
        <w:tc>
          <w:tcPr>
            <w:tcW w:w="1165" w:type="dxa"/>
            <w:gridSpan w:val="3"/>
            <w:tcBorders>
              <w:top w:val="single" w:sz="4" w:space="0" w:color="000000"/>
              <w:left w:val="single" w:sz="4" w:space="0" w:color="000000"/>
            </w:tcBorders>
            <w:shd w:fill="004C97"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6"/>
              </w:rPr>
            </w:pPr>
            <w:r>
              <w:rPr>
                <w:rFonts w:ascii="Arial;sans-serif" w:hAnsi="Arial;sans-serif"/>
                <w:b/>
                <w:color w:val="FFFFFF"/>
                <w:sz w:val="16"/>
              </w:rPr>
              <w:t>Name</w:t>
            </w:r>
          </w:p>
        </w:tc>
        <w:tc>
          <w:tcPr>
            <w:tcW w:w="923" w:type="dxa"/>
            <w:gridSpan w:val="3"/>
            <w:tcBorders>
              <w:top w:val="single" w:sz="4" w:space="0" w:color="000000"/>
              <w:left w:val="single" w:sz="4" w:space="0" w:color="000000"/>
            </w:tcBorders>
            <w:shd w:fill="004C97"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6"/>
              </w:rPr>
            </w:pPr>
            <w:r>
              <w:rPr>
                <w:rFonts w:ascii="Arial;sans-serif" w:hAnsi="Arial;sans-serif"/>
                <w:b/>
                <w:color w:val="FFFFFF"/>
                <w:sz w:val="16"/>
              </w:rPr>
              <w:t xml:space="preserve">Financial </w:t>
              <w:br/>
              <w:t>Planning</w:t>
              <w:br/>
              <w:t>($)</w:t>
            </w:r>
          </w:p>
        </w:tc>
        <w:tc>
          <w:tcPr>
            <w:tcW w:w="937" w:type="dxa"/>
            <w:gridSpan w:val="3"/>
            <w:tcBorders>
              <w:top w:val="single" w:sz="4" w:space="0" w:color="000000"/>
              <w:left w:val="single" w:sz="4" w:space="0" w:color="000000"/>
            </w:tcBorders>
            <w:shd w:fill="004C97"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6"/>
              </w:rPr>
            </w:pPr>
            <w:r>
              <w:rPr>
                <w:rFonts w:ascii="Arial;sans-serif" w:hAnsi="Arial;sans-serif"/>
                <w:b/>
                <w:color w:val="FFFFFF"/>
                <w:sz w:val="16"/>
              </w:rPr>
              <w:t>Executive Physical</w:t>
              <w:br/>
              <w:t>($)</w:t>
            </w:r>
          </w:p>
        </w:tc>
        <w:tc>
          <w:tcPr>
            <w:tcW w:w="928" w:type="dxa"/>
            <w:gridSpan w:val="3"/>
            <w:tcBorders>
              <w:top w:val="single" w:sz="4" w:space="0" w:color="000000"/>
              <w:left w:val="single" w:sz="4" w:space="0" w:color="000000"/>
            </w:tcBorders>
            <w:shd w:fill="004C97" w:val="clear"/>
            <w:tcMar>
              <w:top w:w="30" w:type="dxa"/>
              <w:bottom w:w="0" w:type="dxa"/>
              <w:right w:w="0" w:type="dxa"/>
            </w:tcMar>
            <w:vAlign w:val="center"/>
          </w:tcPr>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 xml:space="preserve">Matching </w:t>
            </w:r>
          </w:p>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Gift</w:t>
            </w:r>
          </w:p>
          <w:p>
            <w:pPr>
              <w:pStyle w:val="TableContents"/>
              <w:bidi w:val="0"/>
              <w:spacing w:lineRule="auto" w:line="288" w:before="0" w:after="0"/>
              <w:jc w:val="center"/>
              <w:rPr/>
            </w:pPr>
            <w:r>
              <w:rPr>
                <w:rFonts w:ascii="Arial;sans-serif" w:hAnsi="Arial;sans-serif"/>
                <w:b/>
                <w:color w:val="FFFFFF"/>
                <w:sz w:val="16"/>
              </w:rPr>
              <w:t>($)</w:t>
            </w:r>
            <w:r>
              <w:rPr>
                <w:rFonts w:ascii="Arial;sans-serif" w:hAnsi="Arial;sans-serif"/>
                <w:b/>
                <w:color w:val="FFFFFF"/>
                <w:sz w:val="10"/>
              </w:rPr>
              <w:t>(a)</w:t>
            </w:r>
          </w:p>
        </w:tc>
        <w:tc>
          <w:tcPr>
            <w:tcW w:w="1030" w:type="dxa"/>
            <w:gridSpan w:val="3"/>
            <w:tcBorders>
              <w:top w:val="single" w:sz="4" w:space="0" w:color="000000"/>
              <w:left w:val="single" w:sz="4" w:space="0" w:color="000000"/>
            </w:tcBorders>
            <w:shd w:fill="004C97" w:val="clear"/>
            <w:tcMar>
              <w:top w:w="30" w:type="dxa"/>
              <w:bottom w:w="0" w:type="dxa"/>
              <w:right w:w="0" w:type="dxa"/>
            </w:tcMar>
            <w:vAlign w:val="center"/>
          </w:tcPr>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Company Aircraft Personal Use</w:t>
            </w:r>
          </w:p>
          <w:p>
            <w:pPr>
              <w:pStyle w:val="TableContents"/>
              <w:bidi w:val="0"/>
              <w:spacing w:lineRule="auto" w:line="288" w:before="0" w:after="0"/>
              <w:jc w:val="center"/>
              <w:rPr/>
            </w:pPr>
            <w:r>
              <w:rPr>
                <w:rFonts w:ascii="Arial;sans-serif" w:hAnsi="Arial;sans-serif"/>
                <w:b/>
                <w:color w:val="FFFFFF"/>
                <w:sz w:val="16"/>
              </w:rPr>
              <w:t>($)</w:t>
            </w:r>
            <w:r>
              <w:rPr>
                <w:rFonts w:ascii="Arial;sans-serif" w:hAnsi="Arial;sans-serif"/>
                <w:b/>
                <w:color w:val="FFFFFF"/>
                <w:sz w:val="10"/>
              </w:rPr>
              <w:t>(b)</w:t>
            </w:r>
          </w:p>
        </w:tc>
        <w:tc>
          <w:tcPr>
            <w:tcW w:w="871" w:type="dxa"/>
            <w:gridSpan w:val="3"/>
            <w:tcBorders>
              <w:top w:val="single" w:sz="4" w:space="0" w:color="000000"/>
              <w:left w:val="single" w:sz="4" w:space="0" w:color="000000"/>
            </w:tcBorders>
            <w:shd w:fill="004C97"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6"/>
              </w:rPr>
            </w:pPr>
            <w:r>
              <w:rPr>
                <w:rFonts w:ascii="Arial;sans-serif" w:hAnsi="Arial;sans-serif"/>
                <w:b/>
                <w:color w:val="FFFFFF"/>
                <w:sz w:val="16"/>
              </w:rPr>
              <w:t>Group Term Life (&gt;50k)</w:t>
              <w:br/>
              <w:t>($)</w:t>
            </w:r>
          </w:p>
        </w:tc>
        <w:tc>
          <w:tcPr>
            <w:tcW w:w="1126" w:type="dxa"/>
            <w:gridSpan w:val="3"/>
            <w:tcBorders>
              <w:top w:val="single" w:sz="4" w:space="0" w:color="000000"/>
              <w:left w:val="single" w:sz="4" w:space="0" w:color="000000"/>
            </w:tcBorders>
            <w:shd w:fill="004C97"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6"/>
              </w:rPr>
            </w:pPr>
            <w:r>
              <w:rPr>
                <w:rFonts w:ascii="Arial;sans-serif" w:hAnsi="Arial;sans-serif"/>
                <w:b/>
                <w:color w:val="FFFFFF"/>
                <w:sz w:val="16"/>
              </w:rPr>
              <w:t>Retirement Savings Plan Match</w:t>
              <w:br/>
              <w:t>($)</w:t>
            </w:r>
          </w:p>
        </w:tc>
        <w:tc>
          <w:tcPr>
            <w:tcW w:w="1436" w:type="dxa"/>
            <w:gridSpan w:val="3"/>
            <w:tcBorders>
              <w:top w:val="single" w:sz="4" w:space="0" w:color="000000"/>
              <w:left w:val="single" w:sz="4" w:space="0" w:color="000000"/>
            </w:tcBorders>
            <w:shd w:fill="004C97" w:val="clear"/>
            <w:tcMar>
              <w:top w:w="30" w:type="dxa"/>
              <w:bottom w:w="0" w:type="dxa"/>
              <w:right w:w="0" w:type="dxa"/>
            </w:tcMar>
            <w:vAlign w:val="center"/>
          </w:tcPr>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Supplemental Retirement Savings Plan Match</w:t>
            </w:r>
          </w:p>
          <w:p>
            <w:pPr>
              <w:pStyle w:val="TableContents"/>
              <w:bidi w:val="0"/>
              <w:spacing w:lineRule="auto" w:line="288" w:before="0" w:after="0"/>
              <w:jc w:val="center"/>
              <w:rPr/>
            </w:pPr>
            <w:r>
              <w:rPr>
                <w:rFonts w:ascii="Arial;sans-serif" w:hAnsi="Arial;sans-serif"/>
                <w:b/>
                <w:color w:val="FFFFFF"/>
                <w:sz w:val="16"/>
              </w:rPr>
              <w:t>($)</w:t>
            </w:r>
            <w:r>
              <w:rPr>
                <w:rFonts w:ascii="Arial;sans-serif" w:hAnsi="Arial;sans-serif"/>
                <w:b/>
                <w:color w:val="FFFFFF"/>
                <w:sz w:val="10"/>
              </w:rPr>
              <w:t>(c)</w:t>
            </w:r>
          </w:p>
        </w:tc>
        <w:tc>
          <w:tcPr>
            <w:tcW w:w="811" w:type="dxa"/>
            <w:gridSpan w:val="3"/>
            <w:tcBorders>
              <w:top w:val="single" w:sz="4" w:space="0" w:color="000000"/>
              <w:left w:val="single" w:sz="4" w:space="0" w:color="000000"/>
            </w:tcBorders>
            <w:shd w:fill="004C97"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6"/>
              </w:rPr>
            </w:pPr>
            <w:r>
              <w:rPr>
                <w:rFonts w:ascii="Arial;sans-serif" w:hAnsi="Arial;sans-serif"/>
                <w:b/>
                <w:color w:val="FFFFFF"/>
                <w:sz w:val="16"/>
              </w:rPr>
              <w:t>Other Benefits</w:t>
              <w:br/>
              <w:t>($)(d)</w:t>
            </w:r>
          </w:p>
        </w:tc>
        <w:tc>
          <w:tcPr>
            <w:tcW w:w="978" w:type="dxa"/>
            <w:gridSpan w:val="3"/>
            <w:tcBorders>
              <w:top w:val="single" w:sz="4" w:space="0" w:color="000000"/>
              <w:left w:val="single" w:sz="4" w:space="0" w:color="000000"/>
              <w:right w:val="single" w:sz="4" w:space="0" w:color="000000"/>
            </w:tcBorders>
            <w:shd w:fill="004C97" w:val="clear"/>
            <w:tcMar>
              <w:top w:w="30" w:type="dxa"/>
              <w:bottom w:w="0" w:type="dxa"/>
            </w:tcMar>
            <w:vAlign w:val="center"/>
          </w:tcPr>
          <w:p>
            <w:pPr>
              <w:pStyle w:val="TableContents"/>
              <w:bidi w:val="0"/>
              <w:spacing w:lineRule="auto" w:line="288" w:before="0" w:after="283"/>
              <w:jc w:val="center"/>
              <w:rPr>
                <w:rFonts w:ascii="Arial;sans-serif" w:hAnsi="Arial;sans-serif"/>
                <w:b/>
                <w:color w:val="FFFFFF"/>
                <w:sz w:val="16"/>
              </w:rPr>
            </w:pPr>
            <w:r>
              <w:rPr>
                <w:rFonts w:ascii="Arial;sans-serif" w:hAnsi="Arial;sans-serif"/>
                <w:b/>
                <w:color w:val="FFFFFF"/>
                <w:sz w:val="16"/>
              </w:rPr>
              <w:t>Total</w:t>
              <w:br/>
              <w:t>($)</w:t>
            </w:r>
          </w:p>
        </w:tc>
      </w:tr>
      <w:tr>
        <w:trPr/>
        <w:tc>
          <w:tcPr>
            <w:tcW w:w="1165" w:type="dxa"/>
            <w:gridSpan w:val="3"/>
            <w:tcBorders>
              <w:top w:val="single" w:sz="4" w:space="0" w:color="000000"/>
              <w:left w:val="single" w:sz="4" w:space="0" w:color="000000"/>
            </w:tcBorders>
            <w:shd w:fill="DBDBDB" w:val="clear"/>
            <w:tcMar>
              <w:top w:w="30" w:type="dxa"/>
              <w:left w:w="20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Eugene J. Lowe, III</w:t>
            </w:r>
          </w:p>
        </w:tc>
        <w:tc>
          <w:tcPr>
            <w:tcW w:w="646" w:type="dxa"/>
            <w:gridSpan w:val="2"/>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1,100 </w:t>
            </w:r>
          </w:p>
        </w:tc>
        <w:tc>
          <w:tcPr>
            <w:tcW w:w="277" w:type="dxa"/>
            <w:tcBorders>
              <w:top w:val="single" w:sz="4"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2,236 </w:t>
            </w:r>
          </w:p>
        </w:tc>
        <w:tc>
          <w:tcPr>
            <w:tcW w:w="313" w:type="dxa"/>
            <w:tcBorders>
              <w:top w:val="single" w:sz="4"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10,000 </w:t>
            </w:r>
          </w:p>
        </w:tc>
        <w:tc>
          <w:tcPr>
            <w:tcW w:w="282" w:type="dxa"/>
            <w:tcBorders>
              <w:top w:val="single" w:sz="4"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190 </w:t>
            </w:r>
          </w:p>
        </w:tc>
        <w:tc>
          <w:tcPr>
            <w:tcW w:w="344" w:type="dxa"/>
            <w:tcBorders>
              <w:top w:val="single" w:sz="4"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7" w:type="dxa"/>
            <w:tcBorders>
              <w:top w:val="single" w:sz="4"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16,500 </w:t>
            </w:r>
          </w:p>
        </w:tc>
        <w:tc>
          <w:tcPr>
            <w:tcW w:w="376" w:type="dxa"/>
            <w:tcBorders>
              <w:top w:val="single" w:sz="4"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96,745 </w:t>
            </w:r>
          </w:p>
        </w:tc>
        <w:tc>
          <w:tcPr>
            <w:tcW w:w="480" w:type="dxa"/>
            <w:tcBorders>
              <w:top w:val="single" w:sz="4"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358 </w:t>
            </w:r>
          </w:p>
        </w:tc>
        <w:tc>
          <w:tcPr>
            <w:tcW w:w="271" w:type="dxa"/>
            <w:tcBorders>
              <w:top w:val="single" w:sz="4"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127,129 </w:t>
            </w:r>
          </w:p>
        </w:tc>
        <w:tc>
          <w:tcPr>
            <w:tcW w:w="242" w:type="dxa"/>
            <w:tcBorders>
              <w:top w:val="single" w:sz="4" w:space="0" w:color="000000"/>
              <w:right w:val="single" w:sz="4" w:space="0" w:color="000000"/>
            </w:tcBorders>
            <w:shd w:fill="DBDBDB"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165" w:type="dxa"/>
            <w:gridSpan w:val="3"/>
            <w:tcBorders>
              <w:top w:val="single" w:sz="4" w:space="0" w:color="000000"/>
              <w:left w:val="single" w:sz="4" w:space="0" w:color="000000"/>
            </w:tcBorders>
            <w:shd w:fill="FFFFFF" w:val="clear"/>
            <w:tcMar>
              <w:top w:w="30" w:type="dxa"/>
              <w:left w:w="20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Mark A. Carano</w:t>
            </w:r>
          </w:p>
        </w:tc>
        <w:tc>
          <w:tcPr>
            <w:tcW w:w="646" w:type="dxa"/>
            <w:gridSpan w:val="2"/>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10,685 </w:t>
            </w:r>
          </w:p>
        </w:tc>
        <w:tc>
          <w:tcPr>
            <w:tcW w:w="277"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4,131 </w:t>
            </w:r>
          </w:p>
        </w:tc>
        <w:tc>
          <w:tcPr>
            <w:tcW w:w="313"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2"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4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1,858 </w:t>
            </w:r>
          </w:p>
        </w:tc>
        <w:tc>
          <w:tcPr>
            <w:tcW w:w="247"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12,646 </w:t>
            </w:r>
          </w:p>
        </w:tc>
        <w:tc>
          <w:tcPr>
            <w:tcW w:w="37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80"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29,320 </w:t>
            </w:r>
          </w:p>
        </w:tc>
        <w:tc>
          <w:tcPr>
            <w:tcW w:w="242" w:type="dxa"/>
            <w:tcBorders>
              <w:top w:val="single" w:sz="4" w:space="0" w:color="000000"/>
              <w:right w:val="single" w:sz="4" w:space="0" w:color="000000"/>
            </w:tcBorders>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165" w:type="dxa"/>
            <w:gridSpan w:val="3"/>
            <w:tcBorders>
              <w:top w:val="single" w:sz="4" w:space="0" w:color="000000"/>
              <w:left w:val="single" w:sz="4" w:space="0" w:color="000000"/>
            </w:tcBorders>
            <w:shd w:fill="DBDBDB" w:val="clear"/>
            <w:tcMar>
              <w:top w:w="30" w:type="dxa"/>
              <w:left w:w="20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J. Randall Data</w:t>
            </w:r>
          </w:p>
        </w:tc>
        <w:tc>
          <w:tcPr>
            <w:tcW w:w="646" w:type="dxa"/>
            <w:gridSpan w:val="2"/>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13,685 </w:t>
            </w:r>
          </w:p>
        </w:tc>
        <w:tc>
          <w:tcPr>
            <w:tcW w:w="277" w:type="dxa"/>
            <w:tcBorders>
              <w:top w:val="single" w:sz="4"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5,236 </w:t>
            </w:r>
          </w:p>
        </w:tc>
        <w:tc>
          <w:tcPr>
            <w:tcW w:w="313" w:type="dxa"/>
            <w:tcBorders>
              <w:top w:val="single" w:sz="4"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2" w:type="dxa"/>
            <w:tcBorders>
              <w:top w:val="single" w:sz="4"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44" w:type="dxa"/>
            <w:tcBorders>
              <w:top w:val="single" w:sz="4"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3,777 </w:t>
            </w:r>
          </w:p>
        </w:tc>
        <w:tc>
          <w:tcPr>
            <w:tcW w:w="247" w:type="dxa"/>
            <w:tcBorders>
              <w:top w:val="single" w:sz="4"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16,500 </w:t>
            </w:r>
          </w:p>
        </w:tc>
        <w:tc>
          <w:tcPr>
            <w:tcW w:w="376" w:type="dxa"/>
            <w:tcBorders>
              <w:top w:val="single" w:sz="4"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21,904 </w:t>
            </w:r>
          </w:p>
        </w:tc>
        <w:tc>
          <w:tcPr>
            <w:tcW w:w="480" w:type="dxa"/>
            <w:tcBorders>
              <w:top w:val="single" w:sz="4"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top w:val="single" w:sz="4"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61,102 </w:t>
            </w:r>
          </w:p>
        </w:tc>
        <w:tc>
          <w:tcPr>
            <w:tcW w:w="242" w:type="dxa"/>
            <w:tcBorders>
              <w:top w:val="single" w:sz="4" w:space="0" w:color="000000"/>
              <w:right w:val="single" w:sz="4" w:space="0" w:color="000000"/>
            </w:tcBorders>
            <w:shd w:fill="DBDBDB"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165" w:type="dxa"/>
            <w:gridSpan w:val="3"/>
            <w:tcBorders>
              <w:top w:val="single" w:sz="4" w:space="0" w:color="000000"/>
              <w:left w:val="single" w:sz="4" w:space="0" w:color="000000"/>
            </w:tcBorders>
            <w:shd w:fill="FFFFFF" w:val="clear"/>
            <w:tcMar>
              <w:top w:w="30" w:type="dxa"/>
              <w:left w:w="20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John W. Swann, III</w:t>
            </w:r>
          </w:p>
        </w:tc>
        <w:tc>
          <w:tcPr>
            <w:tcW w:w="646" w:type="dxa"/>
            <w:gridSpan w:val="2"/>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6,043 </w:t>
            </w:r>
          </w:p>
        </w:tc>
        <w:tc>
          <w:tcPr>
            <w:tcW w:w="277"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2,701 </w:t>
            </w:r>
          </w:p>
        </w:tc>
        <w:tc>
          <w:tcPr>
            <w:tcW w:w="313"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4,540 </w:t>
            </w:r>
          </w:p>
        </w:tc>
        <w:tc>
          <w:tcPr>
            <w:tcW w:w="282"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4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4,750 </w:t>
            </w:r>
          </w:p>
        </w:tc>
        <w:tc>
          <w:tcPr>
            <w:tcW w:w="247"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16,500 </w:t>
            </w:r>
          </w:p>
        </w:tc>
        <w:tc>
          <w:tcPr>
            <w:tcW w:w="37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33,405 </w:t>
            </w:r>
          </w:p>
        </w:tc>
        <w:tc>
          <w:tcPr>
            <w:tcW w:w="480"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67,939 </w:t>
            </w:r>
          </w:p>
        </w:tc>
        <w:tc>
          <w:tcPr>
            <w:tcW w:w="242" w:type="dxa"/>
            <w:tcBorders>
              <w:top w:val="single" w:sz="4" w:space="0" w:color="000000"/>
              <w:right w:val="single" w:sz="4" w:space="0" w:color="000000"/>
            </w:tcBorders>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165" w:type="dxa"/>
            <w:gridSpan w:val="3"/>
            <w:tcBorders>
              <w:top w:val="single" w:sz="4" w:space="0" w:color="000000"/>
              <w:left w:val="single" w:sz="4" w:space="0" w:color="000000"/>
            </w:tcBorders>
            <w:shd w:fill="DBDBDB" w:val="clear"/>
            <w:tcMar>
              <w:top w:w="30" w:type="dxa"/>
              <w:left w:w="20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Sean McClenaghan</w:t>
            </w:r>
          </w:p>
        </w:tc>
        <w:tc>
          <w:tcPr>
            <w:tcW w:w="646" w:type="dxa"/>
            <w:gridSpan w:val="2"/>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2,195 </w:t>
            </w:r>
          </w:p>
        </w:tc>
        <w:tc>
          <w:tcPr>
            <w:tcW w:w="277" w:type="dxa"/>
            <w:tcBorders>
              <w:top w:val="single" w:sz="4"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3" w:type="dxa"/>
            <w:tcBorders>
              <w:top w:val="single" w:sz="4"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2" w:type="dxa"/>
            <w:tcBorders>
              <w:top w:val="single" w:sz="4"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44" w:type="dxa"/>
            <w:tcBorders>
              <w:top w:val="single" w:sz="4"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4,076 </w:t>
            </w:r>
          </w:p>
        </w:tc>
        <w:tc>
          <w:tcPr>
            <w:tcW w:w="247" w:type="dxa"/>
            <w:tcBorders>
              <w:top w:val="single" w:sz="4"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16,500 </w:t>
            </w:r>
          </w:p>
        </w:tc>
        <w:tc>
          <w:tcPr>
            <w:tcW w:w="376" w:type="dxa"/>
            <w:tcBorders>
              <w:top w:val="single" w:sz="4"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80" w:type="dxa"/>
            <w:tcBorders>
              <w:top w:val="single" w:sz="4"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top w:val="single" w:sz="4"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22,771 </w:t>
            </w:r>
          </w:p>
        </w:tc>
        <w:tc>
          <w:tcPr>
            <w:tcW w:w="242" w:type="dxa"/>
            <w:tcBorders>
              <w:top w:val="single" w:sz="4" w:space="0" w:color="000000"/>
              <w:right w:val="single" w:sz="4" w:space="0" w:color="000000"/>
            </w:tcBorders>
            <w:shd w:fill="DBDBDB"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165" w:type="dxa"/>
            <w:gridSpan w:val="3"/>
            <w:tcBorders>
              <w:top w:val="single" w:sz="4" w:space="0" w:color="000000"/>
              <w:left w:val="single" w:sz="4" w:space="0" w:color="000000"/>
              <w:bottom w:val="single" w:sz="4" w:space="0" w:color="000000"/>
            </w:tcBorders>
            <w:shd w:fill="FFFFFF" w:val="clear"/>
            <w:tcMar>
              <w:top w:w="30" w:type="dxa"/>
              <w:left w:w="20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Michael A. Reilly</w:t>
            </w:r>
          </w:p>
        </w:tc>
        <w:tc>
          <w:tcPr>
            <w:tcW w:w="646" w:type="dxa"/>
            <w:gridSpan w:val="2"/>
            <w:tcBorders>
              <w:top w:val="single" w:sz="4" w:space="0" w:color="000000"/>
              <w:left w:val="single" w:sz="4" w:space="0" w:color="000000"/>
              <w:bottom w:val="single" w:sz="4" w:space="0" w:color="000000"/>
            </w:tcBorders>
            <w:shd w:fill="FFFFFF" w:val="clear"/>
            <w:tcMar>
              <w:top w:w="3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277" w:type="dxa"/>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313"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000000"/>
              <w:left w:val="single" w:sz="4" w:space="0" w:color="000000"/>
              <w:bottom w:val="single" w:sz="4" w:space="0" w:color="000000"/>
            </w:tcBorders>
            <w:shd w:fill="FFFFFF" w:val="clear"/>
            <w:tcMar>
              <w:top w:w="3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282" w:type="dxa"/>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top w:val="single" w:sz="4" w:space="0" w:color="000000"/>
              <w:left w:val="single" w:sz="4" w:space="0" w:color="000000"/>
              <w:bottom w:val="single" w:sz="4" w:space="0" w:color="000000"/>
            </w:tcBorders>
            <w:shd w:fill="FFFFFF" w:val="clear"/>
            <w:tcMar>
              <w:top w:w="3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344" w:type="dxa"/>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top w:val="single" w:sz="4" w:space="0" w:color="000000"/>
              <w:left w:val="single" w:sz="4" w:space="0" w:color="000000"/>
              <w:bottom w:val="single" w:sz="4" w:space="0" w:color="000000"/>
            </w:tcBorders>
            <w:shd w:fill="FFFFFF" w:val="clear"/>
            <w:tcMar>
              <w:top w:w="3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996 </w:t>
            </w:r>
          </w:p>
        </w:tc>
        <w:tc>
          <w:tcPr>
            <w:tcW w:w="247" w:type="dxa"/>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top w:val="single" w:sz="4" w:space="0" w:color="000000"/>
              <w:left w:val="single" w:sz="4" w:space="0" w:color="000000"/>
              <w:bottom w:val="single" w:sz="4" w:space="0" w:color="000000"/>
            </w:tcBorders>
            <w:shd w:fill="FFFFFF" w:val="clear"/>
            <w:tcMar>
              <w:top w:w="3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16,500 </w:t>
            </w:r>
          </w:p>
        </w:tc>
        <w:tc>
          <w:tcPr>
            <w:tcW w:w="376" w:type="dxa"/>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6,057 </w:t>
            </w:r>
          </w:p>
        </w:tc>
        <w:tc>
          <w:tcPr>
            <w:tcW w:w="480"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23,553 </w:t>
            </w:r>
          </w:p>
        </w:tc>
        <w:tc>
          <w:tcPr>
            <w:tcW w:w="242" w:type="dxa"/>
            <w:tcBorders>
              <w:top w:val="single" w:sz="4" w:space="0" w:color="000000"/>
              <w:bottom w:val="single" w:sz="4" w:space="0" w:color="000000"/>
              <w:right w:val="single" w:sz="4" w:space="0" w:color="000000"/>
            </w:tcBorders>
            <w:tcMar>
              <w:top w:w="30" w:type="dxa"/>
              <w:left w:w="0" w:type="dxa"/>
              <w:bottom w:w="3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hanging="360"/>
        <w:jc w:val="both"/>
        <w:rPr>
          <w:rFonts w:ascii="Arial;sans-serif" w:hAnsi="Arial;sans-serif"/>
          <w:b w:val="false"/>
          <w:color w:val="000000"/>
          <w:sz w:val="14"/>
        </w:rPr>
      </w:pPr>
      <w:r>
        <w:rPr>
          <w:rFonts w:ascii="Arial;sans-serif" w:hAnsi="Arial;sans-serif"/>
          <w:b w:val="false"/>
          <w:color w:val="000000"/>
          <w:sz w:val="14"/>
        </w:rPr>
        <w:t>(a)We will make matching donations for charitable contributions made by employees up to a total of $5,000 per annum. We will make matching donations for executive officers up to a total of $10,000. Amounts represented are the matching contributions for 2023.</w:t>
      </w:r>
    </w:p>
    <w:p>
      <w:pPr>
        <w:pStyle w:val="TextBody"/>
        <w:bidi w:val="0"/>
        <w:spacing w:lineRule="auto" w:line="288" w:before="0" w:after="60"/>
        <w:ind w:left="0" w:right="0" w:hanging="360"/>
        <w:jc w:val="both"/>
        <w:rPr>
          <w:rFonts w:ascii="Arial;sans-serif" w:hAnsi="Arial;sans-serif"/>
          <w:b w:val="false"/>
          <w:color w:val="000000"/>
          <w:sz w:val="14"/>
        </w:rPr>
      </w:pPr>
      <w:r>
        <w:rPr>
          <w:rFonts w:ascii="Arial;sans-serif" w:hAnsi="Arial;sans-serif"/>
          <w:b w:val="false"/>
          <w:color w:val="000000"/>
          <w:sz w:val="14"/>
        </w:rPr>
        <w:t xml:space="preserve">(b)Represents guest travel accompanying executive officer on business travel. Values reflects the incremental costs (e.g., food and beverage). </w:t>
      </w:r>
    </w:p>
    <w:p>
      <w:pPr>
        <w:pStyle w:val="TextBody"/>
        <w:bidi w:val="0"/>
        <w:spacing w:lineRule="auto" w:line="288" w:before="0" w:after="60"/>
        <w:ind w:left="0" w:right="0" w:hanging="360"/>
        <w:jc w:val="both"/>
        <w:rPr>
          <w:rFonts w:ascii="Arial;sans-serif" w:hAnsi="Arial;sans-serif"/>
          <w:b w:val="false"/>
          <w:color w:val="000000"/>
          <w:sz w:val="14"/>
        </w:rPr>
      </w:pPr>
      <w:r>
        <w:rPr>
          <w:rFonts w:ascii="Arial;sans-serif" w:hAnsi="Arial;sans-serif"/>
          <w:b w:val="false"/>
          <w:color w:val="000000"/>
          <w:sz w:val="14"/>
        </w:rPr>
        <w:t>(c)Represents matching contributions made by the employer to the SRSP during the plan year.</w:t>
      </w:r>
    </w:p>
    <w:p>
      <w:pPr>
        <w:pStyle w:val="TextBody"/>
        <w:bidi w:val="0"/>
        <w:spacing w:lineRule="auto" w:line="288" w:before="0" w:after="120"/>
        <w:ind w:left="0" w:right="0" w:hanging="360"/>
        <w:jc w:val="both"/>
        <w:rPr>
          <w:rFonts w:ascii="Arial;sans-serif" w:hAnsi="Arial;sans-serif"/>
          <w:b w:val="false"/>
          <w:color w:val="000000"/>
          <w:sz w:val="14"/>
        </w:rPr>
      </w:pPr>
      <w:r>
        <w:rPr>
          <w:rFonts w:ascii="Arial;sans-serif" w:hAnsi="Arial;sans-serif"/>
          <w:b w:val="false"/>
          <w:color w:val="000000"/>
          <w:sz w:val="14"/>
        </w:rPr>
        <w:t>(d)Represents a $200 15-year service award gift card which includes a tax gross up.</w:t>
      </w:r>
    </w:p>
    <w:p>
      <w:pPr>
        <w:pStyle w:val="TextBody"/>
        <w:bidi w:val="0"/>
        <w:spacing w:lineRule="auto" w:line="288" w:before="0" w:after="60"/>
        <w:ind w:left="0" w:right="0" w:hanging="360"/>
        <w:jc w:val="both"/>
        <w:rPr>
          <w:rFonts w:ascii="Arial;sans-serif" w:hAnsi="Arial;sans-serif"/>
          <w:b w:val="false"/>
          <w:color w:val="000000"/>
          <w:sz w:val="14"/>
        </w:rPr>
      </w:pPr>
      <w:r>
        <w:rPr>
          <w:rFonts w:ascii="Arial;sans-serif" w:hAnsi="Arial;sans-serif"/>
          <w:b w:val="false"/>
          <w:color w:val="000000"/>
          <w:sz w:val="14"/>
        </w:rPr>
        <w:t>(6)Mr. Carano joined the Company in January 2023. To offset the loss of a portion of the incentive compensation under his prior employment arrangement, in connection with the commencement of his employment with the Company, Mr. Carano received a sign-on bonus of $100,000. Mr. Carano was obligated to repay the full amount of the sign-on bonus if he voluntarily terminated his employment with the Company or his employment was terminated by the Company for cause within 12 months of the payment date. The repayment obligation continues for the subsequent 12-month period upon a termination of employment under these circumstances, with the amount being ratably reduced for each month of his continued employment unless he fails to repay such amount upon the Company’s demand, in which case the full amount of the sign-on bonus is required to be repaid. The full amount of the sign-on bonus is included as “Bonus” for 2023.</w:t>
      </w:r>
    </w:p>
    <w:p>
      <w:pPr>
        <w:pStyle w:val="TextBody"/>
        <w:bidi w:val="0"/>
        <w:spacing w:lineRule="auto" w:line="288" w:before="0" w:after="60"/>
        <w:ind w:left="0" w:right="0" w:hanging="360"/>
        <w:jc w:val="both"/>
        <w:rPr>
          <w:rFonts w:ascii="Arial;sans-serif" w:hAnsi="Arial;sans-serif"/>
          <w:b w:val="false"/>
          <w:color w:val="000000"/>
          <w:sz w:val="14"/>
        </w:rPr>
      </w:pPr>
      <w:r>
        <w:rPr>
          <w:rFonts w:ascii="Arial;sans-serif" w:hAnsi="Arial;sans-serif"/>
          <w:b w:val="false"/>
          <w:color w:val="000000"/>
          <w:sz w:val="14"/>
        </w:rPr>
        <w:t>(7)Mr. McClenaghan joined the Company in September 2022 as President, Global Cooling and was appointed as Segment President, HVAC in January 2024. He received $125,000 in 2023 as the final installment of his sign-on bonus.</w:t>
      </w:r>
    </w:p>
    <w:p>
      <w:pPr>
        <w:pStyle w:val="TextBody"/>
        <w:bidi w:val="0"/>
        <w:spacing w:lineRule="auto" w:line="288" w:before="0" w:after="60"/>
        <w:ind w:left="0" w:right="0" w:hanging="360"/>
        <w:jc w:val="both"/>
        <w:rPr>
          <w:rFonts w:ascii="Arial;sans-serif" w:hAnsi="Arial;sans-serif"/>
          <w:b w:val="false"/>
          <w:color w:val="000000"/>
          <w:sz w:val="14"/>
        </w:rPr>
      </w:pPr>
      <w:r>
        <w:rPr>
          <w:rFonts w:ascii="Arial;sans-serif" w:hAnsi="Arial;sans-serif"/>
          <w:b w:val="false"/>
          <w:color w:val="000000"/>
          <w:sz w:val="14"/>
        </w:rPr>
        <w:t xml:space="preserve">(8)Mr. Reilly was appointed as Chief Financial Officer &amp; Treasurer on an interim basis in September 2022 upon the resignation of the Company’s prior Chief Financial Officer and Treasurer and ceased serving in those capacities on January 3, 2023 upon the appointment and commencement of service of Mr. Carano as Chief Financial Officer, Vice President and Treasurer. Mr. Reilly continued to serve as Chief Accounting Officer and VP, Finance until his retirement on April 7, 2023. In light of his pending retirement, Mr. Reilly was awarded a cash bonus in lieu of an annual equity grant in recognition of his service as interim Chief Financial Officer &amp; Treasurer.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739140"/>
                <wp:effectExtent l="0" t="0" r="0" b="0"/>
                <wp:wrapNone/>
                <wp:docPr id="150" name="Frame45"/>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292" w:type="dxa"/>
                              <w:jc w:val="right"/>
                              <w:tblInd w:w="0" w:type="dxa"/>
                              <w:tblLayout w:type="fixed"/>
                              <w:tblCellMar>
                                <w:top w:w="28" w:type="dxa"/>
                                <w:left w:w="28" w:type="dxa"/>
                                <w:bottom w:w="28" w:type="dxa"/>
                                <w:right w:w="28" w:type="dxa"/>
                              </w:tblCellMar>
                            </w:tblPr>
                            <w:tblGrid>
                              <w:gridCol w:w="292"/>
                              <w:gridCol w:w="256"/>
                              <w:gridCol w:w="258"/>
                              <w:gridCol w:w="704"/>
                              <w:gridCol w:w="704"/>
                              <w:gridCol w:w="706"/>
                              <w:gridCol w:w="109"/>
                              <w:gridCol w:w="109"/>
                              <w:gridCol w:w="154"/>
                            </w:tblGrid>
                            <w:tr>
                              <w:trPr/>
                              <w:tc>
                                <w:tcPr>
                                  <w:tcW w:w="29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0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151"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 name="Image68" descr=""/>
                                                <pic:cNvPicPr>
                                                  <a:picLocks noChangeAspect="1" noChangeArrowheads="1"/>
                                                </pic:cNvPicPr>
                                              </pic:nvPicPr>
                                              <pic:blipFill>
                                                <a:blip r:embed="rId107"/>
                                                <a:stretch>
                                                  <a:fillRect/>
                                                </a:stretch>
                                              </pic:blipFill>
                                              <pic:spPr bwMode="auto">
                                                <a:xfrm>
                                                  <a:off x="0" y="0"/>
                                                  <a:ext cx="447675" cy="161925"/>
                                                </a:xfrm>
                                                <a:prstGeom prst="rect">
                                                  <a:avLst/>
                                                </a:prstGeom>
                                              </pic:spPr>
                                            </pic:pic>
                                          </a:graphicData>
                                        </a:graphic>
                                      </wp:inline>
                                    </w:drawing>
                                  </w:r>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2024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000000"/>
                                      <w:sz w:val="16"/>
                                    </w:rPr>
                                  </w:pPr>
                                  <w:r>
                                    <w:rPr>
                                      <w:rFonts w:ascii="Arial;sans-serif" w:hAnsi="Arial;sans-serif"/>
                                      <w:b/>
                                      <w:color w:val="000000"/>
                                      <w:sz w:val="16"/>
                                    </w:rPr>
                                    <w:t>39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292" w:type="dxa"/>
                        <w:jc w:val="right"/>
                        <w:tblInd w:w="0" w:type="dxa"/>
                        <w:tblLayout w:type="fixed"/>
                        <w:tblCellMar>
                          <w:top w:w="28" w:type="dxa"/>
                          <w:left w:w="28" w:type="dxa"/>
                          <w:bottom w:w="28" w:type="dxa"/>
                          <w:right w:w="28" w:type="dxa"/>
                        </w:tblCellMar>
                      </w:tblPr>
                      <w:tblGrid>
                        <w:gridCol w:w="292"/>
                        <w:gridCol w:w="256"/>
                        <w:gridCol w:w="258"/>
                        <w:gridCol w:w="704"/>
                        <w:gridCol w:w="704"/>
                        <w:gridCol w:w="706"/>
                        <w:gridCol w:w="109"/>
                        <w:gridCol w:w="109"/>
                        <w:gridCol w:w="154"/>
                      </w:tblGrid>
                      <w:tr>
                        <w:trPr/>
                        <w:tc>
                          <w:tcPr>
                            <w:tcW w:w="29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0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152"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 name="Image68" descr=""/>
                                          <pic:cNvPicPr>
                                            <a:picLocks noChangeAspect="1" noChangeArrowheads="1"/>
                                          </pic:cNvPicPr>
                                        </pic:nvPicPr>
                                        <pic:blipFill>
                                          <a:blip r:embed="rId108"/>
                                          <a:stretch>
                                            <a:fillRect/>
                                          </a:stretch>
                                        </pic:blipFill>
                                        <pic:spPr bwMode="auto">
                                          <a:xfrm>
                                            <a:off x="0" y="0"/>
                                            <a:ext cx="447675" cy="161925"/>
                                          </a:xfrm>
                                          <a:prstGeom prst="rect">
                                            <a:avLst/>
                                          </a:prstGeom>
                                        </pic:spPr>
                                      </pic:pic>
                                    </a:graphicData>
                                  </a:graphic>
                                </wp:inline>
                              </w:drawing>
                            </w:r>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2024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000000"/>
                                <w:sz w:val="16"/>
                              </w:rPr>
                            </w:pPr>
                            <w:r>
                              <w:rPr>
                                <w:rFonts w:ascii="Arial;sans-serif" w:hAnsi="Arial;sans-serif"/>
                                <w:b/>
                                <w:color w:val="000000"/>
                                <w:sz w:val="16"/>
                              </w:rPr>
                              <w:t>39</w:t>
                            </w:r>
                          </w:p>
                        </w:tc>
                      </w:tr>
                    </w:tbl>
                    <w:p>
                      <w:pPr>
                        <w:pStyle w:val="TextBody"/>
                        <w:bidi w:val="0"/>
                        <w:spacing w:before="0" w:after="283"/>
                        <w:jc w:val="left"/>
                        <w:rPr/>
                      </w:pPr>
                      <w:r>
                        <w:rPr/>
                      </w:r>
                    </w:p>
                  </w:txbxContent>
                </v:textbox>
                <w10:wrap type="none"/>
              </v:rect>
            </w:pict>
          </mc:Fallback>
        </mc:AlternateContent>
      </w:r>
    </w:p>
    <w:tbl>
      <w:tblPr>
        <w:tblW w:w="2459" w:type="dxa"/>
        <w:jc w:val="right"/>
        <w:tblInd w:w="0" w:type="dxa"/>
        <w:tblLayout w:type="fixed"/>
        <w:tblCellMar>
          <w:top w:w="28" w:type="dxa"/>
          <w:left w:w="28" w:type="dxa"/>
          <w:bottom w:w="28" w:type="dxa"/>
          <w:right w:w="28" w:type="dxa"/>
        </w:tblCellMar>
      </w:tblPr>
      <w:tblGrid>
        <w:gridCol w:w="786"/>
        <w:gridCol w:w="691"/>
        <w:gridCol w:w="982"/>
      </w:tblGrid>
      <w:tr>
        <w:trPr/>
        <w:tc>
          <w:tcPr>
            <w:tcW w:w="78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r>
      <w:tr>
        <w:trPr/>
        <w:tc>
          <w:tcPr>
            <w:tcW w:w="2459" w:type="dxa"/>
            <w:gridSpan w:val="3"/>
            <w:tcBorders>
              <w:bottom w:val="single" w:sz="4" w:space="0" w:color="004C97"/>
            </w:tcBorders>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4C97"/>
                <w:sz w:val="16"/>
              </w:rPr>
            </w:pPr>
            <w:r>
              <w:rPr>
                <w:rFonts w:ascii="Arial;sans-serif" w:hAnsi="Arial;sans-serif"/>
                <w:b w:val="false"/>
                <w:color w:val="004C97"/>
                <w:sz w:val="16"/>
              </w:rPr>
              <w:t>EXECUTIVE COMPENSATION</w:t>
            </w:r>
          </w:p>
        </w:tc>
      </w:tr>
    </w:tbl>
    <w:p>
      <w:pPr>
        <w:pStyle w:val="TextBody"/>
        <w:bidi w:val="0"/>
        <w:spacing w:lineRule="auto" w:line="288" w:before="0" w:after="60"/>
        <w:jc w:val="left"/>
        <w:rPr>
          <w:rFonts w:ascii="Arial;sans-serif" w:hAnsi="Arial;sans-serif"/>
          <w:b/>
          <w:color w:val="004C97"/>
          <w:sz w:val="20"/>
        </w:rPr>
      </w:pPr>
      <w:r>
        <w:rPr>
          <w:rFonts w:ascii="Arial;sans-serif" w:hAnsi="Arial;sans-serif"/>
          <w:b/>
          <w:color w:val="004C97"/>
          <w:sz w:val="20"/>
        </w:rPr>
        <w:t>CEO Employment Agreement</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The above benefits for Mr. Lowe are provided pursuant to the terms of his employment agreement. His employment agreement provides for annual base salary levels, annual incentive compensation opportunity, severance entitlements, and allowance amounts for annual income tax return preparation and financial planning. The initial term of Mr. Lowe’s employment agreement expired on December 31, 2017, and the agreement automatically renews in additional subsequent one year-long terms unless at least 180 days prior to the expiration of any subsequent extended term one of the parties provides the other party with a written notice of non-renewal.</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See “Compensation Discussion and Analysis,” beginning on page 23, for further discussion and explanation of each element of compensation.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739140"/>
                <wp:effectExtent l="0" t="0" r="0" b="0"/>
                <wp:wrapNone/>
                <wp:docPr id="153" name="Frame46"/>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292" w:type="dxa"/>
                              <w:jc w:val="left"/>
                              <w:tblInd w:w="0" w:type="dxa"/>
                              <w:tblLayout w:type="fixed"/>
                              <w:tblCellMar>
                                <w:top w:w="28" w:type="dxa"/>
                                <w:left w:w="28" w:type="dxa"/>
                                <w:bottom w:w="28" w:type="dxa"/>
                                <w:right w:w="28" w:type="dxa"/>
                              </w:tblCellMar>
                            </w:tblPr>
                            <w:tblGrid>
                              <w:gridCol w:w="124"/>
                              <w:gridCol w:w="109"/>
                              <w:gridCol w:w="109"/>
                              <w:gridCol w:w="704"/>
                              <w:gridCol w:w="704"/>
                              <w:gridCol w:w="706"/>
                              <w:gridCol w:w="244"/>
                              <w:gridCol w:w="244"/>
                              <w:gridCol w:w="34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6"/>
                                    </w:rPr>
                                  </w:pPr>
                                  <w:r>
                                    <w:rPr>
                                      <w:rFonts w:ascii="Arial;sans-serif" w:hAnsi="Arial;sans-serif"/>
                                      <w:b/>
                                      <w:color w:val="000000"/>
                                      <w:sz w:val="16"/>
                                    </w:rPr>
                                    <w:t>40</w:t>
                                  </w:r>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2024 PROXY STATEMENT</w:t>
                                  </w:r>
                                </w:p>
                              </w:tc>
                              <w:tc>
                                <w:tcPr>
                                  <w:tcW w:w="83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154"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 name="Image69" descr=""/>
                                                <pic:cNvPicPr>
                                                  <a:picLocks noChangeAspect="1" noChangeArrowheads="1"/>
                                                </pic:cNvPicPr>
                                              </pic:nvPicPr>
                                              <pic:blipFill>
                                                <a:blip r:embed="rId109"/>
                                                <a:stretch>
                                                  <a:fillRect/>
                                                </a:stretch>
                                              </pic:blipFill>
                                              <pic:spPr bwMode="auto">
                                                <a:xfrm>
                                                  <a:off x="0" y="0"/>
                                                  <a:ext cx="447675" cy="161925"/>
                                                </a:xfrm>
                                                <a:prstGeom prst="rect">
                                                  <a:avLst/>
                                                </a:prstGeom>
                                              </pic:spPr>
                                            </pic:pic>
                                          </a:graphicData>
                                        </a:graphic>
                                      </wp:inline>
                                    </w:drawing>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292" w:type="dxa"/>
                        <w:jc w:val="left"/>
                        <w:tblInd w:w="0" w:type="dxa"/>
                        <w:tblLayout w:type="fixed"/>
                        <w:tblCellMar>
                          <w:top w:w="28" w:type="dxa"/>
                          <w:left w:w="28" w:type="dxa"/>
                          <w:bottom w:w="28" w:type="dxa"/>
                          <w:right w:w="28" w:type="dxa"/>
                        </w:tblCellMar>
                      </w:tblPr>
                      <w:tblGrid>
                        <w:gridCol w:w="124"/>
                        <w:gridCol w:w="109"/>
                        <w:gridCol w:w="109"/>
                        <w:gridCol w:w="704"/>
                        <w:gridCol w:w="704"/>
                        <w:gridCol w:w="706"/>
                        <w:gridCol w:w="244"/>
                        <w:gridCol w:w="244"/>
                        <w:gridCol w:w="34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6"/>
                              </w:rPr>
                            </w:pPr>
                            <w:r>
                              <w:rPr>
                                <w:rFonts w:ascii="Arial;sans-serif" w:hAnsi="Arial;sans-serif"/>
                                <w:b/>
                                <w:color w:val="000000"/>
                                <w:sz w:val="16"/>
                              </w:rPr>
                              <w:t>40</w:t>
                            </w:r>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2024 PROXY STATEMENT</w:t>
                            </w:r>
                          </w:p>
                        </w:tc>
                        <w:tc>
                          <w:tcPr>
                            <w:tcW w:w="83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155"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 name="Image69" descr=""/>
                                          <pic:cNvPicPr>
                                            <a:picLocks noChangeAspect="1" noChangeArrowheads="1"/>
                                          </pic:cNvPicPr>
                                        </pic:nvPicPr>
                                        <pic:blipFill>
                                          <a:blip r:embed="rId110"/>
                                          <a:stretch>
                                            <a:fillRect/>
                                          </a:stretch>
                                        </pic:blipFill>
                                        <pic:spPr bwMode="auto">
                                          <a:xfrm>
                                            <a:off x="0" y="0"/>
                                            <a:ext cx="447675" cy="161925"/>
                                          </a:xfrm>
                                          <a:prstGeom prst="rect">
                                            <a:avLst/>
                                          </a:prstGeom>
                                        </pic:spPr>
                                      </pic:pic>
                                    </a:graphicData>
                                  </a:graphic>
                                </wp:inline>
                              </w:drawing>
                            </w:r>
                          </w:p>
                        </w:tc>
                      </w:tr>
                    </w:tbl>
                    <w:p>
                      <w:pPr>
                        <w:pStyle w:val="TextBody"/>
                        <w:bidi w:val="0"/>
                        <w:spacing w:before="0" w:after="283"/>
                        <w:jc w:val="left"/>
                        <w:rPr/>
                      </w:pPr>
                      <w:r>
                        <w:rPr/>
                      </w:r>
                    </w:p>
                  </w:txbxContent>
                </v:textbox>
                <w10:wrap type="none"/>
              </v:rect>
            </w:pict>
          </mc:Fallback>
        </mc:AlternateContent>
      </w:r>
    </w:p>
    <w:tbl>
      <w:tblPr>
        <w:tblW w:w="2459" w:type="dxa"/>
        <w:jc w:val="left"/>
        <w:tblInd w:w="0" w:type="dxa"/>
        <w:tblLayout w:type="fixed"/>
        <w:tblCellMar>
          <w:top w:w="28" w:type="dxa"/>
          <w:left w:w="28" w:type="dxa"/>
          <w:bottom w:w="28" w:type="dxa"/>
          <w:right w:w="28" w:type="dxa"/>
        </w:tblCellMar>
      </w:tblPr>
      <w:tblGrid>
        <w:gridCol w:w="786"/>
        <w:gridCol w:w="691"/>
        <w:gridCol w:w="982"/>
      </w:tblGrid>
      <w:tr>
        <w:trPr/>
        <w:tc>
          <w:tcPr>
            <w:tcW w:w="78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r>
      <w:tr>
        <w:trPr/>
        <w:tc>
          <w:tcPr>
            <w:tcW w:w="2459" w:type="dxa"/>
            <w:gridSpan w:val="3"/>
            <w:tcBorders>
              <w:bottom w:val="single" w:sz="4" w:space="0" w:color="004C97"/>
            </w:tcBorders>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4C97"/>
                <w:sz w:val="16"/>
              </w:rPr>
            </w:pPr>
            <w:r>
              <w:rPr>
                <w:rFonts w:ascii="Arial;sans-serif" w:hAnsi="Arial;sans-serif"/>
                <w:b w:val="false"/>
                <w:color w:val="004C97"/>
                <w:sz w:val="16"/>
              </w:rPr>
              <w:t>EXECUTIVE COMPENSATION</w:t>
            </w:r>
          </w:p>
        </w:tc>
      </w:tr>
    </w:tbl>
    <w:p>
      <w:pPr>
        <w:pStyle w:val="TextBody"/>
        <w:bidi w:val="0"/>
        <w:spacing w:lineRule="auto" w:line="288" w:before="0" w:after="60"/>
        <w:jc w:val="left"/>
        <w:rPr>
          <w:rFonts w:ascii="Arial;sans-serif" w:hAnsi="Arial;sans-serif"/>
          <w:b/>
          <w:color w:val="000000"/>
          <w:sz w:val="22"/>
        </w:rPr>
      </w:pPr>
      <w:bookmarkStart w:id="15" w:name="i52e69073c4b44be18b26bb8ffcaf1259_294479"/>
      <w:bookmarkEnd w:id="15"/>
      <w:r>
        <w:rPr>
          <w:rFonts w:ascii="Arial;sans-serif" w:hAnsi="Arial;sans-serif"/>
          <w:b/>
          <w:color w:val="000000"/>
          <w:sz w:val="22"/>
        </w:rPr>
        <w:t>GRANTS OF PLAN-BASED AWARDS</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The following table provides information regarding equity and non-equity awards granted to the NEOs in 2023.</w:t>
      </w:r>
    </w:p>
    <w:tbl>
      <w:tblPr>
        <w:tblW w:w="10205" w:type="dxa"/>
        <w:jc w:val="left"/>
        <w:tblInd w:w="0" w:type="dxa"/>
        <w:tblLayout w:type="fixed"/>
        <w:tblCellMar>
          <w:top w:w="28" w:type="dxa"/>
          <w:left w:w="28" w:type="dxa"/>
          <w:bottom w:w="28" w:type="dxa"/>
          <w:right w:w="28" w:type="dxa"/>
        </w:tblCellMar>
      </w:tblPr>
      <w:tblGrid>
        <w:gridCol w:w="481"/>
        <w:gridCol w:w="298"/>
        <w:gridCol w:w="226"/>
        <w:gridCol w:w="167"/>
        <w:gridCol w:w="167"/>
        <w:gridCol w:w="169"/>
        <w:gridCol w:w="488"/>
        <w:gridCol w:w="192"/>
        <w:gridCol w:w="167"/>
        <w:gridCol w:w="488"/>
        <w:gridCol w:w="179"/>
        <w:gridCol w:w="167"/>
        <w:gridCol w:w="488"/>
        <w:gridCol w:w="179"/>
        <w:gridCol w:w="167"/>
        <w:gridCol w:w="456"/>
        <w:gridCol w:w="214"/>
        <w:gridCol w:w="162"/>
        <w:gridCol w:w="330"/>
        <w:gridCol w:w="162"/>
        <w:gridCol w:w="162"/>
        <w:gridCol w:w="456"/>
        <w:gridCol w:w="202"/>
        <w:gridCol w:w="162"/>
        <w:gridCol w:w="389"/>
        <w:gridCol w:w="389"/>
        <w:gridCol w:w="391"/>
        <w:gridCol w:w="255"/>
        <w:gridCol w:w="255"/>
        <w:gridCol w:w="256"/>
        <w:gridCol w:w="335"/>
        <w:gridCol w:w="335"/>
        <w:gridCol w:w="337"/>
        <w:gridCol w:w="349"/>
        <w:gridCol w:w="235"/>
        <w:gridCol w:w="350"/>
      </w:tblGrid>
      <w:tr>
        <w:trPr/>
        <w:tc>
          <w:tcPr>
            <w:tcW w:w="481"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r>
      <w:tr>
        <w:trPr/>
        <w:tc>
          <w:tcPr>
            <w:tcW w:w="1005" w:type="dxa"/>
            <w:gridSpan w:val="3"/>
            <w:vMerge w:val="restart"/>
            <w:tcBorders>
              <w:top w:val="single" w:sz="4" w:space="0" w:color="000000"/>
              <w:left w:val="single" w:sz="4" w:space="0" w:color="000000"/>
              <w:right w:val="single" w:sz="4" w:space="0" w:color="000000"/>
            </w:tcBorders>
            <w:shd w:fill="004C97" w:val="clear"/>
            <w:tcMar>
              <w:top w:w="30" w:type="dxa"/>
              <w:bottom w:w="0" w:type="dxa"/>
            </w:tcMar>
            <w:vAlign w:val="center"/>
          </w:tcPr>
          <w:p>
            <w:pPr>
              <w:pStyle w:val="TableContents"/>
              <w:bidi w:val="0"/>
              <w:spacing w:lineRule="auto" w:line="288" w:before="0" w:after="283"/>
              <w:jc w:val="center"/>
              <w:rPr>
                <w:rFonts w:ascii="Arial;sans-serif" w:hAnsi="Arial;sans-serif"/>
                <w:b/>
                <w:color w:val="FFFFFF"/>
                <w:sz w:val="14"/>
              </w:rPr>
            </w:pPr>
            <w:r>
              <w:rPr>
                <w:rFonts w:ascii="Arial;sans-serif" w:hAnsi="Arial;sans-serif"/>
                <w:b/>
                <w:color w:val="FFFFFF"/>
                <w:sz w:val="14"/>
              </w:rPr>
              <w:t>Name</w:t>
            </w:r>
          </w:p>
        </w:tc>
        <w:tc>
          <w:tcPr>
            <w:tcW w:w="503" w:type="dxa"/>
            <w:gridSpan w:val="3"/>
            <w:vMerge w:val="restart"/>
            <w:tcBorders>
              <w:top w:val="single" w:sz="4" w:space="0" w:color="000000"/>
              <w:left w:val="single" w:sz="4" w:space="0" w:color="000000"/>
            </w:tcBorders>
            <w:shd w:fill="004C97" w:val="clear"/>
            <w:tcMar>
              <w:top w:w="30" w:type="dxa"/>
              <w:bottom w:w="0" w:type="dxa"/>
              <w:right w:w="0" w:type="dxa"/>
            </w:tcMar>
            <w:vAlign w:val="center"/>
          </w:tcPr>
          <w:p>
            <w:pPr>
              <w:pStyle w:val="TableContents"/>
              <w:bidi w:val="0"/>
              <w:spacing w:lineRule="auto" w:line="288" w:before="0" w:after="0"/>
              <w:jc w:val="center"/>
              <w:rPr>
                <w:rFonts w:ascii="Arial;sans-serif" w:hAnsi="Arial;sans-serif"/>
                <w:b/>
                <w:color w:val="FFFFFF"/>
                <w:sz w:val="14"/>
              </w:rPr>
            </w:pPr>
            <w:r>
              <w:rPr>
                <w:rFonts w:ascii="Arial;sans-serif" w:hAnsi="Arial;sans-serif"/>
                <w:b/>
                <w:color w:val="FFFFFF"/>
                <w:sz w:val="14"/>
              </w:rPr>
              <w:t>Grant</w:t>
            </w:r>
          </w:p>
          <w:p>
            <w:pPr>
              <w:pStyle w:val="TableContents"/>
              <w:bidi w:val="0"/>
              <w:spacing w:lineRule="auto" w:line="288" w:before="0" w:after="0"/>
              <w:jc w:val="center"/>
              <w:rPr/>
            </w:pPr>
            <w:r>
              <w:rPr>
                <w:rFonts w:ascii="Arial;sans-serif" w:hAnsi="Arial;sans-serif"/>
                <w:b/>
                <w:color w:val="FFFFFF"/>
                <w:sz w:val="14"/>
              </w:rPr>
              <w:t>Date</w:t>
            </w:r>
            <w:r>
              <w:rPr>
                <w:rFonts w:ascii="Arial;sans-serif" w:hAnsi="Arial;sans-serif"/>
                <w:b/>
                <w:color w:val="FFFFFF"/>
                <w:sz w:val="9"/>
              </w:rPr>
              <w:t>(1)</w:t>
            </w:r>
          </w:p>
        </w:tc>
        <w:tc>
          <w:tcPr>
            <w:tcW w:w="2515" w:type="dxa"/>
            <w:gridSpan w:val="9"/>
            <w:tcBorders>
              <w:top w:val="single" w:sz="4" w:space="0" w:color="000000"/>
              <w:left w:val="single" w:sz="4" w:space="0" w:color="000000"/>
            </w:tcBorders>
            <w:shd w:fill="004C97" w:val="clear"/>
            <w:tcMar>
              <w:top w:w="30" w:type="dxa"/>
              <w:bottom w:w="0" w:type="dxa"/>
              <w:right w:w="0" w:type="dxa"/>
            </w:tcMar>
            <w:vAlign w:val="center"/>
          </w:tcPr>
          <w:p>
            <w:pPr>
              <w:pStyle w:val="TableContents"/>
              <w:bidi w:val="0"/>
              <w:spacing w:lineRule="auto" w:line="288" w:before="0" w:after="0"/>
              <w:jc w:val="center"/>
              <w:rPr>
                <w:rFonts w:ascii="Arial;sans-serif" w:hAnsi="Arial;sans-serif"/>
                <w:b/>
                <w:color w:val="FFFFFF"/>
                <w:sz w:val="14"/>
              </w:rPr>
            </w:pPr>
            <w:r>
              <w:rPr>
                <w:rFonts w:ascii="Arial;sans-serif" w:hAnsi="Arial;sans-serif"/>
                <w:b/>
                <w:color w:val="FFFFFF"/>
                <w:sz w:val="14"/>
              </w:rPr>
              <w:t>Estimated Future Payouts Under Non-Equity Incentive Plan Awards</w:t>
            </w:r>
          </w:p>
        </w:tc>
        <w:tc>
          <w:tcPr>
            <w:tcW w:w="2306" w:type="dxa"/>
            <w:gridSpan w:val="9"/>
            <w:tcBorders>
              <w:top w:val="single" w:sz="4" w:space="0" w:color="000000"/>
              <w:left w:val="single" w:sz="4" w:space="0" w:color="000000"/>
            </w:tcBorders>
            <w:shd w:fill="004C97" w:val="clear"/>
            <w:tcMar>
              <w:top w:w="30" w:type="dxa"/>
              <w:bottom w:w="0" w:type="dxa"/>
              <w:right w:w="0" w:type="dxa"/>
            </w:tcMar>
            <w:vAlign w:val="center"/>
          </w:tcPr>
          <w:p>
            <w:pPr>
              <w:pStyle w:val="TableContents"/>
              <w:bidi w:val="0"/>
              <w:spacing w:lineRule="auto" w:line="288" w:before="0" w:after="0"/>
              <w:jc w:val="right"/>
              <w:rPr>
                <w:rFonts w:ascii="Arial;sans-serif" w:hAnsi="Arial;sans-serif"/>
                <w:b/>
                <w:color w:val="FFFFFF"/>
                <w:sz w:val="14"/>
              </w:rPr>
            </w:pPr>
            <w:r>
              <w:rPr>
                <w:rFonts w:ascii="Arial;sans-serif" w:hAnsi="Arial;sans-serif"/>
                <w:b/>
                <w:color w:val="FFFFFF"/>
                <w:sz w:val="14"/>
              </w:rPr>
              <w:t>Estimated Future Payouts Under Equity Incentive Plan Awards</w:t>
            </w:r>
          </w:p>
        </w:tc>
        <w:tc>
          <w:tcPr>
            <w:tcW w:w="1169" w:type="dxa"/>
            <w:gridSpan w:val="3"/>
            <w:vMerge w:val="restart"/>
            <w:tcBorders>
              <w:top w:val="single" w:sz="4" w:space="0" w:color="000000"/>
              <w:left w:val="single" w:sz="4" w:space="0" w:color="000000"/>
              <w:right w:val="single" w:sz="4" w:space="0" w:color="000000"/>
            </w:tcBorders>
            <w:shd w:fill="004C97" w:val="clear"/>
            <w:tcMar>
              <w:top w:w="30" w:type="dxa"/>
              <w:bottom w:w="0" w:type="dxa"/>
            </w:tcMar>
            <w:vAlign w:val="center"/>
          </w:tcPr>
          <w:p>
            <w:pPr>
              <w:pStyle w:val="TableContents"/>
              <w:bidi w:val="0"/>
              <w:spacing w:lineRule="auto" w:line="288" w:before="0" w:after="0"/>
              <w:jc w:val="center"/>
              <w:rPr/>
            </w:pPr>
            <w:r>
              <w:rPr>
                <w:rFonts w:ascii="Arial;sans-serif" w:hAnsi="Arial;sans-serif"/>
                <w:b/>
                <w:color w:val="FFFFFF"/>
                <w:sz w:val="14"/>
              </w:rPr>
              <w:t>All Other Stock Awards: Number of Shares or Stock Units (#)</w:t>
            </w:r>
            <w:r>
              <w:rPr>
                <w:rFonts w:ascii="Arial;sans-serif" w:hAnsi="Arial;sans-serif"/>
                <w:b/>
                <w:color w:val="FFFFFF"/>
                <w:sz w:val="9"/>
              </w:rPr>
              <w:t>(4)</w:t>
            </w:r>
          </w:p>
        </w:tc>
        <w:tc>
          <w:tcPr>
            <w:tcW w:w="766" w:type="dxa"/>
            <w:gridSpan w:val="3"/>
            <w:vMerge w:val="restart"/>
            <w:tcBorders>
              <w:top w:val="single" w:sz="4" w:space="0" w:color="000000"/>
              <w:left w:val="single" w:sz="4" w:space="0" w:color="000000"/>
              <w:right w:val="single" w:sz="4" w:space="0" w:color="000000"/>
            </w:tcBorders>
            <w:shd w:fill="004C97" w:val="clear"/>
            <w:tcMar>
              <w:top w:w="30" w:type="dxa"/>
              <w:bottom w:w="0" w:type="dxa"/>
            </w:tcMar>
            <w:vAlign w:val="center"/>
          </w:tcPr>
          <w:p>
            <w:pPr>
              <w:pStyle w:val="TableContents"/>
              <w:bidi w:val="0"/>
              <w:spacing w:lineRule="auto" w:line="288" w:before="0" w:after="0"/>
              <w:jc w:val="center"/>
              <w:rPr/>
            </w:pPr>
            <w:r>
              <w:rPr>
                <w:rFonts w:ascii="Arial;sans-serif" w:hAnsi="Arial;sans-serif"/>
                <w:b/>
                <w:color w:val="FFFFFF"/>
                <w:sz w:val="14"/>
              </w:rPr>
              <w:t>Stock Option Awards (#)</w:t>
            </w:r>
            <w:r>
              <w:rPr>
                <w:rFonts w:ascii="Arial;sans-serif" w:hAnsi="Arial;sans-serif"/>
                <w:b/>
                <w:color w:val="FFFFFF"/>
                <w:sz w:val="9"/>
              </w:rPr>
              <w:t>(5)</w:t>
            </w:r>
          </w:p>
        </w:tc>
        <w:tc>
          <w:tcPr>
            <w:tcW w:w="1007" w:type="dxa"/>
            <w:gridSpan w:val="3"/>
            <w:vMerge w:val="restart"/>
            <w:tcBorders>
              <w:top w:val="single" w:sz="4" w:space="0" w:color="000000"/>
              <w:left w:val="single" w:sz="4" w:space="0" w:color="000000"/>
              <w:right w:val="single" w:sz="4" w:space="0" w:color="000000"/>
            </w:tcBorders>
            <w:shd w:fill="004C97" w:val="clear"/>
            <w:tcMar>
              <w:top w:w="30" w:type="dxa"/>
              <w:bottom w:w="0" w:type="dxa"/>
            </w:tcMar>
            <w:vAlign w:val="center"/>
          </w:tcPr>
          <w:p>
            <w:pPr>
              <w:pStyle w:val="TableContents"/>
              <w:bidi w:val="0"/>
              <w:spacing w:lineRule="auto" w:line="288" w:before="0" w:after="0"/>
              <w:jc w:val="center"/>
              <w:rPr>
                <w:rFonts w:ascii="Arial;sans-serif" w:hAnsi="Arial;sans-serif"/>
                <w:b/>
                <w:color w:val="FFFFFF"/>
                <w:sz w:val="14"/>
              </w:rPr>
            </w:pPr>
            <w:r>
              <w:rPr>
                <w:rFonts w:ascii="Arial;sans-serif" w:hAnsi="Arial;sans-serif"/>
                <w:b/>
                <w:color w:val="FFFFFF"/>
                <w:sz w:val="14"/>
              </w:rPr>
              <w:t>Exercise Price of Stock Option Awards ($)</w:t>
            </w:r>
          </w:p>
        </w:tc>
        <w:tc>
          <w:tcPr>
            <w:tcW w:w="934" w:type="dxa"/>
            <w:gridSpan w:val="3"/>
            <w:vMerge w:val="restart"/>
            <w:tcBorders>
              <w:top w:val="single" w:sz="4" w:space="0" w:color="000000"/>
              <w:left w:val="single" w:sz="4" w:space="0" w:color="000000"/>
              <w:right w:val="single" w:sz="4" w:space="0" w:color="000000"/>
            </w:tcBorders>
            <w:shd w:fill="004C97" w:val="clear"/>
            <w:tcMar>
              <w:top w:w="30" w:type="dxa"/>
              <w:bottom w:w="0" w:type="dxa"/>
            </w:tcMar>
            <w:vAlign w:val="center"/>
          </w:tcPr>
          <w:p>
            <w:pPr>
              <w:pStyle w:val="TableContents"/>
              <w:bidi w:val="0"/>
              <w:spacing w:lineRule="auto" w:line="288" w:before="0" w:after="0"/>
              <w:jc w:val="center"/>
              <w:rPr>
                <w:rFonts w:ascii="Arial;sans-serif" w:hAnsi="Arial;sans-serif"/>
                <w:b/>
                <w:color w:val="FFFFFF"/>
                <w:sz w:val="14"/>
              </w:rPr>
            </w:pPr>
            <w:r>
              <w:rPr>
                <w:rFonts w:ascii="Arial;sans-serif" w:hAnsi="Arial;sans-serif"/>
                <w:b/>
                <w:color w:val="FFFFFF"/>
                <w:sz w:val="14"/>
              </w:rPr>
              <w:t>Grant Date Fair Value of</w:t>
            </w:r>
          </w:p>
          <w:p>
            <w:pPr>
              <w:pStyle w:val="TableContents"/>
              <w:bidi w:val="0"/>
              <w:spacing w:lineRule="auto" w:line="288" w:before="0" w:after="0"/>
              <w:jc w:val="center"/>
              <w:rPr>
                <w:rFonts w:ascii="Arial;sans-serif" w:hAnsi="Arial;sans-serif"/>
                <w:b/>
                <w:color w:val="FFFFFF"/>
                <w:sz w:val="14"/>
              </w:rPr>
            </w:pPr>
            <w:r>
              <w:rPr>
                <w:rFonts w:ascii="Arial;sans-serif" w:hAnsi="Arial;sans-serif"/>
                <w:b/>
                <w:color w:val="FFFFFF"/>
                <w:sz w:val="14"/>
              </w:rPr>
              <w:t>Stock and Option Awards</w:t>
            </w:r>
          </w:p>
          <w:p>
            <w:pPr>
              <w:pStyle w:val="TableContents"/>
              <w:bidi w:val="0"/>
              <w:spacing w:lineRule="auto" w:line="288" w:before="0" w:after="0"/>
              <w:jc w:val="center"/>
              <w:rPr/>
            </w:pPr>
            <w:r>
              <w:rPr>
                <w:rFonts w:ascii="Arial;sans-serif" w:hAnsi="Arial;sans-serif"/>
                <w:b/>
                <w:color w:val="FFFFFF"/>
                <w:sz w:val="14"/>
              </w:rPr>
              <w:t>($)</w:t>
            </w:r>
            <w:r>
              <w:rPr>
                <w:rFonts w:ascii="Arial;sans-serif" w:hAnsi="Arial;sans-serif"/>
                <w:b/>
                <w:color w:val="FFFFFF"/>
                <w:sz w:val="9"/>
              </w:rPr>
              <w:t>(6)</w:t>
            </w:r>
          </w:p>
        </w:tc>
      </w:tr>
      <w:tr>
        <w:trPr/>
        <w:tc>
          <w:tcPr>
            <w:tcW w:w="1005" w:type="dxa"/>
            <w:gridSpan w:val="3"/>
            <w:vMerge w:val="continue"/>
            <w:tcBorders>
              <w:top w:val="single" w:sz="4" w:space="0" w:color="000000"/>
              <w:left w:val="single" w:sz="4" w:space="0" w:color="000000"/>
              <w:right w:val="single" w:sz="4" w:space="0" w:color="000000"/>
            </w:tcBorders>
            <w:shd w:fill="004C97" w:val="clear"/>
            <w:tcMar>
              <w:top w:w="30" w:type="dxa"/>
              <w:bottom w:w="0" w:type="dxa"/>
            </w:tcMar>
            <w:vAlign w:val="center"/>
          </w:tcPr>
          <w:p>
            <w:pPr>
              <w:pStyle w:val="Normal"/>
              <w:bidi w:val="0"/>
              <w:jc w:val="left"/>
              <w:rPr/>
            </w:pPr>
            <w:r>
              <w:rPr/>
            </w:r>
          </w:p>
        </w:tc>
        <w:tc>
          <w:tcPr>
            <w:tcW w:w="503" w:type="dxa"/>
            <w:gridSpan w:val="3"/>
            <w:vMerge w:val="continue"/>
            <w:tcBorders>
              <w:top w:val="single" w:sz="4" w:space="0" w:color="000000"/>
              <w:left w:val="single" w:sz="4" w:space="0" w:color="000000"/>
            </w:tcBorders>
            <w:shd w:fill="004C97" w:val="clear"/>
            <w:tcMar>
              <w:top w:w="30" w:type="dxa"/>
              <w:bottom w:w="0" w:type="dxa"/>
              <w:right w:w="0" w:type="dxa"/>
            </w:tcMar>
            <w:vAlign w:val="center"/>
          </w:tcPr>
          <w:p>
            <w:pPr>
              <w:pStyle w:val="Normal"/>
              <w:bidi w:val="0"/>
              <w:jc w:val="left"/>
              <w:rPr/>
            </w:pPr>
            <w:r>
              <w:rPr/>
            </w:r>
          </w:p>
        </w:tc>
        <w:tc>
          <w:tcPr>
            <w:tcW w:w="847" w:type="dxa"/>
            <w:gridSpan w:val="3"/>
            <w:tcBorders>
              <w:top w:val="single" w:sz="4" w:space="0" w:color="000000"/>
              <w:left w:val="single" w:sz="4" w:space="0" w:color="000000"/>
            </w:tcBorders>
            <w:shd w:fill="004C97" w:val="clear"/>
            <w:tcMar>
              <w:top w:w="30" w:type="dxa"/>
              <w:bottom w:w="0" w:type="dxa"/>
              <w:right w:w="0" w:type="dxa"/>
            </w:tcMar>
            <w:vAlign w:val="center"/>
          </w:tcPr>
          <w:p>
            <w:pPr>
              <w:pStyle w:val="TableContents"/>
              <w:bidi w:val="0"/>
              <w:spacing w:lineRule="auto" w:line="288" w:before="0" w:after="0"/>
              <w:jc w:val="center"/>
              <w:rPr>
                <w:rFonts w:ascii="Arial;sans-serif" w:hAnsi="Arial;sans-serif"/>
                <w:b/>
                <w:color w:val="FFFFFF"/>
                <w:sz w:val="14"/>
              </w:rPr>
            </w:pPr>
            <w:r>
              <w:rPr>
                <w:rFonts w:ascii="Arial;sans-serif" w:hAnsi="Arial;sans-serif"/>
                <w:b/>
                <w:color w:val="FFFFFF"/>
                <w:sz w:val="14"/>
              </w:rPr>
              <w:t>Threshold</w:t>
            </w:r>
          </w:p>
          <w:p>
            <w:pPr>
              <w:pStyle w:val="TableContents"/>
              <w:bidi w:val="0"/>
              <w:spacing w:lineRule="auto" w:line="288" w:before="0" w:after="0"/>
              <w:jc w:val="center"/>
              <w:rPr/>
            </w:pPr>
            <w:r>
              <w:rPr>
                <w:rFonts w:ascii="Arial;sans-serif" w:hAnsi="Arial;sans-serif"/>
                <w:b/>
                <w:color w:val="FFFFFF"/>
                <w:sz w:val="14"/>
              </w:rPr>
              <w:t>($)</w:t>
            </w:r>
            <w:r>
              <w:rPr>
                <w:rFonts w:ascii="Arial;sans-serif" w:hAnsi="Arial;sans-serif"/>
                <w:b/>
                <w:color w:val="FFFFFF"/>
                <w:sz w:val="9"/>
              </w:rPr>
              <w:t>(2)</w:t>
            </w:r>
          </w:p>
        </w:tc>
        <w:tc>
          <w:tcPr>
            <w:tcW w:w="834" w:type="dxa"/>
            <w:gridSpan w:val="3"/>
            <w:tcBorders>
              <w:top w:val="single" w:sz="4" w:space="0" w:color="000000"/>
              <w:left w:val="single" w:sz="4" w:space="0" w:color="000000"/>
            </w:tcBorders>
            <w:shd w:fill="004C97" w:val="clear"/>
            <w:tcMar>
              <w:top w:w="30" w:type="dxa"/>
              <w:bottom w:w="0" w:type="dxa"/>
              <w:right w:w="0" w:type="dxa"/>
            </w:tcMar>
            <w:vAlign w:val="center"/>
          </w:tcPr>
          <w:p>
            <w:pPr>
              <w:pStyle w:val="TableContents"/>
              <w:bidi w:val="0"/>
              <w:spacing w:lineRule="auto" w:line="288" w:before="0" w:after="0"/>
              <w:jc w:val="center"/>
              <w:rPr>
                <w:rFonts w:ascii="Arial;sans-serif" w:hAnsi="Arial;sans-serif"/>
                <w:b/>
                <w:color w:val="FFFFFF"/>
                <w:sz w:val="14"/>
              </w:rPr>
            </w:pPr>
            <w:r>
              <w:rPr>
                <w:rFonts w:ascii="Arial;sans-serif" w:hAnsi="Arial;sans-serif"/>
                <w:b/>
                <w:color w:val="FFFFFF"/>
                <w:sz w:val="14"/>
              </w:rPr>
              <w:t>Target</w:t>
            </w:r>
          </w:p>
          <w:p>
            <w:pPr>
              <w:pStyle w:val="TableContents"/>
              <w:bidi w:val="0"/>
              <w:spacing w:lineRule="auto" w:line="288" w:before="0" w:after="0"/>
              <w:jc w:val="center"/>
              <w:rPr/>
            </w:pPr>
            <w:r>
              <w:rPr>
                <w:rFonts w:ascii="Arial;sans-serif" w:hAnsi="Arial;sans-serif"/>
                <w:b/>
                <w:color w:val="FFFFFF"/>
                <w:sz w:val="14"/>
              </w:rPr>
              <w:t>($)</w:t>
            </w:r>
            <w:r>
              <w:rPr>
                <w:rFonts w:ascii="Arial;sans-serif" w:hAnsi="Arial;sans-serif"/>
                <w:b/>
                <w:color w:val="FFFFFF"/>
                <w:sz w:val="9"/>
              </w:rPr>
              <w:t>(2)</w:t>
            </w:r>
          </w:p>
        </w:tc>
        <w:tc>
          <w:tcPr>
            <w:tcW w:w="834" w:type="dxa"/>
            <w:gridSpan w:val="3"/>
            <w:tcBorders>
              <w:top w:val="single" w:sz="4" w:space="0" w:color="000000"/>
              <w:left w:val="single" w:sz="4" w:space="0" w:color="000000"/>
            </w:tcBorders>
            <w:shd w:fill="004C97" w:val="clear"/>
            <w:tcMar>
              <w:top w:w="30" w:type="dxa"/>
              <w:bottom w:w="0" w:type="dxa"/>
              <w:right w:w="0" w:type="dxa"/>
            </w:tcMar>
            <w:vAlign w:val="center"/>
          </w:tcPr>
          <w:p>
            <w:pPr>
              <w:pStyle w:val="TableContents"/>
              <w:bidi w:val="0"/>
              <w:spacing w:lineRule="auto" w:line="288" w:before="0" w:after="0"/>
              <w:jc w:val="center"/>
              <w:rPr>
                <w:rFonts w:ascii="Arial;sans-serif" w:hAnsi="Arial;sans-serif"/>
                <w:b/>
                <w:color w:val="FFFFFF"/>
                <w:sz w:val="14"/>
              </w:rPr>
            </w:pPr>
            <w:r>
              <w:rPr>
                <w:rFonts w:ascii="Arial;sans-serif" w:hAnsi="Arial;sans-serif"/>
                <w:b/>
                <w:color w:val="FFFFFF"/>
                <w:sz w:val="14"/>
              </w:rPr>
              <w:t>Maximum</w:t>
            </w:r>
          </w:p>
          <w:p>
            <w:pPr>
              <w:pStyle w:val="TableContents"/>
              <w:bidi w:val="0"/>
              <w:spacing w:lineRule="auto" w:line="288" w:before="0" w:after="0"/>
              <w:jc w:val="center"/>
              <w:rPr/>
            </w:pPr>
            <w:r>
              <w:rPr>
                <w:rFonts w:ascii="Arial;sans-serif" w:hAnsi="Arial;sans-serif"/>
                <w:b/>
                <w:color w:val="FFFFFF"/>
                <w:sz w:val="14"/>
              </w:rPr>
              <w:t>($)</w:t>
            </w:r>
            <w:r>
              <w:rPr>
                <w:rFonts w:ascii="Arial;sans-serif" w:hAnsi="Arial;sans-serif"/>
                <w:b/>
                <w:color w:val="FFFFFF"/>
                <w:sz w:val="9"/>
              </w:rPr>
              <w:t>(2)</w:t>
            </w:r>
          </w:p>
        </w:tc>
        <w:tc>
          <w:tcPr>
            <w:tcW w:w="832" w:type="dxa"/>
            <w:gridSpan w:val="3"/>
            <w:tcBorders>
              <w:top w:val="single" w:sz="4" w:space="0" w:color="000000"/>
              <w:left w:val="single" w:sz="4" w:space="0" w:color="000000"/>
            </w:tcBorders>
            <w:shd w:fill="004C97" w:val="clear"/>
            <w:tcMar>
              <w:top w:w="30" w:type="dxa"/>
              <w:bottom w:w="0" w:type="dxa"/>
              <w:right w:w="0" w:type="dxa"/>
            </w:tcMar>
            <w:vAlign w:val="center"/>
          </w:tcPr>
          <w:p>
            <w:pPr>
              <w:pStyle w:val="TableContents"/>
              <w:bidi w:val="0"/>
              <w:spacing w:lineRule="auto" w:line="288" w:before="0" w:after="0"/>
              <w:jc w:val="center"/>
              <w:rPr>
                <w:rFonts w:ascii="Arial;sans-serif" w:hAnsi="Arial;sans-serif"/>
                <w:b/>
                <w:color w:val="FFFFFF"/>
                <w:sz w:val="14"/>
              </w:rPr>
            </w:pPr>
            <w:r>
              <w:rPr>
                <w:rFonts w:ascii="Arial;sans-serif" w:hAnsi="Arial;sans-serif"/>
                <w:b/>
                <w:color w:val="FFFFFF"/>
                <w:sz w:val="14"/>
              </w:rPr>
              <w:t>Threshold</w:t>
            </w:r>
          </w:p>
          <w:p>
            <w:pPr>
              <w:pStyle w:val="TableContents"/>
              <w:bidi w:val="0"/>
              <w:spacing w:lineRule="auto" w:line="288" w:before="0" w:after="0"/>
              <w:jc w:val="center"/>
              <w:rPr/>
            </w:pPr>
            <w:r>
              <w:rPr>
                <w:rFonts w:ascii="Arial;sans-serif" w:hAnsi="Arial;sans-serif"/>
                <w:b/>
                <w:color w:val="FFFFFF"/>
                <w:sz w:val="14"/>
              </w:rPr>
              <w:t>(#)</w:t>
            </w:r>
            <w:r>
              <w:rPr>
                <w:rFonts w:ascii="Arial;sans-serif" w:hAnsi="Arial;sans-serif"/>
                <w:b/>
                <w:color w:val="FFFFFF"/>
                <w:sz w:val="9"/>
              </w:rPr>
              <w:t>(3)</w:t>
            </w:r>
          </w:p>
        </w:tc>
        <w:tc>
          <w:tcPr>
            <w:tcW w:w="654" w:type="dxa"/>
            <w:gridSpan w:val="3"/>
            <w:tcBorders>
              <w:top w:val="single" w:sz="4" w:space="0" w:color="000000"/>
              <w:left w:val="single" w:sz="4" w:space="0" w:color="000000"/>
            </w:tcBorders>
            <w:shd w:fill="004C97" w:val="clear"/>
            <w:tcMar>
              <w:top w:w="30" w:type="dxa"/>
              <w:bottom w:w="0" w:type="dxa"/>
              <w:right w:w="0" w:type="dxa"/>
            </w:tcMar>
            <w:vAlign w:val="center"/>
          </w:tcPr>
          <w:p>
            <w:pPr>
              <w:pStyle w:val="TableContents"/>
              <w:bidi w:val="0"/>
              <w:spacing w:lineRule="auto" w:line="288" w:before="0" w:after="0"/>
              <w:jc w:val="center"/>
              <w:rPr>
                <w:rFonts w:ascii="Arial;sans-serif" w:hAnsi="Arial;sans-serif"/>
                <w:b/>
                <w:color w:val="FFFFFF"/>
                <w:sz w:val="14"/>
              </w:rPr>
            </w:pPr>
            <w:r>
              <w:rPr>
                <w:rFonts w:ascii="Arial;sans-serif" w:hAnsi="Arial;sans-serif"/>
                <w:b/>
                <w:color w:val="FFFFFF"/>
                <w:sz w:val="14"/>
              </w:rPr>
              <w:t>Target</w:t>
            </w:r>
          </w:p>
          <w:p>
            <w:pPr>
              <w:pStyle w:val="TableContents"/>
              <w:bidi w:val="0"/>
              <w:spacing w:lineRule="auto" w:line="288" w:before="0" w:after="0"/>
              <w:jc w:val="center"/>
              <w:rPr/>
            </w:pPr>
            <w:r>
              <w:rPr>
                <w:rFonts w:ascii="Arial;sans-serif" w:hAnsi="Arial;sans-serif"/>
                <w:b/>
                <w:color w:val="FFFFFF"/>
                <w:sz w:val="14"/>
              </w:rPr>
              <w:t>(#)</w:t>
            </w:r>
            <w:r>
              <w:rPr>
                <w:rFonts w:ascii="Arial;sans-serif" w:hAnsi="Arial;sans-serif"/>
                <w:b/>
                <w:color w:val="FFFFFF"/>
                <w:sz w:val="9"/>
              </w:rPr>
              <w:t>(3)</w:t>
            </w:r>
          </w:p>
        </w:tc>
        <w:tc>
          <w:tcPr>
            <w:tcW w:w="820" w:type="dxa"/>
            <w:gridSpan w:val="3"/>
            <w:tcBorders>
              <w:top w:val="single" w:sz="4" w:space="0" w:color="000000"/>
              <w:left w:val="single" w:sz="4" w:space="0" w:color="000000"/>
              <w:right w:val="single" w:sz="4" w:space="0" w:color="000000"/>
            </w:tcBorders>
            <w:shd w:fill="004C97" w:val="clear"/>
            <w:tcMar>
              <w:top w:w="30" w:type="dxa"/>
              <w:bottom w:w="0" w:type="dxa"/>
            </w:tcMar>
            <w:vAlign w:val="center"/>
          </w:tcPr>
          <w:p>
            <w:pPr>
              <w:pStyle w:val="TableContents"/>
              <w:bidi w:val="0"/>
              <w:spacing w:lineRule="auto" w:line="288" w:before="0" w:after="0"/>
              <w:jc w:val="center"/>
              <w:rPr>
                <w:rFonts w:ascii="Arial;sans-serif" w:hAnsi="Arial;sans-serif"/>
                <w:b/>
                <w:color w:val="FFFFFF"/>
                <w:sz w:val="14"/>
              </w:rPr>
            </w:pPr>
            <w:r>
              <w:rPr>
                <w:rFonts w:ascii="Arial;sans-serif" w:hAnsi="Arial;sans-serif"/>
                <w:b/>
                <w:color w:val="FFFFFF"/>
                <w:sz w:val="14"/>
              </w:rPr>
              <w:t>Maximum</w:t>
            </w:r>
          </w:p>
          <w:p>
            <w:pPr>
              <w:pStyle w:val="TableContents"/>
              <w:bidi w:val="0"/>
              <w:spacing w:lineRule="auto" w:line="288" w:before="0" w:after="0"/>
              <w:jc w:val="center"/>
              <w:rPr/>
            </w:pPr>
            <w:r>
              <w:rPr>
                <w:rFonts w:ascii="Arial;sans-serif" w:hAnsi="Arial;sans-serif"/>
                <w:b/>
                <w:color w:val="FFFFFF"/>
                <w:sz w:val="14"/>
              </w:rPr>
              <w:t>(#)</w:t>
            </w:r>
            <w:r>
              <w:rPr>
                <w:rFonts w:ascii="Arial;sans-serif" w:hAnsi="Arial;sans-serif"/>
                <w:b/>
                <w:color w:val="FFFFFF"/>
                <w:sz w:val="9"/>
              </w:rPr>
              <w:t>(3)</w:t>
            </w:r>
          </w:p>
        </w:tc>
        <w:tc>
          <w:tcPr>
            <w:tcW w:w="1169" w:type="dxa"/>
            <w:gridSpan w:val="3"/>
            <w:vMerge w:val="continue"/>
            <w:tcBorders>
              <w:top w:val="single" w:sz="4" w:space="0" w:color="000000"/>
              <w:left w:val="single" w:sz="4" w:space="0" w:color="000000"/>
              <w:right w:val="single" w:sz="4" w:space="0" w:color="000000"/>
            </w:tcBorders>
            <w:shd w:fill="004C97" w:val="clear"/>
            <w:tcMar>
              <w:top w:w="30" w:type="dxa"/>
              <w:bottom w:w="0" w:type="dxa"/>
            </w:tcMar>
            <w:vAlign w:val="center"/>
          </w:tcPr>
          <w:p>
            <w:pPr>
              <w:pStyle w:val="Normal"/>
              <w:bidi w:val="0"/>
              <w:jc w:val="left"/>
              <w:rPr/>
            </w:pPr>
            <w:r>
              <w:rPr/>
            </w:r>
          </w:p>
        </w:tc>
        <w:tc>
          <w:tcPr>
            <w:tcW w:w="766" w:type="dxa"/>
            <w:gridSpan w:val="3"/>
            <w:vMerge w:val="continue"/>
            <w:tcBorders>
              <w:top w:val="single" w:sz="4" w:space="0" w:color="000000"/>
              <w:left w:val="single" w:sz="4" w:space="0" w:color="000000"/>
              <w:right w:val="single" w:sz="4" w:space="0" w:color="000000"/>
            </w:tcBorders>
            <w:shd w:fill="004C97" w:val="clear"/>
            <w:tcMar>
              <w:top w:w="30" w:type="dxa"/>
              <w:bottom w:w="0" w:type="dxa"/>
            </w:tcMar>
            <w:vAlign w:val="center"/>
          </w:tcPr>
          <w:p>
            <w:pPr>
              <w:pStyle w:val="Normal"/>
              <w:bidi w:val="0"/>
              <w:jc w:val="left"/>
              <w:rPr/>
            </w:pPr>
            <w:r>
              <w:rPr/>
            </w:r>
          </w:p>
        </w:tc>
        <w:tc>
          <w:tcPr>
            <w:tcW w:w="1007" w:type="dxa"/>
            <w:gridSpan w:val="3"/>
            <w:vMerge w:val="continue"/>
            <w:tcBorders>
              <w:top w:val="single" w:sz="4" w:space="0" w:color="000000"/>
              <w:left w:val="single" w:sz="4" w:space="0" w:color="000000"/>
              <w:right w:val="single" w:sz="4" w:space="0" w:color="000000"/>
            </w:tcBorders>
            <w:shd w:fill="004C97" w:val="clear"/>
            <w:tcMar>
              <w:top w:w="30" w:type="dxa"/>
              <w:bottom w:w="0" w:type="dxa"/>
            </w:tcMar>
            <w:vAlign w:val="center"/>
          </w:tcPr>
          <w:p>
            <w:pPr>
              <w:pStyle w:val="Normal"/>
              <w:bidi w:val="0"/>
              <w:jc w:val="left"/>
              <w:rPr/>
            </w:pPr>
            <w:r>
              <w:rPr/>
            </w:r>
          </w:p>
        </w:tc>
        <w:tc>
          <w:tcPr>
            <w:tcW w:w="934" w:type="dxa"/>
            <w:gridSpan w:val="3"/>
            <w:vMerge w:val="continue"/>
            <w:tcBorders>
              <w:top w:val="single" w:sz="4" w:space="0" w:color="000000"/>
              <w:left w:val="single" w:sz="4" w:space="0" w:color="000000"/>
              <w:right w:val="single" w:sz="4" w:space="0" w:color="000000"/>
            </w:tcBorders>
            <w:shd w:fill="004C97" w:val="clear"/>
            <w:tcMar>
              <w:top w:w="30" w:type="dxa"/>
              <w:bottom w:w="0" w:type="dxa"/>
            </w:tcMar>
            <w:vAlign w:val="center"/>
          </w:tcPr>
          <w:p>
            <w:pPr>
              <w:pStyle w:val="Normal"/>
              <w:bidi w:val="0"/>
              <w:jc w:val="left"/>
              <w:rPr/>
            </w:pPr>
            <w:r>
              <w:rPr/>
            </w:r>
          </w:p>
        </w:tc>
      </w:tr>
      <w:tr>
        <w:trPr/>
        <w:tc>
          <w:tcPr>
            <w:tcW w:w="1005" w:type="dxa"/>
            <w:gridSpan w:val="3"/>
            <w:vMerge w:val="restart"/>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4"/>
              </w:rPr>
            </w:pPr>
            <w:r>
              <w:rPr>
                <w:rFonts w:ascii="Arial;sans-serif" w:hAnsi="Arial;sans-serif"/>
                <w:b w:val="false"/>
                <w:color w:val="000000"/>
                <w:sz w:val="14"/>
              </w:rPr>
              <w:t>Eugene J. Lowe, III</w:t>
            </w:r>
          </w:p>
        </w:tc>
        <w:tc>
          <w:tcPr>
            <w:tcW w:w="503" w:type="dxa"/>
            <w:gridSpan w:val="3"/>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3/14/2024</w:t>
            </w:r>
          </w:p>
        </w:tc>
        <w:tc>
          <w:tcPr>
            <w:tcW w:w="847" w:type="dxa"/>
            <w:gridSpan w:val="3"/>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569,250</w:t>
            </w:r>
          </w:p>
        </w:tc>
        <w:tc>
          <w:tcPr>
            <w:tcW w:w="834" w:type="dxa"/>
            <w:gridSpan w:val="3"/>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1,138,500</w:t>
            </w:r>
          </w:p>
        </w:tc>
        <w:tc>
          <w:tcPr>
            <w:tcW w:w="834" w:type="dxa"/>
            <w:gridSpan w:val="3"/>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2,277,000</w:t>
            </w:r>
          </w:p>
        </w:tc>
        <w:tc>
          <w:tcPr>
            <w:tcW w:w="832" w:type="dxa"/>
            <w:gridSpan w:val="3"/>
            <w:tcBorders>
              <w:top w:val="single" w:sz="4" w:space="0" w:color="000000"/>
              <w:left w:val="single" w:sz="4" w:space="0" w:color="000000"/>
            </w:tcBorders>
            <w:shd w:fill="DBDBDB" w:val="clear"/>
            <w:tcMar>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top w:val="single" w:sz="4" w:space="0" w:color="000000"/>
              <w:left w:val="single" w:sz="4" w:space="0" w:color="000000"/>
            </w:tcBorders>
            <w:shd w:fill="DBDBDB" w:val="clear"/>
            <w:tcMar>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top w:val="single" w:sz="4" w:space="0" w:color="000000"/>
              <w:left w:val="single" w:sz="4" w:space="0" w:color="000000"/>
            </w:tcBorders>
            <w:shd w:fill="DBDBDB" w:val="clear"/>
            <w:tcMar>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4" w:space="0" w:color="000000"/>
              <w:left w:val="single" w:sz="4" w:space="0" w:color="000000"/>
            </w:tcBorders>
            <w:shd w:fill="DBDBDB" w:val="clear"/>
            <w:tcMar>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4" w:space="0" w:color="000000"/>
              <w:left w:val="single" w:sz="4" w:space="0" w:color="000000"/>
            </w:tcBorders>
            <w:shd w:fill="DBDBDB" w:val="clear"/>
            <w:tcMar>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op w:val="single" w:sz="4" w:space="0" w:color="000000"/>
              <w:left w:val="single" w:sz="4" w:space="0" w:color="000000"/>
            </w:tcBorders>
            <w:shd w:fill="DBDBDB" w:val="clear"/>
            <w:tcMar>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top w:val="single" w:sz="4" w:space="0" w:color="000000"/>
              <w:left w:val="single" w:sz="4" w:space="0" w:color="000000"/>
              <w:right w:val="single" w:sz="4" w:space="0" w:color="000000"/>
            </w:tcBorders>
            <w:shd w:fill="DBDBDB" w:val="clear"/>
            <w:tcMar>
              <w:bottom w:w="0" w:type="dxa"/>
            </w:tcMar>
            <w:vAlign w:val="center"/>
          </w:tcPr>
          <w:p>
            <w:pPr>
              <w:pStyle w:val="TableContents"/>
              <w:bidi w:val="0"/>
              <w:spacing w:before="0" w:after="283"/>
              <w:jc w:val="left"/>
              <w:rPr>
                <w:sz w:val="4"/>
                <w:szCs w:val="4"/>
              </w:rPr>
            </w:pPr>
            <w:r>
              <w:rPr>
                <w:sz w:val="4"/>
                <w:szCs w:val="4"/>
              </w:rPr>
            </w:r>
          </w:p>
        </w:tc>
      </w:tr>
      <w:tr>
        <w:trPr/>
        <w:tc>
          <w:tcPr>
            <w:tcW w:w="1005" w:type="dxa"/>
            <w:gridSpan w:val="3"/>
            <w:vMerge w:val="continue"/>
            <w:tcBorders>
              <w:top w:val="single" w:sz="4" w:space="0" w:color="000000"/>
              <w:left w:val="single" w:sz="4" w:space="0" w:color="000000"/>
            </w:tcBorders>
            <w:tcMar>
              <w:top w:w="30" w:type="dxa"/>
              <w:bottom w:w="0" w:type="dxa"/>
              <w:right w:w="0" w:type="dxa"/>
            </w:tcMar>
            <w:vAlign w:val="center"/>
          </w:tcPr>
          <w:p>
            <w:pPr>
              <w:pStyle w:val="Normal"/>
              <w:bidi w:val="0"/>
              <w:jc w:val="left"/>
              <w:rPr/>
            </w:pPr>
            <w:r>
              <w:rPr/>
            </w:r>
          </w:p>
        </w:tc>
        <w:tc>
          <w:tcPr>
            <w:tcW w:w="503"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3/1/2023</w:t>
            </w:r>
          </w:p>
        </w:tc>
        <w:tc>
          <w:tcPr>
            <w:tcW w:w="847"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14,619</w:t>
            </w:r>
          </w:p>
        </w:tc>
        <w:tc>
          <w:tcPr>
            <w:tcW w:w="654"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29,238</w:t>
            </w:r>
          </w:p>
        </w:tc>
        <w:tc>
          <w:tcPr>
            <w:tcW w:w="820"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43,857</w:t>
            </w:r>
          </w:p>
        </w:tc>
        <w:tc>
          <w:tcPr>
            <w:tcW w:w="1169"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top w:val="single" w:sz="4" w:space="0" w:color="000000"/>
              <w:left w:val="single" w:sz="4" w:space="0" w:color="000000"/>
              <w:right w:val="single" w:sz="4" w:space="0" w:color="000000"/>
            </w:tcBorders>
            <w:shd w:fill="FFFFFF" w:val="clear"/>
            <w:tcMar>
              <w:top w:w="30" w:type="dxa"/>
              <w:bottom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2,124,433</w:t>
            </w:r>
          </w:p>
        </w:tc>
      </w:tr>
      <w:tr>
        <w:trPr/>
        <w:tc>
          <w:tcPr>
            <w:tcW w:w="1005" w:type="dxa"/>
            <w:gridSpan w:val="3"/>
            <w:vMerge w:val="continue"/>
            <w:tcBorders>
              <w:top w:val="single" w:sz="4" w:space="0" w:color="000000"/>
              <w:left w:val="single" w:sz="4" w:space="0" w:color="000000"/>
            </w:tcBorders>
            <w:tcMar>
              <w:top w:w="30" w:type="dxa"/>
              <w:bottom w:w="0" w:type="dxa"/>
              <w:right w:w="0" w:type="dxa"/>
            </w:tcMar>
            <w:vAlign w:val="center"/>
          </w:tcPr>
          <w:p>
            <w:pPr>
              <w:pStyle w:val="Normal"/>
              <w:bidi w:val="0"/>
              <w:jc w:val="left"/>
              <w:rPr/>
            </w:pPr>
            <w:r>
              <w:rPr/>
            </w:r>
          </w:p>
        </w:tc>
        <w:tc>
          <w:tcPr>
            <w:tcW w:w="503" w:type="dxa"/>
            <w:gridSpan w:val="3"/>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3/1/2023</w:t>
            </w:r>
          </w:p>
        </w:tc>
        <w:tc>
          <w:tcPr>
            <w:tcW w:w="847" w:type="dxa"/>
            <w:gridSpan w:val="3"/>
            <w:tcBorders>
              <w:top w:val="single" w:sz="4" w:space="0" w:color="000000"/>
              <w:left w:val="single" w:sz="4" w:space="0" w:color="000000"/>
            </w:tcBorders>
            <w:shd w:fill="DBDBDB" w:val="clear"/>
            <w:tcMar>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op w:val="single" w:sz="4" w:space="0" w:color="000000"/>
              <w:left w:val="single" w:sz="4" w:space="0" w:color="000000"/>
            </w:tcBorders>
            <w:shd w:fill="DBDBDB" w:val="clear"/>
            <w:tcMar>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op w:val="single" w:sz="4" w:space="0" w:color="000000"/>
              <w:left w:val="single" w:sz="4" w:space="0" w:color="000000"/>
            </w:tcBorders>
            <w:shd w:fill="DBDBDB" w:val="clear"/>
            <w:tcMar>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op w:val="single" w:sz="4" w:space="0" w:color="000000"/>
              <w:left w:val="single" w:sz="4" w:space="0" w:color="000000"/>
            </w:tcBorders>
            <w:shd w:fill="DBDBDB" w:val="clear"/>
            <w:tcMar>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top w:val="single" w:sz="4" w:space="0" w:color="000000"/>
              <w:left w:val="single" w:sz="4" w:space="0" w:color="000000"/>
            </w:tcBorders>
            <w:shd w:fill="DBDBDB" w:val="clear"/>
            <w:tcMar>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top w:val="single" w:sz="4" w:space="0" w:color="000000"/>
              <w:left w:val="single" w:sz="4" w:space="0" w:color="000000"/>
            </w:tcBorders>
            <w:shd w:fill="DBDBDB" w:val="clear"/>
            <w:tcMar>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14,619</w:t>
            </w:r>
          </w:p>
        </w:tc>
        <w:tc>
          <w:tcPr>
            <w:tcW w:w="766" w:type="dxa"/>
            <w:gridSpan w:val="3"/>
            <w:tcBorders>
              <w:top w:val="single" w:sz="4" w:space="0" w:color="000000"/>
              <w:left w:val="single" w:sz="4" w:space="0" w:color="000000"/>
            </w:tcBorders>
            <w:shd w:fill="DBDBDB" w:val="clear"/>
            <w:tcMar>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op w:val="single" w:sz="4" w:space="0" w:color="000000"/>
              <w:left w:val="single" w:sz="4" w:space="0" w:color="000000"/>
            </w:tcBorders>
            <w:shd w:fill="DBDBDB" w:val="clear"/>
            <w:tcMar>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top w:val="single" w:sz="4" w:space="0" w:color="000000"/>
              <w:left w:val="single" w:sz="4" w:space="0" w:color="000000"/>
              <w:right w:val="single" w:sz="4" w:space="0" w:color="000000"/>
            </w:tcBorders>
            <w:shd w:fill="DBDBDB" w:val="clear"/>
            <w:tcMar>
              <w:top w:w="30" w:type="dxa"/>
              <w:bottom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1,051,545</w:t>
            </w:r>
          </w:p>
        </w:tc>
      </w:tr>
      <w:tr>
        <w:trPr/>
        <w:tc>
          <w:tcPr>
            <w:tcW w:w="1005" w:type="dxa"/>
            <w:gridSpan w:val="3"/>
            <w:vMerge w:val="continue"/>
            <w:tcBorders>
              <w:top w:val="single" w:sz="4" w:space="0" w:color="000000"/>
              <w:left w:val="single" w:sz="4" w:space="0" w:color="000000"/>
            </w:tcBorders>
            <w:tcMar>
              <w:top w:w="30" w:type="dxa"/>
              <w:bottom w:w="0" w:type="dxa"/>
              <w:right w:w="0" w:type="dxa"/>
            </w:tcMar>
            <w:vAlign w:val="center"/>
          </w:tcPr>
          <w:p>
            <w:pPr>
              <w:pStyle w:val="Normal"/>
              <w:bidi w:val="0"/>
              <w:jc w:val="left"/>
              <w:rPr/>
            </w:pPr>
            <w:r>
              <w:rPr/>
            </w:r>
          </w:p>
        </w:tc>
        <w:tc>
          <w:tcPr>
            <w:tcW w:w="503"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3/1/2023</w:t>
            </w:r>
          </w:p>
        </w:tc>
        <w:tc>
          <w:tcPr>
            <w:tcW w:w="847"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33,707</w:t>
            </w:r>
          </w:p>
        </w:tc>
        <w:tc>
          <w:tcPr>
            <w:tcW w:w="1007"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71.93</w:t>
            </w:r>
          </w:p>
        </w:tc>
        <w:tc>
          <w:tcPr>
            <w:tcW w:w="934" w:type="dxa"/>
            <w:gridSpan w:val="3"/>
            <w:tcBorders>
              <w:top w:val="single" w:sz="4" w:space="0" w:color="000000"/>
              <w:left w:val="single" w:sz="4" w:space="0" w:color="000000"/>
              <w:right w:val="single" w:sz="4" w:space="0" w:color="000000"/>
            </w:tcBorders>
            <w:shd w:fill="FFFFFF" w:val="clear"/>
            <w:tcMar>
              <w:top w:w="30" w:type="dxa"/>
              <w:bottom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1,051,658</w:t>
            </w:r>
          </w:p>
        </w:tc>
      </w:tr>
      <w:tr>
        <w:trPr/>
        <w:tc>
          <w:tcPr>
            <w:tcW w:w="1005" w:type="dxa"/>
            <w:gridSpan w:val="3"/>
            <w:vMerge w:val="restart"/>
            <w:tcBorders>
              <w:top w:val="single" w:sz="4" w:space="0" w:color="000000"/>
              <w:left w:val="single" w:sz="4" w:space="0" w:color="000000"/>
            </w:tcBorders>
            <w:tcMar>
              <w:top w:w="30" w:type="dxa"/>
              <w:left w:w="11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Mark A. Carano</w:t>
            </w:r>
          </w:p>
        </w:tc>
        <w:tc>
          <w:tcPr>
            <w:tcW w:w="503" w:type="dxa"/>
            <w:gridSpan w:val="3"/>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3/14/2024</w:t>
            </w:r>
          </w:p>
        </w:tc>
        <w:tc>
          <w:tcPr>
            <w:tcW w:w="847" w:type="dxa"/>
            <w:gridSpan w:val="3"/>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175,000</w:t>
            </w:r>
          </w:p>
        </w:tc>
        <w:tc>
          <w:tcPr>
            <w:tcW w:w="834" w:type="dxa"/>
            <w:gridSpan w:val="3"/>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350,000</w:t>
            </w:r>
          </w:p>
        </w:tc>
        <w:tc>
          <w:tcPr>
            <w:tcW w:w="834" w:type="dxa"/>
            <w:gridSpan w:val="3"/>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700,000</w:t>
            </w:r>
          </w:p>
        </w:tc>
        <w:tc>
          <w:tcPr>
            <w:tcW w:w="832" w:type="dxa"/>
            <w:gridSpan w:val="3"/>
            <w:tcBorders>
              <w:top w:val="single" w:sz="4" w:space="0" w:color="000000"/>
              <w:left w:val="single" w:sz="4" w:space="0" w:color="000000"/>
            </w:tcBorders>
            <w:shd w:fill="DBDBDB" w:val="clear"/>
            <w:tcMar>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top w:val="single" w:sz="4" w:space="0" w:color="000000"/>
              <w:left w:val="single" w:sz="4" w:space="0" w:color="000000"/>
            </w:tcBorders>
            <w:shd w:fill="DBDBDB" w:val="clear"/>
            <w:tcMar>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top w:val="single" w:sz="4" w:space="0" w:color="000000"/>
              <w:left w:val="single" w:sz="4" w:space="0" w:color="000000"/>
            </w:tcBorders>
            <w:shd w:fill="DBDBDB" w:val="clear"/>
            <w:tcMar>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4" w:space="0" w:color="000000"/>
              <w:left w:val="single" w:sz="4" w:space="0" w:color="000000"/>
            </w:tcBorders>
            <w:shd w:fill="DBDBDB" w:val="clear"/>
            <w:tcMar>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4" w:space="0" w:color="000000"/>
              <w:left w:val="single" w:sz="4" w:space="0" w:color="000000"/>
            </w:tcBorders>
            <w:shd w:fill="DBDBDB" w:val="clear"/>
            <w:tcMar>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op w:val="single" w:sz="4" w:space="0" w:color="000000"/>
              <w:left w:val="single" w:sz="4" w:space="0" w:color="000000"/>
            </w:tcBorders>
            <w:shd w:fill="DBDBDB" w:val="clear"/>
            <w:tcMar>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top w:val="single" w:sz="4" w:space="0" w:color="000000"/>
              <w:left w:val="single" w:sz="4" w:space="0" w:color="000000"/>
              <w:right w:val="single" w:sz="4" w:space="0" w:color="000000"/>
            </w:tcBorders>
            <w:shd w:fill="DBDBDB" w:val="clear"/>
            <w:tcMar>
              <w:bottom w:w="0" w:type="dxa"/>
            </w:tcMar>
            <w:vAlign w:val="center"/>
          </w:tcPr>
          <w:p>
            <w:pPr>
              <w:pStyle w:val="TableContents"/>
              <w:bidi w:val="0"/>
              <w:spacing w:before="0" w:after="283"/>
              <w:jc w:val="left"/>
              <w:rPr>
                <w:sz w:val="4"/>
                <w:szCs w:val="4"/>
              </w:rPr>
            </w:pPr>
            <w:r>
              <w:rPr>
                <w:sz w:val="4"/>
                <w:szCs w:val="4"/>
              </w:rPr>
            </w:r>
          </w:p>
        </w:tc>
      </w:tr>
      <w:tr>
        <w:trPr/>
        <w:tc>
          <w:tcPr>
            <w:tcW w:w="1005" w:type="dxa"/>
            <w:gridSpan w:val="3"/>
            <w:vMerge w:val="continue"/>
            <w:tcBorders>
              <w:top w:val="single" w:sz="4" w:space="0" w:color="000000"/>
              <w:left w:val="single" w:sz="4" w:space="0" w:color="000000"/>
            </w:tcBorders>
            <w:tcMar>
              <w:top w:w="30" w:type="dxa"/>
              <w:left w:w="110" w:type="dxa"/>
              <w:bottom w:w="0" w:type="dxa"/>
              <w:right w:w="0" w:type="dxa"/>
            </w:tcMar>
            <w:vAlign w:val="center"/>
          </w:tcPr>
          <w:p>
            <w:pPr>
              <w:pStyle w:val="Normal"/>
              <w:bidi w:val="0"/>
              <w:jc w:val="left"/>
              <w:rPr/>
            </w:pPr>
            <w:r>
              <w:rPr/>
            </w:r>
          </w:p>
        </w:tc>
        <w:tc>
          <w:tcPr>
            <w:tcW w:w="503"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3/1/2023</w:t>
            </w:r>
          </w:p>
        </w:tc>
        <w:tc>
          <w:tcPr>
            <w:tcW w:w="847"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2,408</w:t>
            </w:r>
          </w:p>
        </w:tc>
        <w:tc>
          <w:tcPr>
            <w:tcW w:w="654"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4,816</w:t>
            </w:r>
          </w:p>
        </w:tc>
        <w:tc>
          <w:tcPr>
            <w:tcW w:w="820"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7,224</w:t>
            </w:r>
          </w:p>
        </w:tc>
        <w:tc>
          <w:tcPr>
            <w:tcW w:w="1169"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top w:val="single" w:sz="4" w:space="0" w:color="000000"/>
              <w:left w:val="single" w:sz="4" w:space="0" w:color="000000"/>
              <w:right w:val="single" w:sz="4" w:space="0" w:color="000000"/>
            </w:tcBorders>
            <w:shd w:fill="FFFFFF" w:val="clear"/>
            <w:tcMar>
              <w:top w:w="30" w:type="dxa"/>
              <w:bottom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349,931</w:t>
            </w:r>
          </w:p>
        </w:tc>
      </w:tr>
      <w:tr>
        <w:trPr/>
        <w:tc>
          <w:tcPr>
            <w:tcW w:w="1005" w:type="dxa"/>
            <w:gridSpan w:val="3"/>
            <w:vMerge w:val="continue"/>
            <w:tcBorders>
              <w:top w:val="single" w:sz="4" w:space="0" w:color="000000"/>
              <w:left w:val="single" w:sz="4" w:space="0" w:color="000000"/>
            </w:tcBorders>
            <w:tcMar>
              <w:top w:w="30" w:type="dxa"/>
              <w:left w:w="110" w:type="dxa"/>
              <w:bottom w:w="0" w:type="dxa"/>
              <w:right w:w="0" w:type="dxa"/>
            </w:tcMar>
            <w:vAlign w:val="center"/>
          </w:tcPr>
          <w:p>
            <w:pPr>
              <w:pStyle w:val="Normal"/>
              <w:bidi w:val="0"/>
              <w:jc w:val="left"/>
              <w:rPr/>
            </w:pPr>
            <w:r>
              <w:rPr/>
            </w:r>
          </w:p>
        </w:tc>
        <w:tc>
          <w:tcPr>
            <w:tcW w:w="503" w:type="dxa"/>
            <w:gridSpan w:val="3"/>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3/1/2023</w:t>
            </w:r>
          </w:p>
        </w:tc>
        <w:tc>
          <w:tcPr>
            <w:tcW w:w="847" w:type="dxa"/>
            <w:gridSpan w:val="3"/>
            <w:tcBorders>
              <w:top w:val="single" w:sz="4" w:space="0" w:color="000000"/>
              <w:left w:val="single" w:sz="4" w:space="0" w:color="000000"/>
            </w:tcBorders>
            <w:shd w:fill="DBDBDB" w:val="clear"/>
            <w:tcMar>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op w:val="single" w:sz="4" w:space="0" w:color="000000"/>
              <w:left w:val="single" w:sz="4" w:space="0" w:color="000000"/>
            </w:tcBorders>
            <w:shd w:fill="DBDBDB" w:val="clear"/>
            <w:tcMar>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op w:val="single" w:sz="4" w:space="0" w:color="000000"/>
              <w:left w:val="single" w:sz="4" w:space="0" w:color="000000"/>
            </w:tcBorders>
            <w:shd w:fill="DBDBDB" w:val="clear"/>
            <w:tcMar>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op w:val="single" w:sz="4" w:space="0" w:color="000000"/>
              <w:left w:val="single" w:sz="4" w:space="0" w:color="000000"/>
            </w:tcBorders>
            <w:shd w:fill="DBDBDB" w:val="clear"/>
            <w:tcMar>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top w:val="single" w:sz="4" w:space="0" w:color="000000"/>
              <w:left w:val="single" w:sz="4" w:space="0" w:color="000000"/>
            </w:tcBorders>
            <w:shd w:fill="DBDBDB" w:val="clear"/>
            <w:tcMar>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top w:val="single" w:sz="4" w:space="0" w:color="000000"/>
              <w:left w:val="single" w:sz="4" w:space="0" w:color="000000"/>
            </w:tcBorders>
            <w:shd w:fill="DBDBDB" w:val="clear"/>
            <w:tcMar>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2,408</w:t>
            </w:r>
          </w:p>
        </w:tc>
        <w:tc>
          <w:tcPr>
            <w:tcW w:w="766" w:type="dxa"/>
            <w:gridSpan w:val="3"/>
            <w:tcBorders>
              <w:top w:val="single" w:sz="4" w:space="0" w:color="000000"/>
              <w:left w:val="single" w:sz="4" w:space="0" w:color="000000"/>
            </w:tcBorders>
            <w:shd w:fill="DBDBDB" w:val="clear"/>
            <w:tcMar>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op w:val="single" w:sz="4" w:space="0" w:color="000000"/>
              <w:left w:val="single" w:sz="4" w:space="0" w:color="000000"/>
            </w:tcBorders>
            <w:shd w:fill="DBDBDB" w:val="clear"/>
            <w:tcMar>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top w:val="single" w:sz="4" w:space="0" w:color="000000"/>
              <w:left w:val="single" w:sz="4" w:space="0" w:color="000000"/>
              <w:right w:val="single" w:sz="4" w:space="0" w:color="000000"/>
            </w:tcBorders>
            <w:shd w:fill="DBDBDB" w:val="clear"/>
            <w:tcMar>
              <w:top w:w="30" w:type="dxa"/>
              <w:bottom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173,207</w:t>
            </w:r>
          </w:p>
        </w:tc>
      </w:tr>
      <w:tr>
        <w:trPr/>
        <w:tc>
          <w:tcPr>
            <w:tcW w:w="1005" w:type="dxa"/>
            <w:gridSpan w:val="3"/>
            <w:vMerge w:val="continue"/>
            <w:tcBorders>
              <w:top w:val="single" w:sz="4" w:space="0" w:color="000000"/>
              <w:left w:val="single" w:sz="4" w:space="0" w:color="000000"/>
            </w:tcBorders>
            <w:tcMar>
              <w:top w:w="30" w:type="dxa"/>
              <w:left w:w="110" w:type="dxa"/>
              <w:bottom w:w="0" w:type="dxa"/>
              <w:right w:w="0" w:type="dxa"/>
            </w:tcMar>
            <w:vAlign w:val="center"/>
          </w:tcPr>
          <w:p>
            <w:pPr>
              <w:pStyle w:val="Normal"/>
              <w:bidi w:val="0"/>
              <w:jc w:val="left"/>
              <w:rPr/>
            </w:pPr>
            <w:r>
              <w:rPr/>
            </w:r>
          </w:p>
        </w:tc>
        <w:tc>
          <w:tcPr>
            <w:tcW w:w="503"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3/1/2023</w:t>
            </w:r>
          </w:p>
        </w:tc>
        <w:tc>
          <w:tcPr>
            <w:tcW w:w="847"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5,552</w:t>
            </w:r>
          </w:p>
        </w:tc>
        <w:tc>
          <w:tcPr>
            <w:tcW w:w="1007"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71.93</w:t>
            </w:r>
          </w:p>
        </w:tc>
        <w:tc>
          <w:tcPr>
            <w:tcW w:w="934" w:type="dxa"/>
            <w:gridSpan w:val="3"/>
            <w:tcBorders>
              <w:top w:val="single" w:sz="4" w:space="0" w:color="000000"/>
              <w:left w:val="single" w:sz="4" w:space="0" w:color="000000"/>
              <w:right w:val="single" w:sz="4" w:space="0" w:color="000000"/>
            </w:tcBorders>
            <w:shd w:fill="FFFFFF" w:val="clear"/>
            <w:tcMar>
              <w:top w:w="30" w:type="dxa"/>
              <w:bottom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173,222</w:t>
            </w:r>
          </w:p>
        </w:tc>
      </w:tr>
      <w:tr>
        <w:trPr/>
        <w:tc>
          <w:tcPr>
            <w:tcW w:w="1005" w:type="dxa"/>
            <w:gridSpan w:val="3"/>
            <w:vMerge w:val="continue"/>
            <w:tcBorders>
              <w:top w:val="single" w:sz="4" w:space="0" w:color="000000"/>
              <w:left w:val="single" w:sz="4" w:space="0" w:color="000000"/>
            </w:tcBorders>
            <w:tcMar>
              <w:top w:w="30" w:type="dxa"/>
              <w:left w:w="110" w:type="dxa"/>
              <w:bottom w:w="0" w:type="dxa"/>
              <w:right w:w="0" w:type="dxa"/>
            </w:tcMar>
            <w:vAlign w:val="center"/>
          </w:tcPr>
          <w:p>
            <w:pPr>
              <w:pStyle w:val="Normal"/>
              <w:bidi w:val="0"/>
              <w:jc w:val="left"/>
              <w:rPr/>
            </w:pPr>
            <w:r>
              <w:rPr/>
            </w:r>
          </w:p>
        </w:tc>
        <w:tc>
          <w:tcPr>
            <w:tcW w:w="503" w:type="dxa"/>
            <w:gridSpan w:val="3"/>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2/1/2023</w:t>
            </w:r>
          </w:p>
        </w:tc>
        <w:tc>
          <w:tcPr>
            <w:tcW w:w="847" w:type="dxa"/>
            <w:gridSpan w:val="3"/>
            <w:tcBorders>
              <w:top w:val="single" w:sz="4" w:space="0" w:color="000000"/>
              <w:left w:val="single" w:sz="4" w:space="0" w:color="000000"/>
            </w:tcBorders>
            <w:shd w:fill="DBDBDB" w:val="clear"/>
            <w:tcMar>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op w:val="single" w:sz="4" w:space="0" w:color="000000"/>
              <w:left w:val="single" w:sz="4" w:space="0" w:color="000000"/>
            </w:tcBorders>
            <w:shd w:fill="DBDBDB" w:val="clear"/>
            <w:tcMar>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op w:val="single" w:sz="4" w:space="0" w:color="000000"/>
              <w:left w:val="single" w:sz="4" w:space="0" w:color="000000"/>
            </w:tcBorders>
            <w:shd w:fill="DBDBDB" w:val="clear"/>
            <w:tcMar>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op w:val="single" w:sz="4" w:space="0" w:color="000000"/>
              <w:left w:val="single" w:sz="4" w:space="0" w:color="000000"/>
            </w:tcBorders>
            <w:shd w:fill="DBDBDB" w:val="clear"/>
            <w:tcMar>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top w:val="single" w:sz="4" w:space="0" w:color="000000"/>
              <w:left w:val="single" w:sz="4" w:space="0" w:color="000000"/>
            </w:tcBorders>
            <w:shd w:fill="DBDBDB" w:val="clear"/>
            <w:tcMar>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top w:val="single" w:sz="4" w:space="0" w:color="000000"/>
              <w:left w:val="single" w:sz="4" w:space="0" w:color="000000"/>
            </w:tcBorders>
            <w:shd w:fill="DBDBDB" w:val="clear"/>
            <w:tcMar>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3,499</w:t>
            </w:r>
          </w:p>
        </w:tc>
        <w:tc>
          <w:tcPr>
            <w:tcW w:w="766" w:type="dxa"/>
            <w:gridSpan w:val="3"/>
            <w:tcBorders>
              <w:top w:val="single" w:sz="4" w:space="0" w:color="000000"/>
              <w:left w:val="single" w:sz="4" w:space="0" w:color="000000"/>
            </w:tcBorders>
            <w:shd w:fill="DBDBDB" w:val="clear"/>
            <w:tcMar>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op w:val="single" w:sz="4" w:space="0" w:color="000000"/>
              <w:left w:val="single" w:sz="4" w:space="0" w:color="000000"/>
            </w:tcBorders>
            <w:shd w:fill="DBDBDB" w:val="clear"/>
            <w:tcMar>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top w:val="single" w:sz="4" w:space="0" w:color="000000"/>
              <w:left w:val="single" w:sz="4" w:space="0" w:color="000000"/>
              <w:right w:val="single" w:sz="4" w:space="0" w:color="000000"/>
            </w:tcBorders>
            <w:shd w:fill="DBDBDB" w:val="clear"/>
            <w:tcMar>
              <w:top w:w="30" w:type="dxa"/>
              <w:bottom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263,965</w:t>
            </w:r>
          </w:p>
        </w:tc>
      </w:tr>
      <w:tr>
        <w:trPr/>
        <w:tc>
          <w:tcPr>
            <w:tcW w:w="1005" w:type="dxa"/>
            <w:gridSpan w:val="3"/>
            <w:vMerge w:val="restart"/>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4"/>
              </w:rPr>
            </w:pPr>
            <w:r>
              <w:rPr>
                <w:rFonts w:ascii="Arial;sans-serif" w:hAnsi="Arial;sans-serif"/>
                <w:b w:val="false"/>
                <w:color w:val="000000"/>
                <w:sz w:val="14"/>
              </w:rPr>
              <w:t>J. Randall Data</w:t>
            </w:r>
          </w:p>
        </w:tc>
        <w:tc>
          <w:tcPr>
            <w:tcW w:w="503"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3/14/2024</w:t>
            </w:r>
          </w:p>
        </w:tc>
        <w:tc>
          <w:tcPr>
            <w:tcW w:w="847"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190,617</w:t>
            </w:r>
          </w:p>
        </w:tc>
        <w:tc>
          <w:tcPr>
            <w:tcW w:w="834"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381,233</w:t>
            </w:r>
          </w:p>
        </w:tc>
        <w:tc>
          <w:tcPr>
            <w:tcW w:w="834"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762,467</w:t>
            </w:r>
          </w:p>
        </w:tc>
        <w:tc>
          <w:tcPr>
            <w:tcW w:w="832"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top w:val="single" w:sz="4" w:space="0" w:color="000000"/>
              <w:left w:val="single" w:sz="4" w:space="0" w:color="000000"/>
              <w:right w:val="single" w:sz="4" w:space="0" w:color="000000"/>
            </w:tcBorders>
            <w:shd w:fill="FFFFFF" w:val="clear"/>
            <w:tcMar>
              <w:bottom w:w="0" w:type="dxa"/>
            </w:tcMar>
            <w:vAlign w:val="center"/>
          </w:tcPr>
          <w:p>
            <w:pPr>
              <w:pStyle w:val="TableContents"/>
              <w:bidi w:val="0"/>
              <w:spacing w:before="0" w:after="283"/>
              <w:jc w:val="left"/>
              <w:rPr>
                <w:sz w:val="4"/>
                <w:szCs w:val="4"/>
              </w:rPr>
            </w:pPr>
            <w:r>
              <w:rPr>
                <w:sz w:val="4"/>
                <w:szCs w:val="4"/>
              </w:rPr>
            </w:r>
          </w:p>
        </w:tc>
      </w:tr>
      <w:tr>
        <w:trPr/>
        <w:tc>
          <w:tcPr>
            <w:tcW w:w="1005" w:type="dxa"/>
            <w:gridSpan w:val="3"/>
            <w:vMerge w:val="continue"/>
            <w:tcBorders>
              <w:top w:val="single" w:sz="4" w:space="0" w:color="000000"/>
              <w:left w:val="single" w:sz="4" w:space="0" w:color="000000"/>
            </w:tcBorders>
            <w:shd w:fill="FFFFFF" w:val="clear"/>
            <w:tcMar>
              <w:top w:w="30" w:type="dxa"/>
              <w:bottom w:w="0" w:type="dxa"/>
              <w:right w:w="0" w:type="dxa"/>
            </w:tcMar>
            <w:vAlign w:val="center"/>
          </w:tcPr>
          <w:p>
            <w:pPr>
              <w:pStyle w:val="Normal"/>
              <w:bidi w:val="0"/>
              <w:jc w:val="left"/>
              <w:rPr/>
            </w:pPr>
            <w:r>
              <w:rPr/>
            </w:r>
          </w:p>
        </w:tc>
        <w:tc>
          <w:tcPr>
            <w:tcW w:w="503" w:type="dxa"/>
            <w:gridSpan w:val="3"/>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3/1/2023</w:t>
            </w:r>
          </w:p>
        </w:tc>
        <w:tc>
          <w:tcPr>
            <w:tcW w:w="847" w:type="dxa"/>
            <w:gridSpan w:val="3"/>
            <w:tcBorders>
              <w:top w:val="single" w:sz="4" w:space="0" w:color="000000"/>
              <w:left w:val="single" w:sz="4" w:space="0" w:color="000000"/>
            </w:tcBorders>
            <w:shd w:fill="DBDBDB" w:val="clear"/>
            <w:tcMar>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op w:val="single" w:sz="4" w:space="0" w:color="000000"/>
              <w:left w:val="single" w:sz="4" w:space="0" w:color="000000"/>
            </w:tcBorders>
            <w:shd w:fill="DBDBDB" w:val="clear"/>
            <w:tcMar>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op w:val="single" w:sz="4" w:space="0" w:color="000000"/>
              <w:left w:val="single" w:sz="4" w:space="0" w:color="000000"/>
            </w:tcBorders>
            <w:shd w:fill="DBDBDB" w:val="clear"/>
            <w:tcMar>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2,735</w:t>
            </w:r>
          </w:p>
        </w:tc>
        <w:tc>
          <w:tcPr>
            <w:tcW w:w="654" w:type="dxa"/>
            <w:gridSpan w:val="3"/>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5,469</w:t>
            </w:r>
          </w:p>
        </w:tc>
        <w:tc>
          <w:tcPr>
            <w:tcW w:w="820" w:type="dxa"/>
            <w:gridSpan w:val="3"/>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8,204</w:t>
            </w:r>
          </w:p>
        </w:tc>
        <w:tc>
          <w:tcPr>
            <w:tcW w:w="1169" w:type="dxa"/>
            <w:gridSpan w:val="3"/>
            <w:tcBorders>
              <w:top w:val="single" w:sz="4" w:space="0" w:color="000000"/>
              <w:left w:val="single" w:sz="4" w:space="0" w:color="000000"/>
            </w:tcBorders>
            <w:shd w:fill="DBDBDB" w:val="clear"/>
            <w:tcMar>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4" w:space="0" w:color="000000"/>
              <w:left w:val="single" w:sz="4" w:space="0" w:color="000000"/>
            </w:tcBorders>
            <w:shd w:fill="DBDBDB" w:val="clear"/>
            <w:tcMar>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op w:val="single" w:sz="4" w:space="0" w:color="000000"/>
              <w:left w:val="single" w:sz="4" w:space="0" w:color="000000"/>
            </w:tcBorders>
            <w:shd w:fill="DBDBDB" w:val="clear"/>
            <w:tcMar>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top w:val="single" w:sz="4" w:space="0" w:color="000000"/>
              <w:left w:val="single" w:sz="4" w:space="0" w:color="000000"/>
              <w:right w:val="single" w:sz="4" w:space="0" w:color="000000"/>
            </w:tcBorders>
            <w:shd w:fill="DBDBDB" w:val="clear"/>
            <w:tcMar>
              <w:top w:w="30" w:type="dxa"/>
              <w:bottom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397,378</w:t>
            </w:r>
          </w:p>
        </w:tc>
      </w:tr>
      <w:tr>
        <w:trPr/>
        <w:tc>
          <w:tcPr>
            <w:tcW w:w="1005" w:type="dxa"/>
            <w:gridSpan w:val="3"/>
            <w:vMerge w:val="continue"/>
            <w:tcBorders>
              <w:top w:val="single" w:sz="4" w:space="0" w:color="000000"/>
              <w:left w:val="single" w:sz="4" w:space="0" w:color="000000"/>
            </w:tcBorders>
            <w:shd w:fill="FFFFFF" w:val="clear"/>
            <w:tcMar>
              <w:top w:w="30" w:type="dxa"/>
              <w:bottom w:w="0" w:type="dxa"/>
              <w:right w:w="0" w:type="dxa"/>
            </w:tcMar>
            <w:vAlign w:val="center"/>
          </w:tcPr>
          <w:p>
            <w:pPr>
              <w:pStyle w:val="Normal"/>
              <w:bidi w:val="0"/>
              <w:jc w:val="left"/>
              <w:rPr/>
            </w:pPr>
            <w:r>
              <w:rPr/>
            </w:r>
          </w:p>
        </w:tc>
        <w:tc>
          <w:tcPr>
            <w:tcW w:w="503"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3/1/2023</w:t>
            </w:r>
          </w:p>
        </w:tc>
        <w:tc>
          <w:tcPr>
            <w:tcW w:w="847"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2,735</w:t>
            </w:r>
          </w:p>
        </w:tc>
        <w:tc>
          <w:tcPr>
            <w:tcW w:w="766"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top w:val="single" w:sz="4" w:space="0" w:color="000000"/>
              <w:left w:val="single" w:sz="4" w:space="0" w:color="000000"/>
              <w:right w:val="single" w:sz="4" w:space="0" w:color="000000"/>
            </w:tcBorders>
            <w:shd w:fill="FFFFFF" w:val="clear"/>
            <w:tcMar>
              <w:top w:w="30" w:type="dxa"/>
              <w:bottom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196,729</w:t>
            </w:r>
          </w:p>
        </w:tc>
      </w:tr>
      <w:tr>
        <w:trPr/>
        <w:tc>
          <w:tcPr>
            <w:tcW w:w="1005" w:type="dxa"/>
            <w:gridSpan w:val="3"/>
            <w:vMerge w:val="continue"/>
            <w:tcBorders>
              <w:top w:val="single" w:sz="4" w:space="0" w:color="000000"/>
              <w:left w:val="single" w:sz="4" w:space="0" w:color="000000"/>
            </w:tcBorders>
            <w:shd w:fill="FFFFFF" w:val="clear"/>
            <w:tcMar>
              <w:top w:w="30" w:type="dxa"/>
              <w:bottom w:w="0" w:type="dxa"/>
              <w:right w:w="0" w:type="dxa"/>
            </w:tcMar>
            <w:vAlign w:val="center"/>
          </w:tcPr>
          <w:p>
            <w:pPr>
              <w:pStyle w:val="Normal"/>
              <w:bidi w:val="0"/>
              <w:jc w:val="left"/>
              <w:rPr/>
            </w:pPr>
            <w:r>
              <w:rPr/>
            </w:r>
          </w:p>
        </w:tc>
        <w:tc>
          <w:tcPr>
            <w:tcW w:w="503" w:type="dxa"/>
            <w:gridSpan w:val="3"/>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3/1/2023</w:t>
            </w:r>
          </w:p>
        </w:tc>
        <w:tc>
          <w:tcPr>
            <w:tcW w:w="847" w:type="dxa"/>
            <w:gridSpan w:val="3"/>
            <w:tcBorders>
              <w:top w:val="single" w:sz="4" w:space="0" w:color="000000"/>
              <w:left w:val="single" w:sz="4" w:space="0" w:color="000000"/>
            </w:tcBorders>
            <w:shd w:fill="DBDBDB" w:val="clear"/>
            <w:tcMar>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op w:val="single" w:sz="4" w:space="0" w:color="000000"/>
              <w:left w:val="single" w:sz="4" w:space="0" w:color="000000"/>
            </w:tcBorders>
            <w:shd w:fill="DBDBDB" w:val="clear"/>
            <w:tcMar>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op w:val="single" w:sz="4" w:space="0" w:color="000000"/>
              <w:left w:val="single" w:sz="4" w:space="0" w:color="000000"/>
            </w:tcBorders>
            <w:shd w:fill="DBDBDB" w:val="clear"/>
            <w:tcMar>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op w:val="single" w:sz="4" w:space="0" w:color="000000"/>
              <w:left w:val="single" w:sz="4" w:space="0" w:color="000000"/>
            </w:tcBorders>
            <w:shd w:fill="DBDBDB" w:val="clear"/>
            <w:tcMar>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top w:val="single" w:sz="4" w:space="0" w:color="000000"/>
              <w:left w:val="single" w:sz="4" w:space="0" w:color="000000"/>
            </w:tcBorders>
            <w:shd w:fill="DBDBDB" w:val="clear"/>
            <w:tcMar>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top w:val="single" w:sz="4" w:space="0" w:color="000000"/>
              <w:left w:val="single" w:sz="4" w:space="0" w:color="000000"/>
            </w:tcBorders>
            <w:shd w:fill="DBDBDB" w:val="clear"/>
            <w:tcMar>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4" w:space="0" w:color="000000"/>
              <w:left w:val="single" w:sz="4" w:space="0" w:color="000000"/>
            </w:tcBorders>
            <w:shd w:fill="DBDBDB" w:val="clear"/>
            <w:tcMar>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6,305</w:t>
            </w:r>
          </w:p>
        </w:tc>
        <w:tc>
          <w:tcPr>
            <w:tcW w:w="1007" w:type="dxa"/>
            <w:gridSpan w:val="3"/>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71.93</w:t>
            </w:r>
          </w:p>
        </w:tc>
        <w:tc>
          <w:tcPr>
            <w:tcW w:w="934" w:type="dxa"/>
            <w:gridSpan w:val="3"/>
            <w:tcBorders>
              <w:top w:val="single" w:sz="4" w:space="0" w:color="000000"/>
              <w:left w:val="single" w:sz="4" w:space="0" w:color="000000"/>
              <w:right w:val="single" w:sz="4" w:space="0" w:color="000000"/>
            </w:tcBorders>
            <w:shd w:fill="DBDBDB" w:val="clear"/>
            <w:tcMar>
              <w:top w:w="30" w:type="dxa"/>
              <w:bottom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196,716</w:t>
            </w:r>
          </w:p>
        </w:tc>
      </w:tr>
      <w:tr>
        <w:trPr/>
        <w:tc>
          <w:tcPr>
            <w:tcW w:w="1005" w:type="dxa"/>
            <w:gridSpan w:val="3"/>
            <w:vMerge w:val="restart"/>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4"/>
              </w:rPr>
            </w:pPr>
            <w:r>
              <w:rPr>
                <w:rFonts w:ascii="Arial;sans-serif" w:hAnsi="Arial;sans-serif"/>
                <w:b w:val="false"/>
                <w:color w:val="000000"/>
                <w:sz w:val="14"/>
              </w:rPr>
              <w:t>John W. Swann, III</w:t>
            </w:r>
          </w:p>
        </w:tc>
        <w:tc>
          <w:tcPr>
            <w:tcW w:w="503"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3/14/2024</w:t>
            </w:r>
          </w:p>
        </w:tc>
        <w:tc>
          <w:tcPr>
            <w:tcW w:w="847"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201,880</w:t>
            </w:r>
          </w:p>
        </w:tc>
        <w:tc>
          <w:tcPr>
            <w:tcW w:w="834"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403,760</w:t>
            </w:r>
          </w:p>
        </w:tc>
        <w:tc>
          <w:tcPr>
            <w:tcW w:w="834"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807,520</w:t>
            </w:r>
          </w:p>
        </w:tc>
        <w:tc>
          <w:tcPr>
            <w:tcW w:w="832"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top w:val="single" w:sz="4" w:space="0" w:color="000000"/>
              <w:left w:val="single" w:sz="4" w:space="0" w:color="000000"/>
              <w:right w:val="single" w:sz="4" w:space="0" w:color="000000"/>
            </w:tcBorders>
            <w:shd w:fill="FFFFFF" w:val="clear"/>
            <w:tcMar>
              <w:bottom w:w="0" w:type="dxa"/>
            </w:tcMar>
            <w:vAlign w:val="center"/>
          </w:tcPr>
          <w:p>
            <w:pPr>
              <w:pStyle w:val="TableContents"/>
              <w:bidi w:val="0"/>
              <w:spacing w:before="0" w:after="283"/>
              <w:jc w:val="left"/>
              <w:rPr>
                <w:sz w:val="4"/>
                <w:szCs w:val="4"/>
              </w:rPr>
            </w:pPr>
            <w:r>
              <w:rPr>
                <w:sz w:val="4"/>
                <w:szCs w:val="4"/>
              </w:rPr>
            </w:r>
          </w:p>
        </w:tc>
      </w:tr>
      <w:tr>
        <w:trPr/>
        <w:tc>
          <w:tcPr>
            <w:tcW w:w="1005" w:type="dxa"/>
            <w:gridSpan w:val="3"/>
            <w:vMerge w:val="continue"/>
            <w:tcBorders>
              <w:top w:val="single" w:sz="4" w:space="0" w:color="000000"/>
              <w:left w:val="single" w:sz="4" w:space="0" w:color="000000"/>
            </w:tcBorders>
            <w:shd w:fill="FFFFFF" w:val="clear"/>
            <w:tcMar>
              <w:top w:w="30" w:type="dxa"/>
              <w:bottom w:w="0" w:type="dxa"/>
              <w:right w:w="0" w:type="dxa"/>
            </w:tcMar>
            <w:vAlign w:val="center"/>
          </w:tcPr>
          <w:p>
            <w:pPr>
              <w:pStyle w:val="Normal"/>
              <w:bidi w:val="0"/>
              <w:jc w:val="left"/>
              <w:rPr/>
            </w:pPr>
            <w:r>
              <w:rPr/>
            </w:r>
          </w:p>
        </w:tc>
        <w:tc>
          <w:tcPr>
            <w:tcW w:w="503" w:type="dxa"/>
            <w:gridSpan w:val="3"/>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3/1/2023</w:t>
            </w:r>
          </w:p>
        </w:tc>
        <w:tc>
          <w:tcPr>
            <w:tcW w:w="847" w:type="dxa"/>
            <w:gridSpan w:val="3"/>
            <w:tcBorders>
              <w:top w:val="single" w:sz="4" w:space="0" w:color="000000"/>
              <w:left w:val="single" w:sz="4" w:space="0" w:color="000000"/>
            </w:tcBorders>
            <w:shd w:fill="DBDBDB" w:val="clear"/>
            <w:tcMar>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op w:val="single" w:sz="4" w:space="0" w:color="000000"/>
              <w:left w:val="single" w:sz="4" w:space="0" w:color="000000"/>
            </w:tcBorders>
            <w:shd w:fill="DBDBDB" w:val="clear"/>
            <w:tcMar>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op w:val="single" w:sz="4" w:space="0" w:color="000000"/>
              <w:left w:val="single" w:sz="4" w:space="0" w:color="000000"/>
            </w:tcBorders>
            <w:shd w:fill="DBDBDB" w:val="clear"/>
            <w:tcMar>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2,580</w:t>
            </w:r>
          </w:p>
        </w:tc>
        <w:tc>
          <w:tcPr>
            <w:tcW w:w="654" w:type="dxa"/>
            <w:gridSpan w:val="3"/>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5,160</w:t>
            </w:r>
          </w:p>
        </w:tc>
        <w:tc>
          <w:tcPr>
            <w:tcW w:w="820" w:type="dxa"/>
            <w:gridSpan w:val="3"/>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7,740</w:t>
            </w:r>
          </w:p>
        </w:tc>
        <w:tc>
          <w:tcPr>
            <w:tcW w:w="1169" w:type="dxa"/>
            <w:gridSpan w:val="3"/>
            <w:tcBorders>
              <w:top w:val="single" w:sz="4" w:space="0" w:color="000000"/>
              <w:left w:val="single" w:sz="4" w:space="0" w:color="000000"/>
            </w:tcBorders>
            <w:shd w:fill="DBDBDB" w:val="clear"/>
            <w:tcMar>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4" w:space="0" w:color="000000"/>
              <w:left w:val="single" w:sz="4" w:space="0" w:color="000000"/>
            </w:tcBorders>
            <w:shd w:fill="DBDBDB" w:val="clear"/>
            <w:tcMar>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op w:val="single" w:sz="4" w:space="0" w:color="000000"/>
              <w:left w:val="single" w:sz="4" w:space="0" w:color="000000"/>
            </w:tcBorders>
            <w:shd w:fill="DBDBDB" w:val="clear"/>
            <w:tcMar>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top w:val="single" w:sz="4" w:space="0" w:color="000000"/>
              <w:left w:val="single" w:sz="4" w:space="0" w:color="000000"/>
              <w:right w:val="single" w:sz="4" w:space="0" w:color="000000"/>
            </w:tcBorders>
            <w:shd w:fill="DBDBDB" w:val="clear"/>
            <w:tcMar>
              <w:top w:w="30" w:type="dxa"/>
              <w:bottom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374,926</w:t>
            </w:r>
          </w:p>
        </w:tc>
      </w:tr>
      <w:tr>
        <w:trPr/>
        <w:tc>
          <w:tcPr>
            <w:tcW w:w="1005" w:type="dxa"/>
            <w:gridSpan w:val="3"/>
            <w:vMerge w:val="continue"/>
            <w:tcBorders>
              <w:top w:val="single" w:sz="4" w:space="0" w:color="000000"/>
              <w:left w:val="single" w:sz="4" w:space="0" w:color="000000"/>
            </w:tcBorders>
            <w:shd w:fill="FFFFFF" w:val="clear"/>
            <w:tcMar>
              <w:top w:w="30" w:type="dxa"/>
              <w:bottom w:w="0" w:type="dxa"/>
              <w:right w:w="0" w:type="dxa"/>
            </w:tcMar>
            <w:vAlign w:val="center"/>
          </w:tcPr>
          <w:p>
            <w:pPr>
              <w:pStyle w:val="Normal"/>
              <w:bidi w:val="0"/>
              <w:jc w:val="left"/>
              <w:rPr/>
            </w:pPr>
            <w:r>
              <w:rPr/>
            </w:r>
          </w:p>
        </w:tc>
        <w:tc>
          <w:tcPr>
            <w:tcW w:w="503"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3/1/2023</w:t>
            </w:r>
          </w:p>
        </w:tc>
        <w:tc>
          <w:tcPr>
            <w:tcW w:w="847"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2,580</w:t>
            </w:r>
          </w:p>
        </w:tc>
        <w:tc>
          <w:tcPr>
            <w:tcW w:w="766"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top w:val="single" w:sz="4" w:space="0" w:color="000000"/>
              <w:left w:val="single" w:sz="4" w:space="0" w:color="000000"/>
              <w:right w:val="single" w:sz="4" w:space="0" w:color="000000"/>
            </w:tcBorders>
            <w:shd w:fill="FFFFFF" w:val="clear"/>
            <w:tcMar>
              <w:top w:w="30" w:type="dxa"/>
              <w:bottom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185,579</w:t>
            </w:r>
          </w:p>
        </w:tc>
      </w:tr>
      <w:tr>
        <w:trPr/>
        <w:tc>
          <w:tcPr>
            <w:tcW w:w="1005" w:type="dxa"/>
            <w:gridSpan w:val="3"/>
            <w:vMerge w:val="continue"/>
            <w:tcBorders>
              <w:top w:val="single" w:sz="4" w:space="0" w:color="000000"/>
              <w:left w:val="single" w:sz="4" w:space="0" w:color="000000"/>
            </w:tcBorders>
            <w:shd w:fill="FFFFFF" w:val="clear"/>
            <w:tcMar>
              <w:top w:w="30" w:type="dxa"/>
              <w:bottom w:w="0" w:type="dxa"/>
              <w:right w:w="0" w:type="dxa"/>
            </w:tcMar>
            <w:vAlign w:val="center"/>
          </w:tcPr>
          <w:p>
            <w:pPr>
              <w:pStyle w:val="Normal"/>
              <w:bidi w:val="0"/>
              <w:jc w:val="left"/>
              <w:rPr/>
            </w:pPr>
            <w:r>
              <w:rPr/>
            </w:r>
          </w:p>
        </w:tc>
        <w:tc>
          <w:tcPr>
            <w:tcW w:w="503" w:type="dxa"/>
            <w:gridSpan w:val="3"/>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3/1/2023</w:t>
            </w:r>
          </w:p>
        </w:tc>
        <w:tc>
          <w:tcPr>
            <w:tcW w:w="847" w:type="dxa"/>
            <w:gridSpan w:val="3"/>
            <w:tcBorders>
              <w:top w:val="single" w:sz="4" w:space="0" w:color="000000"/>
              <w:left w:val="single" w:sz="4" w:space="0" w:color="000000"/>
            </w:tcBorders>
            <w:shd w:fill="DBDBDB" w:val="clear"/>
            <w:tcMar>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op w:val="single" w:sz="4" w:space="0" w:color="000000"/>
              <w:left w:val="single" w:sz="4" w:space="0" w:color="000000"/>
            </w:tcBorders>
            <w:shd w:fill="DBDBDB" w:val="clear"/>
            <w:tcMar>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op w:val="single" w:sz="4" w:space="0" w:color="000000"/>
              <w:left w:val="single" w:sz="4" w:space="0" w:color="000000"/>
            </w:tcBorders>
            <w:shd w:fill="DBDBDB" w:val="clear"/>
            <w:tcMar>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op w:val="single" w:sz="4" w:space="0" w:color="000000"/>
              <w:left w:val="single" w:sz="4" w:space="0" w:color="000000"/>
            </w:tcBorders>
            <w:shd w:fill="DBDBDB" w:val="clear"/>
            <w:tcMar>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top w:val="single" w:sz="4" w:space="0" w:color="000000"/>
              <w:left w:val="single" w:sz="4" w:space="0" w:color="000000"/>
            </w:tcBorders>
            <w:shd w:fill="DBDBDB" w:val="clear"/>
            <w:tcMar>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top w:val="single" w:sz="4" w:space="0" w:color="000000"/>
              <w:left w:val="single" w:sz="4" w:space="0" w:color="000000"/>
            </w:tcBorders>
            <w:shd w:fill="DBDBDB" w:val="clear"/>
            <w:tcMar>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4" w:space="0" w:color="000000"/>
              <w:left w:val="single" w:sz="4" w:space="0" w:color="000000"/>
            </w:tcBorders>
            <w:shd w:fill="DBDBDB" w:val="clear"/>
            <w:tcMar>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5,948</w:t>
            </w:r>
          </w:p>
        </w:tc>
        <w:tc>
          <w:tcPr>
            <w:tcW w:w="1007" w:type="dxa"/>
            <w:gridSpan w:val="3"/>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71.93</w:t>
            </w:r>
          </w:p>
        </w:tc>
        <w:tc>
          <w:tcPr>
            <w:tcW w:w="934" w:type="dxa"/>
            <w:gridSpan w:val="3"/>
            <w:tcBorders>
              <w:top w:val="single" w:sz="4" w:space="0" w:color="000000"/>
              <w:left w:val="single" w:sz="4" w:space="0" w:color="000000"/>
              <w:right w:val="single" w:sz="4" w:space="0" w:color="000000"/>
            </w:tcBorders>
            <w:shd w:fill="DBDBDB" w:val="clear"/>
            <w:tcMar>
              <w:top w:w="30" w:type="dxa"/>
              <w:bottom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185,578</w:t>
            </w:r>
          </w:p>
        </w:tc>
      </w:tr>
      <w:tr>
        <w:trPr/>
        <w:tc>
          <w:tcPr>
            <w:tcW w:w="1005" w:type="dxa"/>
            <w:gridSpan w:val="3"/>
            <w:vMerge w:val="restart"/>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4"/>
              </w:rPr>
            </w:pPr>
            <w:r>
              <w:rPr>
                <w:rFonts w:ascii="Arial;sans-serif" w:hAnsi="Arial;sans-serif"/>
                <w:b w:val="false"/>
                <w:color w:val="000000"/>
                <w:sz w:val="14"/>
              </w:rPr>
              <w:t>Sean McClenaghan</w:t>
            </w:r>
          </w:p>
        </w:tc>
        <w:tc>
          <w:tcPr>
            <w:tcW w:w="503"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3/14/2024</w:t>
            </w:r>
          </w:p>
        </w:tc>
        <w:tc>
          <w:tcPr>
            <w:tcW w:w="847"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201,880</w:t>
            </w:r>
          </w:p>
        </w:tc>
        <w:tc>
          <w:tcPr>
            <w:tcW w:w="834"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403,760</w:t>
            </w:r>
          </w:p>
        </w:tc>
        <w:tc>
          <w:tcPr>
            <w:tcW w:w="834"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807,520</w:t>
            </w:r>
          </w:p>
        </w:tc>
        <w:tc>
          <w:tcPr>
            <w:tcW w:w="832"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top w:val="single" w:sz="4" w:space="0" w:color="000000"/>
              <w:left w:val="single" w:sz="4" w:space="0" w:color="000000"/>
              <w:right w:val="single" w:sz="4" w:space="0" w:color="000000"/>
            </w:tcBorders>
            <w:shd w:fill="FFFFFF" w:val="clear"/>
            <w:tcMar>
              <w:bottom w:w="0" w:type="dxa"/>
            </w:tcMar>
            <w:vAlign w:val="center"/>
          </w:tcPr>
          <w:p>
            <w:pPr>
              <w:pStyle w:val="TableContents"/>
              <w:bidi w:val="0"/>
              <w:spacing w:before="0" w:after="283"/>
              <w:jc w:val="left"/>
              <w:rPr>
                <w:sz w:val="4"/>
                <w:szCs w:val="4"/>
              </w:rPr>
            </w:pPr>
            <w:r>
              <w:rPr>
                <w:sz w:val="4"/>
                <w:szCs w:val="4"/>
              </w:rPr>
            </w:r>
          </w:p>
        </w:tc>
      </w:tr>
      <w:tr>
        <w:trPr/>
        <w:tc>
          <w:tcPr>
            <w:tcW w:w="1005" w:type="dxa"/>
            <w:gridSpan w:val="3"/>
            <w:vMerge w:val="continue"/>
            <w:tcBorders>
              <w:top w:val="single" w:sz="4" w:space="0" w:color="000000"/>
              <w:left w:val="single" w:sz="4" w:space="0" w:color="000000"/>
            </w:tcBorders>
            <w:shd w:fill="FFFFFF" w:val="clear"/>
            <w:tcMar>
              <w:top w:w="30" w:type="dxa"/>
              <w:bottom w:w="0" w:type="dxa"/>
              <w:right w:w="0" w:type="dxa"/>
            </w:tcMar>
            <w:vAlign w:val="center"/>
          </w:tcPr>
          <w:p>
            <w:pPr>
              <w:pStyle w:val="Normal"/>
              <w:bidi w:val="0"/>
              <w:jc w:val="left"/>
              <w:rPr/>
            </w:pPr>
            <w:r>
              <w:rPr/>
            </w:r>
          </w:p>
        </w:tc>
        <w:tc>
          <w:tcPr>
            <w:tcW w:w="503" w:type="dxa"/>
            <w:gridSpan w:val="3"/>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3/1/2023</w:t>
            </w:r>
          </w:p>
        </w:tc>
        <w:tc>
          <w:tcPr>
            <w:tcW w:w="847" w:type="dxa"/>
            <w:gridSpan w:val="3"/>
            <w:tcBorders>
              <w:top w:val="single" w:sz="4" w:space="0" w:color="000000"/>
              <w:left w:val="single" w:sz="4" w:space="0" w:color="000000"/>
            </w:tcBorders>
            <w:shd w:fill="DBDBDB" w:val="clear"/>
            <w:tcMar>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op w:val="single" w:sz="4" w:space="0" w:color="000000"/>
              <w:left w:val="single" w:sz="4" w:space="0" w:color="000000"/>
            </w:tcBorders>
            <w:shd w:fill="DBDBDB" w:val="clear"/>
            <w:tcMar>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op w:val="single" w:sz="4" w:space="0" w:color="000000"/>
              <w:left w:val="single" w:sz="4" w:space="0" w:color="000000"/>
            </w:tcBorders>
            <w:shd w:fill="DBDBDB" w:val="clear"/>
            <w:tcMar>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2,580</w:t>
            </w:r>
          </w:p>
        </w:tc>
        <w:tc>
          <w:tcPr>
            <w:tcW w:w="654" w:type="dxa"/>
            <w:gridSpan w:val="3"/>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5,160</w:t>
            </w:r>
          </w:p>
        </w:tc>
        <w:tc>
          <w:tcPr>
            <w:tcW w:w="820" w:type="dxa"/>
            <w:gridSpan w:val="3"/>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7,740</w:t>
            </w:r>
          </w:p>
        </w:tc>
        <w:tc>
          <w:tcPr>
            <w:tcW w:w="1169" w:type="dxa"/>
            <w:gridSpan w:val="3"/>
            <w:tcBorders>
              <w:top w:val="single" w:sz="4" w:space="0" w:color="000000"/>
              <w:left w:val="single" w:sz="4" w:space="0" w:color="000000"/>
            </w:tcBorders>
            <w:shd w:fill="DBDBDB" w:val="clear"/>
            <w:tcMar>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4" w:space="0" w:color="000000"/>
              <w:left w:val="single" w:sz="4" w:space="0" w:color="000000"/>
            </w:tcBorders>
            <w:shd w:fill="DBDBDB" w:val="clear"/>
            <w:tcMar>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op w:val="single" w:sz="4" w:space="0" w:color="000000"/>
              <w:left w:val="single" w:sz="4" w:space="0" w:color="000000"/>
            </w:tcBorders>
            <w:shd w:fill="DBDBDB" w:val="clear"/>
            <w:tcMar>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top w:val="single" w:sz="4" w:space="0" w:color="000000"/>
              <w:left w:val="single" w:sz="4" w:space="0" w:color="000000"/>
              <w:right w:val="single" w:sz="4" w:space="0" w:color="000000"/>
            </w:tcBorders>
            <w:shd w:fill="DBDBDB" w:val="clear"/>
            <w:tcMar>
              <w:top w:w="30" w:type="dxa"/>
              <w:bottom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374,926</w:t>
            </w:r>
          </w:p>
        </w:tc>
      </w:tr>
      <w:tr>
        <w:trPr/>
        <w:tc>
          <w:tcPr>
            <w:tcW w:w="1005" w:type="dxa"/>
            <w:gridSpan w:val="3"/>
            <w:vMerge w:val="continue"/>
            <w:tcBorders>
              <w:top w:val="single" w:sz="4" w:space="0" w:color="000000"/>
              <w:left w:val="single" w:sz="4" w:space="0" w:color="000000"/>
            </w:tcBorders>
            <w:shd w:fill="FFFFFF" w:val="clear"/>
            <w:tcMar>
              <w:top w:w="30" w:type="dxa"/>
              <w:bottom w:w="0" w:type="dxa"/>
              <w:right w:w="0" w:type="dxa"/>
            </w:tcMar>
            <w:vAlign w:val="center"/>
          </w:tcPr>
          <w:p>
            <w:pPr>
              <w:pStyle w:val="Normal"/>
              <w:bidi w:val="0"/>
              <w:jc w:val="left"/>
              <w:rPr/>
            </w:pPr>
            <w:r>
              <w:rPr/>
            </w:r>
          </w:p>
        </w:tc>
        <w:tc>
          <w:tcPr>
            <w:tcW w:w="503"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3/1/2023</w:t>
            </w:r>
          </w:p>
        </w:tc>
        <w:tc>
          <w:tcPr>
            <w:tcW w:w="847"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2,580</w:t>
            </w:r>
          </w:p>
        </w:tc>
        <w:tc>
          <w:tcPr>
            <w:tcW w:w="766"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top w:val="single" w:sz="4" w:space="0" w:color="000000"/>
              <w:left w:val="single" w:sz="4" w:space="0" w:color="000000"/>
              <w:right w:val="single" w:sz="4" w:space="0" w:color="000000"/>
            </w:tcBorders>
            <w:shd w:fill="FFFFFF" w:val="clear"/>
            <w:tcMar>
              <w:top w:w="30" w:type="dxa"/>
              <w:bottom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185,579</w:t>
            </w:r>
          </w:p>
        </w:tc>
      </w:tr>
      <w:tr>
        <w:trPr/>
        <w:tc>
          <w:tcPr>
            <w:tcW w:w="1005" w:type="dxa"/>
            <w:gridSpan w:val="3"/>
            <w:vMerge w:val="continue"/>
            <w:tcBorders>
              <w:top w:val="single" w:sz="4" w:space="0" w:color="000000"/>
              <w:left w:val="single" w:sz="4" w:space="0" w:color="000000"/>
            </w:tcBorders>
            <w:shd w:fill="FFFFFF" w:val="clear"/>
            <w:tcMar>
              <w:top w:w="30" w:type="dxa"/>
              <w:bottom w:w="0" w:type="dxa"/>
              <w:right w:w="0" w:type="dxa"/>
            </w:tcMar>
            <w:vAlign w:val="center"/>
          </w:tcPr>
          <w:p>
            <w:pPr>
              <w:pStyle w:val="Normal"/>
              <w:bidi w:val="0"/>
              <w:jc w:val="left"/>
              <w:rPr/>
            </w:pPr>
            <w:r>
              <w:rPr/>
            </w:r>
          </w:p>
        </w:tc>
        <w:tc>
          <w:tcPr>
            <w:tcW w:w="503" w:type="dxa"/>
            <w:gridSpan w:val="3"/>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3/1/2023</w:t>
            </w:r>
          </w:p>
        </w:tc>
        <w:tc>
          <w:tcPr>
            <w:tcW w:w="847" w:type="dxa"/>
            <w:gridSpan w:val="3"/>
            <w:tcBorders>
              <w:top w:val="single" w:sz="4" w:space="0" w:color="000000"/>
              <w:left w:val="single" w:sz="4" w:space="0" w:color="000000"/>
            </w:tcBorders>
            <w:shd w:fill="DBDBDB" w:val="clear"/>
            <w:tcMar>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op w:val="single" w:sz="4" w:space="0" w:color="000000"/>
              <w:left w:val="single" w:sz="4" w:space="0" w:color="000000"/>
            </w:tcBorders>
            <w:shd w:fill="DBDBDB" w:val="clear"/>
            <w:tcMar>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op w:val="single" w:sz="4" w:space="0" w:color="000000"/>
              <w:left w:val="single" w:sz="4" w:space="0" w:color="000000"/>
            </w:tcBorders>
            <w:shd w:fill="DBDBDB" w:val="clear"/>
            <w:tcMar>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op w:val="single" w:sz="4" w:space="0" w:color="000000"/>
              <w:left w:val="single" w:sz="4" w:space="0" w:color="000000"/>
            </w:tcBorders>
            <w:shd w:fill="DBDBDB" w:val="clear"/>
            <w:tcMar>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top w:val="single" w:sz="4" w:space="0" w:color="000000"/>
              <w:left w:val="single" w:sz="4" w:space="0" w:color="000000"/>
            </w:tcBorders>
            <w:shd w:fill="DBDBDB" w:val="clear"/>
            <w:tcMar>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top w:val="single" w:sz="4" w:space="0" w:color="000000"/>
              <w:left w:val="single" w:sz="4" w:space="0" w:color="000000"/>
            </w:tcBorders>
            <w:shd w:fill="DBDBDB" w:val="clear"/>
            <w:tcMar>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4" w:space="0" w:color="000000"/>
              <w:left w:val="single" w:sz="4" w:space="0" w:color="000000"/>
            </w:tcBorders>
            <w:shd w:fill="DBDBDB" w:val="clear"/>
            <w:tcMar>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5,948</w:t>
            </w:r>
          </w:p>
        </w:tc>
        <w:tc>
          <w:tcPr>
            <w:tcW w:w="1007" w:type="dxa"/>
            <w:gridSpan w:val="3"/>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71.93</w:t>
            </w:r>
          </w:p>
        </w:tc>
        <w:tc>
          <w:tcPr>
            <w:tcW w:w="934" w:type="dxa"/>
            <w:gridSpan w:val="3"/>
            <w:tcBorders>
              <w:top w:val="single" w:sz="4" w:space="0" w:color="000000"/>
              <w:left w:val="single" w:sz="4" w:space="0" w:color="000000"/>
              <w:right w:val="single" w:sz="4" w:space="0" w:color="000000"/>
            </w:tcBorders>
            <w:shd w:fill="DBDBDB" w:val="clear"/>
            <w:tcMar>
              <w:top w:w="30" w:type="dxa"/>
              <w:bottom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185,578</w:t>
            </w:r>
          </w:p>
        </w:tc>
      </w:tr>
      <w:tr>
        <w:trPr/>
        <w:tc>
          <w:tcPr>
            <w:tcW w:w="1005" w:type="dxa"/>
            <w:gridSpan w:val="3"/>
            <w:vMerge w:val="restart"/>
            <w:tcBorders>
              <w:top w:val="single" w:sz="4" w:space="0" w:color="000000"/>
              <w:left w:val="single" w:sz="4" w:space="0" w:color="000000"/>
              <w:bottom w:val="single" w:sz="4" w:space="0" w:color="000000"/>
            </w:tcBorders>
            <w:shd w:fill="FFFFFF" w:val="clear"/>
            <w:tcMar>
              <w:top w:w="30" w:type="dxa"/>
              <w:bottom w:w="30" w:type="dxa"/>
              <w:right w:w="0" w:type="dxa"/>
            </w:tcMar>
            <w:vAlign w:val="center"/>
          </w:tcPr>
          <w:p>
            <w:pPr>
              <w:pStyle w:val="TableContents"/>
              <w:bidi w:val="0"/>
              <w:spacing w:lineRule="auto" w:line="240" w:before="0" w:after="0"/>
              <w:jc w:val="left"/>
              <w:rPr>
                <w:rFonts w:ascii="Arial;sans-serif" w:hAnsi="Arial;sans-serif"/>
                <w:b w:val="false"/>
                <w:color w:val="231F20"/>
                <w:sz w:val="14"/>
              </w:rPr>
            </w:pPr>
            <w:r>
              <w:rPr>
                <w:rFonts w:ascii="Arial;sans-serif" w:hAnsi="Arial;sans-serif"/>
                <w:b w:val="false"/>
                <w:color w:val="231F20"/>
                <w:sz w:val="14"/>
              </w:rPr>
              <w:t>Michael A. Reilly</w:t>
            </w:r>
          </w:p>
        </w:tc>
        <w:tc>
          <w:tcPr>
            <w:tcW w:w="503"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3/14/2024</w:t>
            </w:r>
          </w:p>
        </w:tc>
        <w:tc>
          <w:tcPr>
            <w:tcW w:w="847"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30,446</w:t>
            </w:r>
          </w:p>
        </w:tc>
        <w:tc>
          <w:tcPr>
            <w:tcW w:w="834"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60,892</w:t>
            </w:r>
          </w:p>
        </w:tc>
        <w:tc>
          <w:tcPr>
            <w:tcW w:w="834"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121,783</w:t>
            </w:r>
          </w:p>
        </w:tc>
        <w:tc>
          <w:tcPr>
            <w:tcW w:w="832"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top w:val="single" w:sz="4" w:space="0" w:color="000000"/>
              <w:left w:val="single" w:sz="4" w:space="0" w:color="000000"/>
              <w:right w:val="single" w:sz="4" w:space="0" w:color="000000"/>
            </w:tcBorders>
            <w:shd w:fill="FFFFFF" w:val="clear"/>
            <w:tcMar>
              <w:bottom w:w="0" w:type="dxa"/>
            </w:tcMar>
            <w:vAlign w:val="center"/>
          </w:tcPr>
          <w:p>
            <w:pPr>
              <w:pStyle w:val="TableContents"/>
              <w:bidi w:val="0"/>
              <w:spacing w:before="0" w:after="283"/>
              <w:jc w:val="left"/>
              <w:rPr>
                <w:sz w:val="4"/>
                <w:szCs w:val="4"/>
              </w:rPr>
            </w:pPr>
            <w:r>
              <w:rPr>
                <w:sz w:val="4"/>
                <w:szCs w:val="4"/>
              </w:rPr>
            </w:r>
          </w:p>
        </w:tc>
      </w:tr>
      <w:tr>
        <w:trPr/>
        <w:tc>
          <w:tcPr>
            <w:tcW w:w="1005" w:type="dxa"/>
            <w:gridSpan w:val="3"/>
            <w:vMerge w:val="continue"/>
            <w:tcBorders>
              <w:top w:val="single" w:sz="4" w:space="0" w:color="000000"/>
              <w:left w:val="single" w:sz="4" w:space="0" w:color="000000"/>
              <w:bottom w:val="single" w:sz="4" w:space="0" w:color="000000"/>
            </w:tcBorders>
            <w:shd w:fill="FFFFFF" w:val="clear"/>
            <w:tcMar>
              <w:top w:w="30" w:type="dxa"/>
              <w:bottom w:w="30" w:type="dxa"/>
              <w:right w:w="0" w:type="dxa"/>
            </w:tcMar>
            <w:vAlign w:val="center"/>
          </w:tcPr>
          <w:p>
            <w:pPr>
              <w:pStyle w:val="Normal"/>
              <w:bidi w:val="0"/>
              <w:jc w:val="left"/>
              <w:rPr/>
            </w:pPr>
            <w:r>
              <w:rPr/>
            </w:r>
          </w:p>
        </w:tc>
        <w:tc>
          <w:tcPr>
            <w:tcW w:w="503" w:type="dxa"/>
            <w:gridSpan w:val="3"/>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3/1/2023</w:t>
            </w:r>
          </w:p>
        </w:tc>
        <w:tc>
          <w:tcPr>
            <w:tcW w:w="847" w:type="dxa"/>
            <w:gridSpan w:val="3"/>
            <w:tcBorders>
              <w:top w:val="single" w:sz="4" w:space="0" w:color="000000"/>
              <w:left w:val="single" w:sz="4" w:space="0" w:color="000000"/>
            </w:tcBorders>
            <w:shd w:fill="DBDBDB" w:val="clear"/>
            <w:tcMar>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op w:val="single" w:sz="4" w:space="0" w:color="000000"/>
              <w:left w:val="single" w:sz="4" w:space="0" w:color="000000"/>
            </w:tcBorders>
            <w:shd w:fill="DBDBDB" w:val="clear"/>
            <w:tcMar>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op w:val="single" w:sz="4" w:space="0" w:color="000000"/>
              <w:left w:val="single" w:sz="4" w:space="0" w:color="000000"/>
            </w:tcBorders>
            <w:shd w:fill="DBDBDB" w:val="clear"/>
            <w:tcMar>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654" w:type="dxa"/>
            <w:gridSpan w:val="3"/>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820" w:type="dxa"/>
            <w:gridSpan w:val="3"/>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169" w:type="dxa"/>
            <w:gridSpan w:val="3"/>
            <w:tcBorders>
              <w:top w:val="single" w:sz="4" w:space="0" w:color="000000"/>
              <w:left w:val="single" w:sz="4" w:space="0" w:color="000000"/>
            </w:tcBorders>
            <w:shd w:fill="DBDBDB" w:val="clear"/>
            <w:tcMar>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4" w:space="0" w:color="000000"/>
              <w:left w:val="single" w:sz="4" w:space="0" w:color="000000"/>
            </w:tcBorders>
            <w:shd w:fill="DBDBDB" w:val="clear"/>
            <w:tcMar>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op w:val="single" w:sz="4" w:space="0" w:color="000000"/>
              <w:left w:val="single" w:sz="4" w:space="0" w:color="000000"/>
            </w:tcBorders>
            <w:shd w:fill="DBDBDB" w:val="clear"/>
            <w:tcMar>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top w:val="single" w:sz="4" w:space="0" w:color="000000"/>
              <w:left w:val="single" w:sz="4" w:space="0" w:color="000000"/>
              <w:right w:val="single" w:sz="4" w:space="0" w:color="000000"/>
            </w:tcBorders>
            <w:shd w:fill="DBDBDB" w:val="clear"/>
            <w:tcMar>
              <w:top w:w="30" w:type="dxa"/>
              <w:bottom w:w="0" w:type="dxa"/>
            </w:tcMar>
            <w:vAlign w:val="center"/>
          </w:tcPr>
          <w:p>
            <w:pPr>
              <w:pStyle w:val="TableContents"/>
              <w:bidi w:val="0"/>
              <w:spacing w:lineRule="auto" w:line="288" w:before="0" w:after="283"/>
              <w:jc w:val="center"/>
              <w:rPr>
                <w:color w:val="000000"/>
              </w:rPr>
            </w:pPr>
            <w:r>
              <w:rPr>
                <w:color w:val="000000"/>
              </w:rPr>
              <w:t>—</w:t>
            </w:r>
          </w:p>
        </w:tc>
      </w:tr>
      <w:tr>
        <w:trPr/>
        <w:tc>
          <w:tcPr>
            <w:tcW w:w="1005" w:type="dxa"/>
            <w:gridSpan w:val="3"/>
            <w:vMerge w:val="continue"/>
            <w:tcBorders>
              <w:top w:val="single" w:sz="4" w:space="0" w:color="000000"/>
              <w:left w:val="single" w:sz="4" w:space="0" w:color="000000"/>
              <w:bottom w:val="single" w:sz="4" w:space="0" w:color="000000"/>
            </w:tcBorders>
            <w:shd w:fill="FFFFFF" w:val="clear"/>
            <w:tcMar>
              <w:top w:w="30" w:type="dxa"/>
              <w:bottom w:w="30" w:type="dxa"/>
              <w:right w:w="0" w:type="dxa"/>
            </w:tcMar>
            <w:vAlign w:val="center"/>
          </w:tcPr>
          <w:p>
            <w:pPr>
              <w:pStyle w:val="Normal"/>
              <w:bidi w:val="0"/>
              <w:jc w:val="left"/>
              <w:rPr/>
            </w:pPr>
            <w:r>
              <w:rPr/>
            </w:r>
          </w:p>
        </w:tc>
        <w:tc>
          <w:tcPr>
            <w:tcW w:w="503"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3/1/2023</w:t>
            </w:r>
          </w:p>
        </w:tc>
        <w:tc>
          <w:tcPr>
            <w:tcW w:w="847"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766"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top w:val="single" w:sz="4" w:space="0" w:color="000000"/>
              <w:left w:val="single" w:sz="4" w:space="0" w:color="000000"/>
              <w:right w:val="single" w:sz="4" w:space="0" w:color="000000"/>
            </w:tcBorders>
            <w:shd w:fill="FFFFFF" w:val="clear"/>
            <w:tcMar>
              <w:top w:w="30" w:type="dxa"/>
              <w:bottom w:w="0" w:type="dxa"/>
            </w:tcMar>
            <w:vAlign w:val="center"/>
          </w:tcPr>
          <w:p>
            <w:pPr>
              <w:pStyle w:val="TableContents"/>
              <w:bidi w:val="0"/>
              <w:spacing w:lineRule="auto" w:line="288" w:before="0" w:after="283"/>
              <w:jc w:val="center"/>
              <w:rPr>
                <w:color w:val="000000"/>
              </w:rPr>
            </w:pPr>
            <w:r>
              <w:rPr>
                <w:color w:val="000000"/>
              </w:rPr>
              <w:t>—</w:t>
            </w:r>
          </w:p>
        </w:tc>
      </w:tr>
      <w:tr>
        <w:trPr/>
        <w:tc>
          <w:tcPr>
            <w:tcW w:w="1005" w:type="dxa"/>
            <w:gridSpan w:val="3"/>
            <w:vMerge w:val="continue"/>
            <w:tcBorders>
              <w:top w:val="single" w:sz="4" w:space="0" w:color="000000"/>
              <w:left w:val="single" w:sz="4" w:space="0" w:color="000000"/>
              <w:bottom w:val="single" w:sz="4" w:space="0" w:color="000000"/>
            </w:tcBorders>
            <w:shd w:fill="FFFFFF" w:val="clear"/>
            <w:tcMar>
              <w:top w:w="30" w:type="dxa"/>
              <w:bottom w:w="30" w:type="dxa"/>
              <w:right w:w="0" w:type="dxa"/>
            </w:tcMar>
            <w:vAlign w:val="center"/>
          </w:tcPr>
          <w:p>
            <w:pPr>
              <w:pStyle w:val="Normal"/>
              <w:bidi w:val="0"/>
              <w:jc w:val="left"/>
              <w:rPr/>
            </w:pPr>
            <w:r>
              <w:rPr/>
            </w:r>
          </w:p>
        </w:tc>
        <w:tc>
          <w:tcPr>
            <w:tcW w:w="503" w:type="dxa"/>
            <w:gridSpan w:val="3"/>
            <w:tcBorders>
              <w:top w:val="single" w:sz="4" w:space="0" w:color="000000"/>
              <w:left w:val="single" w:sz="4" w:space="0" w:color="000000"/>
              <w:bottom w:val="single" w:sz="4" w:space="0" w:color="000000"/>
            </w:tcBorders>
            <w:shd w:fill="DBDBDB" w:val="clear"/>
            <w:tcMar>
              <w:top w:w="30" w:type="dxa"/>
              <w:bottom w:w="3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3/1/2023</w:t>
            </w:r>
          </w:p>
        </w:tc>
        <w:tc>
          <w:tcPr>
            <w:tcW w:w="847" w:type="dxa"/>
            <w:gridSpan w:val="3"/>
            <w:tcBorders>
              <w:top w:val="single" w:sz="4" w:space="0" w:color="000000"/>
              <w:left w:val="single" w:sz="4" w:space="0" w:color="000000"/>
              <w:bottom w:val="single" w:sz="4" w:space="0" w:color="000000"/>
            </w:tcBorders>
            <w:shd w:fill="DBDBDB" w:val="clear"/>
            <w:tcMar>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op w:val="single" w:sz="4" w:space="0" w:color="000000"/>
              <w:left w:val="single" w:sz="4" w:space="0" w:color="000000"/>
              <w:bottom w:val="single" w:sz="4" w:space="0" w:color="000000"/>
            </w:tcBorders>
            <w:shd w:fill="DBDBDB" w:val="clear"/>
            <w:tcMar>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op w:val="single" w:sz="4" w:space="0" w:color="000000"/>
              <w:left w:val="single" w:sz="4" w:space="0" w:color="000000"/>
              <w:bottom w:val="single" w:sz="4" w:space="0" w:color="000000"/>
            </w:tcBorders>
            <w:shd w:fill="DBDBDB" w:val="clear"/>
            <w:tcMar>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op w:val="single" w:sz="4" w:space="0" w:color="000000"/>
              <w:left w:val="single" w:sz="4" w:space="0" w:color="000000"/>
              <w:bottom w:val="single" w:sz="4" w:space="0" w:color="000000"/>
            </w:tcBorders>
            <w:shd w:fill="DBDBDB" w:val="clear"/>
            <w:tcMar>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top w:val="single" w:sz="4" w:space="0" w:color="000000"/>
              <w:left w:val="single" w:sz="4" w:space="0" w:color="000000"/>
              <w:bottom w:val="single" w:sz="4" w:space="0" w:color="000000"/>
            </w:tcBorders>
            <w:shd w:fill="DBDBDB" w:val="clear"/>
            <w:tcMar>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top w:val="single" w:sz="4" w:space="0" w:color="000000"/>
              <w:left w:val="single" w:sz="4" w:space="0" w:color="000000"/>
              <w:bottom w:val="single" w:sz="4" w:space="0" w:color="000000"/>
            </w:tcBorders>
            <w:shd w:fill="DBDBDB" w:val="clear"/>
            <w:tcMar>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4" w:space="0" w:color="000000"/>
              <w:left w:val="single" w:sz="4" w:space="0" w:color="000000"/>
              <w:bottom w:val="single" w:sz="4" w:space="0" w:color="000000"/>
            </w:tcBorders>
            <w:shd w:fill="DBDBDB" w:val="clear"/>
            <w:tcMar>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4" w:space="0" w:color="000000"/>
              <w:left w:val="single" w:sz="4" w:space="0" w:color="000000"/>
              <w:bottom w:val="single" w:sz="4" w:space="0" w:color="000000"/>
            </w:tcBorders>
            <w:shd w:fill="DBDBDB" w:val="clear"/>
            <w:tcMar>
              <w:top w:w="30" w:type="dxa"/>
              <w:bottom w:w="30" w:type="dxa"/>
              <w:right w:w="0" w:type="dxa"/>
            </w:tcMar>
            <w:vAlign w:val="center"/>
          </w:tcPr>
          <w:p>
            <w:pPr>
              <w:pStyle w:val="TableContents"/>
              <w:bidi w:val="0"/>
              <w:spacing w:lineRule="auto" w:line="288" w:before="0" w:after="283"/>
              <w:jc w:val="center"/>
              <w:rPr>
                <w:color w:val="000000"/>
              </w:rPr>
            </w:pPr>
            <w:r>
              <w:rPr>
                <w:color w:val="000000"/>
              </w:rPr>
              <w:t>—</w:t>
            </w:r>
          </w:p>
        </w:tc>
        <w:tc>
          <w:tcPr>
            <w:tcW w:w="1007" w:type="dxa"/>
            <w:gridSpan w:val="3"/>
            <w:tcBorders>
              <w:top w:val="single" w:sz="4" w:space="0" w:color="000000"/>
              <w:left w:val="single" w:sz="4" w:space="0" w:color="000000"/>
              <w:bottom w:val="single" w:sz="4" w:space="0" w:color="000000"/>
            </w:tcBorders>
            <w:shd w:fill="DBDBDB" w:val="clear"/>
            <w:tcMar>
              <w:top w:w="30" w:type="dxa"/>
              <w:bottom w:w="30" w:type="dxa"/>
              <w:right w:w="0" w:type="dxa"/>
            </w:tcMar>
            <w:vAlign w:val="center"/>
          </w:tcPr>
          <w:p>
            <w:pPr>
              <w:pStyle w:val="TableContents"/>
              <w:bidi w:val="0"/>
              <w:spacing w:lineRule="auto" w:line="288" w:before="0" w:after="283"/>
              <w:jc w:val="center"/>
              <w:rPr>
                <w:color w:val="000000"/>
              </w:rPr>
            </w:pPr>
            <w:r>
              <w:rPr>
                <w:color w:val="000000"/>
              </w:rPr>
              <w:t>—</w:t>
            </w:r>
          </w:p>
        </w:tc>
        <w:tc>
          <w:tcPr>
            <w:tcW w:w="934" w:type="dxa"/>
            <w:gridSpan w:val="3"/>
            <w:tcBorders>
              <w:top w:val="single" w:sz="4" w:space="0" w:color="000000"/>
              <w:left w:val="single" w:sz="4" w:space="0" w:color="000000"/>
              <w:bottom w:val="single" w:sz="4" w:space="0" w:color="000000"/>
              <w:right w:val="single" w:sz="4" w:space="0" w:color="000000"/>
            </w:tcBorders>
            <w:shd w:fill="DBDBDB" w:val="clear"/>
            <w:tcMar>
              <w:top w:w="30" w:type="dxa"/>
              <w:bottom w:w="30" w:type="dxa"/>
            </w:tcMar>
            <w:vAlign w:val="center"/>
          </w:tcPr>
          <w:p>
            <w:pPr>
              <w:pStyle w:val="TableContents"/>
              <w:bidi w:val="0"/>
              <w:spacing w:lineRule="auto" w:line="288" w:before="0" w:after="283"/>
              <w:jc w:val="center"/>
              <w:rPr>
                <w:color w:val="000000"/>
              </w:rPr>
            </w:pPr>
            <w:r>
              <w:rPr>
                <w:color w:val="000000"/>
              </w:rPr>
              <w:t>—</w:t>
            </w:r>
          </w:p>
        </w:tc>
      </w:tr>
    </w:tbl>
    <w:p>
      <w:pPr>
        <w:pStyle w:val="TextBody"/>
        <w:bidi w:val="0"/>
        <w:spacing w:lineRule="auto" w:line="288" w:before="0" w:after="60"/>
        <w:ind w:left="0" w:right="0" w:hanging="360"/>
        <w:jc w:val="both"/>
        <w:rPr>
          <w:rFonts w:ascii="Arial;sans-serif" w:hAnsi="Arial;sans-serif"/>
          <w:b w:val="false"/>
          <w:color w:val="000000"/>
          <w:sz w:val="14"/>
        </w:rPr>
      </w:pPr>
      <w:r>
        <w:rPr>
          <w:rFonts w:ascii="Arial;sans-serif" w:hAnsi="Arial;sans-serif"/>
          <w:b w:val="false"/>
          <w:color w:val="000000"/>
          <w:sz w:val="14"/>
        </w:rPr>
        <w:t>(1)The Committee approved the 2023 bonuses to each of the NEOs on February 9, 2024 and the 2023 LTI awards to each of such NEOs on March 1, 2023. The 2023 LTI awards are generally subject to continued service through the applicable performance or vesting period.</w:t>
      </w:r>
    </w:p>
    <w:p>
      <w:pPr>
        <w:pStyle w:val="TextBody"/>
        <w:bidi w:val="0"/>
        <w:spacing w:lineRule="auto" w:line="288" w:before="0" w:after="60"/>
        <w:ind w:left="0" w:right="0" w:hanging="360"/>
        <w:jc w:val="both"/>
        <w:rPr>
          <w:rFonts w:ascii="Arial;sans-serif" w:hAnsi="Arial;sans-serif"/>
          <w:b w:val="false"/>
          <w:color w:val="000000"/>
          <w:sz w:val="14"/>
        </w:rPr>
      </w:pPr>
      <w:r>
        <w:rPr>
          <w:rFonts w:ascii="Arial;sans-serif" w:hAnsi="Arial;sans-serif"/>
          <w:b w:val="false"/>
          <w:color w:val="000000"/>
          <w:sz w:val="14"/>
        </w:rPr>
        <w:t>(2)Represents the potential payout for 2023 bonuses. Threshold payout is 50% of target and maximum payout is 200% of target. For Mr. Reilly, his bonus target reflects a full-year target subject to proration based on employment termination date. Actual bonus earned for 2023 are included in the “Non-Equity Incentive Plan Compensation” column of the Summary Compensation Table.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739140"/>
                <wp:effectExtent l="0" t="0" r="0" b="0"/>
                <wp:wrapNone/>
                <wp:docPr id="156" name="Frame47"/>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292" w:type="dxa"/>
                              <w:jc w:val="right"/>
                              <w:tblInd w:w="0" w:type="dxa"/>
                              <w:tblLayout w:type="fixed"/>
                              <w:tblCellMar>
                                <w:top w:w="28" w:type="dxa"/>
                                <w:left w:w="28" w:type="dxa"/>
                                <w:bottom w:w="28" w:type="dxa"/>
                                <w:right w:w="28" w:type="dxa"/>
                              </w:tblCellMar>
                            </w:tblPr>
                            <w:tblGrid>
                              <w:gridCol w:w="292"/>
                              <w:gridCol w:w="256"/>
                              <w:gridCol w:w="258"/>
                              <w:gridCol w:w="704"/>
                              <w:gridCol w:w="704"/>
                              <w:gridCol w:w="706"/>
                              <w:gridCol w:w="109"/>
                              <w:gridCol w:w="109"/>
                              <w:gridCol w:w="154"/>
                            </w:tblGrid>
                            <w:tr>
                              <w:trPr/>
                              <w:tc>
                                <w:tcPr>
                                  <w:tcW w:w="29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0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157"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 name="Image70" descr=""/>
                                                <pic:cNvPicPr>
                                                  <a:picLocks noChangeAspect="1" noChangeArrowheads="1"/>
                                                </pic:cNvPicPr>
                                              </pic:nvPicPr>
                                              <pic:blipFill>
                                                <a:blip r:embed="rId111"/>
                                                <a:stretch>
                                                  <a:fillRect/>
                                                </a:stretch>
                                              </pic:blipFill>
                                              <pic:spPr bwMode="auto">
                                                <a:xfrm>
                                                  <a:off x="0" y="0"/>
                                                  <a:ext cx="447675" cy="161925"/>
                                                </a:xfrm>
                                                <a:prstGeom prst="rect">
                                                  <a:avLst/>
                                                </a:prstGeom>
                                              </pic:spPr>
                                            </pic:pic>
                                          </a:graphicData>
                                        </a:graphic>
                                      </wp:inline>
                                    </w:drawing>
                                  </w:r>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2024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000000"/>
                                      <w:sz w:val="16"/>
                                    </w:rPr>
                                  </w:pPr>
                                  <w:r>
                                    <w:rPr>
                                      <w:rFonts w:ascii="Arial;sans-serif" w:hAnsi="Arial;sans-serif"/>
                                      <w:b/>
                                      <w:color w:val="000000"/>
                                      <w:sz w:val="16"/>
                                    </w:rPr>
                                    <w:t>41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292" w:type="dxa"/>
                        <w:jc w:val="right"/>
                        <w:tblInd w:w="0" w:type="dxa"/>
                        <w:tblLayout w:type="fixed"/>
                        <w:tblCellMar>
                          <w:top w:w="28" w:type="dxa"/>
                          <w:left w:w="28" w:type="dxa"/>
                          <w:bottom w:w="28" w:type="dxa"/>
                          <w:right w:w="28" w:type="dxa"/>
                        </w:tblCellMar>
                      </w:tblPr>
                      <w:tblGrid>
                        <w:gridCol w:w="292"/>
                        <w:gridCol w:w="256"/>
                        <w:gridCol w:w="258"/>
                        <w:gridCol w:w="704"/>
                        <w:gridCol w:w="704"/>
                        <w:gridCol w:w="706"/>
                        <w:gridCol w:w="109"/>
                        <w:gridCol w:w="109"/>
                        <w:gridCol w:w="154"/>
                      </w:tblGrid>
                      <w:tr>
                        <w:trPr/>
                        <w:tc>
                          <w:tcPr>
                            <w:tcW w:w="29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0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158"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 name="Image70" descr=""/>
                                          <pic:cNvPicPr>
                                            <a:picLocks noChangeAspect="1" noChangeArrowheads="1"/>
                                          </pic:cNvPicPr>
                                        </pic:nvPicPr>
                                        <pic:blipFill>
                                          <a:blip r:embed="rId112"/>
                                          <a:stretch>
                                            <a:fillRect/>
                                          </a:stretch>
                                        </pic:blipFill>
                                        <pic:spPr bwMode="auto">
                                          <a:xfrm>
                                            <a:off x="0" y="0"/>
                                            <a:ext cx="447675" cy="161925"/>
                                          </a:xfrm>
                                          <a:prstGeom prst="rect">
                                            <a:avLst/>
                                          </a:prstGeom>
                                        </pic:spPr>
                                      </pic:pic>
                                    </a:graphicData>
                                  </a:graphic>
                                </wp:inline>
                              </w:drawing>
                            </w:r>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2024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000000"/>
                                <w:sz w:val="16"/>
                              </w:rPr>
                            </w:pPr>
                            <w:r>
                              <w:rPr>
                                <w:rFonts w:ascii="Arial;sans-serif" w:hAnsi="Arial;sans-serif"/>
                                <w:b/>
                                <w:color w:val="000000"/>
                                <w:sz w:val="16"/>
                              </w:rPr>
                              <w:t>41</w:t>
                            </w:r>
                          </w:p>
                        </w:tc>
                      </w:tr>
                    </w:tbl>
                    <w:p>
                      <w:pPr>
                        <w:pStyle w:val="TextBody"/>
                        <w:bidi w:val="0"/>
                        <w:spacing w:before="0" w:after="283"/>
                        <w:jc w:val="left"/>
                        <w:rPr/>
                      </w:pPr>
                      <w:r>
                        <w:rPr/>
                      </w:r>
                    </w:p>
                  </w:txbxContent>
                </v:textbox>
                <w10:wrap type="none"/>
              </v:rect>
            </w:pict>
          </mc:Fallback>
        </mc:AlternateContent>
      </w:r>
    </w:p>
    <w:tbl>
      <w:tblPr>
        <w:tblW w:w="2459" w:type="dxa"/>
        <w:jc w:val="right"/>
        <w:tblInd w:w="0" w:type="dxa"/>
        <w:tblLayout w:type="fixed"/>
        <w:tblCellMar>
          <w:top w:w="28" w:type="dxa"/>
          <w:left w:w="28" w:type="dxa"/>
          <w:bottom w:w="28" w:type="dxa"/>
          <w:right w:w="28" w:type="dxa"/>
        </w:tblCellMar>
      </w:tblPr>
      <w:tblGrid>
        <w:gridCol w:w="786"/>
        <w:gridCol w:w="691"/>
        <w:gridCol w:w="982"/>
      </w:tblGrid>
      <w:tr>
        <w:trPr/>
        <w:tc>
          <w:tcPr>
            <w:tcW w:w="78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r>
      <w:tr>
        <w:trPr/>
        <w:tc>
          <w:tcPr>
            <w:tcW w:w="2459" w:type="dxa"/>
            <w:gridSpan w:val="3"/>
            <w:tcBorders>
              <w:bottom w:val="single" w:sz="4" w:space="0" w:color="004C97"/>
            </w:tcBorders>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4C97"/>
                <w:sz w:val="16"/>
              </w:rPr>
            </w:pPr>
            <w:r>
              <w:rPr>
                <w:rFonts w:ascii="Arial;sans-serif" w:hAnsi="Arial;sans-serif"/>
                <w:b w:val="false"/>
                <w:color w:val="004C97"/>
                <w:sz w:val="16"/>
              </w:rPr>
              <w:t>EXECUTIVE COMPENSATION</w:t>
            </w:r>
          </w:p>
        </w:tc>
      </w:tr>
    </w:tbl>
    <w:p>
      <w:pPr>
        <w:pStyle w:val="TextBody"/>
        <w:bidi w:val="0"/>
        <w:spacing w:lineRule="auto" w:line="288" w:before="0" w:after="60"/>
        <w:ind w:left="0" w:right="0" w:hanging="360"/>
        <w:jc w:val="both"/>
        <w:rPr>
          <w:rFonts w:ascii="Arial;sans-serif" w:hAnsi="Arial;sans-serif"/>
          <w:b w:val="false"/>
          <w:color w:val="000000"/>
          <w:sz w:val="14"/>
        </w:rPr>
      </w:pPr>
      <w:r>
        <w:rPr>
          <w:rFonts w:ascii="Arial;sans-serif" w:hAnsi="Arial;sans-serif"/>
          <w:b w:val="false"/>
          <w:color w:val="000000"/>
          <w:sz w:val="14"/>
        </w:rPr>
        <w:t>(3)Represents the potential payout for the PSUs granted on March 1, 2023. Threshold payout is 50% of target and maximum payout is 150% of target, and is based on the three-year r-TSR versus a peer group within the S&amp;P 600 Capital Goods Index for 2022-2024. Payout is capped at target if the Company TSR is negative. A description of our PSUs is included in the “Long-Term Incentives” section of the CD&amp;A.</w:t>
      </w:r>
    </w:p>
    <w:p>
      <w:pPr>
        <w:pStyle w:val="TextBody"/>
        <w:bidi w:val="0"/>
        <w:spacing w:lineRule="auto" w:line="288" w:before="0" w:after="60"/>
        <w:ind w:left="0" w:right="0" w:hanging="360"/>
        <w:jc w:val="both"/>
        <w:rPr>
          <w:rFonts w:ascii="Arial;sans-serif" w:hAnsi="Arial;sans-serif"/>
          <w:b w:val="false"/>
          <w:color w:val="000000"/>
          <w:sz w:val="14"/>
        </w:rPr>
      </w:pPr>
      <w:r>
        <w:rPr>
          <w:rFonts w:ascii="Arial;sans-serif" w:hAnsi="Arial;sans-serif"/>
          <w:b w:val="false"/>
          <w:color w:val="000000"/>
          <w:sz w:val="14"/>
        </w:rPr>
        <w:t>(4)Represents the RSU awards for 2023. RSUs are time-based and do not have a performance requirement for vesting. The time-based awards vest 33 1/3 percent per year over three years on March 1, 2024, March 1, 2025, and March 1, 2026. A description of our RSUs is included in the “Long-Term Incentives” section of the CD&amp;A.</w:t>
      </w:r>
    </w:p>
    <w:p>
      <w:pPr>
        <w:pStyle w:val="TextBody"/>
        <w:bidi w:val="0"/>
        <w:spacing w:lineRule="auto" w:line="288" w:before="0" w:after="60"/>
        <w:ind w:left="0" w:right="0" w:hanging="360"/>
        <w:jc w:val="both"/>
        <w:rPr>
          <w:rFonts w:ascii="Arial;sans-serif" w:hAnsi="Arial;sans-serif"/>
          <w:b w:val="false"/>
          <w:color w:val="000000"/>
          <w:sz w:val="14"/>
        </w:rPr>
      </w:pPr>
      <w:r>
        <w:rPr>
          <w:rFonts w:ascii="Arial;sans-serif" w:hAnsi="Arial;sans-serif"/>
          <w:b w:val="false"/>
          <w:color w:val="000000"/>
          <w:sz w:val="14"/>
        </w:rPr>
        <w:t>(5)Represents the number of Options awarded on the grant date, and vest 33 1/3 percent per year over three years on March 1, 2024 March 1, 2025, and March 1, 2026.</w:t>
      </w:r>
    </w:p>
    <w:p>
      <w:pPr>
        <w:pStyle w:val="TextBody"/>
        <w:bidi w:val="0"/>
        <w:spacing w:lineRule="auto" w:line="288" w:before="0" w:after="60"/>
        <w:ind w:left="0" w:right="0" w:hanging="360"/>
        <w:jc w:val="both"/>
        <w:rPr>
          <w:rFonts w:ascii="Arial;sans-serif" w:hAnsi="Arial;sans-serif"/>
          <w:b w:val="false"/>
          <w:color w:val="000000"/>
          <w:sz w:val="14"/>
        </w:rPr>
      </w:pPr>
      <w:r>
        <w:rPr>
          <w:rFonts w:ascii="Arial;sans-serif" w:hAnsi="Arial;sans-serif"/>
          <w:b w:val="false"/>
          <w:color w:val="000000"/>
          <w:sz w:val="14"/>
        </w:rPr>
        <w:t>(6)Represents the grant date fair value of each equity-based award based on the Monte-Carlo simulation model valuation technique for PSUs, the closing stock price on the date of grant for RSUs, and a Black-Scholes option-pricing model for stock options. Fair Value is based on Topic 718. See note 16 to the consolidated financial statements contained in our Annual Report on Form 10-K for the year ended December 31, 2023 for the assumptions used in the valuation of these awards. The values reported in this column for the PSUs were calculated at target.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739140"/>
                <wp:effectExtent l="0" t="0" r="0" b="0"/>
                <wp:wrapNone/>
                <wp:docPr id="159" name="Frame48"/>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292" w:type="dxa"/>
                              <w:jc w:val="left"/>
                              <w:tblInd w:w="0" w:type="dxa"/>
                              <w:tblLayout w:type="fixed"/>
                              <w:tblCellMar>
                                <w:top w:w="28" w:type="dxa"/>
                                <w:left w:w="28" w:type="dxa"/>
                                <w:bottom w:w="28" w:type="dxa"/>
                                <w:right w:w="28" w:type="dxa"/>
                              </w:tblCellMar>
                            </w:tblPr>
                            <w:tblGrid>
                              <w:gridCol w:w="124"/>
                              <w:gridCol w:w="109"/>
                              <w:gridCol w:w="109"/>
                              <w:gridCol w:w="704"/>
                              <w:gridCol w:w="704"/>
                              <w:gridCol w:w="706"/>
                              <w:gridCol w:w="244"/>
                              <w:gridCol w:w="244"/>
                              <w:gridCol w:w="34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6"/>
                                    </w:rPr>
                                  </w:pPr>
                                  <w:r>
                                    <w:rPr>
                                      <w:rFonts w:ascii="Arial;sans-serif" w:hAnsi="Arial;sans-serif"/>
                                      <w:b/>
                                      <w:color w:val="000000"/>
                                      <w:sz w:val="16"/>
                                    </w:rPr>
                                    <w:t>42</w:t>
                                  </w:r>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2024 PROXY STATEMENT</w:t>
                                  </w:r>
                                </w:p>
                              </w:tc>
                              <w:tc>
                                <w:tcPr>
                                  <w:tcW w:w="83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160"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 name="Image71" descr=""/>
                                                <pic:cNvPicPr>
                                                  <a:picLocks noChangeAspect="1" noChangeArrowheads="1"/>
                                                </pic:cNvPicPr>
                                              </pic:nvPicPr>
                                              <pic:blipFill>
                                                <a:blip r:embed="rId113"/>
                                                <a:stretch>
                                                  <a:fillRect/>
                                                </a:stretch>
                                              </pic:blipFill>
                                              <pic:spPr bwMode="auto">
                                                <a:xfrm>
                                                  <a:off x="0" y="0"/>
                                                  <a:ext cx="447675" cy="161925"/>
                                                </a:xfrm>
                                                <a:prstGeom prst="rect">
                                                  <a:avLst/>
                                                </a:prstGeom>
                                              </pic:spPr>
                                            </pic:pic>
                                          </a:graphicData>
                                        </a:graphic>
                                      </wp:inline>
                                    </w:drawing>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292" w:type="dxa"/>
                        <w:jc w:val="left"/>
                        <w:tblInd w:w="0" w:type="dxa"/>
                        <w:tblLayout w:type="fixed"/>
                        <w:tblCellMar>
                          <w:top w:w="28" w:type="dxa"/>
                          <w:left w:w="28" w:type="dxa"/>
                          <w:bottom w:w="28" w:type="dxa"/>
                          <w:right w:w="28" w:type="dxa"/>
                        </w:tblCellMar>
                      </w:tblPr>
                      <w:tblGrid>
                        <w:gridCol w:w="124"/>
                        <w:gridCol w:w="109"/>
                        <w:gridCol w:w="109"/>
                        <w:gridCol w:w="704"/>
                        <w:gridCol w:w="704"/>
                        <w:gridCol w:w="706"/>
                        <w:gridCol w:w="244"/>
                        <w:gridCol w:w="244"/>
                        <w:gridCol w:w="34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6"/>
                              </w:rPr>
                            </w:pPr>
                            <w:r>
                              <w:rPr>
                                <w:rFonts w:ascii="Arial;sans-serif" w:hAnsi="Arial;sans-serif"/>
                                <w:b/>
                                <w:color w:val="000000"/>
                                <w:sz w:val="16"/>
                              </w:rPr>
                              <w:t>42</w:t>
                            </w:r>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2024 PROXY STATEMENT</w:t>
                            </w:r>
                          </w:p>
                        </w:tc>
                        <w:tc>
                          <w:tcPr>
                            <w:tcW w:w="83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161"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 name="Image71" descr=""/>
                                          <pic:cNvPicPr>
                                            <a:picLocks noChangeAspect="1" noChangeArrowheads="1"/>
                                          </pic:cNvPicPr>
                                        </pic:nvPicPr>
                                        <pic:blipFill>
                                          <a:blip r:embed="rId114"/>
                                          <a:stretch>
                                            <a:fillRect/>
                                          </a:stretch>
                                        </pic:blipFill>
                                        <pic:spPr bwMode="auto">
                                          <a:xfrm>
                                            <a:off x="0" y="0"/>
                                            <a:ext cx="447675" cy="161925"/>
                                          </a:xfrm>
                                          <a:prstGeom prst="rect">
                                            <a:avLst/>
                                          </a:prstGeom>
                                        </pic:spPr>
                                      </pic:pic>
                                    </a:graphicData>
                                  </a:graphic>
                                </wp:inline>
                              </w:drawing>
                            </w:r>
                          </w:p>
                        </w:tc>
                      </w:tr>
                    </w:tbl>
                    <w:p>
                      <w:pPr>
                        <w:pStyle w:val="TextBody"/>
                        <w:bidi w:val="0"/>
                        <w:spacing w:before="0" w:after="283"/>
                        <w:jc w:val="left"/>
                        <w:rPr/>
                      </w:pPr>
                      <w:r>
                        <w:rPr/>
                      </w:r>
                    </w:p>
                  </w:txbxContent>
                </v:textbox>
                <w10:wrap type="none"/>
              </v:rect>
            </w:pict>
          </mc:Fallback>
        </mc:AlternateContent>
      </w:r>
    </w:p>
    <w:tbl>
      <w:tblPr>
        <w:tblW w:w="2459" w:type="dxa"/>
        <w:jc w:val="left"/>
        <w:tblInd w:w="0" w:type="dxa"/>
        <w:tblLayout w:type="fixed"/>
        <w:tblCellMar>
          <w:top w:w="28" w:type="dxa"/>
          <w:left w:w="28" w:type="dxa"/>
          <w:bottom w:w="28" w:type="dxa"/>
          <w:right w:w="28" w:type="dxa"/>
        </w:tblCellMar>
      </w:tblPr>
      <w:tblGrid>
        <w:gridCol w:w="786"/>
        <w:gridCol w:w="691"/>
        <w:gridCol w:w="982"/>
      </w:tblGrid>
      <w:tr>
        <w:trPr/>
        <w:tc>
          <w:tcPr>
            <w:tcW w:w="78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r>
      <w:tr>
        <w:trPr/>
        <w:tc>
          <w:tcPr>
            <w:tcW w:w="2459" w:type="dxa"/>
            <w:gridSpan w:val="3"/>
            <w:tcBorders>
              <w:bottom w:val="single" w:sz="4" w:space="0" w:color="004C97"/>
            </w:tcBorders>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4C97"/>
                <w:sz w:val="16"/>
              </w:rPr>
            </w:pPr>
            <w:r>
              <w:rPr>
                <w:rFonts w:ascii="Arial;sans-serif" w:hAnsi="Arial;sans-serif"/>
                <w:b w:val="false"/>
                <w:color w:val="004C97"/>
                <w:sz w:val="16"/>
              </w:rPr>
              <w:t>EXECUTIVE COMPENSATION</w:t>
            </w:r>
          </w:p>
        </w:tc>
      </w:tr>
    </w:tbl>
    <w:p>
      <w:pPr>
        <w:pStyle w:val="TextBody"/>
        <w:bidi w:val="0"/>
        <w:spacing w:lineRule="auto" w:line="288" w:before="0" w:after="60"/>
        <w:jc w:val="left"/>
        <w:rPr>
          <w:rFonts w:ascii="Arial;sans-serif" w:hAnsi="Arial;sans-serif"/>
          <w:b/>
          <w:color w:val="000000"/>
          <w:sz w:val="22"/>
        </w:rPr>
      </w:pPr>
      <w:bookmarkStart w:id="16" w:name="i52e69073c4b44be18b26bb8ffcaf1259_294480"/>
      <w:bookmarkEnd w:id="16"/>
      <w:r>
        <w:rPr>
          <w:rFonts w:ascii="Arial;sans-serif" w:hAnsi="Arial;sans-serif"/>
          <w:b/>
          <w:color w:val="000000"/>
          <w:sz w:val="22"/>
        </w:rPr>
        <w:t>OUTSTANDING EQUITY AWARDS AT FISCAL YEAR-END</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The following table details the outstanding equity awards held by each of our NEOs at December 31, 2023.</w:t>
      </w:r>
    </w:p>
    <w:tbl>
      <w:tblPr>
        <w:tblW w:w="10205" w:type="dxa"/>
        <w:jc w:val="left"/>
        <w:tblInd w:w="0" w:type="dxa"/>
        <w:tblLayout w:type="fixed"/>
        <w:tblCellMar>
          <w:top w:w="28" w:type="dxa"/>
          <w:left w:w="28" w:type="dxa"/>
          <w:bottom w:w="28" w:type="dxa"/>
          <w:right w:w="28" w:type="dxa"/>
        </w:tblCellMar>
      </w:tblPr>
      <w:tblGrid>
        <w:gridCol w:w="227"/>
        <w:gridCol w:w="200"/>
        <w:gridCol w:w="203"/>
        <w:gridCol w:w="175"/>
        <w:gridCol w:w="175"/>
        <w:gridCol w:w="176"/>
        <w:gridCol w:w="416"/>
        <w:gridCol w:w="416"/>
        <w:gridCol w:w="417"/>
        <w:gridCol w:w="419"/>
        <w:gridCol w:w="376"/>
        <w:gridCol w:w="377"/>
        <w:gridCol w:w="285"/>
        <w:gridCol w:w="242"/>
        <w:gridCol w:w="243"/>
        <w:gridCol w:w="271"/>
        <w:gridCol w:w="271"/>
        <w:gridCol w:w="272"/>
        <w:gridCol w:w="474"/>
        <w:gridCol w:w="143"/>
        <w:gridCol w:w="143"/>
        <w:gridCol w:w="143"/>
        <w:gridCol w:w="143"/>
        <w:gridCol w:w="143"/>
        <w:gridCol w:w="569"/>
        <w:gridCol w:w="291"/>
        <w:gridCol w:w="292"/>
        <w:gridCol w:w="497"/>
        <w:gridCol w:w="180"/>
        <w:gridCol w:w="180"/>
        <w:gridCol w:w="180"/>
        <w:gridCol w:w="180"/>
        <w:gridCol w:w="187"/>
        <w:gridCol w:w="592"/>
        <w:gridCol w:w="286"/>
        <w:gridCol w:w="421"/>
      </w:tblGrid>
      <w:tr>
        <w:trPr/>
        <w:tc>
          <w:tcPr>
            <w:tcW w:w="22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r>
      <w:tr>
        <w:trPr/>
        <w:tc>
          <w:tcPr>
            <w:tcW w:w="630" w:type="dxa"/>
            <w:gridSpan w:val="3"/>
            <w:vMerge w:val="restart"/>
            <w:tcBorders>
              <w:top w:val="single" w:sz="4" w:space="0" w:color="000000"/>
              <w:left w:val="single" w:sz="4" w:space="0" w:color="000000"/>
              <w:bottom w:val="single" w:sz="4" w:space="0" w:color="000000"/>
              <w:right w:val="single" w:sz="4" w:space="0" w:color="000000"/>
            </w:tcBorders>
            <w:shd w:fill="004C97" w:val="clear"/>
            <w:tcMar>
              <w:top w:w="30" w:type="dxa"/>
              <w:bottom w:w="30" w:type="dxa"/>
            </w:tcMar>
            <w:vAlign w:val="center"/>
          </w:tcPr>
          <w:p>
            <w:pPr>
              <w:pStyle w:val="TableContents"/>
              <w:bidi w:val="0"/>
              <w:spacing w:lineRule="auto" w:line="288" w:before="0" w:after="283"/>
              <w:jc w:val="center"/>
              <w:rPr>
                <w:rFonts w:ascii="Arial;sans-serif" w:hAnsi="Arial;sans-serif"/>
                <w:b/>
                <w:color w:val="FFFFFF"/>
                <w:sz w:val="14"/>
              </w:rPr>
            </w:pPr>
            <w:r>
              <w:rPr>
                <w:rFonts w:ascii="Arial;sans-serif" w:hAnsi="Arial;sans-serif"/>
                <w:b/>
                <w:color w:val="FFFFFF"/>
                <w:sz w:val="14"/>
              </w:rPr>
              <w:t>Name</w:t>
            </w:r>
          </w:p>
        </w:tc>
        <w:tc>
          <w:tcPr>
            <w:tcW w:w="526" w:type="dxa"/>
            <w:gridSpan w:val="3"/>
            <w:vMerge w:val="restart"/>
            <w:tcBorders>
              <w:top w:val="single" w:sz="4" w:space="0" w:color="000000"/>
              <w:left w:val="single" w:sz="4" w:space="0" w:color="000000"/>
              <w:bottom w:val="single" w:sz="4" w:space="0" w:color="000000"/>
            </w:tcBorders>
            <w:shd w:fill="004C97" w:val="clear"/>
            <w:tcMar>
              <w:top w:w="30" w:type="dxa"/>
              <w:bottom w:w="30" w:type="dxa"/>
              <w:right w:w="0" w:type="dxa"/>
            </w:tcMar>
            <w:vAlign w:val="center"/>
          </w:tcPr>
          <w:p>
            <w:pPr>
              <w:pStyle w:val="TableContents"/>
              <w:bidi w:val="0"/>
              <w:spacing w:lineRule="auto" w:line="288" w:before="0" w:after="0"/>
              <w:jc w:val="center"/>
              <w:rPr>
                <w:rFonts w:ascii="Arial;sans-serif" w:hAnsi="Arial;sans-serif"/>
                <w:b/>
                <w:color w:val="FFFFFF"/>
                <w:sz w:val="14"/>
              </w:rPr>
            </w:pPr>
            <w:r>
              <w:rPr>
                <w:rFonts w:ascii="Arial;sans-serif" w:hAnsi="Arial;sans-serif"/>
                <w:b/>
                <w:color w:val="FFFFFF"/>
                <w:sz w:val="14"/>
              </w:rPr>
              <w:t xml:space="preserve">Award </w:t>
            </w:r>
          </w:p>
          <w:p>
            <w:pPr>
              <w:pStyle w:val="TableContents"/>
              <w:bidi w:val="0"/>
              <w:spacing w:lineRule="auto" w:line="288" w:before="0" w:after="0"/>
              <w:jc w:val="center"/>
              <w:rPr>
                <w:rFonts w:ascii="Arial;sans-serif" w:hAnsi="Arial;sans-serif"/>
                <w:b/>
                <w:color w:val="FFFFFF"/>
                <w:sz w:val="14"/>
              </w:rPr>
            </w:pPr>
            <w:r>
              <w:rPr>
                <w:rFonts w:ascii="Arial;sans-serif" w:hAnsi="Arial;sans-serif"/>
                <w:b/>
                <w:color w:val="FFFFFF"/>
                <w:sz w:val="14"/>
              </w:rPr>
              <w:t>Date</w:t>
            </w:r>
          </w:p>
        </w:tc>
        <w:tc>
          <w:tcPr>
            <w:tcW w:w="4005" w:type="dxa"/>
            <w:gridSpan w:val="12"/>
            <w:tcBorders>
              <w:top w:val="single" w:sz="4" w:space="0" w:color="000000"/>
              <w:left w:val="single" w:sz="4" w:space="0" w:color="000000"/>
            </w:tcBorders>
            <w:shd w:fill="004C97" w:val="clear"/>
            <w:tcMar>
              <w:top w:w="30" w:type="dxa"/>
              <w:bottom w:w="0" w:type="dxa"/>
              <w:right w:w="0" w:type="dxa"/>
            </w:tcMar>
            <w:vAlign w:val="center"/>
          </w:tcPr>
          <w:p>
            <w:pPr>
              <w:pStyle w:val="TableContents"/>
              <w:bidi w:val="0"/>
              <w:spacing w:lineRule="auto" w:line="288" w:before="0" w:after="0"/>
              <w:jc w:val="center"/>
              <w:rPr>
                <w:rFonts w:ascii="Arial;sans-serif" w:hAnsi="Arial;sans-serif"/>
                <w:b/>
                <w:color w:val="FFFFFF"/>
                <w:sz w:val="14"/>
              </w:rPr>
            </w:pPr>
            <w:r>
              <w:rPr>
                <w:rFonts w:ascii="Arial;sans-serif" w:hAnsi="Arial;sans-serif"/>
                <w:b/>
                <w:color w:val="FFFFFF"/>
                <w:sz w:val="14"/>
              </w:rPr>
              <w:t>Option Awards</w:t>
            </w:r>
          </w:p>
        </w:tc>
        <w:tc>
          <w:tcPr>
            <w:tcW w:w="5044" w:type="dxa"/>
            <w:gridSpan w:val="18"/>
            <w:tcBorders>
              <w:top w:val="single" w:sz="4" w:space="0" w:color="000000"/>
              <w:left w:val="single" w:sz="4" w:space="0" w:color="000000"/>
              <w:right w:val="single" w:sz="4" w:space="0" w:color="000000"/>
            </w:tcBorders>
            <w:shd w:fill="004C97" w:val="clear"/>
            <w:tcMar>
              <w:top w:w="30" w:type="dxa"/>
              <w:bottom w:w="0" w:type="dxa"/>
            </w:tcMar>
            <w:vAlign w:val="center"/>
          </w:tcPr>
          <w:p>
            <w:pPr>
              <w:pStyle w:val="TableContents"/>
              <w:bidi w:val="0"/>
              <w:spacing w:lineRule="auto" w:line="288" w:before="0" w:after="0"/>
              <w:jc w:val="center"/>
              <w:rPr>
                <w:rFonts w:ascii="Arial;sans-serif" w:hAnsi="Arial;sans-serif"/>
                <w:b/>
                <w:color w:val="FFFFFF"/>
                <w:sz w:val="14"/>
              </w:rPr>
            </w:pPr>
            <w:r>
              <w:rPr>
                <w:rFonts w:ascii="Arial;sans-serif" w:hAnsi="Arial;sans-serif"/>
                <w:b/>
                <w:color w:val="FFFFFF"/>
                <w:sz w:val="14"/>
              </w:rPr>
              <w:t>Stock Awards</w:t>
            </w:r>
          </w:p>
        </w:tc>
      </w:tr>
      <w:tr>
        <w:trPr/>
        <w:tc>
          <w:tcPr>
            <w:tcW w:w="630" w:type="dxa"/>
            <w:gridSpan w:val="3"/>
            <w:vMerge w:val="continue"/>
            <w:tcBorders>
              <w:top w:val="single" w:sz="4" w:space="0" w:color="000000"/>
              <w:left w:val="single" w:sz="4" w:space="0" w:color="000000"/>
              <w:bottom w:val="single" w:sz="4" w:space="0" w:color="000000"/>
              <w:right w:val="single" w:sz="4" w:space="0" w:color="000000"/>
            </w:tcBorders>
            <w:shd w:fill="004C97" w:val="clear"/>
            <w:tcMar>
              <w:top w:w="30" w:type="dxa"/>
              <w:bottom w:w="30" w:type="dxa"/>
            </w:tcMar>
            <w:vAlign w:val="center"/>
          </w:tcPr>
          <w:p>
            <w:pPr>
              <w:pStyle w:val="Normal"/>
              <w:bidi w:val="0"/>
              <w:jc w:val="left"/>
              <w:rPr/>
            </w:pPr>
            <w:r>
              <w:rPr/>
            </w:r>
          </w:p>
        </w:tc>
        <w:tc>
          <w:tcPr>
            <w:tcW w:w="526" w:type="dxa"/>
            <w:gridSpan w:val="3"/>
            <w:vMerge w:val="continue"/>
            <w:tcBorders>
              <w:top w:val="single" w:sz="4" w:space="0" w:color="000000"/>
              <w:left w:val="single" w:sz="4" w:space="0" w:color="000000"/>
              <w:bottom w:val="single" w:sz="4" w:space="0" w:color="000000"/>
            </w:tcBorders>
            <w:shd w:fill="004C97" w:val="clear"/>
            <w:tcMar>
              <w:top w:w="30" w:type="dxa"/>
              <w:bottom w:w="30" w:type="dxa"/>
              <w:right w:w="0" w:type="dxa"/>
            </w:tcMar>
            <w:vAlign w:val="center"/>
          </w:tcPr>
          <w:p>
            <w:pPr>
              <w:pStyle w:val="Normal"/>
              <w:bidi w:val="0"/>
              <w:jc w:val="left"/>
              <w:rPr/>
            </w:pPr>
            <w:r>
              <w:rPr/>
            </w:r>
          </w:p>
        </w:tc>
        <w:tc>
          <w:tcPr>
            <w:tcW w:w="1249" w:type="dxa"/>
            <w:gridSpan w:val="3"/>
            <w:tcBorders>
              <w:top w:val="single" w:sz="4" w:space="0" w:color="000000"/>
              <w:left w:val="single" w:sz="4" w:space="0" w:color="000000"/>
              <w:bottom w:val="single" w:sz="4" w:space="0" w:color="000000"/>
            </w:tcBorders>
            <w:shd w:fill="004C97" w:val="clear"/>
            <w:tcMar>
              <w:top w:w="30" w:type="dxa"/>
              <w:bottom w:w="30" w:type="dxa"/>
              <w:right w:w="0" w:type="dxa"/>
            </w:tcMar>
            <w:vAlign w:val="center"/>
          </w:tcPr>
          <w:p>
            <w:pPr>
              <w:pStyle w:val="TableContents"/>
              <w:bidi w:val="0"/>
              <w:spacing w:lineRule="auto" w:line="288" w:before="0" w:after="0"/>
              <w:jc w:val="center"/>
              <w:rPr/>
            </w:pPr>
            <w:r>
              <w:rPr>
                <w:rFonts w:ascii="Arial;sans-serif" w:hAnsi="Arial;sans-serif"/>
                <w:b/>
                <w:color w:val="FFFFFF"/>
                <w:sz w:val="14"/>
              </w:rPr>
              <w:t>Number of Securities Underlying Unexercised Option Unexercisable (#)</w:t>
            </w:r>
            <w:r>
              <w:rPr>
                <w:rFonts w:ascii="Arial;sans-serif" w:hAnsi="Arial;sans-serif"/>
                <w:b/>
                <w:color w:val="FFFFFF"/>
                <w:sz w:val="9"/>
              </w:rPr>
              <w:t>(1)</w:t>
            </w:r>
          </w:p>
        </w:tc>
        <w:tc>
          <w:tcPr>
            <w:tcW w:w="1172" w:type="dxa"/>
            <w:gridSpan w:val="3"/>
            <w:tcBorders>
              <w:top w:val="single" w:sz="4" w:space="0" w:color="000000"/>
              <w:left w:val="single" w:sz="4" w:space="0" w:color="000000"/>
              <w:bottom w:val="single" w:sz="4" w:space="0" w:color="000000"/>
            </w:tcBorders>
            <w:shd w:fill="004C97" w:val="clear"/>
            <w:tcMar>
              <w:top w:w="30" w:type="dxa"/>
              <w:bottom w:w="30" w:type="dxa"/>
              <w:right w:w="0" w:type="dxa"/>
            </w:tcMar>
            <w:vAlign w:val="center"/>
          </w:tcPr>
          <w:p>
            <w:pPr>
              <w:pStyle w:val="TableContents"/>
              <w:bidi w:val="0"/>
              <w:spacing w:lineRule="auto" w:line="288" w:before="0" w:after="0"/>
              <w:jc w:val="center"/>
              <w:rPr/>
            </w:pPr>
            <w:r>
              <w:rPr>
                <w:rFonts w:ascii="Arial;sans-serif" w:hAnsi="Arial;sans-serif"/>
                <w:b/>
                <w:color w:val="FFFFFF"/>
                <w:sz w:val="14"/>
              </w:rPr>
              <w:t>Number of Securities Underlying Unexercised Option Exercisable (#)</w:t>
            </w:r>
            <w:r>
              <w:rPr>
                <w:rFonts w:ascii="Arial;sans-serif" w:hAnsi="Arial;sans-serif"/>
                <w:b/>
                <w:color w:val="FFFFFF"/>
                <w:sz w:val="9"/>
              </w:rPr>
              <w:t>(1)</w:t>
            </w:r>
          </w:p>
        </w:tc>
        <w:tc>
          <w:tcPr>
            <w:tcW w:w="770" w:type="dxa"/>
            <w:gridSpan w:val="3"/>
            <w:tcBorders>
              <w:top w:val="single" w:sz="4" w:space="0" w:color="000000"/>
              <w:left w:val="single" w:sz="4" w:space="0" w:color="000000"/>
              <w:bottom w:val="single" w:sz="4" w:space="0" w:color="000000"/>
            </w:tcBorders>
            <w:shd w:fill="004C97" w:val="clear"/>
            <w:tcMar>
              <w:top w:w="30" w:type="dxa"/>
              <w:bottom w:w="30" w:type="dxa"/>
              <w:right w:w="0" w:type="dxa"/>
            </w:tcMar>
            <w:vAlign w:val="center"/>
          </w:tcPr>
          <w:p>
            <w:pPr>
              <w:pStyle w:val="TableContents"/>
              <w:bidi w:val="0"/>
              <w:spacing w:lineRule="auto" w:line="288" w:before="0" w:after="0"/>
              <w:jc w:val="center"/>
              <w:rPr>
                <w:rFonts w:ascii="Arial;sans-serif" w:hAnsi="Arial;sans-serif"/>
                <w:b/>
                <w:color w:val="FFFFFF"/>
                <w:sz w:val="14"/>
              </w:rPr>
            </w:pPr>
            <w:r>
              <w:rPr>
                <w:rFonts w:ascii="Arial;sans-serif" w:hAnsi="Arial;sans-serif"/>
                <w:b/>
                <w:color w:val="FFFFFF"/>
                <w:sz w:val="14"/>
              </w:rPr>
              <w:t>Option Exercise Price</w:t>
            </w:r>
          </w:p>
          <w:p>
            <w:pPr>
              <w:pStyle w:val="TableContents"/>
              <w:bidi w:val="0"/>
              <w:spacing w:lineRule="auto" w:line="288" w:before="0" w:after="0"/>
              <w:jc w:val="center"/>
              <w:rPr/>
            </w:pPr>
            <w:r>
              <w:rPr>
                <w:color w:val="FFFFFF"/>
              </w:rPr>
              <w:t> </w:t>
            </w:r>
            <w:r>
              <w:rPr>
                <w:rFonts w:ascii="Arial;sans-serif" w:hAnsi="Arial;sans-serif"/>
                <w:b/>
                <w:color w:val="FFFFFF"/>
                <w:sz w:val="14"/>
              </w:rPr>
              <w:t>($)</w:t>
            </w:r>
            <w:r>
              <w:rPr>
                <w:rFonts w:ascii="Arial;sans-serif" w:hAnsi="Arial;sans-serif"/>
                <w:b/>
                <w:color w:val="FFFFFF"/>
                <w:sz w:val="9"/>
              </w:rPr>
              <w:t>(2)</w:t>
            </w:r>
          </w:p>
        </w:tc>
        <w:tc>
          <w:tcPr>
            <w:tcW w:w="814" w:type="dxa"/>
            <w:gridSpan w:val="3"/>
            <w:tcBorders>
              <w:top w:val="single" w:sz="4" w:space="0" w:color="000000"/>
              <w:left w:val="single" w:sz="4" w:space="0" w:color="000000"/>
              <w:bottom w:val="single" w:sz="4" w:space="0" w:color="000000"/>
            </w:tcBorders>
            <w:shd w:fill="004C97" w:val="clear"/>
            <w:tcMar>
              <w:top w:w="30" w:type="dxa"/>
              <w:bottom w:w="30" w:type="dxa"/>
              <w:right w:w="0" w:type="dxa"/>
            </w:tcMar>
            <w:vAlign w:val="center"/>
          </w:tcPr>
          <w:p>
            <w:pPr>
              <w:pStyle w:val="TableContents"/>
              <w:bidi w:val="0"/>
              <w:spacing w:lineRule="auto" w:line="288" w:before="0" w:after="0"/>
              <w:jc w:val="center"/>
              <w:rPr>
                <w:rFonts w:ascii="Arial;sans-serif" w:hAnsi="Arial;sans-serif"/>
                <w:b/>
                <w:color w:val="FFFFFF"/>
                <w:sz w:val="14"/>
              </w:rPr>
            </w:pPr>
            <w:r>
              <w:rPr>
                <w:rFonts w:ascii="Arial;sans-serif" w:hAnsi="Arial;sans-serif"/>
                <w:b/>
                <w:color w:val="FFFFFF"/>
                <w:sz w:val="14"/>
              </w:rPr>
              <w:t>Option Expiration Date</w:t>
            </w:r>
          </w:p>
        </w:tc>
        <w:tc>
          <w:tcPr>
            <w:tcW w:w="1189" w:type="dxa"/>
            <w:gridSpan w:val="6"/>
            <w:tcBorders>
              <w:top w:val="single" w:sz="4" w:space="0" w:color="000000"/>
              <w:left w:val="single" w:sz="4" w:space="0" w:color="000000"/>
              <w:bottom w:val="single" w:sz="4" w:space="0" w:color="000000"/>
            </w:tcBorders>
            <w:shd w:fill="004C97" w:val="clear"/>
            <w:tcMar>
              <w:top w:w="30" w:type="dxa"/>
              <w:bottom w:w="30" w:type="dxa"/>
              <w:right w:w="0" w:type="dxa"/>
            </w:tcMar>
            <w:vAlign w:val="center"/>
          </w:tcPr>
          <w:p>
            <w:pPr>
              <w:pStyle w:val="TableContents"/>
              <w:bidi w:val="0"/>
              <w:spacing w:lineRule="auto" w:line="288" w:before="0" w:after="0"/>
              <w:jc w:val="center"/>
              <w:rPr>
                <w:rFonts w:ascii="Arial;sans-serif" w:hAnsi="Arial;sans-serif"/>
                <w:b/>
                <w:color w:val="FFFFFF"/>
                <w:sz w:val="14"/>
              </w:rPr>
            </w:pPr>
            <w:r>
              <w:rPr>
                <w:rFonts w:ascii="Arial;sans-serif" w:hAnsi="Arial;sans-serif"/>
                <w:b/>
                <w:color w:val="FFFFFF"/>
                <w:sz w:val="14"/>
              </w:rPr>
              <w:t>Number of Shares or Units of Stock That Have Not Vested (#)</w:t>
            </w:r>
          </w:p>
        </w:tc>
        <w:tc>
          <w:tcPr>
            <w:tcW w:w="1152" w:type="dxa"/>
            <w:gridSpan w:val="3"/>
            <w:tcBorders>
              <w:top w:val="single" w:sz="4" w:space="0" w:color="000000"/>
              <w:left w:val="single" w:sz="4" w:space="0" w:color="000000"/>
              <w:bottom w:val="single" w:sz="4" w:space="0" w:color="000000"/>
            </w:tcBorders>
            <w:shd w:fill="004C97" w:val="clear"/>
            <w:tcMar>
              <w:top w:w="30" w:type="dxa"/>
              <w:bottom w:w="30" w:type="dxa"/>
              <w:right w:w="0" w:type="dxa"/>
            </w:tcMar>
            <w:vAlign w:val="center"/>
          </w:tcPr>
          <w:p>
            <w:pPr>
              <w:pStyle w:val="TableContents"/>
              <w:bidi w:val="0"/>
              <w:spacing w:lineRule="auto" w:line="288" w:before="0" w:after="0"/>
              <w:jc w:val="center"/>
              <w:rPr>
                <w:rFonts w:ascii="Arial;sans-serif" w:hAnsi="Arial;sans-serif"/>
                <w:b/>
                <w:color w:val="FFFFFF"/>
                <w:sz w:val="14"/>
              </w:rPr>
            </w:pPr>
            <w:r>
              <w:rPr>
                <w:rFonts w:ascii="Arial;sans-serif" w:hAnsi="Arial;sans-serif"/>
                <w:b/>
                <w:color w:val="FFFFFF"/>
                <w:sz w:val="14"/>
              </w:rPr>
              <w:t>Market or Payout Value of Unearned</w:t>
            </w:r>
          </w:p>
          <w:p>
            <w:pPr>
              <w:pStyle w:val="TableContents"/>
              <w:bidi w:val="0"/>
              <w:spacing w:lineRule="auto" w:line="288" w:before="0" w:after="0"/>
              <w:jc w:val="center"/>
              <w:rPr>
                <w:rFonts w:ascii="Arial;sans-serif" w:hAnsi="Arial;sans-serif"/>
                <w:b/>
                <w:color w:val="FFFFFF"/>
                <w:sz w:val="14"/>
              </w:rPr>
            </w:pPr>
            <w:r>
              <w:rPr>
                <w:rFonts w:ascii="Arial;sans-serif" w:hAnsi="Arial;sans-serif"/>
                <w:b/>
                <w:color w:val="FFFFFF"/>
                <w:sz w:val="14"/>
              </w:rPr>
              <w:t>Shares, Units, or Other Rights That Have Not Vested</w:t>
            </w:r>
          </w:p>
          <w:p>
            <w:pPr>
              <w:pStyle w:val="TableContents"/>
              <w:bidi w:val="0"/>
              <w:spacing w:lineRule="auto" w:line="288" w:before="0" w:after="0"/>
              <w:jc w:val="center"/>
              <w:rPr/>
            </w:pPr>
            <w:r>
              <w:rPr>
                <w:rFonts w:ascii="Arial;sans-serif" w:hAnsi="Arial;sans-serif"/>
                <w:b/>
                <w:color w:val="FFFFFF"/>
                <w:sz w:val="14"/>
              </w:rPr>
              <w:t>($)</w:t>
            </w:r>
            <w:r>
              <w:rPr>
                <w:rFonts w:ascii="Arial;sans-serif" w:hAnsi="Arial;sans-serif"/>
                <w:b/>
                <w:color w:val="FFFFFF"/>
                <w:sz w:val="9"/>
              </w:rPr>
              <w:t>(3)</w:t>
            </w:r>
          </w:p>
        </w:tc>
        <w:tc>
          <w:tcPr>
            <w:tcW w:w="1404" w:type="dxa"/>
            <w:gridSpan w:val="6"/>
            <w:tcBorders>
              <w:top w:val="single" w:sz="4" w:space="0" w:color="000000"/>
              <w:left w:val="single" w:sz="4" w:space="0" w:color="000000"/>
              <w:bottom w:val="single" w:sz="4" w:space="0" w:color="000000"/>
            </w:tcBorders>
            <w:shd w:fill="004C97" w:val="clear"/>
            <w:tcMar>
              <w:top w:w="30" w:type="dxa"/>
              <w:bottom w:w="30" w:type="dxa"/>
              <w:right w:w="0" w:type="dxa"/>
            </w:tcMar>
            <w:vAlign w:val="center"/>
          </w:tcPr>
          <w:p>
            <w:pPr>
              <w:pStyle w:val="TableContents"/>
              <w:bidi w:val="0"/>
              <w:spacing w:lineRule="auto" w:line="288" w:before="0" w:after="0"/>
              <w:jc w:val="center"/>
              <w:rPr>
                <w:rFonts w:ascii="Arial;sans-serif" w:hAnsi="Arial;sans-serif"/>
                <w:b/>
                <w:color w:val="FFFFFF"/>
                <w:sz w:val="14"/>
              </w:rPr>
            </w:pPr>
            <w:r>
              <w:rPr>
                <w:rFonts w:ascii="Arial;sans-serif" w:hAnsi="Arial;sans-serif"/>
                <w:b/>
                <w:color w:val="FFFFFF"/>
                <w:sz w:val="14"/>
              </w:rPr>
              <w:t>Equity Incentive Plan Awards: Number of Unearned Shares, Units, or Other Rights That Have Not Vested (#)</w:t>
            </w:r>
          </w:p>
        </w:tc>
        <w:tc>
          <w:tcPr>
            <w:tcW w:w="1299" w:type="dxa"/>
            <w:gridSpan w:val="3"/>
            <w:tcBorders>
              <w:top w:val="single" w:sz="4" w:space="0" w:color="000000"/>
              <w:left w:val="single" w:sz="4" w:space="0" w:color="000000"/>
              <w:bottom w:val="single" w:sz="4" w:space="0" w:color="000000"/>
              <w:right w:val="single" w:sz="4" w:space="0" w:color="000000"/>
            </w:tcBorders>
            <w:shd w:fill="004C97" w:val="clear"/>
            <w:tcMar>
              <w:top w:w="30" w:type="dxa"/>
              <w:bottom w:w="30" w:type="dxa"/>
            </w:tcMar>
            <w:vAlign w:val="center"/>
          </w:tcPr>
          <w:p>
            <w:pPr>
              <w:pStyle w:val="TableContents"/>
              <w:bidi w:val="0"/>
              <w:spacing w:lineRule="auto" w:line="288" w:before="0" w:after="0"/>
              <w:jc w:val="center"/>
              <w:rPr>
                <w:rFonts w:ascii="Arial;sans-serif" w:hAnsi="Arial;sans-serif"/>
                <w:b/>
                <w:color w:val="FFFFFF"/>
                <w:sz w:val="14"/>
              </w:rPr>
            </w:pPr>
            <w:r>
              <w:rPr>
                <w:rFonts w:ascii="Arial;sans-serif" w:hAnsi="Arial;sans-serif"/>
                <w:b/>
                <w:color w:val="FFFFFF"/>
                <w:sz w:val="14"/>
              </w:rPr>
              <w:t>Equity Incentive Plan Awards: Market or Payout Value of Unearned</w:t>
            </w:r>
          </w:p>
          <w:p>
            <w:pPr>
              <w:pStyle w:val="TableContents"/>
              <w:bidi w:val="0"/>
              <w:spacing w:lineRule="auto" w:line="288" w:before="0" w:after="0"/>
              <w:jc w:val="center"/>
              <w:rPr>
                <w:rFonts w:ascii="Arial;sans-serif" w:hAnsi="Arial;sans-serif"/>
                <w:b/>
                <w:color w:val="FFFFFF"/>
                <w:sz w:val="14"/>
              </w:rPr>
            </w:pPr>
            <w:r>
              <w:rPr>
                <w:rFonts w:ascii="Arial;sans-serif" w:hAnsi="Arial;sans-serif"/>
                <w:b/>
                <w:color w:val="FFFFFF"/>
                <w:sz w:val="14"/>
              </w:rPr>
              <w:t>Shares, Units, or Other Rights That Have Not Vested</w:t>
            </w:r>
          </w:p>
          <w:p>
            <w:pPr>
              <w:pStyle w:val="TableContents"/>
              <w:bidi w:val="0"/>
              <w:spacing w:lineRule="auto" w:line="288" w:before="0" w:after="0"/>
              <w:jc w:val="center"/>
              <w:rPr/>
            </w:pPr>
            <w:r>
              <w:rPr>
                <w:rFonts w:ascii="Arial;sans-serif" w:hAnsi="Arial;sans-serif"/>
                <w:b/>
                <w:color w:val="FFFFFF"/>
                <w:sz w:val="14"/>
              </w:rPr>
              <w:t>($)</w:t>
            </w:r>
            <w:r>
              <w:rPr>
                <w:rFonts w:ascii="Arial;sans-serif" w:hAnsi="Arial;sans-serif"/>
                <w:b/>
                <w:color w:val="FFFFFF"/>
                <w:sz w:val="9"/>
              </w:rPr>
              <w:t>(3)</w:t>
            </w:r>
          </w:p>
        </w:tc>
      </w:tr>
      <w:tr>
        <w:trPr/>
        <w:tc>
          <w:tcPr>
            <w:tcW w:w="630" w:type="dxa"/>
            <w:gridSpan w:val="3"/>
            <w:vMerge w:val="restart"/>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4"/>
              </w:rPr>
            </w:pPr>
            <w:r>
              <w:rPr>
                <w:rFonts w:ascii="Arial;sans-serif" w:hAnsi="Arial;sans-serif"/>
                <w:b w:val="false"/>
                <w:color w:val="000000"/>
                <w:sz w:val="14"/>
              </w:rPr>
              <w:t>Eugene J. Lowe, III</w:t>
            </w:r>
          </w:p>
        </w:tc>
        <w:tc>
          <w:tcPr>
            <w:tcW w:w="526" w:type="dxa"/>
            <w:gridSpan w:val="3"/>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01/02/2015</w:t>
            </w:r>
          </w:p>
        </w:tc>
        <w:tc>
          <w:tcPr>
            <w:tcW w:w="832" w:type="dxa"/>
            <w:gridSpan w:val="2"/>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17" w:type="dxa"/>
            <w:tcBorders>
              <w:top w:val="single" w:sz="4" w:space="0" w:color="000000"/>
            </w:tcBorders>
            <w:shd w:fill="E6E7E8"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45,776 </w:t>
            </w:r>
          </w:p>
        </w:tc>
        <w:tc>
          <w:tcPr>
            <w:tcW w:w="377" w:type="dxa"/>
            <w:tcBorders>
              <w:top w:val="single" w:sz="4" w:space="0" w:color="000000"/>
            </w:tcBorders>
            <w:shd w:fill="E6E7E8"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21.16 </w:t>
            </w:r>
          </w:p>
        </w:tc>
        <w:tc>
          <w:tcPr>
            <w:tcW w:w="243" w:type="dxa"/>
            <w:tcBorders>
              <w:top w:val="single" w:sz="4" w:space="0" w:color="000000"/>
            </w:tcBorders>
            <w:shd w:fill="E6E7E8"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01/02/2025</w:t>
            </w:r>
          </w:p>
        </w:tc>
        <w:tc>
          <w:tcPr>
            <w:tcW w:w="760" w:type="dxa"/>
            <w:gridSpan w:val="3"/>
            <w:tcBorders>
              <w:top w:val="single" w:sz="4" w:space="0" w:color="000000"/>
              <w:left w:val="single" w:sz="4" w:space="0" w:color="000000"/>
            </w:tcBorders>
            <w:shd w:fill="E6E7E8" w:val="clear"/>
            <w:tcMar>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op w:val="single" w:sz="4" w:space="0" w:color="000000"/>
            </w:tcBorders>
            <w:shd w:fill="E6E7E8"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single" w:sz="4" w:space="0" w:color="000000"/>
              <w:left w:val="single" w:sz="4" w:space="0" w:color="000000"/>
            </w:tcBorders>
            <w:shd w:fill="E6E7E8" w:val="clear"/>
            <w:tcMar>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4" w:space="0" w:color="000000"/>
              <w:left w:val="single" w:sz="4" w:space="0" w:color="000000"/>
            </w:tcBorders>
            <w:shd w:fill="E6E7E8" w:val="clear"/>
            <w:tcMar>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3"/>
            <w:tcBorders>
              <w:top w:val="single" w:sz="4" w:space="0" w:color="000000"/>
            </w:tcBorders>
            <w:shd w:fill="E6E7E8"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op w:val="single" w:sz="4" w:space="0" w:color="000000"/>
              <w:left w:val="single" w:sz="4" w:space="0" w:color="000000"/>
              <w:right w:val="single" w:sz="4" w:space="0" w:color="000000"/>
            </w:tcBorders>
            <w:shd w:fill="E6E7E8" w:val="clear"/>
            <w:tcMar>
              <w:bottom w:w="0" w:type="dxa"/>
              <w:right w:w="290" w:type="dxa"/>
            </w:tcMar>
            <w:vAlign w:val="center"/>
          </w:tcPr>
          <w:p>
            <w:pPr>
              <w:pStyle w:val="TableContents"/>
              <w:bidi w:val="0"/>
              <w:spacing w:before="0" w:after="283"/>
              <w:jc w:val="left"/>
              <w:rPr>
                <w:sz w:val="4"/>
                <w:szCs w:val="4"/>
              </w:rPr>
            </w:pPr>
            <w:r>
              <w:rPr>
                <w:sz w:val="4"/>
                <w:szCs w:val="4"/>
              </w:rPr>
            </w:r>
          </w:p>
        </w:tc>
      </w:tr>
      <w:tr>
        <w:trPr/>
        <w:tc>
          <w:tcPr>
            <w:tcW w:w="630" w:type="dxa"/>
            <w:gridSpan w:val="3"/>
            <w:vMerge w:val="continue"/>
            <w:tcBorders>
              <w:top w:val="single" w:sz="4" w:space="0" w:color="000000"/>
              <w:left w:val="single" w:sz="4" w:space="0" w:color="000000"/>
            </w:tcBorders>
            <w:tcMar>
              <w:top w:w="30" w:type="dxa"/>
              <w:bottom w:w="0" w:type="dxa"/>
              <w:right w:w="0" w:type="dxa"/>
            </w:tcMar>
            <w:vAlign w:val="center"/>
          </w:tcPr>
          <w:p>
            <w:pPr>
              <w:pStyle w:val="Normal"/>
              <w:bidi w:val="0"/>
              <w:jc w:val="left"/>
              <w:rPr/>
            </w:pPr>
            <w:r>
              <w:rPr/>
            </w:r>
          </w:p>
        </w:tc>
        <w:tc>
          <w:tcPr>
            <w:tcW w:w="526"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10/13/2015</w:t>
            </w:r>
          </w:p>
        </w:tc>
        <w:tc>
          <w:tcPr>
            <w:tcW w:w="832" w:type="dxa"/>
            <w:gridSpan w:val="2"/>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17"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332,673 </w:t>
            </w:r>
          </w:p>
        </w:tc>
        <w:tc>
          <w:tcPr>
            <w:tcW w:w="377"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12.36 </w:t>
            </w:r>
          </w:p>
        </w:tc>
        <w:tc>
          <w:tcPr>
            <w:tcW w:w="243"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10/13/2025</w:t>
            </w:r>
          </w:p>
        </w:tc>
        <w:tc>
          <w:tcPr>
            <w:tcW w:w="760"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op w:val="single" w:sz="4" w:space="0" w:color="000000"/>
              <w:left w:val="single" w:sz="4" w:space="0" w:color="000000"/>
              <w:right w:val="single" w:sz="4" w:space="0" w:color="000000"/>
            </w:tcBorders>
            <w:shd w:fill="FFFFFF" w:val="clear"/>
            <w:tcMar>
              <w:bottom w:w="0" w:type="dxa"/>
              <w:right w:w="290" w:type="dxa"/>
            </w:tcMar>
            <w:vAlign w:val="center"/>
          </w:tcPr>
          <w:p>
            <w:pPr>
              <w:pStyle w:val="TableContents"/>
              <w:bidi w:val="0"/>
              <w:spacing w:before="0" w:after="283"/>
              <w:jc w:val="left"/>
              <w:rPr>
                <w:sz w:val="4"/>
                <w:szCs w:val="4"/>
              </w:rPr>
            </w:pPr>
            <w:r>
              <w:rPr>
                <w:sz w:val="4"/>
                <w:szCs w:val="4"/>
              </w:rPr>
            </w:r>
          </w:p>
        </w:tc>
      </w:tr>
      <w:tr>
        <w:trPr/>
        <w:tc>
          <w:tcPr>
            <w:tcW w:w="630" w:type="dxa"/>
            <w:gridSpan w:val="3"/>
            <w:vMerge w:val="continue"/>
            <w:tcBorders>
              <w:top w:val="single" w:sz="4" w:space="0" w:color="000000"/>
              <w:left w:val="single" w:sz="4" w:space="0" w:color="000000"/>
            </w:tcBorders>
            <w:tcMar>
              <w:top w:w="30" w:type="dxa"/>
              <w:bottom w:w="0" w:type="dxa"/>
              <w:right w:w="0" w:type="dxa"/>
            </w:tcMar>
            <w:vAlign w:val="center"/>
          </w:tcPr>
          <w:p>
            <w:pPr>
              <w:pStyle w:val="Normal"/>
              <w:bidi w:val="0"/>
              <w:jc w:val="left"/>
              <w:rPr/>
            </w:pPr>
            <w:r>
              <w:rPr/>
            </w:r>
          </w:p>
        </w:tc>
        <w:tc>
          <w:tcPr>
            <w:tcW w:w="526" w:type="dxa"/>
            <w:gridSpan w:val="3"/>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03/02/2016</w:t>
            </w:r>
          </w:p>
        </w:tc>
        <w:tc>
          <w:tcPr>
            <w:tcW w:w="832" w:type="dxa"/>
            <w:gridSpan w:val="2"/>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17" w:type="dxa"/>
            <w:tcBorders>
              <w:top w:val="single" w:sz="4" w:space="0" w:color="000000"/>
            </w:tcBorders>
            <w:shd w:fill="E6E7E8"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186,919 </w:t>
            </w:r>
          </w:p>
        </w:tc>
        <w:tc>
          <w:tcPr>
            <w:tcW w:w="377" w:type="dxa"/>
            <w:tcBorders>
              <w:top w:val="single" w:sz="4" w:space="0" w:color="000000"/>
            </w:tcBorders>
            <w:shd w:fill="E6E7E8"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12.85 </w:t>
            </w:r>
          </w:p>
        </w:tc>
        <w:tc>
          <w:tcPr>
            <w:tcW w:w="243" w:type="dxa"/>
            <w:tcBorders>
              <w:top w:val="single" w:sz="4" w:space="0" w:color="000000"/>
            </w:tcBorders>
            <w:shd w:fill="E6E7E8"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03/02/2026</w:t>
            </w:r>
          </w:p>
        </w:tc>
        <w:tc>
          <w:tcPr>
            <w:tcW w:w="760" w:type="dxa"/>
            <w:gridSpan w:val="3"/>
            <w:tcBorders>
              <w:top w:val="single" w:sz="4" w:space="0" w:color="000000"/>
              <w:left w:val="single" w:sz="4" w:space="0" w:color="000000"/>
            </w:tcBorders>
            <w:shd w:fill="E6E7E8" w:val="clear"/>
            <w:tcMar>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op w:val="single" w:sz="4" w:space="0" w:color="000000"/>
            </w:tcBorders>
            <w:shd w:fill="E6E7E8"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single" w:sz="4" w:space="0" w:color="000000"/>
              <w:left w:val="single" w:sz="4" w:space="0" w:color="000000"/>
            </w:tcBorders>
            <w:shd w:fill="E6E7E8" w:val="clear"/>
            <w:tcMar>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4" w:space="0" w:color="000000"/>
              <w:left w:val="single" w:sz="4" w:space="0" w:color="000000"/>
            </w:tcBorders>
            <w:shd w:fill="E6E7E8" w:val="clear"/>
            <w:tcMar>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3"/>
            <w:tcBorders>
              <w:top w:val="single" w:sz="4" w:space="0" w:color="000000"/>
            </w:tcBorders>
            <w:shd w:fill="E6E7E8"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op w:val="single" w:sz="4" w:space="0" w:color="000000"/>
              <w:left w:val="single" w:sz="4" w:space="0" w:color="000000"/>
              <w:right w:val="single" w:sz="4" w:space="0" w:color="000000"/>
            </w:tcBorders>
            <w:shd w:fill="E6E7E8" w:val="clear"/>
            <w:tcMar>
              <w:bottom w:w="0" w:type="dxa"/>
              <w:right w:w="290" w:type="dxa"/>
            </w:tcMar>
            <w:vAlign w:val="center"/>
          </w:tcPr>
          <w:p>
            <w:pPr>
              <w:pStyle w:val="TableContents"/>
              <w:bidi w:val="0"/>
              <w:spacing w:before="0" w:after="283"/>
              <w:jc w:val="left"/>
              <w:rPr>
                <w:sz w:val="4"/>
                <w:szCs w:val="4"/>
              </w:rPr>
            </w:pPr>
            <w:r>
              <w:rPr>
                <w:sz w:val="4"/>
                <w:szCs w:val="4"/>
              </w:rPr>
            </w:r>
          </w:p>
        </w:tc>
      </w:tr>
      <w:tr>
        <w:trPr/>
        <w:tc>
          <w:tcPr>
            <w:tcW w:w="630" w:type="dxa"/>
            <w:gridSpan w:val="3"/>
            <w:vMerge w:val="continue"/>
            <w:tcBorders>
              <w:top w:val="single" w:sz="4" w:space="0" w:color="000000"/>
              <w:left w:val="single" w:sz="4" w:space="0" w:color="000000"/>
            </w:tcBorders>
            <w:tcMar>
              <w:top w:w="30" w:type="dxa"/>
              <w:bottom w:w="0" w:type="dxa"/>
              <w:right w:w="0" w:type="dxa"/>
            </w:tcMar>
            <w:vAlign w:val="center"/>
          </w:tcPr>
          <w:p>
            <w:pPr>
              <w:pStyle w:val="Normal"/>
              <w:bidi w:val="0"/>
              <w:jc w:val="left"/>
              <w:rPr/>
            </w:pPr>
            <w:r>
              <w:rPr/>
            </w:r>
          </w:p>
        </w:tc>
        <w:tc>
          <w:tcPr>
            <w:tcW w:w="526"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03/01/2017</w:t>
            </w:r>
          </w:p>
        </w:tc>
        <w:tc>
          <w:tcPr>
            <w:tcW w:w="832" w:type="dxa"/>
            <w:gridSpan w:val="2"/>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17"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82,405 </w:t>
            </w:r>
          </w:p>
        </w:tc>
        <w:tc>
          <w:tcPr>
            <w:tcW w:w="377"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27.40 </w:t>
            </w:r>
          </w:p>
        </w:tc>
        <w:tc>
          <w:tcPr>
            <w:tcW w:w="243"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03/01/2027</w:t>
            </w:r>
          </w:p>
        </w:tc>
        <w:tc>
          <w:tcPr>
            <w:tcW w:w="760"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op w:val="single" w:sz="4" w:space="0" w:color="000000"/>
              <w:left w:val="single" w:sz="4" w:space="0" w:color="000000"/>
              <w:right w:val="single" w:sz="4" w:space="0" w:color="000000"/>
            </w:tcBorders>
            <w:shd w:fill="FFFFFF" w:val="clear"/>
            <w:tcMar>
              <w:bottom w:w="0" w:type="dxa"/>
              <w:right w:w="290" w:type="dxa"/>
            </w:tcMar>
            <w:vAlign w:val="center"/>
          </w:tcPr>
          <w:p>
            <w:pPr>
              <w:pStyle w:val="TableContents"/>
              <w:bidi w:val="0"/>
              <w:spacing w:before="0" w:after="283"/>
              <w:jc w:val="left"/>
              <w:rPr>
                <w:sz w:val="4"/>
                <w:szCs w:val="4"/>
              </w:rPr>
            </w:pPr>
            <w:r>
              <w:rPr>
                <w:sz w:val="4"/>
                <w:szCs w:val="4"/>
              </w:rPr>
            </w:r>
          </w:p>
        </w:tc>
      </w:tr>
      <w:tr>
        <w:trPr/>
        <w:tc>
          <w:tcPr>
            <w:tcW w:w="630" w:type="dxa"/>
            <w:gridSpan w:val="3"/>
            <w:vMerge w:val="continue"/>
            <w:tcBorders>
              <w:top w:val="single" w:sz="4" w:space="0" w:color="000000"/>
              <w:left w:val="single" w:sz="4" w:space="0" w:color="000000"/>
            </w:tcBorders>
            <w:tcMar>
              <w:top w:w="30" w:type="dxa"/>
              <w:bottom w:w="0" w:type="dxa"/>
              <w:right w:w="0" w:type="dxa"/>
            </w:tcMar>
            <w:vAlign w:val="center"/>
          </w:tcPr>
          <w:p>
            <w:pPr>
              <w:pStyle w:val="Normal"/>
              <w:bidi w:val="0"/>
              <w:jc w:val="left"/>
              <w:rPr/>
            </w:pPr>
            <w:r>
              <w:rPr/>
            </w:r>
          </w:p>
        </w:tc>
        <w:tc>
          <w:tcPr>
            <w:tcW w:w="526" w:type="dxa"/>
            <w:gridSpan w:val="3"/>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02/22/2018</w:t>
            </w:r>
          </w:p>
        </w:tc>
        <w:tc>
          <w:tcPr>
            <w:tcW w:w="832" w:type="dxa"/>
            <w:gridSpan w:val="2"/>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17" w:type="dxa"/>
            <w:tcBorders>
              <w:top w:val="single" w:sz="4" w:space="0" w:color="000000"/>
            </w:tcBorders>
            <w:shd w:fill="E6E7E8"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72,298 </w:t>
            </w:r>
          </w:p>
        </w:tc>
        <w:tc>
          <w:tcPr>
            <w:tcW w:w="377" w:type="dxa"/>
            <w:tcBorders>
              <w:top w:val="single" w:sz="4" w:space="0" w:color="000000"/>
            </w:tcBorders>
            <w:shd w:fill="E6E7E8"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32.69 </w:t>
            </w:r>
          </w:p>
        </w:tc>
        <w:tc>
          <w:tcPr>
            <w:tcW w:w="243" w:type="dxa"/>
            <w:tcBorders>
              <w:top w:val="single" w:sz="4" w:space="0" w:color="000000"/>
            </w:tcBorders>
            <w:shd w:fill="E6E7E8"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02/22/2028</w:t>
            </w:r>
          </w:p>
        </w:tc>
        <w:tc>
          <w:tcPr>
            <w:tcW w:w="760" w:type="dxa"/>
            <w:gridSpan w:val="3"/>
            <w:tcBorders>
              <w:top w:val="single" w:sz="4" w:space="0" w:color="000000"/>
              <w:left w:val="single" w:sz="4" w:space="0" w:color="000000"/>
            </w:tcBorders>
            <w:shd w:fill="E6E7E8" w:val="clear"/>
            <w:tcMar>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op w:val="single" w:sz="4" w:space="0" w:color="000000"/>
            </w:tcBorders>
            <w:shd w:fill="E6E7E8"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single" w:sz="4" w:space="0" w:color="000000"/>
              <w:left w:val="single" w:sz="4" w:space="0" w:color="000000"/>
            </w:tcBorders>
            <w:shd w:fill="E6E7E8" w:val="clear"/>
            <w:tcMar>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4" w:space="0" w:color="000000"/>
              <w:left w:val="single" w:sz="4" w:space="0" w:color="000000"/>
            </w:tcBorders>
            <w:shd w:fill="E6E7E8" w:val="clear"/>
            <w:tcMar>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3"/>
            <w:tcBorders>
              <w:top w:val="single" w:sz="4" w:space="0" w:color="000000"/>
            </w:tcBorders>
            <w:shd w:fill="E6E7E8"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op w:val="single" w:sz="4" w:space="0" w:color="000000"/>
              <w:left w:val="single" w:sz="4" w:space="0" w:color="000000"/>
              <w:right w:val="single" w:sz="4" w:space="0" w:color="000000"/>
            </w:tcBorders>
            <w:shd w:fill="E6E7E8" w:val="clear"/>
            <w:tcMar>
              <w:bottom w:w="0" w:type="dxa"/>
              <w:right w:w="290" w:type="dxa"/>
            </w:tcMar>
            <w:vAlign w:val="center"/>
          </w:tcPr>
          <w:p>
            <w:pPr>
              <w:pStyle w:val="TableContents"/>
              <w:bidi w:val="0"/>
              <w:spacing w:before="0" w:after="283"/>
              <w:jc w:val="left"/>
              <w:rPr>
                <w:sz w:val="4"/>
                <w:szCs w:val="4"/>
              </w:rPr>
            </w:pPr>
            <w:r>
              <w:rPr>
                <w:sz w:val="4"/>
                <w:szCs w:val="4"/>
              </w:rPr>
            </w:r>
          </w:p>
        </w:tc>
      </w:tr>
      <w:tr>
        <w:trPr/>
        <w:tc>
          <w:tcPr>
            <w:tcW w:w="630" w:type="dxa"/>
            <w:gridSpan w:val="3"/>
            <w:vMerge w:val="continue"/>
            <w:tcBorders>
              <w:top w:val="single" w:sz="4" w:space="0" w:color="000000"/>
              <w:left w:val="single" w:sz="4" w:space="0" w:color="000000"/>
            </w:tcBorders>
            <w:tcMar>
              <w:top w:w="30" w:type="dxa"/>
              <w:bottom w:w="0" w:type="dxa"/>
              <w:right w:w="0" w:type="dxa"/>
            </w:tcMar>
            <w:vAlign w:val="center"/>
          </w:tcPr>
          <w:p>
            <w:pPr>
              <w:pStyle w:val="Normal"/>
              <w:bidi w:val="0"/>
              <w:jc w:val="left"/>
              <w:rPr/>
            </w:pPr>
            <w:r>
              <w:rPr/>
            </w:r>
          </w:p>
        </w:tc>
        <w:tc>
          <w:tcPr>
            <w:tcW w:w="526"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02/21/2019</w:t>
            </w:r>
          </w:p>
        </w:tc>
        <w:tc>
          <w:tcPr>
            <w:tcW w:w="832" w:type="dxa"/>
            <w:gridSpan w:val="2"/>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17"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77,463 </w:t>
            </w:r>
          </w:p>
        </w:tc>
        <w:tc>
          <w:tcPr>
            <w:tcW w:w="377"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36.51 </w:t>
            </w:r>
          </w:p>
        </w:tc>
        <w:tc>
          <w:tcPr>
            <w:tcW w:w="243"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02/21/2029</w:t>
            </w:r>
          </w:p>
        </w:tc>
        <w:tc>
          <w:tcPr>
            <w:tcW w:w="760"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op w:val="single" w:sz="4" w:space="0" w:color="000000"/>
              <w:left w:val="single" w:sz="4" w:space="0" w:color="000000"/>
              <w:right w:val="single" w:sz="4" w:space="0" w:color="000000"/>
            </w:tcBorders>
            <w:shd w:fill="FFFFFF" w:val="clear"/>
            <w:tcMar>
              <w:bottom w:w="0" w:type="dxa"/>
              <w:right w:w="290" w:type="dxa"/>
            </w:tcMar>
            <w:vAlign w:val="center"/>
          </w:tcPr>
          <w:p>
            <w:pPr>
              <w:pStyle w:val="TableContents"/>
              <w:bidi w:val="0"/>
              <w:spacing w:before="0" w:after="283"/>
              <w:jc w:val="left"/>
              <w:rPr>
                <w:sz w:val="4"/>
                <w:szCs w:val="4"/>
              </w:rPr>
            </w:pPr>
            <w:r>
              <w:rPr>
                <w:sz w:val="4"/>
                <w:szCs w:val="4"/>
              </w:rPr>
            </w:r>
          </w:p>
        </w:tc>
      </w:tr>
      <w:tr>
        <w:trPr/>
        <w:tc>
          <w:tcPr>
            <w:tcW w:w="630" w:type="dxa"/>
            <w:gridSpan w:val="3"/>
            <w:vMerge w:val="continue"/>
            <w:tcBorders>
              <w:top w:val="single" w:sz="4" w:space="0" w:color="000000"/>
              <w:left w:val="single" w:sz="4" w:space="0" w:color="000000"/>
            </w:tcBorders>
            <w:tcMar>
              <w:top w:w="30" w:type="dxa"/>
              <w:bottom w:w="0" w:type="dxa"/>
              <w:right w:w="0" w:type="dxa"/>
            </w:tcMar>
            <w:vAlign w:val="center"/>
          </w:tcPr>
          <w:p>
            <w:pPr>
              <w:pStyle w:val="Normal"/>
              <w:bidi w:val="0"/>
              <w:jc w:val="left"/>
              <w:rPr/>
            </w:pPr>
            <w:r>
              <w:rPr/>
            </w:r>
          </w:p>
        </w:tc>
        <w:tc>
          <w:tcPr>
            <w:tcW w:w="526" w:type="dxa"/>
            <w:gridSpan w:val="3"/>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02/20/2020</w:t>
            </w:r>
          </w:p>
        </w:tc>
        <w:tc>
          <w:tcPr>
            <w:tcW w:w="832" w:type="dxa"/>
            <w:gridSpan w:val="2"/>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17" w:type="dxa"/>
            <w:tcBorders>
              <w:top w:val="single" w:sz="4" w:space="0" w:color="000000"/>
            </w:tcBorders>
            <w:shd w:fill="E6E7E8"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53,465 </w:t>
            </w:r>
          </w:p>
        </w:tc>
        <w:tc>
          <w:tcPr>
            <w:tcW w:w="377" w:type="dxa"/>
            <w:tcBorders>
              <w:top w:val="single" w:sz="4" w:space="0" w:color="000000"/>
            </w:tcBorders>
            <w:shd w:fill="E6E7E8"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50.09 </w:t>
            </w:r>
          </w:p>
        </w:tc>
        <w:tc>
          <w:tcPr>
            <w:tcW w:w="243" w:type="dxa"/>
            <w:tcBorders>
              <w:top w:val="single" w:sz="4" w:space="0" w:color="000000"/>
            </w:tcBorders>
            <w:shd w:fill="E6E7E8"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02/20/2030</w:t>
            </w:r>
          </w:p>
        </w:tc>
        <w:tc>
          <w:tcPr>
            <w:tcW w:w="760" w:type="dxa"/>
            <w:gridSpan w:val="3"/>
            <w:tcBorders>
              <w:top w:val="single" w:sz="4" w:space="0" w:color="000000"/>
              <w:left w:val="single" w:sz="4" w:space="0" w:color="000000"/>
            </w:tcBorders>
            <w:shd w:fill="E6E7E8" w:val="clear"/>
            <w:tcMar>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op w:val="single" w:sz="4" w:space="0" w:color="000000"/>
            </w:tcBorders>
            <w:shd w:fill="E6E7E8"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single" w:sz="4" w:space="0" w:color="000000"/>
              <w:left w:val="single" w:sz="4" w:space="0" w:color="000000"/>
            </w:tcBorders>
            <w:shd w:fill="E6E7E8" w:val="clear"/>
            <w:tcMar>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4" w:space="0" w:color="000000"/>
              <w:left w:val="single" w:sz="4" w:space="0" w:color="000000"/>
            </w:tcBorders>
            <w:shd w:fill="E6E7E8" w:val="clear"/>
            <w:tcMar>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3"/>
            <w:tcBorders>
              <w:top w:val="single" w:sz="4" w:space="0" w:color="000000"/>
            </w:tcBorders>
            <w:shd w:fill="E6E7E8"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op w:val="single" w:sz="4" w:space="0" w:color="000000"/>
              <w:left w:val="single" w:sz="4" w:space="0" w:color="000000"/>
              <w:right w:val="single" w:sz="4" w:space="0" w:color="000000"/>
            </w:tcBorders>
            <w:shd w:fill="E6E7E8" w:val="clear"/>
            <w:tcMar>
              <w:bottom w:w="0" w:type="dxa"/>
              <w:right w:w="290" w:type="dxa"/>
            </w:tcMar>
            <w:vAlign w:val="center"/>
          </w:tcPr>
          <w:p>
            <w:pPr>
              <w:pStyle w:val="TableContents"/>
              <w:bidi w:val="0"/>
              <w:spacing w:before="0" w:after="283"/>
              <w:jc w:val="left"/>
              <w:rPr>
                <w:sz w:val="4"/>
                <w:szCs w:val="4"/>
              </w:rPr>
            </w:pPr>
            <w:r>
              <w:rPr>
                <w:sz w:val="4"/>
                <w:szCs w:val="4"/>
              </w:rPr>
            </w:r>
          </w:p>
        </w:tc>
      </w:tr>
      <w:tr>
        <w:trPr/>
        <w:tc>
          <w:tcPr>
            <w:tcW w:w="630" w:type="dxa"/>
            <w:gridSpan w:val="3"/>
            <w:vMerge w:val="continue"/>
            <w:tcBorders>
              <w:top w:val="single" w:sz="4" w:space="0" w:color="000000"/>
              <w:left w:val="single" w:sz="4" w:space="0" w:color="000000"/>
            </w:tcBorders>
            <w:tcMar>
              <w:top w:w="30" w:type="dxa"/>
              <w:bottom w:w="0" w:type="dxa"/>
              <w:right w:w="0" w:type="dxa"/>
            </w:tcMar>
            <w:vAlign w:val="center"/>
          </w:tcPr>
          <w:p>
            <w:pPr>
              <w:pStyle w:val="Normal"/>
              <w:bidi w:val="0"/>
              <w:jc w:val="left"/>
              <w:rPr/>
            </w:pPr>
            <w:r>
              <w:rPr/>
            </w:r>
          </w:p>
        </w:tc>
        <w:tc>
          <w:tcPr>
            <w:tcW w:w="526"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03/01/2021</w:t>
            </w:r>
          </w:p>
        </w:tc>
        <w:tc>
          <w:tcPr>
            <w:tcW w:w="1249"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5,983 </w:t>
            </w:r>
          </w:p>
        </w:tc>
        <w:tc>
          <w:tcPr>
            <w:tcW w:w="143"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both"/>
              <w:rPr>
                <w:rFonts w:ascii="Arial;sans-serif" w:hAnsi="Arial;sans-serif"/>
                <w:b w:val="false"/>
                <w:color w:val="000000"/>
                <w:sz w:val="10"/>
              </w:rPr>
            </w:pPr>
            <w:r>
              <w:rPr>
                <w:rFonts w:ascii="Arial;sans-serif" w:hAnsi="Arial;sans-serif"/>
                <w:b w:val="false"/>
                <w:color w:val="000000"/>
                <w:sz w:val="10"/>
              </w:rPr>
              <w:t>(4a)</w:t>
            </w:r>
          </w:p>
        </w:tc>
        <w:tc>
          <w:tcPr>
            <w:tcW w:w="860" w:type="dxa"/>
            <w:gridSpan w:val="2"/>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604,343 </w:t>
            </w:r>
          </w:p>
        </w:tc>
        <w:tc>
          <w:tcPr>
            <w:tcW w:w="292"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0"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21" w:type="dxa"/>
            <w:tcBorders>
              <w:top w:val="single" w:sz="4" w:space="0" w:color="000000"/>
              <w:right w:val="single" w:sz="4" w:space="0" w:color="000000"/>
            </w:tcBorders>
            <w:shd w:fill="FFFF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30" w:type="dxa"/>
            <w:gridSpan w:val="3"/>
            <w:vMerge w:val="continue"/>
            <w:tcBorders>
              <w:top w:val="single" w:sz="4" w:space="0" w:color="000000"/>
              <w:left w:val="single" w:sz="4" w:space="0" w:color="000000"/>
            </w:tcBorders>
            <w:tcMar>
              <w:top w:w="30" w:type="dxa"/>
              <w:bottom w:w="0" w:type="dxa"/>
              <w:right w:w="0" w:type="dxa"/>
            </w:tcMar>
            <w:vAlign w:val="center"/>
          </w:tcPr>
          <w:p>
            <w:pPr>
              <w:pStyle w:val="Normal"/>
              <w:bidi w:val="0"/>
              <w:jc w:val="left"/>
              <w:rPr/>
            </w:pPr>
            <w:r>
              <w:rPr/>
            </w:r>
          </w:p>
        </w:tc>
        <w:tc>
          <w:tcPr>
            <w:tcW w:w="526" w:type="dxa"/>
            <w:gridSpan w:val="3"/>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03/01/2021</w:t>
            </w:r>
          </w:p>
        </w:tc>
        <w:tc>
          <w:tcPr>
            <w:tcW w:w="1249" w:type="dxa"/>
            <w:gridSpan w:val="3"/>
            <w:tcBorders>
              <w:top w:val="single" w:sz="4" w:space="0" w:color="000000"/>
              <w:left w:val="single" w:sz="4" w:space="0" w:color="000000"/>
            </w:tcBorders>
            <w:shd w:fill="E6E7E8" w:val="clear"/>
            <w:tcMar>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4" w:space="0" w:color="000000"/>
              <w:left w:val="single" w:sz="4" w:space="0" w:color="000000"/>
            </w:tcBorders>
            <w:shd w:fill="E6E7E8" w:val="clear"/>
            <w:tcMar>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top w:val="single" w:sz="4" w:space="0" w:color="000000"/>
              <w:left w:val="single" w:sz="4" w:space="0" w:color="000000"/>
            </w:tcBorders>
            <w:shd w:fill="E6E7E8" w:val="clear"/>
            <w:tcMar>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op w:val="single" w:sz="4" w:space="0" w:color="000000"/>
              <w:left w:val="single" w:sz="4" w:space="0" w:color="000000"/>
            </w:tcBorders>
            <w:shd w:fill="E6E7E8" w:val="clear"/>
            <w:tcMar>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35,894 </w:t>
            </w:r>
          </w:p>
        </w:tc>
        <w:tc>
          <w:tcPr>
            <w:tcW w:w="143" w:type="dxa"/>
            <w:tcBorders>
              <w:top w:val="single" w:sz="4" w:space="0" w:color="000000"/>
            </w:tcBorders>
            <w:shd w:fill="E6E7E8"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op w:val="single" w:sz="4" w:space="0" w:color="000000"/>
            </w:tcBorders>
            <w:shd w:fill="E6E7E8"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3,625,653 </w:t>
            </w:r>
          </w:p>
        </w:tc>
        <w:tc>
          <w:tcPr>
            <w:tcW w:w="292" w:type="dxa"/>
            <w:tcBorders>
              <w:top w:val="single" w:sz="4" w:space="0" w:color="000000"/>
            </w:tcBorders>
            <w:shd w:fill="E6E7E8"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48,816 </w:t>
            </w:r>
          </w:p>
        </w:tc>
        <w:tc>
          <w:tcPr>
            <w:tcW w:w="180" w:type="dxa"/>
            <w:tcBorders>
              <w:top w:val="single" w:sz="4" w:space="0" w:color="000000"/>
            </w:tcBorders>
            <w:shd w:fill="E6E7E8"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3"/>
            <w:tcBorders>
              <w:top w:val="single" w:sz="4" w:space="0" w:color="000000"/>
            </w:tcBorders>
            <w:shd w:fill="E6E7E8" w:val="clear"/>
            <w:tcMar>
              <w:top w:w="30" w:type="dxa"/>
              <w:left w:w="0" w:type="dxa"/>
              <w:bottom w:w="0" w:type="dxa"/>
              <w:right w:w="0" w:type="dxa"/>
            </w:tcMar>
            <w:vAlign w:val="center"/>
          </w:tcPr>
          <w:p>
            <w:pPr>
              <w:pStyle w:val="TableContents"/>
              <w:bidi w:val="0"/>
              <w:spacing w:lineRule="auto" w:line="288" w:before="0" w:after="283"/>
              <w:jc w:val="both"/>
              <w:rPr>
                <w:rFonts w:ascii="Arial;sans-serif" w:hAnsi="Arial;sans-serif"/>
                <w:b w:val="false"/>
                <w:color w:val="000000"/>
                <w:sz w:val="10"/>
              </w:rPr>
            </w:pPr>
            <w:r>
              <w:rPr>
                <w:rFonts w:ascii="Arial;sans-serif" w:hAnsi="Arial;sans-serif"/>
                <w:b w:val="false"/>
                <w:color w:val="000000"/>
                <w:sz w:val="10"/>
              </w:rPr>
              <w:t>(4b)</w:t>
            </w:r>
          </w:p>
        </w:tc>
        <w:tc>
          <w:tcPr>
            <w:tcW w:w="878" w:type="dxa"/>
            <w:gridSpan w:val="2"/>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4,930,888 </w:t>
            </w:r>
          </w:p>
        </w:tc>
        <w:tc>
          <w:tcPr>
            <w:tcW w:w="421" w:type="dxa"/>
            <w:tcBorders>
              <w:top w:val="single" w:sz="4" w:space="0" w:color="000000"/>
              <w:right w:val="single" w:sz="4" w:space="0" w:color="000000"/>
            </w:tcBorders>
            <w:shd w:fill="E6E7E8"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30" w:type="dxa"/>
            <w:gridSpan w:val="3"/>
            <w:vMerge w:val="continue"/>
            <w:tcBorders>
              <w:top w:val="single" w:sz="4" w:space="0" w:color="000000"/>
              <w:left w:val="single" w:sz="4" w:space="0" w:color="000000"/>
            </w:tcBorders>
            <w:tcMar>
              <w:top w:w="30" w:type="dxa"/>
              <w:bottom w:w="0" w:type="dxa"/>
              <w:right w:w="0" w:type="dxa"/>
            </w:tcMar>
            <w:vAlign w:val="center"/>
          </w:tcPr>
          <w:p>
            <w:pPr>
              <w:pStyle w:val="Normal"/>
              <w:bidi w:val="0"/>
              <w:jc w:val="left"/>
              <w:rPr/>
            </w:pPr>
            <w:r>
              <w:rPr/>
            </w:r>
          </w:p>
        </w:tc>
        <w:tc>
          <w:tcPr>
            <w:tcW w:w="526"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03/01/2021</w:t>
            </w:r>
          </w:p>
        </w:tc>
        <w:tc>
          <w:tcPr>
            <w:tcW w:w="832" w:type="dxa"/>
            <w:gridSpan w:val="2"/>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15,431 </w:t>
            </w:r>
          </w:p>
        </w:tc>
        <w:tc>
          <w:tcPr>
            <w:tcW w:w="417"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30,860 </w:t>
            </w:r>
          </w:p>
        </w:tc>
        <w:tc>
          <w:tcPr>
            <w:tcW w:w="377"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58.34 </w:t>
            </w:r>
          </w:p>
        </w:tc>
        <w:tc>
          <w:tcPr>
            <w:tcW w:w="243"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03/01/2031</w:t>
            </w:r>
          </w:p>
        </w:tc>
        <w:tc>
          <w:tcPr>
            <w:tcW w:w="760"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op w:val="single" w:sz="4" w:space="0" w:color="000000"/>
              <w:left w:val="single" w:sz="4" w:space="0" w:color="000000"/>
              <w:right w:val="single" w:sz="4" w:space="0" w:color="000000"/>
            </w:tcBorders>
            <w:shd w:fill="FFFFFF" w:val="clear"/>
            <w:tcMar>
              <w:bottom w:w="0" w:type="dxa"/>
              <w:right w:w="290" w:type="dxa"/>
            </w:tcMar>
            <w:vAlign w:val="center"/>
          </w:tcPr>
          <w:p>
            <w:pPr>
              <w:pStyle w:val="TableContents"/>
              <w:bidi w:val="0"/>
              <w:spacing w:before="0" w:after="283"/>
              <w:jc w:val="left"/>
              <w:rPr>
                <w:sz w:val="4"/>
                <w:szCs w:val="4"/>
              </w:rPr>
            </w:pPr>
            <w:r>
              <w:rPr>
                <w:sz w:val="4"/>
                <w:szCs w:val="4"/>
              </w:rPr>
            </w:r>
          </w:p>
        </w:tc>
      </w:tr>
      <w:tr>
        <w:trPr/>
        <w:tc>
          <w:tcPr>
            <w:tcW w:w="630" w:type="dxa"/>
            <w:gridSpan w:val="3"/>
            <w:vMerge w:val="continue"/>
            <w:tcBorders>
              <w:top w:val="single" w:sz="4" w:space="0" w:color="000000"/>
              <w:left w:val="single" w:sz="4" w:space="0" w:color="000000"/>
            </w:tcBorders>
            <w:tcMar>
              <w:top w:w="30" w:type="dxa"/>
              <w:bottom w:w="0" w:type="dxa"/>
              <w:right w:w="0" w:type="dxa"/>
            </w:tcMar>
            <w:vAlign w:val="center"/>
          </w:tcPr>
          <w:p>
            <w:pPr>
              <w:pStyle w:val="Normal"/>
              <w:bidi w:val="0"/>
              <w:jc w:val="left"/>
              <w:rPr/>
            </w:pPr>
            <w:r>
              <w:rPr/>
            </w:r>
          </w:p>
        </w:tc>
        <w:tc>
          <w:tcPr>
            <w:tcW w:w="526" w:type="dxa"/>
            <w:gridSpan w:val="3"/>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03/01/2022</w:t>
            </w:r>
          </w:p>
        </w:tc>
        <w:tc>
          <w:tcPr>
            <w:tcW w:w="1249" w:type="dxa"/>
            <w:gridSpan w:val="3"/>
            <w:tcBorders>
              <w:top w:val="single" w:sz="4" w:space="0" w:color="000000"/>
              <w:left w:val="single" w:sz="4" w:space="0" w:color="000000"/>
            </w:tcBorders>
            <w:shd w:fill="E6E7E8" w:val="clear"/>
            <w:tcMar>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4" w:space="0" w:color="000000"/>
              <w:left w:val="single" w:sz="4" w:space="0" w:color="000000"/>
            </w:tcBorders>
            <w:shd w:fill="E6E7E8" w:val="clear"/>
            <w:tcMar>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top w:val="single" w:sz="4" w:space="0" w:color="000000"/>
              <w:left w:val="single" w:sz="4" w:space="0" w:color="000000"/>
            </w:tcBorders>
            <w:shd w:fill="E6E7E8" w:val="clear"/>
            <w:tcMar>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op w:val="single" w:sz="4" w:space="0" w:color="000000"/>
              <w:left w:val="single" w:sz="4" w:space="0" w:color="000000"/>
            </w:tcBorders>
            <w:shd w:fill="E6E7E8" w:val="clear"/>
            <w:tcMar>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38,979 </w:t>
            </w:r>
          </w:p>
        </w:tc>
        <w:tc>
          <w:tcPr>
            <w:tcW w:w="143" w:type="dxa"/>
            <w:tcBorders>
              <w:top w:val="single" w:sz="4" w:space="0" w:color="000000"/>
            </w:tcBorders>
            <w:shd w:fill="E6E7E8"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op w:val="single" w:sz="4" w:space="0" w:color="000000"/>
            </w:tcBorders>
            <w:shd w:fill="E6E7E8"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3,937,269 </w:t>
            </w:r>
          </w:p>
        </w:tc>
        <w:tc>
          <w:tcPr>
            <w:tcW w:w="292" w:type="dxa"/>
            <w:tcBorders>
              <w:top w:val="single" w:sz="4" w:space="0" w:color="000000"/>
            </w:tcBorders>
            <w:shd w:fill="E6E7E8"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58,469 </w:t>
            </w:r>
          </w:p>
        </w:tc>
        <w:tc>
          <w:tcPr>
            <w:tcW w:w="180" w:type="dxa"/>
            <w:tcBorders>
              <w:top w:val="single" w:sz="4" w:space="0" w:color="000000"/>
            </w:tcBorders>
            <w:shd w:fill="E6E7E8"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3"/>
            <w:tcBorders>
              <w:top w:val="single" w:sz="4" w:space="0" w:color="000000"/>
            </w:tcBorders>
            <w:shd w:fill="E6E7E8" w:val="clear"/>
            <w:tcMar>
              <w:top w:w="30" w:type="dxa"/>
              <w:left w:w="0" w:type="dxa"/>
              <w:bottom w:w="0" w:type="dxa"/>
              <w:right w:w="0" w:type="dxa"/>
            </w:tcMar>
            <w:vAlign w:val="center"/>
          </w:tcPr>
          <w:p>
            <w:pPr>
              <w:pStyle w:val="TableContents"/>
              <w:bidi w:val="0"/>
              <w:spacing w:lineRule="auto" w:line="288" w:before="0" w:after="283"/>
              <w:jc w:val="both"/>
              <w:rPr>
                <w:rFonts w:ascii="Arial;sans-serif" w:hAnsi="Arial;sans-serif"/>
                <w:b w:val="false"/>
                <w:color w:val="000000"/>
                <w:sz w:val="10"/>
              </w:rPr>
            </w:pPr>
            <w:r>
              <w:rPr>
                <w:rFonts w:ascii="Arial;sans-serif" w:hAnsi="Arial;sans-serif"/>
                <w:b w:val="false"/>
                <w:color w:val="000000"/>
                <w:sz w:val="10"/>
              </w:rPr>
              <w:t>(5b)</w:t>
            </w:r>
          </w:p>
        </w:tc>
        <w:tc>
          <w:tcPr>
            <w:tcW w:w="878" w:type="dxa"/>
            <w:gridSpan w:val="2"/>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5,905,903 </w:t>
            </w:r>
          </w:p>
        </w:tc>
        <w:tc>
          <w:tcPr>
            <w:tcW w:w="421" w:type="dxa"/>
            <w:tcBorders>
              <w:top w:val="single" w:sz="4" w:space="0" w:color="000000"/>
              <w:right w:val="single" w:sz="4" w:space="0" w:color="000000"/>
            </w:tcBorders>
            <w:shd w:fill="E6E7E8"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30" w:type="dxa"/>
            <w:gridSpan w:val="3"/>
            <w:vMerge w:val="continue"/>
            <w:tcBorders>
              <w:top w:val="single" w:sz="4" w:space="0" w:color="000000"/>
              <w:left w:val="single" w:sz="4" w:space="0" w:color="000000"/>
            </w:tcBorders>
            <w:tcMar>
              <w:top w:w="30" w:type="dxa"/>
              <w:bottom w:w="0" w:type="dxa"/>
              <w:right w:w="0" w:type="dxa"/>
            </w:tcMar>
            <w:vAlign w:val="center"/>
          </w:tcPr>
          <w:p>
            <w:pPr>
              <w:pStyle w:val="Normal"/>
              <w:bidi w:val="0"/>
              <w:jc w:val="left"/>
              <w:rPr/>
            </w:pPr>
            <w:r>
              <w:rPr/>
            </w:r>
          </w:p>
        </w:tc>
        <w:tc>
          <w:tcPr>
            <w:tcW w:w="526"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03/01/2022</w:t>
            </w:r>
          </w:p>
        </w:tc>
        <w:tc>
          <w:tcPr>
            <w:tcW w:w="1249"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12,993 </w:t>
            </w:r>
          </w:p>
        </w:tc>
        <w:tc>
          <w:tcPr>
            <w:tcW w:w="143"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both"/>
              <w:rPr>
                <w:rFonts w:ascii="Arial;sans-serif" w:hAnsi="Arial;sans-serif"/>
                <w:b w:val="false"/>
                <w:color w:val="000000"/>
                <w:sz w:val="10"/>
              </w:rPr>
            </w:pPr>
            <w:r>
              <w:rPr>
                <w:rFonts w:ascii="Arial;sans-serif" w:hAnsi="Arial;sans-serif"/>
                <w:b w:val="false"/>
                <w:color w:val="000000"/>
                <w:sz w:val="10"/>
              </w:rPr>
              <w:t>(5a)</w:t>
            </w:r>
          </w:p>
        </w:tc>
        <w:tc>
          <w:tcPr>
            <w:tcW w:w="860" w:type="dxa"/>
            <w:gridSpan w:val="2"/>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1,312,423 </w:t>
            </w:r>
          </w:p>
        </w:tc>
        <w:tc>
          <w:tcPr>
            <w:tcW w:w="292"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0"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21" w:type="dxa"/>
            <w:tcBorders>
              <w:top w:val="single" w:sz="4" w:space="0" w:color="000000"/>
              <w:right w:val="single" w:sz="4" w:space="0" w:color="000000"/>
            </w:tcBorders>
            <w:shd w:fill="FFFF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30" w:type="dxa"/>
            <w:gridSpan w:val="3"/>
            <w:vMerge w:val="continue"/>
            <w:tcBorders>
              <w:top w:val="single" w:sz="4" w:space="0" w:color="000000"/>
              <w:left w:val="single" w:sz="4" w:space="0" w:color="000000"/>
            </w:tcBorders>
            <w:tcMar>
              <w:top w:w="30" w:type="dxa"/>
              <w:bottom w:w="0" w:type="dxa"/>
              <w:right w:w="0" w:type="dxa"/>
            </w:tcMar>
            <w:vAlign w:val="center"/>
          </w:tcPr>
          <w:p>
            <w:pPr>
              <w:pStyle w:val="Normal"/>
              <w:bidi w:val="0"/>
              <w:jc w:val="left"/>
              <w:rPr/>
            </w:pPr>
            <w:r>
              <w:rPr/>
            </w:r>
          </w:p>
        </w:tc>
        <w:tc>
          <w:tcPr>
            <w:tcW w:w="526" w:type="dxa"/>
            <w:gridSpan w:val="3"/>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03/01/2022</w:t>
            </w:r>
          </w:p>
        </w:tc>
        <w:tc>
          <w:tcPr>
            <w:tcW w:w="832" w:type="dxa"/>
            <w:gridSpan w:val="2"/>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32,919 </w:t>
            </w:r>
          </w:p>
        </w:tc>
        <w:tc>
          <w:tcPr>
            <w:tcW w:w="417" w:type="dxa"/>
            <w:tcBorders>
              <w:top w:val="single" w:sz="4" w:space="0" w:color="000000"/>
            </w:tcBorders>
            <w:shd w:fill="E6E7E8"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16,459 </w:t>
            </w:r>
          </w:p>
        </w:tc>
        <w:tc>
          <w:tcPr>
            <w:tcW w:w="377" w:type="dxa"/>
            <w:tcBorders>
              <w:top w:val="single" w:sz="4" w:space="0" w:color="000000"/>
            </w:tcBorders>
            <w:shd w:fill="E6E7E8"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48.97 </w:t>
            </w:r>
          </w:p>
        </w:tc>
        <w:tc>
          <w:tcPr>
            <w:tcW w:w="243" w:type="dxa"/>
            <w:tcBorders>
              <w:top w:val="single" w:sz="4" w:space="0" w:color="000000"/>
            </w:tcBorders>
            <w:shd w:fill="E6E7E8"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03/01/2032</w:t>
            </w:r>
          </w:p>
        </w:tc>
        <w:tc>
          <w:tcPr>
            <w:tcW w:w="760" w:type="dxa"/>
            <w:gridSpan w:val="3"/>
            <w:tcBorders>
              <w:top w:val="single" w:sz="4" w:space="0" w:color="000000"/>
              <w:left w:val="single" w:sz="4" w:space="0" w:color="000000"/>
            </w:tcBorders>
            <w:shd w:fill="E6E7E8" w:val="clear"/>
            <w:tcMar>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op w:val="single" w:sz="4" w:space="0" w:color="000000"/>
            </w:tcBorders>
            <w:shd w:fill="E6E7E8"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single" w:sz="4" w:space="0" w:color="000000"/>
              <w:left w:val="single" w:sz="4" w:space="0" w:color="000000"/>
            </w:tcBorders>
            <w:shd w:fill="E6E7E8" w:val="clear"/>
            <w:tcMar>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4" w:space="0" w:color="000000"/>
              <w:left w:val="single" w:sz="4" w:space="0" w:color="000000"/>
            </w:tcBorders>
            <w:shd w:fill="E6E7E8" w:val="clear"/>
            <w:tcMar>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3"/>
            <w:tcBorders>
              <w:top w:val="single" w:sz="4" w:space="0" w:color="000000"/>
            </w:tcBorders>
            <w:shd w:fill="E6E7E8"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op w:val="single" w:sz="4" w:space="0" w:color="000000"/>
              <w:left w:val="single" w:sz="4" w:space="0" w:color="000000"/>
              <w:right w:val="single" w:sz="4" w:space="0" w:color="000000"/>
            </w:tcBorders>
            <w:shd w:fill="E6E7E8" w:val="clear"/>
            <w:tcMar>
              <w:bottom w:w="0" w:type="dxa"/>
              <w:right w:w="290" w:type="dxa"/>
            </w:tcMar>
            <w:vAlign w:val="center"/>
          </w:tcPr>
          <w:p>
            <w:pPr>
              <w:pStyle w:val="TableContents"/>
              <w:bidi w:val="0"/>
              <w:spacing w:before="0" w:after="283"/>
              <w:jc w:val="left"/>
              <w:rPr>
                <w:sz w:val="4"/>
                <w:szCs w:val="4"/>
              </w:rPr>
            </w:pPr>
            <w:r>
              <w:rPr>
                <w:sz w:val="4"/>
                <w:szCs w:val="4"/>
              </w:rPr>
            </w:r>
          </w:p>
        </w:tc>
      </w:tr>
      <w:tr>
        <w:trPr/>
        <w:tc>
          <w:tcPr>
            <w:tcW w:w="630" w:type="dxa"/>
            <w:gridSpan w:val="3"/>
            <w:vMerge w:val="continue"/>
            <w:tcBorders>
              <w:top w:val="single" w:sz="4" w:space="0" w:color="000000"/>
              <w:left w:val="single" w:sz="4" w:space="0" w:color="000000"/>
            </w:tcBorders>
            <w:tcMar>
              <w:top w:w="30" w:type="dxa"/>
              <w:bottom w:w="0" w:type="dxa"/>
              <w:right w:w="0" w:type="dxa"/>
            </w:tcMar>
            <w:vAlign w:val="center"/>
          </w:tcPr>
          <w:p>
            <w:pPr>
              <w:pStyle w:val="Normal"/>
              <w:bidi w:val="0"/>
              <w:jc w:val="left"/>
              <w:rPr/>
            </w:pPr>
            <w:r>
              <w:rPr/>
            </w:r>
          </w:p>
        </w:tc>
        <w:tc>
          <w:tcPr>
            <w:tcW w:w="526"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03/01/2023</w:t>
            </w:r>
          </w:p>
        </w:tc>
        <w:tc>
          <w:tcPr>
            <w:tcW w:w="1249"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77"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29,238 </w:t>
            </w:r>
          </w:p>
        </w:tc>
        <w:tc>
          <w:tcPr>
            <w:tcW w:w="143"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2,953,330 </w:t>
            </w:r>
          </w:p>
        </w:tc>
        <w:tc>
          <w:tcPr>
            <w:tcW w:w="292"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30,992 </w:t>
            </w:r>
          </w:p>
        </w:tc>
        <w:tc>
          <w:tcPr>
            <w:tcW w:w="180"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both"/>
              <w:rPr>
                <w:rFonts w:ascii="Arial;sans-serif" w:hAnsi="Arial;sans-serif"/>
                <w:b w:val="false"/>
                <w:color w:val="000000"/>
                <w:sz w:val="10"/>
              </w:rPr>
            </w:pPr>
            <w:r>
              <w:rPr>
                <w:rFonts w:ascii="Arial;sans-serif" w:hAnsi="Arial;sans-serif"/>
                <w:b w:val="false"/>
                <w:color w:val="000000"/>
                <w:sz w:val="10"/>
              </w:rPr>
              <w:t>(6b)</w:t>
            </w:r>
          </w:p>
        </w:tc>
        <w:tc>
          <w:tcPr>
            <w:tcW w:w="878" w:type="dxa"/>
            <w:gridSpan w:val="2"/>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3,130,530 </w:t>
            </w:r>
          </w:p>
        </w:tc>
        <w:tc>
          <w:tcPr>
            <w:tcW w:w="421" w:type="dxa"/>
            <w:tcBorders>
              <w:top w:val="single" w:sz="4" w:space="0" w:color="000000"/>
              <w:right w:val="single" w:sz="4" w:space="0" w:color="000000"/>
            </w:tcBorders>
            <w:shd w:fill="FFFF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30" w:type="dxa"/>
            <w:gridSpan w:val="3"/>
            <w:vMerge w:val="continue"/>
            <w:tcBorders>
              <w:top w:val="single" w:sz="4" w:space="0" w:color="000000"/>
              <w:left w:val="single" w:sz="4" w:space="0" w:color="000000"/>
            </w:tcBorders>
            <w:tcMar>
              <w:top w:w="30" w:type="dxa"/>
              <w:bottom w:w="0" w:type="dxa"/>
              <w:right w:w="0" w:type="dxa"/>
            </w:tcMar>
            <w:vAlign w:val="center"/>
          </w:tcPr>
          <w:p>
            <w:pPr>
              <w:pStyle w:val="Normal"/>
              <w:bidi w:val="0"/>
              <w:jc w:val="left"/>
              <w:rPr/>
            </w:pPr>
            <w:r>
              <w:rPr/>
            </w:r>
          </w:p>
        </w:tc>
        <w:tc>
          <w:tcPr>
            <w:tcW w:w="526" w:type="dxa"/>
            <w:gridSpan w:val="3"/>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03/01/2023</w:t>
            </w:r>
          </w:p>
        </w:tc>
        <w:tc>
          <w:tcPr>
            <w:tcW w:w="1249" w:type="dxa"/>
            <w:gridSpan w:val="3"/>
            <w:tcBorders>
              <w:top w:val="single" w:sz="4" w:space="0" w:color="000000"/>
              <w:left w:val="single" w:sz="4" w:space="0" w:color="000000"/>
            </w:tcBorders>
            <w:shd w:fill="E6E7E8" w:val="clear"/>
            <w:tcMar>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77" w:type="dxa"/>
            <w:tcBorders>
              <w:top w:val="single" w:sz="4" w:space="0" w:color="000000"/>
            </w:tcBorders>
            <w:shd w:fill="E6E7E8"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top w:val="single" w:sz="4" w:space="0" w:color="000000"/>
              <w:left w:val="single" w:sz="4" w:space="0" w:color="000000"/>
            </w:tcBorders>
            <w:shd w:fill="E6E7E8" w:val="clear"/>
            <w:tcMar>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op w:val="single" w:sz="4" w:space="0" w:color="000000"/>
              <w:left w:val="single" w:sz="4" w:space="0" w:color="000000"/>
            </w:tcBorders>
            <w:shd w:fill="E6E7E8" w:val="clear"/>
            <w:tcMar>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14,619 </w:t>
            </w:r>
          </w:p>
        </w:tc>
        <w:tc>
          <w:tcPr>
            <w:tcW w:w="143" w:type="dxa"/>
            <w:tcBorders>
              <w:top w:val="single" w:sz="4" w:space="0" w:color="000000"/>
            </w:tcBorders>
            <w:shd w:fill="E6E7E8"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op w:val="single" w:sz="4" w:space="0" w:color="000000"/>
            </w:tcBorders>
            <w:shd w:fill="E6E7E8" w:val="clear"/>
            <w:tcMar>
              <w:top w:w="30" w:type="dxa"/>
              <w:left w:w="0" w:type="dxa"/>
              <w:bottom w:w="0" w:type="dxa"/>
              <w:right w:w="0" w:type="dxa"/>
            </w:tcMar>
            <w:vAlign w:val="center"/>
          </w:tcPr>
          <w:p>
            <w:pPr>
              <w:pStyle w:val="TableContents"/>
              <w:bidi w:val="0"/>
              <w:spacing w:lineRule="auto" w:line="288" w:before="0" w:after="283"/>
              <w:jc w:val="both"/>
              <w:rPr>
                <w:rFonts w:ascii="Arial;sans-serif" w:hAnsi="Arial;sans-serif"/>
                <w:b w:val="false"/>
                <w:color w:val="000000"/>
                <w:sz w:val="10"/>
              </w:rPr>
            </w:pPr>
            <w:r>
              <w:rPr>
                <w:rFonts w:ascii="Arial;sans-serif" w:hAnsi="Arial;sans-serif"/>
                <w:b w:val="false"/>
                <w:color w:val="000000"/>
                <w:sz w:val="10"/>
              </w:rPr>
              <w:t>(6a)</w:t>
            </w:r>
          </w:p>
        </w:tc>
        <w:tc>
          <w:tcPr>
            <w:tcW w:w="860" w:type="dxa"/>
            <w:gridSpan w:val="2"/>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1,476,665 </w:t>
            </w:r>
          </w:p>
        </w:tc>
        <w:tc>
          <w:tcPr>
            <w:tcW w:w="292" w:type="dxa"/>
            <w:tcBorders>
              <w:top w:val="single" w:sz="4" w:space="0" w:color="000000"/>
            </w:tcBorders>
            <w:shd w:fill="E6E7E8"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0" w:type="dxa"/>
            <w:tcBorders>
              <w:top w:val="single" w:sz="4" w:space="0" w:color="000000"/>
            </w:tcBorders>
            <w:shd w:fill="E6E7E8"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3"/>
            <w:tcBorders>
              <w:top w:val="single" w:sz="4" w:space="0" w:color="000000"/>
            </w:tcBorders>
            <w:shd w:fill="E6E7E8"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21" w:type="dxa"/>
            <w:tcBorders>
              <w:top w:val="single" w:sz="4" w:space="0" w:color="000000"/>
              <w:right w:val="single" w:sz="4" w:space="0" w:color="000000"/>
            </w:tcBorders>
            <w:shd w:fill="E6E7E8"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30" w:type="dxa"/>
            <w:gridSpan w:val="3"/>
            <w:vMerge w:val="continue"/>
            <w:tcBorders>
              <w:top w:val="single" w:sz="4" w:space="0" w:color="000000"/>
              <w:left w:val="single" w:sz="4" w:space="0" w:color="000000"/>
            </w:tcBorders>
            <w:tcMar>
              <w:top w:w="30" w:type="dxa"/>
              <w:bottom w:w="0" w:type="dxa"/>
              <w:right w:w="0" w:type="dxa"/>
            </w:tcMar>
            <w:vAlign w:val="center"/>
          </w:tcPr>
          <w:p>
            <w:pPr>
              <w:pStyle w:val="Normal"/>
              <w:bidi w:val="0"/>
              <w:jc w:val="left"/>
              <w:rPr/>
            </w:pPr>
            <w:r>
              <w:rPr/>
            </w:r>
          </w:p>
        </w:tc>
        <w:tc>
          <w:tcPr>
            <w:tcW w:w="526"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03/01/2023</w:t>
            </w:r>
          </w:p>
        </w:tc>
        <w:tc>
          <w:tcPr>
            <w:tcW w:w="832" w:type="dxa"/>
            <w:gridSpan w:val="2"/>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33,707 </w:t>
            </w:r>
          </w:p>
        </w:tc>
        <w:tc>
          <w:tcPr>
            <w:tcW w:w="417"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77"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71.93 </w:t>
            </w:r>
          </w:p>
        </w:tc>
        <w:tc>
          <w:tcPr>
            <w:tcW w:w="243"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03/01/2033</w:t>
            </w:r>
          </w:p>
        </w:tc>
        <w:tc>
          <w:tcPr>
            <w:tcW w:w="760"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op w:val="single" w:sz="4" w:space="0" w:color="000000"/>
              <w:right w:val="single" w:sz="4" w:space="0" w:color="000000"/>
            </w:tcBorders>
            <w:shd w:fill="FFFFFF" w:val="clear"/>
            <w:tcMar>
              <w:left w:w="0" w:type="dxa"/>
              <w:bottom w:w="0" w:type="dxa"/>
              <w:right w:w="290" w:type="dxa"/>
            </w:tcMar>
            <w:vAlign w:val="center"/>
          </w:tcPr>
          <w:p>
            <w:pPr>
              <w:pStyle w:val="TableContents"/>
              <w:bidi w:val="0"/>
              <w:spacing w:before="0" w:after="283"/>
              <w:jc w:val="left"/>
              <w:rPr>
                <w:sz w:val="4"/>
                <w:szCs w:val="4"/>
              </w:rPr>
            </w:pPr>
            <w:r>
              <w:rPr>
                <w:sz w:val="4"/>
                <w:szCs w:val="4"/>
              </w:rPr>
            </w:r>
          </w:p>
        </w:tc>
      </w:tr>
      <w:tr>
        <w:trPr/>
        <w:tc>
          <w:tcPr>
            <w:tcW w:w="630" w:type="dxa"/>
            <w:gridSpan w:val="3"/>
            <w:vMerge w:val="restart"/>
            <w:tcBorders>
              <w:top w:val="single" w:sz="4" w:space="0" w:color="000000"/>
              <w:left w:val="single" w:sz="4" w:space="0" w:color="000000"/>
            </w:tcBorders>
            <w:tcMar>
              <w:top w:w="30" w:type="dxa"/>
              <w:left w:w="11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Mark A. Carano</w:t>
            </w:r>
          </w:p>
        </w:tc>
        <w:tc>
          <w:tcPr>
            <w:tcW w:w="526" w:type="dxa"/>
            <w:gridSpan w:val="3"/>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02/01/2023</w:t>
            </w:r>
          </w:p>
        </w:tc>
        <w:tc>
          <w:tcPr>
            <w:tcW w:w="832" w:type="dxa"/>
            <w:gridSpan w:val="2"/>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3,499 </w:t>
            </w:r>
          </w:p>
        </w:tc>
        <w:tc>
          <w:tcPr>
            <w:tcW w:w="417" w:type="dxa"/>
            <w:tcBorders>
              <w:top w:val="single" w:sz="4" w:space="0" w:color="000000"/>
            </w:tcBorders>
            <w:shd w:fill="E6E7E8"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77" w:type="dxa"/>
            <w:tcBorders>
              <w:top w:val="single" w:sz="4" w:space="0" w:color="000000"/>
            </w:tcBorders>
            <w:shd w:fill="E6E7E8"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top w:val="single" w:sz="4" w:space="0" w:color="000000"/>
              <w:left w:val="single" w:sz="4" w:space="0" w:color="000000"/>
            </w:tcBorders>
            <w:shd w:fill="E6E7E8" w:val="clear"/>
            <w:tcMar>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op w:val="single" w:sz="4" w:space="0" w:color="000000"/>
              <w:left w:val="single" w:sz="4" w:space="0" w:color="000000"/>
            </w:tcBorders>
            <w:shd w:fill="E6E7E8" w:val="clear"/>
            <w:tcMar>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3,499 </w:t>
            </w:r>
          </w:p>
        </w:tc>
        <w:tc>
          <w:tcPr>
            <w:tcW w:w="143" w:type="dxa"/>
            <w:tcBorders>
              <w:top w:val="single" w:sz="4" w:space="0" w:color="000000"/>
            </w:tcBorders>
            <w:shd w:fill="E6E7E8"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op w:val="single" w:sz="4" w:space="0" w:color="000000"/>
            </w:tcBorders>
            <w:shd w:fill="E6E7E8" w:val="clear"/>
            <w:tcMar>
              <w:top w:w="30" w:type="dxa"/>
              <w:left w:w="0" w:type="dxa"/>
              <w:bottom w:w="0" w:type="dxa"/>
              <w:right w:w="0" w:type="dxa"/>
            </w:tcMar>
            <w:vAlign w:val="center"/>
          </w:tcPr>
          <w:p>
            <w:pPr>
              <w:pStyle w:val="TableContents"/>
              <w:bidi w:val="0"/>
              <w:spacing w:lineRule="auto" w:line="288" w:before="0" w:after="283"/>
              <w:jc w:val="both"/>
              <w:rPr>
                <w:rFonts w:ascii="Arial;sans-serif" w:hAnsi="Arial;sans-serif"/>
                <w:b w:val="false"/>
                <w:color w:val="000000"/>
                <w:sz w:val="10"/>
              </w:rPr>
            </w:pPr>
            <w:r>
              <w:rPr>
                <w:rFonts w:ascii="Arial;sans-serif" w:hAnsi="Arial;sans-serif"/>
                <w:b w:val="false"/>
                <w:color w:val="000000"/>
                <w:sz w:val="10"/>
              </w:rPr>
              <w:t>(7)</w:t>
            </w:r>
          </w:p>
        </w:tc>
        <w:tc>
          <w:tcPr>
            <w:tcW w:w="860" w:type="dxa"/>
            <w:gridSpan w:val="2"/>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353,434 </w:t>
            </w:r>
          </w:p>
        </w:tc>
        <w:tc>
          <w:tcPr>
            <w:tcW w:w="292" w:type="dxa"/>
            <w:tcBorders>
              <w:top w:val="single" w:sz="4" w:space="0" w:color="000000"/>
            </w:tcBorders>
            <w:shd w:fill="E6E7E8"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0" w:type="dxa"/>
            <w:tcBorders>
              <w:top w:val="single" w:sz="4" w:space="0" w:color="000000"/>
            </w:tcBorders>
            <w:shd w:fill="E6E7E8"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3"/>
            <w:tcBorders>
              <w:top w:val="single" w:sz="4" w:space="0" w:color="000000"/>
            </w:tcBorders>
            <w:shd w:fill="E6E7E8"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21" w:type="dxa"/>
            <w:tcBorders>
              <w:top w:val="single" w:sz="4" w:space="0" w:color="000000"/>
              <w:right w:val="single" w:sz="4" w:space="0" w:color="000000"/>
            </w:tcBorders>
            <w:shd w:fill="E6E7E8"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30" w:type="dxa"/>
            <w:gridSpan w:val="3"/>
            <w:vMerge w:val="continue"/>
            <w:tcBorders>
              <w:top w:val="single" w:sz="4" w:space="0" w:color="000000"/>
              <w:left w:val="single" w:sz="4" w:space="0" w:color="000000"/>
            </w:tcBorders>
            <w:tcMar>
              <w:top w:w="30" w:type="dxa"/>
              <w:left w:w="110" w:type="dxa"/>
              <w:bottom w:w="0" w:type="dxa"/>
              <w:right w:w="0" w:type="dxa"/>
            </w:tcMar>
            <w:vAlign w:val="center"/>
          </w:tcPr>
          <w:p>
            <w:pPr>
              <w:pStyle w:val="Normal"/>
              <w:bidi w:val="0"/>
              <w:jc w:val="left"/>
              <w:rPr/>
            </w:pPr>
            <w:r>
              <w:rPr/>
            </w:r>
          </w:p>
        </w:tc>
        <w:tc>
          <w:tcPr>
            <w:tcW w:w="526"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03/01/2023</w:t>
            </w:r>
          </w:p>
        </w:tc>
        <w:tc>
          <w:tcPr>
            <w:tcW w:w="832" w:type="dxa"/>
            <w:gridSpan w:val="2"/>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4,816 </w:t>
            </w:r>
          </w:p>
        </w:tc>
        <w:tc>
          <w:tcPr>
            <w:tcW w:w="417"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77"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4,816 </w:t>
            </w:r>
          </w:p>
        </w:tc>
        <w:tc>
          <w:tcPr>
            <w:tcW w:w="143"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486,464 </w:t>
            </w:r>
          </w:p>
        </w:tc>
        <w:tc>
          <w:tcPr>
            <w:tcW w:w="292"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5,105 </w:t>
            </w:r>
          </w:p>
        </w:tc>
        <w:tc>
          <w:tcPr>
            <w:tcW w:w="180"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both"/>
              <w:rPr>
                <w:rFonts w:ascii="Arial;sans-serif" w:hAnsi="Arial;sans-serif"/>
                <w:b w:val="false"/>
                <w:color w:val="000000"/>
                <w:sz w:val="10"/>
              </w:rPr>
            </w:pPr>
            <w:r>
              <w:rPr>
                <w:rFonts w:ascii="Arial;sans-serif" w:hAnsi="Arial;sans-serif"/>
                <w:b w:val="false"/>
                <w:color w:val="000000"/>
                <w:sz w:val="10"/>
              </w:rPr>
              <w:t>(6b)</w:t>
            </w:r>
          </w:p>
        </w:tc>
        <w:tc>
          <w:tcPr>
            <w:tcW w:w="878" w:type="dxa"/>
            <w:gridSpan w:val="2"/>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515,652 </w:t>
            </w:r>
          </w:p>
        </w:tc>
        <w:tc>
          <w:tcPr>
            <w:tcW w:w="421" w:type="dxa"/>
            <w:tcBorders>
              <w:top w:val="single" w:sz="4" w:space="0" w:color="000000"/>
              <w:right w:val="single" w:sz="4" w:space="0" w:color="000000"/>
            </w:tcBorders>
            <w:shd w:fill="FFFF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30" w:type="dxa"/>
            <w:gridSpan w:val="3"/>
            <w:vMerge w:val="continue"/>
            <w:tcBorders>
              <w:top w:val="single" w:sz="4" w:space="0" w:color="000000"/>
              <w:left w:val="single" w:sz="4" w:space="0" w:color="000000"/>
            </w:tcBorders>
            <w:tcMar>
              <w:top w:w="30" w:type="dxa"/>
              <w:left w:w="110" w:type="dxa"/>
              <w:bottom w:w="0" w:type="dxa"/>
              <w:right w:w="0" w:type="dxa"/>
            </w:tcMar>
            <w:vAlign w:val="center"/>
          </w:tcPr>
          <w:p>
            <w:pPr>
              <w:pStyle w:val="Normal"/>
              <w:bidi w:val="0"/>
              <w:jc w:val="left"/>
              <w:rPr/>
            </w:pPr>
            <w:r>
              <w:rPr/>
            </w:r>
          </w:p>
        </w:tc>
        <w:tc>
          <w:tcPr>
            <w:tcW w:w="526" w:type="dxa"/>
            <w:gridSpan w:val="3"/>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03/01/2023</w:t>
            </w:r>
          </w:p>
        </w:tc>
        <w:tc>
          <w:tcPr>
            <w:tcW w:w="832" w:type="dxa"/>
            <w:gridSpan w:val="2"/>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2,408 </w:t>
            </w:r>
          </w:p>
        </w:tc>
        <w:tc>
          <w:tcPr>
            <w:tcW w:w="417" w:type="dxa"/>
            <w:tcBorders>
              <w:top w:val="single" w:sz="4" w:space="0" w:color="000000"/>
            </w:tcBorders>
            <w:shd w:fill="E6E7E8"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77" w:type="dxa"/>
            <w:tcBorders>
              <w:top w:val="single" w:sz="4" w:space="0" w:color="000000"/>
            </w:tcBorders>
            <w:shd w:fill="E6E7E8"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top w:val="single" w:sz="4" w:space="0" w:color="000000"/>
              <w:left w:val="single" w:sz="4" w:space="0" w:color="000000"/>
            </w:tcBorders>
            <w:shd w:fill="E6E7E8" w:val="clear"/>
            <w:tcMar>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op w:val="single" w:sz="4" w:space="0" w:color="000000"/>
              <w:left w:val="single" w:sz="4" w:space="0" w:color="000000"/>
            </w:tcBorders>
            <w:shd w:fill="E6E7E8" w:val="clear"/>
            <w:tcMar>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2,408 </w:t>
            </w:r>
          </w:p>
        </w:tc>
        <w:tc>
          <w:tcPr>
            <w:tcW w:w="143" w:type="dxa"/>
            <w:tcBorders>
              <w:top w:val="single" w:sz="4" w:space="0" w:color="000000"/>
            </w:tcBorders>
            <w:shd w:fill="E6E7E8"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op w:val="single" w:sz="4" w:space="0" w:color="000000"/>
            </w:tcBorders>
            <w:shd w:fill="E6E7E8" w:val="clear"/>
            <w:tcMar>
              <w:top w:w="30" w:type="dxa"/>
              <w:left w:w="0" w:type="dxa"/>
              <w:bottom w:w="0" w:type="dxa"/>
              <w:right w:w="0" w:type="dxa"/>
            </w:tcMar>
            <w:vAlign w:val="center"/>
          </w:tcPr>
          <w:p>
            <w:pPr>
              <w:pStyle w:val="TableContents"/>
              <w:bidi w:val="0"/>
              <w:spacing w:lineRule="auto" w:line="288" w:before="0" w:after="283"/>
              <w:jc w:val="both"/>
              <w:rPr>
                <w:rFonts w:ascii="Arial;sans-serif" w:hAnsi="Arial;sans-serif"/>
                <w:b w:val="false"/>
                <w:color w:val="000000"/>
                <w:sz w:val="10"/>
              </w:rPr>
            </w:pPr>
            <w:r>
              <w:rPr>
                <w:rFonts w:ascii="Arial;sans-serif" w:hAnsi="Arial;sans-serif"/>
                <w:b w:val="false"/>
                <w:color w:val="000000"/>
                <w:sz w:val="10"/>
              </w:rPr>
              <w:t>(6a)</w:t>
            </w:r>
          </w:p>
        </w:tc>
        <w:tc>
          <w:tcPr>
            <w:tcW w:w="860" w:type="dxa"/>
            <w:gridSpan w:val="2"/>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243,232 </w:t>
            </w:r>
          </w:p>
        </w:tc>
        <w:tc>
          <w:tcPr>
            <w:tcW w:w="292" w:type="dxa"/>
            <w:tcBorders>
              <w:top w:val="single" w:sz="4" w:space="0" w:color="000000"/>
            </w:tcBorders>
            <w:shd w:fill="E6E7E8"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0" w:type="dxa"/>
            <w:tcBorders>
              <w:top w:val="single" w:sz="4" w:space="0" w:color="000000"/>
            </w:tcBorders>
            <w:shd w:fill="E6E7E8"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3"/>
            <w:tcBorders>
              <w:top w:val="single" w:sz="4" w:space="0" w:color="000000"/>
            </w:tcBorders>
            <w:shd w:fill="E6E7E8"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21" w:type="dxa"/>
            <w:tcBorders>
              <w:top w:val="single" w:sz="4" w:space="0" w:color="000000"/>
              <w:right w:val="single" w:sz="4" w:space="0" w:color="000000"/>
            </w:tcBorders>
            <w:shd w:fill="E6E7E8"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30" w:type="dxa"/>
            <w:gridSpan w:val="3"/>
            <w:vMerge w:val="continue"/>
            <w:tcBorders>
              <w:top w:val="single" w:sz="4" w:space="0" w:color="000000"/>
              <w:left w:val="single" w:sz="4" w:space="0" w:color="000000"/>
            </w:tcBorders>
            <w:tcMar>
              <w:top w:w="30" w:type="dxa"/>
              <w:left w:w="110" w:type="dxa"/>
              <w:bottom w:w="0" w:type="dxa"/>
              <w:right w:w="0" w:type="dxa"/>
            </w:tcMar>
            <w:vAlign w:val="center"/>
          </w:tcPr>
          <w:p>
            <w:pPr>
              <w:pStyle w:val="Normal"/>
              <w:bidi w:val="0"/>
              <w:jc w:val="left"/>
              <w:rPr/>
            </w:pPr>
            <w:r>
              <w:rPr/>
            </w:r>
          </w:p>
        </w:tc>
        <w:tc>
          <w:tcPr>
            <w:tcW w:w="526"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03/01/2023</w:t>
            </w:r>
          </w:p>
        </w:tc>
        <w:tc>
          <w:tcPr>
            <w:tcW w:w="832" w:type="dxa"/>
            <w:gridSpan w:val="2"/>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5,552 </w:t>
            </w:r>
          </w:p>
        </w:tc>
        <w:tc>
          <w:tcPr>
            <w:tcW w:w="417"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77"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71.93 </w:t>
            </w:r>
          </w:p>
        </w:tc>
        <w:tc>
          <w:tcPr>
            <w:tcW w:w="243"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03/01/2033</w:t>
            </w:r>
          </w:p>
        </w:tc>
        <w:tc>
          <w:tcPr>
            <w:tcW w:w="617" w:type="dxa"/>
            <w:gridSpan w:val="2"/>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5,552 </w:t>
            </w:r>
          </w:p>
        </w:tc>
        <w:tc>
          <w:tcPr>
            <w:tcW w:w="143"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161,452 </w:t>
            </w:r>
          </w:p>
        </w:tc>
        <w:tc>
          <w:tcPr>
            <w:tcW w:w="292"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0"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21" w:type="dxa"/>
            <w:tcBorders>
              <w:top w:val="single" w:sz="4" w:space="0" w:color="000000"/>
              <w:right w:val="single" w:sz="4" w:space="0" w:color="000000"/>
            </w:tcBorders>
            <w:shd w:fill="FFFF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30" w:type="dxa"/>
            <w:gridSpan w:val="3"/>
            <w:vMerge w:val="restart"/>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0"/>
              <w:jc w:val="left"/>
              <w:rPr>
                <w:rFonts w:ascii="Arial;sans-serif" w:hAnsi="Arial;sans-serif"/>
                <w:b w:val="false"/>
                <w:color w:val="000000"/>
                <w:sz w:val="14"/>
              </w:rPr>
            </w:pPr>
            <w:r>
              <w:rPr>
                <w:rFonts w:ascii="Arial;sans-serif" w:hAnsi="Arial;sans-serif"/>
                <w:b w:val="false"/>
                <w:color w:val="000000"/>
                <w:sz w:val="14"/>
              </w:rPr>
              <w:t>J. Randall Data</w:t>
            </w:r>
          </w:p>
        </w:tc>
        <w:tc>
          <w:tcPr>
            <w:tcW w:w="526" w:type="dxa"/>
            <w:gridSpan w:val="3"/>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02/20/2020</w:t>
            </w:r>
          </w:p>
        </w:tc>
        <w:tc>
          <w:tcPr>
            <w:tcW w:w="832" w:type="dxa"/>
            <w:gridSpan w:val="2"/>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17" w:type="dxa"/>
            <w:tcBorders>
              <w:top w:val="single" w:sz="4" w:space="0" w:color="000000"/>
            </w:tcBorders>
            <w:shd w:fill="E6E7E8"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11,959 </w:t>
            </w:r>
          </w:p>
        </w:tc>
        <w:tc>
          <w:tcPr>
            <w:tcW w:w="377" w:type="dxa"/>
            <w:tcBorders>
              <w:top w:val="single" w:sz="4" w:space="0" w:color="000000"/>
            </w:tcBorders>
            <w:shd w:fill="E6E7E8"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50.09 </w:t>
            </w:r>
          </w:p>
        </w:tc>
        <w:tc>
          <w:tcPr>
            <w:tcW w:w="243" w:type="dxa"/>
            <w:tcBorders>
              <w:top w:val="single" w:sz="4" w:space="0" w:color="000000"/>
            </w:tcBorders>
            <w:shd w:fill="E6E7E8"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02/20/2030</w:t>
            </w:r>
          </w:p>
        </w:tc>
        <w:tc>
          <w:tcPr>
            <w:tcW w:w="760" w:type="dxa"/>
            <w:gridSpan w:val="3"/>
            <w:tcBorders>
              <w:top w:val="single" w:sz="4" w:space="0" w:color="000000"/>
              <w:left w:val="single" w:sz="4" w:space="0" w:color="000000"/>
            </w:tcBorders>
            <w:shd w:fill="E6E7E8" w:val="clear"/>
            <w:tcMar>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op w:val="single" w:sz="4" w:space="0" w:color="000000"/>
            </w:tcBorders>
            <w:shd w:fill="E6E7E8"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single" w:sz="4" w:space="0" w:color="000000"/>
              <w:left w:val="single" w:sz="4" w:space="0" w:color="000000"/>
            </w:tcBorders>
            <w:shd w:fill="E6E7E8" w:val="clear"/>
            <w:tcMar>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4" w:space="0" w:color="000000"/>
              <w:left w:val="single" w:sz="4" w:space="0" w:color="000000"/>
            </w:tcBorders>
            <w:shd w:fill="E6E7E8" w:val="clear"/>
            <w:tcMar>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3"/>
            <w:tcBorders>
              <w:top w:val="single" w:sz="4" w:space="0" w:color="000000"/>
            </w:tcBorders>
            <w:shd w:fill="E6E7E8"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op w:val="single" w:sz="4" w:space="0" w:color="000000"/>
              <w:left w:val="single" w:sz="4" w:space="0" w:color="000000"/>
              <w:right w:val="single" w:sz="4" w:space="0" w:color="000000"/>
            </w:tcBorders>
            <w:shd w:fill="E6E7E8" w:val="clear"/>
            <w:tcMar>
              <w:bottom w:w="0" w:type="dxa"/>
              <w:right w:w="290" w:type="dxa"/>
            </w:tcMar>
            <w:vAlign w:val="center"/>
          </w:tcPr>
          <w:p>
            <w:pPr>
              <w:pStyle w:val="TableContents"/>
              <w:bidi w:val="0"/>
              <w:spacing w:before="0" w:after="283"/>
              <w:jc w:val="left"/>
              <w:rPr>
                <w:sz w:val="4"/>
                <w:szCs w:val="4"/>
              </w:rPr>
            </w:pPr>
            <w:r>
              <w:rPr>
                <w:sz w:val="4"/>
                <w:szCs w:val="4"/>
              </w:rPr>
            </w:r>
          </w:p>
        </w:tc>
      </w:tr>
      <w:tr>
        <w:trPr/>
        <w:tc>
          <w:tcPr>
            <w:tcW w:w="630" w:type="dxa"/>
            <w:gridSpan w:val="3"/>
            <w:vMerge w:val="continue"/>
            <w:tcBorders>
              <w:top w:val="single" w:sz="4" w:space="0" w:color="000000"/>
              <w:left w:val="single" w:sz="4" w:space="0" w:color="000000"/>
              <w:bottom w:val="single" w:sz="4" w:space="0" w:color="000000"/>
            </w:tcBorders>
            <w:tcMar>
              <w:top w:w="30" w:type="dxa"/>
              <w:bottom w:w="30" w:type="dxa"/>
              <w:right w:w="0" w:type="dxa"/>
            </w:tcMar>
            <w:vAlign w:val="center"/>
          </w:tcPr>
          <w:p>
            <w:pPr>
              <w:pStyle w:val="Normal"/>
              <w:bidi w:val="0"/>
              <w:jc w:val="left"/>
              <w:rPr/>
            </w:pPr>
            <w:r>
              <w:rPr/>
            </w:r>
          </w:p>
        </w:tc>
        <w:tc>
          <w:tcPr>
            <w:tcW w:w="526"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03/01/2021</w:t>
            </w:r>
          </w:p>
        </w:tc>
        <w:tc>
          <w:tcPr>
            <w:tcW w:w="1249"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1,152 </w:t>
            </w:r>
          </w:p>
        </w:tc>
        <w:tc>
          <w:tcPr>
            <w:tcW w:w="143"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both"/>
              <w:rPr>
                <w:rFonts w:ascii="Arial;sans-serif" w:hAnsi="Arial;sans-serif"/>
                <w:b w:val="false"/>
                <w:color w:val="000000"/>
                <w:sz w:val="10"/>
              </w:rPr>
            </w:pPr>
            <w:r>
              <w:rPr>
                <w:rFonts w:ascii="Arial;sans-serif" w:hAnsi="Arial;sans-serif"/>
                <w:b w:val="false"/>
                <w:color w:val="000000"/>
                <w:sz w:val="10"/>
              </w:rPr>
              <w:t>(4a)</w:t>
            </w:r>
          </w:p>
        </w:tc>
        <w:tc>
          <w:tcPr>
            <w:tcW w:w="860" w:type="dxa"/>
            <w:gridSpan w:val="2"/>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116,364 </w:t>
            </w:r>
          </w:p>
        </w:tc>
        <w:tc>
          <w:tcPr>
            <w:tcW w:w="292"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0"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21" w:type="dxa"/>
            <w:tcBorders>
              <w:top w:val="single" w:sz="4" w:space="0" w:color="000000"/>
              <w:right w:val="single" w:sz="4" w:space="0" w:color="000000"/>
            </w:tcBorders>
            <w:shd w:fill="FFFF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30" w:type="dxa"/>
            <w:gridSpan w:val="3"/>
            <w:vMerge w:val="continue"/>
            <w:tcBorders>
              <w:top w:val="single" w:sz="4" w:space="0" w:color="000000"/>
              <w:left w:val="single" w:sz="4" w:space="0" w:color="000000"/>
              <w:bottom w:val="single" w:sz="4" w:space="0" w:color="000000"/>
            </w:tcBorders>
            <w:tcMar>
              <w:top w:w="30" w:type="dxa"/>
              <w:bottom w:w="30" w:type="dxa"/>
              <w:right w:w="0" w:type="dxa"/>
            </w:tcMar>
            <w:vAlign w:val="center"/>
          </w:tcPr>
          <w:p>
            <w:pPr>
              <w:pStyle w:val="Normal"/>
              <w:bidi w:val="0"/>
              <w:jc w:val="left"/>
              <w:rPr/>
            </w:pPr>
            <w:r>
              <w:rPr/>
            </w:r>
          </w:p>
        </w:tc>
        <w:tc>
          <w:tcPr>
            <w:tcW w:w="526" w:type="dxa"/>
            <w:gridSpan w:val="3"/>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03/01/2021</w:t>
            </w:r>
          </w:p>
        </w:tc>
        <w:tc>
          <w:tcPr>
            <w:tcW w:w="1249" w:type="dxa"/>
            <w:gridSpan w:val="3"/>
            <w:tcBorders>
              <w:top w:val="single" w:sz="4" w:space="0" w:color="000000"/>
              <w:left w:val="single" w:sz="4" w:space="0" w:color="000000"/>
            </w:tcBorders>
            <w:shd w:fill="E6E7E8" w:val="clear"/>
            <w:tcMar>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4" w:space="0" w:color="000000"/>
              <w:left w:val="single" w:sz="4" w:space="0" w:color="000000"/>
            </w:tcBorders>
            <w:shd w:fill="E6E7E8" w:val="clear"/>
            <w:tcMar>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top w:val="single" w:sz="4" w:space="0" w:color="000000"/>
              <w:left w:val="single" w:sz="4" w:space="0" w:color="000000"/>
            </w:tcBorders>
            <w:shd w:fill="E6E7E8" w:val="clear"/>
            <w:tcMar>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op w:val="single" w:sz="4" w:space="0" w:color="000000"/>
              <w:left w:val="single" w:sz="4" w:space="0" w:color="000000"/>
            </w:tcBorders>
            <w:shd w:fill="E6E7E8" w:val="clear"/>
            <w:tcMar>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6,910 </w:t>
            </w:r>
          </w:p>
        </w:tc>
        <w:tc>
          <w:tcPr>
            <w:tcW w:w="143" w:type="dxa"/>
            <w:tcBorders>
              <w:top w:val="single" w:sz="4" w:space="0" w:color="000000"/>
            </w:tcBorders>
            <w:shd w:fill="E6E7E8"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op w:val="single" w:sz="4" w:space="0" w:color="000000"/>
            </w:tcBorders>
            <w:shd w:fill="E6E7E8"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697,979 </w:t>
            </w:r>
          </w:p>
        </w:tc>
        <w:tc>
          <w:tcPr>
            <w:tcW w:w="292" w:type="dxa"/>
            <w:tcBorders>
              <w:top w:val="single" w:sz="4" w:space="0" w:color="000000"/>
            </w:tcBorders>
            <w:shd w:fill="E6E7E8"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9,398 </w:t>
            </w:r>
          </w:p>
        </w:tc>
        <w:tc>
          <w:tcPr>
            <w:tcW w:w="180" w:type="dxa"/>
            <w:tcBorders>
              <w:top w:val="single" w:sz="4" w:space="0" w:color="000000"/>
            </w:tcBorders>
            <w:shd w:fill="E6E7E8"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3"/>
            <w:tcBorders>
              <w:top w:val="single" w:sz="4" w:space="0" w:color="000000"/>
            </w:tcBorders>
            <w:shd w:fill="E6E7E8" w:val="clear"/>
            <w:tcMar>
              <w:top w:w="30" w:type="dxa"/>
              <w:left w:w="0" w:type="dxa"/>
              <w:bottom w:w="0" w:type="dxa"/>
              <w:right w:w="0" w:type="dxa"/>
            </w:tcMar>
            <w:vAlign w:val="center"/>
          </w:tcPr>
          <w:p>
            <w:pPr>
              <w:pStyle w:val="TableContents"/>
              <w:bidi w:val="0"/>
              <w:spacing w:lineRule="auto" w:line="288" w:before="0" w:after="283"/>
              <w:jc w:val="both"/>
              <w:rPr>
                <w:rFonts w:ascii="Arial;sans-serif" w:hAnsi="Arial;sans-serif"/>
                <w:b w:val="false"/>
                <w:color w:val="000000"/>
                <w:sz w:val="10"/>
              </w:rPr>
            </w:pPr>
            <w:r>
              <w:rPr>
                <w:rFonts w:ascii="Arial;sans-serif" w:hAnsi="Arial;sans-serif"/>
                <w:b w:val="false"/>
                <w:color w:val="000000"/>
                <w:sz w:val="10"/>
              </w:rPr>
              <w:t>(4b)</w:t>
            </w:r>
          </w:p>
        </w:tc>
        <w:tc>
          <w:tcPr>
            <w:tcW w:w="878" w:type="dxa"/>
            <w:gridSpan w:val="2"/>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949,252 </w:t>
            </w:r>
          </w:p>
        </w:tc>
        <w:tc>
          <w:tcPr>
            <w:tcW w:w="421" w:type="dxa"/>
            <w:tcBorders>
              <w:top w:val="single" w:sz="4" w:space="0" w:color="000000"/>
              <w:right w:val="single" w:sz="4" w:space="0" w:color="000000"/>
            </w:tcBorders>
            <w:shd w:fill="E6E7E8"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30" w:type="dxa"/>
            <w:gridSpan w:val="3"/>
            <w:vMerge w:val="continue"/>
            <w:tcBorders>
              <w:top w:val="single" w:sz="4" w:space="0" w:color="000000"/>
              <w:left w:val="single" w:sz="4" w:space="0" w:color="000000"/>
              <w:bottom w:val="single" w:sz="4" w:space="0" w:color="000000"/>
            </w:tcBorders>
            <w:tcMar>
              <w:top w:w="30" w:type="dxa"/>
              <w:bottom w:w="30" w:type="dxa"/>
              <w:right w:w="0" w:type="dxa"/>
            </w:tcMar>
            <w:vAlign w:val="center"/>
          </w:tcPr>
          <w:p>
            <w:pPr>
              <w:pStyle w:val="Normal"/>
              <w:bidi w:val="0"/>
              <w:jc w:val="left"/>
              <w:rPr/>
            </w:pPr>
            <w:r>
              <w:rPr/>
            </w:r>
          </w:p>
        </w:tc>
        <w:tc>
          <w:tcPr>
            <w:tcW w:w="526"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03/01/2021</w:t>
            </w:r>
          </w:p>
        </w:tc>
        <w:tc>
          <w:tcPr>
            <w:tcW w:w="832" w:type="dxa"/>
            <w:gridSpan w:val="2"/>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2,971 </w:t>
            </w:r>
          </w:p>
        </w:tc>
        <w:tc>
          <w:tcPr>
            <w:tcW w:w="417"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5,940 </w:t>
            </w:r>
          </w:p>
        </w:tc>
        <w:tc>
          <w:tcPr>
            <w:tcW w:w="377"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58.34 </w:t>
            </w:r>
          </w:p>
        </w:tc>
        <w:tc>
          <w:tcPr>
            <w:tcW w:w="243"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03/01/2031</w:t>
            </w:r>
          </w:p>
        </w:tc>
        <w:tc>
          <w:tcPr>
            <w:tcW w:w="760"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op w:val="single" w:sz="4" w:space="0" w:color="000000"/>
              <w:left w:val="single" w:sz="4" w:space="0" w:color="000000"/>
              <w:right w:val="single" w:sz="4" w:space="0" w:color="000000"/>
            </w:tcBorders>
            <w:shd w:fill="FFFFFF" w:val="clear"/>
            <w:tcMar>
              <w:bottom w:w="0" w:type="dxa"/>
              <w:right w:w="290" w:type="dxa"/>
            </w:tcMar>
            <w:vAlign w:val="center"/>
          </w:tcPr>
          <w:p>
            <w:pPr>
              <w:pStyle w:val="TableContents"/>
              <w:bidi w:val="0"/>
              <w:spacing w:before="0" w:after="283"/>
              <w:jc w:val="left"/>
              <w:rPr>
                <w:sz w:val="4"/>
                <w:szCs w:val="4"/>
              </w:rPr>
            </w:pPr>
            <w:r>
              <w:rPr>
                <w:sz w:val="4"/>
                <w:szCs w:val="4"/>
              </w:rPr>
            </w:r>
          </w:p>
        </w:tc>
      </w:tr>
      <w:tr>
        <w:trPr/>
        <w:tc>
          <w:tcPr>
            <w:tcW w:w="630" w:type="dxa"/>
            <w:gridSpan w:val="3"/>
            <w:vMerge w:val="continue"/>
            <w:tcBorders>
              <w:top w:val="single" w:sz="4" w:space="0" w:color="000000"/>
              <w:left w:val="single" w:sz="4" w:space="0" w:color="000000"/>
              <w:bottom w:val="single" w:sz="4" w:space="0" w:color="000000"/>
            </w:tcBorders>
            <w:tcMar>
              <w:top w:w="30" w:type="dxa"/>
              <w:bottom w:w="30" w:type="dxa"/>
              <w:right w:w="0" w:type="dxa"/>
            </w:tcMar>
            <w:vAlign w:val="center"/>
          </w:tcPr>
          <w:p>
            <w:pPr>
              <w:pStyle w:val="Normal"/>
              <w:bidi w:val="0"/>
              <w:jc w:val="left"/>
              <w:rPr/>
            </w:pPr>
            <w:r>
              <w:rPr/>
            </w:r>
          </w:p>
        </w:tc>
        <w:tc>
          <w:tcPr>
            <w:tcW w:w="526" w:type="dxa"/>
            <w:gridSpan w:val="3"/>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03/01/2022</w:t>
            </w:r>
          </w:p>
        </w:tc>
        <w:tc>
          <w:tcPr>
            <w:tcW w:w="1249" w:type="dxa"/>
            <w:gridSpan w:val="3"/>
            <w:tcBorders>
              <w:top w:val="single" w:sz="4" w:space="0" w:color="000000"/>
              <w:left w:val="single" w:sz="4" w:space="0" w:color="000000"/>
            </w:tcBorders>
            <w:shd w:fill="E6E7E8" w:val="clear"/>
            <w:tcMar>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4" w:space="0" w:color="000000"/>
              <w:left w:val="single" w:sz="4" w:space="0" w:color="000000"/>
            </w:tcBorders>
            <w:shd w:fill="E6E7E8" w:val="clear"/>
            <w:tcMar>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top w:val="single" w:sz="4" w:space="0" w:color="000000"/>
              <w:left w:val="single" w:sz="4" w:space="0" w:color="000000"/>
            </w:tcBorders>
            <w:shd w:fill="E6E7E8" w:val="clear"/>
            <w:tcMar>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op w:val="single" w:sz="4" w:space="0" w:color="000000"/>
              <w:left w:val="single" w:sz="4" w:space="0" w:color="000000"/>
            </w:tcBorders>
            <w:shd w:fill="E6E7E8" w:val="clear"/>
            <w:tcMar>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7,747 </w:t>
            </w:r>
          </w:p>
        </w:tc>
        <w:tc>
          <w:tcPr>
            <w:tcW w:w="143" w:type="dxa"/>
            <w:tcBorders>
              <w:top w:val="single" w:sz="4" w:space="0" w:color="000000"/>
            </w:tcBorders>
            <w:shd w:fill="E6E7E8"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op w:val="single" w:sz="4" w:space="0" w:color="000000"/>
            </w:tcBorders>
            <w:shd w:fill="E6E7E8"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782,524 </w:t>
            </w:r>
          </w:p>
        </w:tc>
        <w:tc>
          <w:tcPr>
            <w:tcW w:w="292" w:type="dxa"/>
            <w:tcBorders>
              <w:top w:val="single" w:sz="4" w:space="0" w:color="000000"/>
            </w:tcBorders>
            <w:shd w:fill="E6E7E8"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11,621 </w:t>
            </w:r>
          </w:p>
        </w:tc>
        <w:tc>
          <w:tcPr>
            <w:tcW w:w="180" w:type="dxa"/>
            <w:tcBorders>
              <w:top w:val="single" w:sz="4" w:space="0" w:color="000000"/>
            </w:tcBorders>
            <w:shd w:fill="E6E7E8"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3"/>
            <w:tcBorders>
              <w:top w:val="single" w:sz="4" w:space="0" w:color="000000"/>
            </w:tcBorders>
            <w:shd w:fill="E6E7E8" w:val="clear"/>
            <w:tcMar>
              <w:top w:w="30" w:type="dxa"/>
              <w:left w:w="0" w:type="dxa"/>
              <w:bottom w:w="0" w:type="dxa"/>
              <w:right w:w="0" w:type="dxa"/>
            </w:tcMar>
            <w:vAlign w:val="center"/>
          </w:tcPr>
          <w:p>
            <w:pPr>
              <w:pStyle w:val="TableContents"/>
              <w:bidi w:val="0"/>
              <w:spacing w:lineRule="auto" w:line="288" w:before="0" w:after="283"/>
              <w:jc w:val="both"/>
              <w:rPr>
                <w:rFonts w:ascii="Arial;sans-serif" w:hAnsi="Arial;sans-serif"/>
                <w:b w:val="false"/>
                <w:color w:val="000000"/>
                <w:sz w:val="10"/>
              </w:rPr>
            </w:pPr>
            <w:r>
              <w:rPr>
                <w:rFonts w:ascii="Arial;sans-serif" w:hAnsi="Arial;sans-serif"/>
                <w:b w:val="false"/>
                <w:color w:val="000000"/>
                <w:sz w:val="10"/>
              </w:rPr>
              <w:t>(5b)</w:t>
            </w:r>
          </w:p>
        </w:tc>
        <w:tc>
          <w:tcPr>
            <w:tcW w:w="878" w:type="dxa"/>
            <w:gridSpan w:val="2"/>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1,173,787 </w:t>
            </w:r>
          </w:p>
        </w:tc>
        <w:tc>
          <w:tcPr>
            <w:tcW w:w="421" w:type="dxa"/>
            <w:tcBorders>
              <w:top w:val="single" w:sz="4" w:space="0" w:color="000000"/>
              <w:right w:val="single" w:sz="4" w:space="0" w:color="000000"/>
            </w:tcBorders>
            <w:shd w:fill="E6E7E8"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30" w:type="dxa"/>
            <w:gridSpan w:val="3"/>
            <w:vMerge w:val="continue"/>
            <w:tcBorders>
              <w:top w:val="single" w:sz="4" w:space="0" w:color="000000"/>
              <w:left w:val="single" w:sz="4" w:space="0" w:color="000000"/>
              <w:bottom w:val="single" w:sz="4" w:space="0" w:color="000000"/>
            </w:tcBorders>
            <w:tcMar>
              <w:top w:w="30" w:type="dxa"/>
              <w:bottom w:w="30" w:type="dxa"/>
              <w:right w:w="0" w:type="dxa"/>
            </w:tcMar>
            <w:vAlign w:val="center"/>
          </w:tcPr>
          <w:p>
            <w:pPr>
              <w:pStyle w:val="Normal"/>
              <w:bidi w:val="0"/>
              <w:jc w:val="left"/>
              <w:rPr/>
            </w:pPr>
            <w:r>
              <w:rPr/>
            </w:r>
          </w:p>
        </w:tc>
        <w:tc>
          <w:tcPr>
            <w:tcW w:w="526"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03/01/2022</w:t>
            </w:r>
          </w:p>
        </w:tc>
        <w:tc>
          <w:tcPr>
            <w:tcW w:w="1249"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2,583 </w:t>
            </w:r>
          </w:p>
        </w:tc>
        <w:tc>
          <w:tcPr>
            <w:tcW w:w="143"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both"/>
              <w:rPr>
                <w:rFonts w:ascii="Arial;sans-serif" w:hAnsi="Arial;sans-serif"/>
                <w:b w:val="false"/>
                <w:color w:val="000000"/>
                <w:sz w:val="10"/>
              </w:rPr>
            </w:pPr>
            <w:r>
              <w:rPr>
                <w:rFonts w:ascii="Arial;sans-serif" w:hAnsi="Arial;sans-serif"/>
                <w:b w:val="false"/>
                <w:color w:val="000000"/>
                <w:sz w:val="10"/>
              </w:rPr>
              <w:t>(5a)</w:t>
            </w:r>
          </w:p>
        </w:tc>
        <w:tc>
          <w:tcPr>
            <w:tcW w:w="860" w:type="dxa"/>
            <w:gridSpan w:val="2"/>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260,909 </w:t>
            </w:r>
          </w:p>
        </w:tc>
        <w:tc>
          <w:tcPr>
            <w:tcW w:w="292"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0"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21" w:type="dxa"/>
            <w:tcBorders>
              <w:top w:val="single" w:sz="4" w:space="0" w:color="000000"/>
              <w:right w:val="single" w:sz="4" w:space="0" w:color="000000"/>
            </w:tcBorders>
            <w:shd w:fill="FFFF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30" w:type="dxa"/>
            <w:gridSpan w:val="3"/>
            <w:vMerge w:val="continue"/>
            <w:tcBorders>
              <w:top w:val="single" w:sz="4" w:space="0" w:color="000000"/>
              <w:left w:val="single" w:sz="4" w:space="0" w:color="000000"/>
              <w:bottom w:val="single" w:sz="4" w:space="0" w:color="000000"/>
            </w:tcBorders>
            <w:tcMar>
              <w:top w:w="30" w:type="dxa"/>
              <w:bottom w:w="30" w:type="dxa"/>
              <w:right w:w="0" w:type="dxa"/>
            </w:tcMar>
            <w:vAlign w:val="center"/>
          </w:tcPr>
          <w:p>
            <w:pPr>
              <w:pStyle w:val="Normal"/>
              <w:bidi w:val="0"/>
              <w:jc w:val="left"/>
              <w:rPr/>
            </w:pPr>
            <w:r>
              <w:rPr/>
            </w:r>
          </w:p>
        </w:tc>
        <w:tc>
          <w:tcPr>
            <w:tcW w:w="526" w:type="dxa"/>
            <w:gridSpan w:val="3"/>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03/01/2022</w:t>
            </w:r>
          </w:p>
        </w:tc>
        <w:tc>
          <w:tcPr>
            <w:tcW w:w="832" w:type="dxa"/>
            <w:gridSpan w:val="2"/>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6,543 </w:t>
            </w:r>
          </w:p>
        </w:tc>
        <w:tc>
          <w:tcPr>
            <w:tcW w:w="417" w:type="dxa"/>
            <w:tcBorders>
              <w:top w:val="single" w:sz="4" w:space="0" w:color="000000"/>
            </w:tcBorders>
            <w:shd w:fill="E6E7E8"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3,271 </w:t>
            </w:r>
          </w:p>
        </w:tc>
        <w:tc>
          <w:tcPr>
            <w:tcW w:w="377" w:type="dxa"/>
            <w:tcBorders>
              <w:top w:val="single" w:sz="4" w:space="0" w:color="000000"/>
            </w:tcBorders>
            <w:shd w:fill="E6E7E8"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48.97 </w:t>
            </w:r>
          </w:p>
        </w:tc>
        <w:tc>
          <w:tcPr>
            <w:tcW w:w="243" w:type="dxa"/>
            <w:tcBorders>
              <w:top w:val="single" w:sz="4" w:space="0" w:color="000000"/>
            </w:tcBorders>
            <w:shd w:fill="E6E7E8"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03/01/2032</w:t>
            </w:r>
          </w:p>
        </w:tc>
        <w:tc>
          <w:tcPr>
            <w:tcW w:w="760" w:type="dxa"/>
            <w:gridSpan w:val="3"/>
            <w:tcBorders>
              <w:top w:val="single" w:sz="4" w:space="0" w:color="000000"/>
              <w:left w:val="single" w:sz="4" w:space="0" w:color="000000"/>
            </w:tcBorders>
            <w:shd w:fill="E6E7E8" w:val="clear"/>
            <w:tcMar>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op w:val="single" w:sz="4" w:space="0" w:color="000000"/>
            </w:tcBorders>
            <w:shd w:fill="E6E7E8"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single" w:sz="4" w:space="0" w:color="000000"/>
              <w:left w:val="single" w:sz="4" w:space="0" w:color="000000"/>
            </w:tcBorders>
            <w:shd w:fill="E6E7E8" w:val="clear"/>
            <w:tcMar>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4" w:space="0" w:color="000000"/>
              <w:left w:val="single" w:sz="4" w:space="0" w:color="000000"/>
            </w:tcBorders>
            <w:shd w:fill="E6E7E8" w:val="clear"/>
            <w:tcMar>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3"/>
            <w:tcBorders>
              <w:top w:val="single" w:sz="4" w:space="0" w:color="000000"/>
            </w:tcBorders>
            <w:shd w:fill="E6E7E8"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op w:val="single" w:sz="4" w:space="0" w:color="000000"/>
              <w:left w:val="single" w:sz="4" w:space="0" w:color="000000"/>
              <w:right w:val="single" w:sz="4" w:space="0" w:color="000000"/>
            </w:tcBorders>
            <w:shd w:fill="E6E7E8" w:val="clear"/>
            <w:tcMar>
              <w:bottom w:w="0" w:type="dxa"/>
              <w:right w:w="290" w:type="dxa"/>
            </w:tcMar>
            <w:vAlign w:val="center"/>
          </w:tcPr>
          <w:p>
            <w:pPr>
              <w:pStyle w:val="TableContents"/>
              <w:bidi w:val="0"/>
              <w:spacing w:before="0" w:after="283"/>
              <w:jc w:val="left"/>
              <w:rPr>
                <w:sz w:val="4"/>
                <w:szCs w:val="4"/>
              </w:rPr>
            </w:pPr>
            <w:r>
              <w:rPr>
                <w:sz w:val="4"/>
                <w:szCs w:val="4"/>
              </w:rPr>
            </w:r>
          </w:p>
        </w:tc>
      </w:tr>
      <w:tr>
        <w:trPr/>
        <w:tc>
          <w:tcPr>
            <w:tcW w:w="630" w:type="dxa"/>
            <w:gridSpan w:val="3"/>
            <w:vMerge w:val="continue"/>
            <w:tcBorders>
              <w:top w:val="single" w:sz="4" w:space="0" w:color="000000"/>
              <w:left w:val="single" w:sz="4" w:space="0" w:color="000000"/>
              <w:bottom w:val="single" w:sz="4" w:space="0" w:color="000000"/>
            </w:tcBorders>
            <w:tcMar>
              <w:top w:w="30" w:type="dxa"/>
              <w:bottom w:w="30" w:type="dxa"/>
              <w:right w:w="0" w:type="dxa"/>
            </w:tcMar>
            <w:vAlign w:val="center"/>
          </w:tcPr>
          <w:p>
            <w:pPr>
              <w:pStyle w:val="Normal"/>
              <w:bidi w:val="0"/>
              <w:jc w:val="left"/>
              <w:rPr/>
            </w:pPr>
            <w:r>
              <w:rPr/>
            </w:r>
          </w:p>
        </w:tc>
        <w:tc>
          <w:tcPr>
            <w:tcW w:w="526"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03/01/2023</w:t>
            </w:r>
          </w:p>
        </w:tc>
        <w:tc>
          <w:tcPr>
            <w:tcW w:w="1249"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5,469 </w:t>
            </w:r>
          </w:p>
        </w:tc>
        <w:tc>
          <w:tcPr>
            <w:tcW w:w="143"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552,424 </w:t>
            </w:r>
          </w:p>
        </w:tc>
        <w:tc>
          <w:tcPr>
            <w:tcW w:w="292"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5,797 </w:t>
            </w:r>
          </w:p>
        </w:tc>
        <w:tc>
          <w:tcPr>
            <w:tcW w:w="180"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both"/>
              <w:rPr>
                <w:rFonts w:ascii="Arial;sans-serif" w:hAnsi="Arial;sans-serif"/>
                <w:b w:val="false"/>
                <w:color w:val="000000"/>
                <w:sz w:val="10"/>
              </w:rPr>
            </w:pPr>
            <w:r>
              <w:rPr>
                <w:rFonts w:ascii="Arial;sans-serif" w:hAnsi="Arial;sans-serif"/>
                <w:b w:val="false"/>
                <w:color w:val="000000"/>
                <w:sz w:val="10"/>
              </w:rPr>
              <w:t>(6b)</w:t>
            </w:r>
          </w:p>
        </w:tc>
        <w:tc>
          <w:tcPr>
            <w:tcW w:w="878" w:type="dxa"/>
            <w:gridSpan w:val="2"/>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585,569 </w:t>
            </w:r>
          </w:p>
        </w:tc>
        <w:tc>
          <w:tcPr>
            <w:tcW w:w="421" w:type="dxa"/>
            <w:tcBorders>
              <w:top w:val="single" w:sz="4" w:space="0" w:color="000000"/>
              <w:right w:val="single" w:sz="4" w:space="0" w:color="000000"/>
            </w:tcBorders>
            <w:shd w:fill="FFFF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30" w:type="dxa"/>
            <w:gridSpan w:val="3"/>
            <w:vMerge w:val="continue"/>
            <w:tcBorders>
              <w:top w:val="single" w:sz="4" w:space="0" w:color="000000"/>
              <w:left w:val="single" w:sz="4" w:space="0" w:color="000000"/>
              <w:bottom w:val="single" w:sz="4" w:space="0" w:color="000000"/>
            </w:tcBorders>
            <w:tcMar>
              <w:top w:w="30" w:type="dxa"/>
              <w:bottom w:w="30" w:type="dxa"/>
              <w:right w:w="0" w:type="dxa"/>
            </w:tcMar>
            <w:vAlign w:val="center"/>
          </w:tcPr>
          <w:p>
            <w:pPr>
              <w:pStyle w:val="Normal"/>
              <w:bidi w:val="0"/>
              <w:jc w:val="left"/>
              <w:rPr/>
            </w:pPr>
            <w:r>
              <w:rPr/>
            </w:r>
          </w:p>
        </w:tc>
        <w:tc>
          <w:tcPr>
            <w:tcW w:w="526" w:type="dxa"/>
            <w:gridSpan w:val="3"/>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03/01/2023</w:t>
            </w:r>
          </w:p>
        </w:tc>
        <w:tc>
          <w:tcPr>
            <w:tcW w:w="1249" w:type="dxa"/>
            <w:gridSpan w:val="3"/>
            <w:tcBorders>
              <w:top w:val="single" w:sz="4" w:space="0" w:color="000000"/>
              <w:left w:val="single" w:sz="4" w:space="0" w:color="000000"/>
            </w:tcBorders>
            <w:shd w:fill="E6E7E8" w:val="clear"/>
            <w:tcMar>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4" w:space="0" w:color="000000"/>
              <w:left w:val="single" w:sz="4" w:space="0" w:color="000000"/>
            </w:tcBorders>
            <w:shd w:fill="E6E7E8" w:val="clear"/>
            <w:tcMar>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top w:val="single" w:sz="4" w:space="0" w:color="000000"/>
              <w:left w:val="single" w:sz="4" w:space="0" w:color="000000"/>
            </w:tcBorders>
            <w:shd w:fill="E6E7E8" w:val="clear"/>
            <w:tcMar>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op w:val="single" w:sz="4" w:space="0" w:color="000000"/>
              <w:left w:val="single" w:sz="4" w:space="0" w:color="000000"/>
            </w:tcBorders>
            <w:shd w:fill="E6E7E8" w:val="clear"/>
            <w:tcMar>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2,735 </w:t>
            </w:r>
          </w:p>
        </w:tc>
        <w:tc>
          <w:tcPr>
            <w:tcW w:w="143" w:type="dxa"/>
            <w:tcBorders>
              <w:top w:val="single" w:sz="4" w:space="0" w:color="000000"/>
            </w:tcBorders>
            <w:shd w:fill="E6E7E8"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op w:val="single" w:sz="4" w:space="0" w:color="000000"/>
            </w:tcBorders>
            <w:shd w:fill="E6E7E8" w:val="clear"/>
            <w:tcMar>
              <w:top w:w="30" w:type="dxa"/>
              <w:left w:w="0" w:type="dxa"/>
              <w:bottom w:w="0" w:type="dxa"/>
              <w:right w:w="0" w:type="dxa"/>
            </w:tcMar>
            <w:vAlign w:val="center"/>
          </w:tcPr>
          <w:p>
            <w:pPr>
              <w:pStyle w:val="TableContents"/>
              <w:bidi w:val="0"/>
              <w:spacing w:lineRule="auto" w:line="288" w:before="0" w:after="283"/>
              <w:jc w:val="both"/>
              <w:rPr>
                <w:rFonts w:ascii="Arial;sans-serif" w:hAnsi="Arial;sans-serif"/>
                <w:b w:val="false"/>
                <w:color w:val="000000"/>
                <w:sz w:val="10"/>
              </w:rPr>
            </w:pPr>
            <w:r>
              <w:rPr>
                <w:rFonts w:ascii="Arial;sans-serif" w:hAnsi="Arial;sans-serif"/>
                <w:b w:val="false"/>
                <w:color w:val="000000"/>
                <w:sz w:val="10"/>
              </w:rPr>
              <w:t>(6a)</w:t>
            </w:r>
          </w:p>
        </w:tc>
        <w:tc>
          <w:tcPr>
            <w:tcW w:w="860" w:type="dxa"/>
            <w:gridSpan w:val="2"/>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276,262 </w:t>
            </w:r>
          </w:p>
        </w:tc>
        <w:tc>
          <w:tcPr>
            <w:tcW w:w="292" w:type="dxa"/>
            <w:tcBorders>
              <w:top w:val="single" w:sz="4" w:space="0" w:color="000000"/>
            </w:tcBorders>
            <w:shd w:fill="E6E7E8"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0" w:type="dxa"/>
            <w:tcBorders>
              <w:top w:val="single" w:sz="4" w:space="0" w:color="000000"/>
            </w:tcBorders>
            <w:shd w:fill="E6E7E8"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3"/>
            <w:tcBorders>
              <w:top w:val="single" w:sz="4" w:space="0" w:color="000000"/>
            </w:tcBorders>
            <w:shd w:fill="E6E7E8"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21" w:type="dxa"/>
            <w:tcBorders>
              <w:top w:val="single" w:sz="4" w:space="0" w:color="000000"/>
              <w:right w:val="single" w:sz="4" w:space="0" w:color="000000"/>
            </w:tcBorders>
            <w:shd w:fill="E6E7E8"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30" w:type="dxa"/>
            <w:gridSpan w:val="3"/>
            <w:vMerge w:val="continue"/>
            <w:tcBorders>
              <w:top w:val="single" w:sz="4" w:space="0" w:color="000000"/>
              <w:left w:val="single" w:sz="4" w:space="0" w:color="000000"/>
              <w:bottom w:val="single" w:sz="4" w:space="0" w:color="000000"/>
            </w:tcBorders>
            <w:tcMar>
              <w:top w:w="30" w:type="dxa"/>
              <w:bottom w:w="30" w:type="dxa"/>
              <w:right w:w="0" w:type="dxa"/>
            </w:tcMar>
            <w:vAlign w:val="center"/>
          </w:tcPr>
          <w:p>
            <w:pPr>
              <w:pStyle w:val="Normal"/>
              <w:bidi w:val="0"/>
              <w:jc w:val="left"/>
              <w:rPr/>
            </w:pPr>
            <w:r>
              <w:rPr/>
            </w:r>
          </w:p>
        </w:tc>
        <w:tc>
          <w:tcPr>
            <w:tcW w:w="526" w:type="dxa"/>
            <w:gridSpan w:val="3"/>
            <w:tcBorders>
              <w:top w:val="single" w:sz="4" w:space="0" w:color="000000"/>
              <w:left w:val="single" w:sz="4" w:space="0" w:color="000000"/>
              <w:bottom w:val="single" w:sz="4" w:space="0" w:color="000000"/>
            </w:tcBorders>
            <w:shd w:fill="FFFFFF" w:val="clear"/>
            <w:tcMar>
              <w:top w:w="30" w:type="dxa"/>
              <w:bottom w:w="3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03/01/2023</w:t>
            </w:r>
          </w:p>
        </w:tc>
        <w:tc>
          <w:tcPr>
            <w:tcW w:w="832" w:type="dxa"/>
            <w:gridSpan w:val="2"/>
            <w:tcBorders>
              <w:top w:val="single" w:sz="4" w:space="0" w:color="000000"/>
              <w:left w:val="single" w:sz="4" w:space="0" w:color="000000"/>
              <w:bottom w:val="single" w:sz="4" w:space="0" w:color="000000"/>
            </w:tcBorders>
            <w:shd w:fill="FFFFFF" w:val="clear"/>
            <w:tcMar>
              <w:top w:w="3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6,305 </w:t>
            </w:r>
          </w:p>
        </w:tc>
        <w:tc>
          <w:tcPr>
            <w:tcW w:w="417" w:type="dxa"/>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top w:val="single" w:sz="4" w:space="0" w:color="000000"/>
              <w:left w:val="single" w:sz="4" w:space="0" w:color="000000"/>
              <w:bottom w:val="single" w:sz="4" w:space="0" w:color="000000"/>
            </w:tcBorders>
            <w:shd w:fill="FFFFFF" w:val="clear"/>
            <w:tcMar>
              <w:top w:w="3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377" w:type="dxa"/>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top w:val="single" w:sz="4" w:space="0" w:color="000000"/>
              <w:left w:val="single" w:sz="4" w:space="0" w:color="000000"/>
              <w:bottom w:val="single" w:sz="4" w:space="0" w:color="000000"/>
            </w:tcBorders>
            <w:shd w:fill="FFFFFF" w:val="clear"/>
            <w:tcMar>
              <w:top w:w="3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71.93 </w:t>
            </w:r>
          </w:p>
        </w:tc>
        <w:tc>
          <w:tcPr>
            <w:tcW w:w="243" w:type="dxa"/>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op w:val="single" w:sz="4" w:space="0" w:color="000000"/>
              <w:left w:val="single" w:sz="4" w:space="0" w:color="000000"/>
              <w:bottom w:val="single" w:sz="4" w:space="0" w:color="000000"/>
            </w:tcBorders>
            <w:shd w:fill="FFFFFF" w:val="clear"/>
            <w:tcMar>
              <w:top w:w="3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03/01/2033</w:t>
            </w:r>
          </w:p>
        </w:tc>
        <w:tc>
          <w:tcPr>
            <w:tcW w:w="760" w:type="dxa"/>
            <w:gridSpan w:val="3"/>
            <w:tcBorders>
              <w:top w:val="single" w:sz="4" w:space="0" w:color="000000"/>
              <w:left w:val="single" w:sz="4" w:space="0" w:color="000000"/>
              <w:bottom w:val="single" w:sz="4" w:space="0" w:color="000000"/>
            </w:tcBorders>
            <w:shd w:fill="FFFFFF" w:val="clear"/>
            <w:tcMar>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single" w:sz="4" w:space="0" w:color="000000"/>
              <w:left w:val="single" w:sz="4" w:space="0" w:color="000000"/>
              <w:bottom w:val="single" w:sz="4" w:space="0" w:color="000000"/>
            </w:tcBorders>
            <w:shd w:fill="FFFFFF" w:val="clear"/>
            <w:tcMar>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4" w:space="0" w:color="000000"/>
              <w:left w:val="single" w:sz="4" w:space="0" w:color="000000"/>
              <w:bottom w:val="single" w:sz="4" w:space="0" w:color="000000"/>
            </w:tcBorders>
            <w:shd w:fill="FFFFFF" w:val="clear"/>
            <w:tcMar>
              <w:right w:w="0" w:type="dxa"/>
            </w:tcMar>
            <w:vAlign w:val="center"/>
          </w:tcPr>
          <w:p>
            <w:pPr>
              <w:pStyle w:val="TableContents"/>
              <w:bidi w:val="0"/>
              <w:spacing w:before="0" w:after="283"/>
              <w:jc w:val="left"/>
              <w:rPr>
                <w:sz w:val="4"/>
                <w:szCs w:val="4"/>
              </w:rPr>
            </w:pPr>
            <w:r>
              <w:rPr>
                <w:sz w:val="4"/>
                <w:szCs w:val="4"/>
              </w:rPr>
            </w:r>
          </w:p>
        </w:tc>
        <w:tc>
          <w:tcPr>
            <w:tcW w:w="547" w:type="dxa"/>
            <w:gridSpan w:val="3"/>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op w:val="single" w:sz="4" w:space="0" w:color="000000"/>
              <w:left w:val="single" w:sz="4" w:space="0" w:color="000000"/>
              <w:bottom w:val="single" w:sz="4" w:space="0" w:color="000000"/>
              <w:right w:val="single" w:sz="4" w:space="0" w:color="000000"/>
            </w:tcBorders>
            <w:shd w:fill="FFFFFF" w:val="clear"/>
            <w:tcMar>
              <w:right w:w="29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739140"/>
                <wp:effectExtent l="0" t="0" r="0" b="0"/>
                <wp:wrapNone/>
                <wp:docPr id="162" name="Frame49"/>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292" w:type="dxa"/>
                              <w:jc w:val="right"/>
                              <w:tblInd w:w="0" w:type="dxa"/>
                              <w:tblLayout w:type="fixed"/>
                              <w:tblCellMar>
                                <w:top w:w="28" w:type="dxa"/>
                                <w:left w:w="28" w:type="dxa"/>
                                <w:bottom w:w="28" w:type="dxa"/>
                                <w:right w:w="28" w:type="dxa"/>
                              </w:tblCellMar>
                            </w:tblPr>
                            <w:tblGrid>
                              <w:gridCol w:w="292"/>
                              <w:gridCol w:w="256"/>
                              <w:gridCol w:w="258"/>
                              <w:gridCol w:w="704"/>
                              <w:gridCol w:w="704"/>
                              <w:gridCol w:w="706"/>
                              <w:gridCol w:w="109"/>
                              <w:gridCol w:w="109"/>
                              <w:gridCol w:w="154"/>
                            </w:tblGrid>
                            <w:tr>
                              <w:trPr/>
                              <w:tc>
                                <w:tcPr>
                                  <w:tcW w:w="29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0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163"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 name="Image72" descr=""/>
                                                <pic:cNvPicPr>
                                                  <a:picLocks noChangeAspect="1" noChangeArrowheads="1"/>
                                                </pic:cNvPicPr>
                                              </pic:nvPicPr>
                                              <pic:blipFill>
                                                <a:blip r:embed="rId115"/>
                                                <a:stretch>
                                                  <a:fillRect/>
                                                </a:stretch>
                                              </pic:blipFill>
                                              <pic:spPr bwMode="auto">
                                                <a:xfrm>
                                                  <a:off x="0" y="0"/>
                                                  <a:ext cx="447675" cy="161925"/>
                                                </a:xfrm>
                                                <a:prstGeom prst="rect">
                                                  <a:avLst/>
                                                </a:prstGeom>
                                              </pic:spPr>
                                            </pic:pic>
                                          </a:graphicData>
                                        </a:graphic>
                                      </wp:inline>
                                    </w:drawing>
                                  </w:r>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2024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000000"/>
                                      <w:sz w:val="16"/>
                                    </w:rPr>
                                  </w:pPr>
                                  <w:r>
                                    <w:rPr>
                                      <w:rFonts w:ascii="Arial;sans-serif" w:hAnsi="Arial;sans-serif"/>
                                      <w:b/>
                                      <w:color w:val="000000"/>
                                      <w:sz w:val="16"/>
                                    </w:rPr>
                                    <w:t>43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292" w:type="dxa"/>
                        <w:jc w:val="right"/>
                        <w:tblInd w:w="0" w:type="dxa"/>
                        <w:tblLayout w:type="fixed"/>
                        <w:tblCellMar>
                          <w:top w:w="28" w:type="dxa"/>
                          <w:left w:w="28" w:type="dxa"/>
                          <w:bottom w:w="28" w:type="dxa"/>
                          <w:right w:w="28" w:type="dxa"/>
                        </w:tblCellMar>
                      </w:tblPr>
                      <w:tblGrid>
                        <w:gridCol w:w="292"/>
                        <w:gridCol w:w="256"/>
                        <w:gridCol w:w="258"/>
                        <w:gridCol w:w="704"/>
                        <w:gridCol w:w="704"/>
                        <w:gridCol w:w="706"/>
                        <w:gridCol w:w="109"/>
                        <w:gridCol w:w="109"/>
                        <w:gridCol w:w="154"/>
                      </w:tblGrid>
                      <w:tr>
                        <w:trPr/>
                        <w:tc>
                          <w:tcPr>
                            <w:tcW w:w="29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0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164"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 name="Image72" descr=""/>
                                          <pic:cNvPicPr>
                                            <a:picLocks noChangeAspect="1" noChangeArrowheads="1"/>
                                          </pic:cNvPicPr>
                                        </pic:nvPicPr>
                                        <pic:blipFill>
                                          <a:blip r:embed="rId116"/>
                                          <a:stretch>
                                            <a:fillRect/>
                                          </a:stretch>
                                        </pic:blipFill>
                                        <pic:spPr bwMode="auto">
                                          <a:xfrm>
                                            <a:off x="0" y="0"/>
                                            <a:ext cx="447675" cy="161925"/>
                                          </a:xfrm>
                                          <a:prstGeom prst="rect">
                                            <a:avLst/>
                                          </a:prstGeom>
                                        </pic:spPr>
                                      </pic:pic>
                                    </a:graphicData>
                                  </a:graphic>
                                </wp:inline>
                              </w:drawing>
                            </w:r>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2024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000000"/>
                                <w:sz w:val="16"/>
                              </w:rPr>
                            </w:pPr>
                            <w:r>
                              <w:rPr>
                                <w:rFonts w:ascii="Arial;sans-serif" w:hAnsi="Arial;sans-serif"/>
                                <w:b/>
                                <w:color w:val="000000"/>
                                <w:sz w:val="16"/>
                              </w:rPr>
                              <w:t>43</w:t>
                            </w:r>
                          </w:p>
                        </w:tc>
                      </w:tr>
                    </w:tbl>
                    <w:p>
                      <w:pPr>
                        <w:pStyle w:val="TextBody"/>
                        <w:bidi w:val="0"/>
                        <w:spacing w:before="0" w:after="283"/>
                        <w:jc w:val="left"/>
                        <w:rPr/>
                      </w:pPr>
                      <w:r>
                        <w:rPr/>
                      </w:r>
                    </w:p>
                  </w:txbxContent>
                </v:textbox>
                <w10:wrap type="none"/>
              </v:rect>
            </w:pict>
          </mc:Fallback>
        </mc:AlternateContent>
      </w:r>
    </w:p>
    <w:tbl>
      <w:tblPr>
        <w:tblW w:w="2459" w:type="dxa"/>
        <w:jc w:val="right"/>
        <w:tblInd w:w="0" w:type="dxa"/>
        <w:tblLayout w:type="fixed"/>
        <w:tblCellMar>
          <w:top w:w="28" w:type="dxa"/>
          <w:left w:w="28" w:type="dxa"/>
          <w:bottom w:w="28" w:type="dxa"/>
          <w:right w:w="28" w:type="dxa"/>
        </w:tblCellMar>
      </w:tblPr>
      <w:tblGrid>
        <w:gridCol w:w="786"/>
        <w:gridCol w:w="691"/>
        <w:gridCol w:w="982"/>
      </w:tblGrid>
      <w:tr>
        <w:trPr/>
        <w:tc>
          <w:tcPr>
            <w:tcW w:w="78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r>
      <w:tr>
        <w:trPr/>
        <w:tc>
          <w:tcPr>
            <w:tcW w:w="2459" w:type="dxa"/>
            <w:gridSpan w:val="3"/>
            <w:tcBorders>
              <w:bottom w:val="single" w:sz="4" w:space="0" w:color="004C97"/>
            </w:tcBorders>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4C97"/>
                <w:sz w:val="16"/>
              </w:rPr>
            </w:pPr>
            <w:r>
              <w:rPr>
                <w:rFonts w:ascii="Arial;sans-serif" w:hAnsi="Arial;sans-serif"/>
                <w:b w:val="false"/>
                <w:color w:val="004C97"/>
                <w:sz w:val="16"/>
              </w:rPr>
              <w:t>EXECUTIVE COMPENSATION</w:t>
            </w:r>
          </w:p>
        </w:tc>
      </w:tr>
    </w:tbl>
    <w:tbl>
      <w:tblPr>
        <w:tblW w:w="10205" w:type="dxa"/>
        <w:jc w:val="left"/>
        <w:tblInd w:w="0" w:type="dxa"/>
        <w:tblLayout w:type="fixed"/>
        <w:tblCellMar>
          <w:top w:w="28" w:type="dxa"/>
          <w:left w:w="28" w:type="dxa"/>
          <w:bottom w:w="28" w:type="dxa"/>
          <w:right w:w="28" w:type="dxa"/>
        </w:tblCellMar>
      </w:tblPr>
      <w:tblGrid>
        <w:gridCol w:w="471"/>
        <w:gridCol w:w="297"/>
        <w:gridCol w:w="197"/>
        <w:gridCol w:w="175"/>
        <w:gridCol w:w="175"/>
        <w:gridCol w:w="176"/>
        <w:gridCol w:w="411"/>
        <w:gridCol w:w="411"/>
        <w:gridCol w:w="412"/>
        <w:gridCol w:w="370"/>
        <w:gridCol w:w="370"/>
        <w:gridCol w:w="371"/>
        <w:gridCol w:w="284"/>
        <w:gridCol w:w="241"/>
        <w:gridCol w:w="242"/>
        <w:gridCol w:w="269"/>
        <w:gridCol w:w="269"/>
        <w:gridCol w:w="271"/>
        <w:gridCol w:w="402"/>
        <w:gridCol w:w="140"/>
        <w:gridCol w:w="140"/>
        <w:gridCol w:w="140"/>
        <w:gridCol w:w="140"/>
        <w:gridCol w:w="140"/>
        <w:gridCol w:w="453"/>
        <w:gridCol w:w="287"/>
        <w:gridCol w:w="288"/>
        <w:gridCol w:w="494"/>
        <w:gridCol w:w="176"/>
        <w:gridCol w:w="176"/>
        <w:gridCol w:w="176"/>
        <w:gridCol w:w="176"/>
        <w:gridCol w:w="182"/>
        <w:gridCol w:w="588"/>
        <w:gridCol w:w="281"/>
        <w:gridCol w:w="414"/>
      </w:tblGrid>
      <w:tr>
        <w:trPr/>
        <w:tc>
          <w:tcPr>
            <w:tcW w:w="471"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r>
      <w:tr>
        <w:trPr/>
        <w:tc>
          <w:tcPr>
            <w:tcW w:w="965" w:type="dxa"/>
            <w:gridSpan w:val="3"/>
            <w:vMerge w:val="restart"/>
            <w:tcBorders>
              <w:top w:val="single" w:sz="4" w:space="0" w:color="000000"/>
              <w:left w:val="single" w:sz="4" w:space="0" w:color="000000"/>
              <w:bottom w:val="single" w:sz="4" w:space="0" w:color="000000"/>
              <w:right w:val="single" w:sz="4" w:space="0" w:color="000000"/>
            </w:tcBorders>
            <w:shd w:fill="004C97" w:val="clear"/>
            <w:tcMar>
              <w:top w:w="30" w:type="dxa"/>
              <w:bottom w:w="30" w:type="dxa"/>
            </w:tcMar>
            <w:vAlign w:val="center"/>
          </w:tcPr>
          <w:p>
            <w:pPr>
              <w:pStyle w:val="TableContents"/>
              <w:bidi w:val="0"/>
              <w:spacing w:lineRule="auto" w:line="288" w:before="0" w:after="283"/>
              <w:jc w:val="center"/>
              <w:rPr>
                <w:rFonts w:ascii="Arial;sans-serif" w:hAnsi="Arial;sans-serif"/>
                <w:b/>
                <w:color w:val="FFFFFF"/>
                <w:sz w:val="14"/>
              </w:rPr>
            </w:pPr>
            <w:r>
              <w:rPr>
                <w:rFonts w:ascii="Arial;sans-serif" w:hAnsi="Arial;sans-serif"/>
                <w:b/>
                <w:color w:val="FFFFFF"/>
                <w:sz w:val="14"/>
              </w:rPr>
              <w:t>Name</w:t>
            </w:r>
          </w:p>
        </w:tc>
        <w:tc>
          <w:tcPr>
            <w:tcW w:w="526" w:type="dxa"/>
            <w:gridSpan w:val="3"/>
            <w:vMerge w:val="restart"/>
            <w:tcBorders>
              <w:top w:val="single" w:sz="4" w:space="0" w:color="000000"/>
              <w:left w:val="single" w:sz="4" w:space="0" w:color="000000"/>
              <w:bottom w:val="single" w:sz="4" w:space="0" w:color="000000"/>
            </w:tcBorders>
            <w:shd w:fill="004C97" w:val="clear"/>
            <w:tcMar>
              <w:top w:w="30" w:type="dxa"/>
              <w:bottom w:w="30" w:type="dxa"/>
              <w:right w:w="0" w:type="dxa"/>
            </w:tcMar>
            <w:vAlign w:val="center"/>
          </w:tcPr>
          <w:p>
            <w:pPr>
              <w:pStyle w:val="TableContents"/>
              <w:bidi w:val="0"/>
              <w:spacing w:lineRule="auto" w:line="288" w:before="0" w:after="0"/>
              <w:jc w:val="center"/>
              <w:rPr>
                <w:rFonts w:ascii="Arial;sans-serif" w:hAnsi="Arial;sans-serif"/>
                <w:b/>
                <w:color w:val="FFFFFF"/>
                <w:sz w:val="14"/>
              </w:rPr>
            </w:pPr>
            <w:r>
              <w:rPr>
                <w:rFonts w:ascii="Arial;sans-serif" w:hAnsi="Arial;sans-serif"/>
                <w:b/>
                <w:color w:val="FFFFFF"/>
                <w:sz w:val="14"/>
              </w:rPr>
              <w:t xml:space="preserve">Award </w:t>
            </w:r>
          </w:p>
          <w:p>
            <w:pPr>
              <w:pStyle w:val="TableContents"/>
              <w:bidi w:val="0"/>
              <w:spacing w:lineRule="auto" w:line="288" w:before="0" w:after="0"/>
              <w:jc w:val="center"/>
              <w:rPr>
                <w:rFonts w:ascii="Arial;sans-serif" w:hAnsi="Arial;sans-serif"/>
                <w:b/>
                <w:color w:val="FFFFFF"/>
                <w:sz w:val="14"/>
              </w:rPr>
            </w:pPr>
            <w:r>
              <w:rPr>
                <w:rFonts w:ascii="Arial;sans-serif" w:hAnsi="Arial;sans-serif"/>
                <w:b/>
                <w:color w:val="FFFFFF"/>
                <w:sz w:val="14"/>
              </w:rPr>
              <w:t>Date</w:t>
            </w:r>
          </w:p>
        </w:tc>
        <w:tc>
          <w:tcPr>
            <w:tcW w:w="3921" w:type="dxa"/>
            <w:gridSpan w:val="12"/>
            <w:tcBorders>
              <w:top w:val="single" w:sz="4" w:space="0" w:color="000000"/>
              <w:left w:val="single" w:sz="4" w:space="0" w:color="000000"/>
            </w:tcBorders>
            <w:shd w:fill="004C97" w:val="clear"/>
            <w:tcMar>
              <w:top w:w="30" w:type="dxa"/>
              <w:bottom w:w="0" w:type="dxa"/>
              <w:right w:w="0" w:type="dxa"/>
            </w:tcMar>
            <w:vAlign w:val="center"/>
          </w:tcPr>
          <w:p>
            <w:pPr>
              <w:pStyle w:val="TableContents"/>
              <w:bidi w:val="0"/>
              <w:spacing w:lineRule="auto" w:line="288" w:before="0" w:after="0"/>
              <w:jc w:val="center"/>
              <w:rPr>
                <w:rFonts w:ascii="Arial;sans-serif" w:hAnsi="Arial;sans-serif"/>
                <w:b/>
                <w:color w:val="FFFFFF"/>
                <w:sz w:val="14"/>
              </w:rPr>
            </w:pPr>
            <w:r>
              <w:rPr>
                <w:rFonts w:ascii="Arial;sans-serif" w:hAnsi="Arial;sans-serif"/>
                <w:b/>
                <w:color w:val="FFFFFF"/>
                <w:sz w:val="14"/>
              </w:rPr>
              <w:t>Option Awards</w:t>
            </w:r>
          </w:p>
        </w:tc>
        <w:tc>
          <w:tcPr>
            <w:tcW w:w="4793" w:type="dxa"/>
            <w:gridSpan w:val="18"/>
            <w:tcBorders>
              <w:top w:val="single" w:sz="4" w:space="0" w:color="000000"/>
              <w:left w:val="single" w:sz="4" w:space="0" w:color="000000"/>
              <w:right w:val="single" w:sz="4" w:space="0" w:color="000000"/>
            </w:tcBorders>
            <w:shd w:fill="004C97" w:val="clear"/>
            <w:tcMar>
              <w:top w:w="30" w:type="dxa"/>
              <w:bottom w:w="0" w:type="dxa"/>
            </w:tcMar>
            <w:vAlign w:val="center"/>
          </w:tcPr>
          <w:p>
            <w:pPr>
              <w:pStyle w:val="TableContents"/>
              <w:bidi w:val="0"/>
              <w:spacing w:lineRule="auto" w:line="288" w:before="0" w:after="0"/>
              <w:jc w:val="center"/>
              <w:rPr>
                <w:rFonts w:ascii="Arial;sans-serif" w:hAnsi="Arial;sans-serif"/>
                <w:b/>
                <w:color w:val="FFFFFF"/>
                <w:sz w:val="14"/>
              </w:rPr>
            </w:pPr>
            <w:r>
              <w:rPr>
                <w:rFonts w:ascii="Arial;sans-serif" w:hAnsi="Arial;sans-serif"/>
                <w:b/>
                <w:color w:val="FFFFFF"/>
                <w:sz w:val="14"/>
              </w:rPr>
              <w:t>Stock Awards</w:t>
            </w:r>
          </w:p>
        </w:tc>
      </w:tr>
      <w:tr>
        <w:trPr/>
        <w:tc>
          <w:tcPr>
            <w:tcW w:w="965" w:type="dxa"/>
            <w:gridSpan w:val="3"/>
            <w:vMerge w:val="continue"/>
            <w:tcBorders>
              <w:top w:val="single" w:sz="4" w:space="0" w:color="000000"/>
              <w:left w:val="single" w:sz="4" w:space="0" w:color="000000"/>
              <w:bottom w:val="single" w:sz="4" w:space="0" w:color="000000"/>
              <w:right w:val="single" w:sz="4" w:space="0" w:color="000000"/>
            </w:tcBorders>
            <w:shd w:fill="004C97" w:val="clear"/>
            <w:tcMar>
              <w:top w:w="30" w:type="dxa"/>
              <w:bottom w:w="30" w:type="dxa"/>
            </w:tcMar>
            <w:vAlign w:val="center"/>
          </w:tcPr>
          <w:p>
            <w:pPr>
              <w:pStyle w:val="Normal"/>
              <w:bidi w:val="0"/>
              <w:jc w:val="left"/>
              <w:rPr/>
            </w:pPr>
            <w:r>
              <w:rPr/>
            </w:r>
          </w:p>
        </w:tc>
        <w:tc>
          <w:tcPr>
            <w:tcW w:w="526" w:type="dxa"/>
            <w:gridSpan w:val="3"/>
            <w:vMerge w:val="continue"/>
            <w:tcBorders>
              <w:top w:val="single" w:sz="4" w:space="0" w:color="000000"/>
              <w:left w:val="single" w:sz="4" w:space="0" w:color="000000"/>
              <w:bottom w:val="single" w:sz="4" w:space="0" w:color="000000"/>
            </w:tcBorders>
            <w:shd w:fill="004C97" w:val="clear"/>
            <w:tcMar>
              <w:top w:w="30" w:type="dxa"/>
              <w:bottom w:w="30" w:type="dxa"/>
              <w:right w:w="0" w:type="dxa"/>
            </w:tcMar>
            <w:vAlign w:val="center"/>
          </w:tcPr>
          <w:p>
            <w:pPr>
              <w:pStyle w:val="Normal"/>
              <w:bidi w:val="0"/>
              <w:jc w:val="left"/>
              <w:rPr/>
            </w:pPr>
            <w:r>
              <w:rPr/>
            </w:r>
          </w:p>
        </w:tc>
        <w:tc>
          <w:tcPr>
            <w:tcW w:w="1234" w:type="dxa"/>
            <w:gridSpan w:val="3"/>
            <w:tcBorders>
              <w:top w:val="single" w:sz="4" w:space="0" w:color="000000"/>
              <w:left w:val="single" w:sz="4" w:space="0" w:color="000000"/>
            </w:tcBorders>
            <w:shd w:fill="004C97" w:val="clear"/>
            <w:tcMar>
              <w:top w:w="30" w:type="dxa"/>
              <w:bottom w:w="0" w:type="dxa"/>
              <w:right w:w="0" w:type="dxa"/>
            </w:tcMar>
            <w:vAlign w:val="center"/>
          </w:tcPr>
          <w:p>
            <w:pPr>
              <w:pStyle w:val="TableContents"/>
              <w:bidi w:val="0"/>
              <w:spacing w:lineRule="auto" w:line="288" w:before="0" w:after="0"/>
              <w:jc w:val="center"/>
              <w:rPr/>
            </w:pPr>
            <w:r>
              <w:rPr>
                <w:rFonts w:ascii="Arial;sans-serif" w:hAnsi="Arial;sans-serif"/>
                <w:b/>
                <w:color w:val="FFFFFF"/>
                <w:sz w:val="14"/>
              </w:rPr>
              <w:t>Number of Securities Underlying Unexercised Option Unexercisable (#)</w:t>
            </w:r>
            <w:r>
              <w:rPr>
                <w:rFonts w:ascii="Arial;sans-serif" w:hAnsi="Arial;sans-serif"/>
                <w:b/>
                <w:color w:val="FFFFFF"/>
                <w:sz w:val="9"/>
              </w:rPr>
              <w:t>(1)</w:t>
            </w:r>
          </w:p>
        </w:tc>
        <w:tc>
          <w:tcPr>
            <w:tcW w:w="1111" w:type="dxa"/>
            <w:gridSpan w:val="3"/>
            <w:tcBorders>
              <w:top w:val="single" w:sz="4" w:space="0" w:color="000000"/>
              <w:left w:val="single" w:sz="4" w:space="0" w:color="000000"/>
            </w:tcBorders>
            <w:shd w:fill="004C97" w:val="clear"/>
            <w:tcMar>
              <w:top w:w="30" w:type="dxa"/>
              <w:bottom w:w="0" w:type="dxa"/>
              <w:right w:w="0" w:type="dxa"/>
            </w:tcMar>
            <w:vAlign w:val="center"/>
          </w:tcPr>
          <w:p>
            <w:pPr>
              <w:pStyle w:val="TableContents"/>
              <w:bidi w:val="0"/>
              <w:spacing w:lineRule="auto" w:line="288" w:before="0" w:after="0"/>
              <w:jc w:val="center"/>
              <w:rPr/>
            </w:pPr>
            <w:r>
              <w:rPr>
                <w:rFonts w:ascii="Arial;sans-serif" w:hAnsi="Arial;sans-serif"/>
                <w:b/>
                <w:color w:val="FFFFFF"/>
                <w:sz w:val="14"/>
              </w:rPr>
              <w:t>Number of Securities Underlying Unexercised Option Exercisable (#)</w:t>
            </w:r>
            <w:r>
              <w:rPr>
                <w:rFonts w:ascii="Arial;sans-serif" w:hAnsi="Arial;sans-serif"/>
                <w:b/>
                <w:color w:val="FFFFFF"/>
                <w:sz w:val="9"/>
              </w:rPr>
              <w:t>(1)</w:t>
            </w:r>
          </w:p>
        </w:tc>
        <w:tc>
          <w:tcPr>
            <w:tcW w:w="767" w:type="dxa"/>
            <w:gridSpan w:val="3"/>
            <w:tcBorders>
              <w:top w:val="single" w:sz="4" w:space="0" w:color="000000"/>
              <w:left w:val="single" w:sz="4" w:space="0" w:color="000000"/>
            </w:tcBorders>
            <w:shd w:fill="004C97" w:val="clear"/>
            <w:tcMar>
              <w:top w:w="30" w:type="dxa"/>
              <w:bottom w:w="0" w:type="dxa"/>
              <w:right w:w="0" w:type="dxa"/>
            </w:tcMar>
            <w:vAlign w:val="center"/>
          </w:tcPr>
          <w:p>
            <w:pPr>
              <w:pStyle w:val="TableContents"/>
              <w:bidi w:val="0"/>
              <w:spacing w:lineRule="auto" w:line="288" w:before="0" w:after="0"/>
              <w:jc w:val="center"/>
              <w:rPr>
                <w:rFonts w:ascii="Arial;sans-serif" w:hAnsi="Arial;sans-serif"/>
                <w:b/>
                <w:color w:val="FFFFFF"/>
                <w:sz w:val="14"/>
              </w:rPr>
            </w:pPr>
            <w:r>
              <w:rPr>
                <w:rFonts w:ascii="Arial;sans-serif" w:hAnsi="Arial;sans-serif"/>
                <w:b/>
                <w:color w:val="FFFFFF"/>
                <w:sz w:val="14"/>
              </w:rPr>
              <w:t>Option Exercise Price</w:t>
            </w:r>
          </w:p>
          <w:p>
            <w:pPr>
              <w:pStyle w:val="TableContents"/>
              <w:bidi w:val="0"/>
              <w:spacing w:lineRule="auto" w:line="288" w:before="0" w:after="0"/>
              <w:jc w:val="center"/>
              <w:rPr/>
            </w:pPr>
            <w:r>
              <w:rPr>
                <w:color w:val="FFFFFF"/>
              </w:rPr>
              <w:t> </w:t>
            </w:r>
            <w:r>
              <w:rPr>
                <w:rFonts w:ascii="Arial;sans-serif" w:hAnsi="Arial;sans-serif"/>
                <w:b/>
                <w:color w:val="FFFFFF"/>
                <w:sz w:val="14"/>
              </w:rPr>
              <w:t>($)</w:t>
            </w:r>
            <w:r>
              <w:rPr>
                <w:rFonts w:ascii="Arial;sans-serif" w:hAnsi="Arial;sans-serif"/>
                <w:b/>
                <w:color w:val="FFFFFF"/>
                <w:sz w:val="9"/>
              </w:rPr>
              <w:t>(2)</w:t>
            </w:r>
          </w:p>
        </w:tc>
        <w:tc>
          <w:tcPr>
            <w:tcW w:w="809" w:type="dxa"/>
            <w:gridSpan w:val="3"/>
            <w:tcBorders>
              <w:top w:val="single" w:sz="4" w:space="0" w:color="000000"/>
              <w:left w:val="single" w:sz="4" w:space="0" w:color="000000"/>
            </w:tcBorders>
            <w:shd w:fill="004C97" w:val="clear"/>
            <w:tcMar>
              <w:top w:w="30" w:type="dxa"/>
              <w:bottom w:w="0" w:type="dxa"/>
              <w:right w:w="0" w:type="dxa"/>
            </w:tcMar>
            <w:vAlign w:val="center"/>
          </w:tcPr>
          <w:p>
            <w:pPr>
              <w:pStyle w:val="TableContents"/>
              <w:bidi w:val="0"/>
              <w:spacing w:lineRule="auto" w:line="288" w:before="0" w:after="0"/>
              <w:jc w:val="center"/>
              <w:rPr>
                <w:rFonts w:ascii="Arial;sans-serif" w:hAnsi="Arial;sans-serif"/>
                <w:b/>
                <w:color w:val="FFFFFF"/>
                <w:sz w:val="14"/>
              </w:rPr>
            </w:pPr>
            <w:r>
              <w:rPr>
                <w:rFonts w:ascii="Arial;sans-serif" w:hAnsi="Arial;sans-serif"/>
                <w:b/>
                <w:color w:val="FFFFFF"/>
                <w:sz w:val="14"/>
              </w:rPr>
              <w:t>Option Expiration Date</w:t>
            </w:r>
          </w:p>
        </w:tc>
        <w:tc>
          <w:tcPr>
            <w:tcW w:w="1102" w:type="dxa"/>
            <w:gridSpan w:val="6"/>
            <w:tcBorders>
              <w:top w:val="single" w:sz="4" w:space="0" w:color="000000"/>
              <w:left w:val="single" w:sz="4" w:space="0" w:color="000000"/>
            </w:tcBorders>
            <w:shd w:fill="004C97" w:val="clear"/>
            <w:tcMar>
              <w:top w:w="30" w:type="dxa"/>
              <w:bottom w:w="0" w:type="dxa"/>
              <w:right w:w="0" w:type="dxa"/>
            </w:tcMar>
            <w:vAlign w:val="center"/>
          </w:tcPr>
          <w:p>
            <w:pPr>
              <w:pStyle w:val="TableContents"/>
              <w:bidi w:val="0"/>
              <w:spacing w:lineRule="auto" w:line="288" w:before="0" w:after="0"/>
              <w:jc w:val="center"/>
              <w:rPr>
                <w:rFonts w:ascii="Arial;sans-serif" w:hAnsi="Arial;sans-serif"/>
                <w:b/>
                <w:color w:val="FFFFFF"/>
                <w:sz w:val="14"/>
              </w:rPr>
            </w:pPr>
            <w:r>
              <w:rPr>
                <w:rFonts w:ascii="Arial;sans-serif" w:hAnsi="Arial;sans-serif"/>
                <w:b/>
                <w:color w:val="FFFFFF"/>
                <w:sz w:val="14"/>
              </w:rPr>
              <w:t>Number of Shares or Units of Stock That Have Not Vested (#)</w:t>
            </w:r>
          </w:p>
        </w:tc>
        <w:tc>
          <w:tcPr>
            <w:tcW w:w="1028" w:type="dxa"/>
            <w:gridSpan w:val="3"/>
            <w:tcBorders>
              <w:top w:val="single" w:sz="4" w:space="0" w:color="000000"/>
              <w:left w:val="single" w:sz="4" w:space="0" w:color="000000"/>
            </w:tcBorders>
            <w:shd w:fill="004C97" w:val="clear"/>
            <w:tcMar>
              <w:top w:w="30" w:type="dxa"/>
              <w:bottom w:w="0" w:type="dxa"/>
              <w:right w:w="0" w:type="dxa"/>
            </w:tcMar>
            <w:vAlign w:val="center"/>
          </w:tcPr>
          <w:p>
            <w:pPr>
              <w:pStyle w:val="TableContents"/>
              <w:bidi w:val="0"/>
              <w:spacing w:lineRule="auto" w:line="288" w:before="0" w:after="0"/>
              <w:jc w:val="center"/>
              <w:rPr>
                <w:rFonts w:ascii="Arial;sans-serif" w:hAnsi="Arial;sans-serif"/>
                <w:b/>
                <w:color w:val="FFFFFF"/>
                <w:sz w:val="14"/>
              </w:rPr>
            </w:pPr>
            <w:r>
              <w:rPr>
                <w:rFonts w:ascii="Arial;sans-serif" w:hAnsi="Arial;sans-serif"/>
                <w:b/>
                <w:color w:val="FFFFFF"/>
                <w:sz w:val="14"/>
              </w:rPr>
              <w:t>Market or Payout Value of Unearned</w:t>
            </w:r>
          </w:p>
          <w:p>
            <w:pPr>
              <w:pStyle w:val="TableContents"/>
              <w:bidi w:val="0"/>
              <w:spacing w:lineRule="auto" w:line="288" w:before="0" w:after="0"/>
              <w:jc w:val="center"/>
              <w:rPr>
                <w:rFonts w:ascii="Arial;sans-serif" w:hAnsi="Arial;sans-serif"/>
                <w:b/>
                <w:color w:val="FFFFFF"/>
                <w:sz w:val="14"/>
              </w:rPr>
            </w:pPr>
            <w:r>
              <w:rPr>
                <w:rFonts w:ascii="Arial;sans-serif" w:hAnsi="Arial;sans-serif"/>
                <w:b/>
                <w:color w:val="FFFFFF"/>
                <w:sz w:val="14"/>
              </w:rPr>
              <w:t>Shares, Units, or Other Rights That Have Not Vested</w:t>
            </w:r>
          </w:p>
          <w:p>
            <w:pPr>
              <w:pStyle w:val="TableContents"/>
              <w:bidi w:val="0"/>
              <w:spacing w:lineRule="auto" w:line="288" w:before="0" w:after="0"/>
              <w:jc w:val="center"/>
              <w:rPr/>
            </w:pPr>
            <w:r>
              <w:rPr>
                <w:rFonts w:ascii="Arial;sans-serif" w:hAnsi="Arial;sans-serif"/>
                <w:b/>
                <w:color w:val="FFFFFF"/>
                <w:sz w:val="14"/>
              </w:rPr>
              <w:t>($)</w:t>
            </w:r>
            <w:r>
              <w:rPr>
                <w:rFonts w:ascii="Arial;sans-serif" w:hAnsi="Arial;sans-serif"/>
                <w:b/>
                <w:color w:val="FFFFFF"/>
                <w:sz w:val="9"/>
              </w:rPr>
              <w:t>(3)</w:t>
            </w:r>
          </w:p>
        </w:tc>
        <w:tc>
          <w:tcPr>
            <w:tcW w:w="1380" w:type="dxa"/>
            <w:gridSpan w:val="6"/>
            <w:tcBorders>
              <w:top w:val="single" w:sz="4" w:space="0" w:color="000000"/>
              <w:left w:val="single" w:sz="4" w:space="0" w:color="000000"/>
            </w:tcBorders>
            <w:shd w:fill="004C97" w:val="clear"/>
            <w:tcMar>
              <w:top w:w="30" w:type="dxa"/>
              <w:bottom w:w="0" w:type="dxa"/>
              <w:right w:w="0" w:type="dxa"/>
            </w:tcMar>
            <w:vAlign w:val="center"/>
          </w:tcPr>
          <w:p>
            <w:pPr>
              <w:pStyle w:val="TableContents"/>
              <w:bidi w:val="0"/>
              <w:spacing w:lineRule="auto" w:line="288" w:before="0" w:after="0"/>
              <w:jc w:val="center"/>
              <w:rPr>
                <w:rFonts w:ascii="Arial;sans-serif" w:hAnsi="Arial;sans-serif"/>
                <w:b/>
                <w:color w:val="FFFFFF"/>
                <w:sz w:val="14"/>
              </w:rPr>
            </w:pPr>
            <w:r>
              <w:rPr>
                <w:rFonts w:ascii="Arial;sans-serif" w:hAnsi="Arial;sans-serif"/>
                <w:b/>
                <w:color w:val="FFFFFF"/>
                <w:sz w:val="14"/>
              </w:rPr>
              <w:t>Equity Incentive Plan Awards: Number of Unearned Shares, Units, or Other Rights That Have Not Vested (#)</w:t>
            </w:r>
          </w:p>
        </w:tc>
        <w:tc>
          <w:tcPr>
            <w:tcW w:w="1283" w:type="dxa"/>
            <w:gridSpan w:val="3"/>
            <w:tcBorders>
              <w:top w:val="single" w:sz="4" w:space="0" w:color="000000"/>
              <w:left w:val="single" w:sz="4" w:space="0" w:color="000000"/>
              <w:right w:val="single" w:sz="4" w:space="0" w:color="000000"/>
            </w:tcBorders>
            <w:shd w:fill="004C97" w:val="clear"/>
            <w:tcMar>
              <w:top w:w="30" w:type="dxa"/>
              <w:bottom w:w="0" w:type="dxa"/>
            </w:tcMar>
            <w:vAlign w:val="center"/>
          </w:tcPr>
          <w:p>
            <w:pPr>
              <w:pStyle w:val="TableContents"/>
              <w:bidi w:val="0"/>
              <w:spacing w:lineRule="auto" w:line="288" w:before="0" w:after="0"/>
              <w:jc w:val="center"/>
              <w:rPr>
                <w:rFonts w:ascii="Arial;sans-serif" w:hAnsi="Arial;sans-serif"/>
                <w:b/>
                <w:color w:val="FFFFFF"/>
                <w:sz w:val="14"/>
              </w:rPr>
            </w:pPr>
            <w:r>
              <w:rPr>
                <w:rFonts w:ascii="Arial;sans-serif" w:hAnsi="Arial;sans-serif"/>
                <w:b/>
                <w:color w:val="FFFFFF"/>
                <w:sz w:val="14"/>
              </w:rPr>
              <w:t>Equity Incentive Plan Awards: Market or Payout Value of Unearned</w:t>
            </w:r>
          </w:p>
          <w:p>
            <w:pPr>
              <w:pStyle w:val="TableContents"/>
              <w:bidi w:val="0"/>
              <w:spacing w:lineRule="auto" w:line="288" w:before="0" w:after="0"/>
              <w:jc w:val="center"/>
              <w:rPr>
                <w:rFonts w:ascii="Arial;sans-serif" w:hAnsi="Arial;sans-serif"/>
                <w:b/>
                <w:color w:val="FFFFFF"/>
                <w:sz w:val="14"/>
              </w:rPr>
            </w:pPr>
            <w:r>
              <w:rPr>
                <w:rFonts w:ascii="Arial;sans-serif" w:hAnsi="Arial;sans-serif"/>
                <w:b/>
                <w:color w:val="FFFFFF"/>
                <w:sz w:val="14"/>
              </w:rPr>
              <w:t>Shares, Units, or Other Rights That Have Not Vested</w:t>
            </w:r>
          </w:p>
          <w:p>
            <w:pPr>
              <w:pStyle w:val="TableContents"/>
              <w:bidi w:val="0"/>
              <w:spacing w:lineRule="auto" w:line="288" w:before="0" w:after="0"/>
              <w:jc w:val="center"/>
              <w:rPr/>
            </w:pPr>
            <w:r>
              <w:rPr>
                <w:rFonts w:ascii="Arial;sans-serif" w:hAnsi="Arial;sans-serif"/>
                <w:b/>
                <w:color w:val="FFFFFF"/>
                <w:sz w:val="14"/>
              </w:rPr>
              <w:t>($)</w:t>
            </w:r>
            <w:r>
              <w:rPr>
                <w:rFonts w:ascii="Arial;sans-serif" w:hAnsi="Arial;sans-serif"/>
                <w:b/>
                <w:color w:val="FFFFFF"/>
                <w:sz w:val="9"/>
              </w:rPr>
              <w:t>(3)</w:t>
            </w:r>
          </w:p>
        </w:tc>
      </w:tr>
      <w:tr>
        <w:trPr/>
        <w:tc>
          <w:tcPr>
            <w:tcW w:w="965" w:type="dxa"/>
            <w:gridSpan w:val="3"/>
            <w:vMerge w:val="restart"/>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4"/>
              </w:rPr>
            </w:pPr>
            <w:r>
              <w:rPr>
                <w:rFonts w:ascii="Arial;sans-serif" w:hAnsi="Arial;sans-serif"/>
                <w:b w:val="false"/>
                <w:color w:val="000000"/>
                <w:sz w:val="14"/>
              </w:rPr>
              <w:t>John W. Swann, III</w:t>
            </w:r>
          </w:p>
        </w:tc>
        <w:tc>
          <w:tcPr>
            <w:tcW w:w="526" w:type="dxa"/>
            <w:gridSpan w:val="3"/>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02/22/2018</w:t>
            </w:r>
          </w:p>
        </w:tc>
        <w:tc>
          <w:tcPr>
            <w:tcW w:w="822" w:type="dxa"/>
            <w:gridSpan w:val="2"/>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12" w:type="dxa"/>
            <w:tcBorders>
              <w:top w:val="single" w:sz="4" w:space="0" w:color="000000"/>
            </w:tcBorders>
            <w:shd w:fill="E6E7E8"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12,361 </w:t>
            </w:r>
          </w:p>
        </w:tc>
        <w:tc>
          <w:tcPr>
            <w:tcW w:w="371" w:type="dxa"/>
            <w:tcBorders>
              <w:top w:val="single" w:sz="4" w:space="0" w:color="000000"/>
            </w:tcBorders>
            <w:shd w:fill="E6E7E8"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2"/>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32.69 </w:t>
            </w:r>
          </w:p>
        </w:tc>
        <w:tc>
          <w:tcPr>
            <w:tcW w:w="242" w:type="dxa"/>
            <w:tcBorders>
              <w:top w:val="single" w:sz="4" w:space="0" w:color="000000"/>
            </w:tcBorders>
            <w:shd w:fill="E6E7E8"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02/22/2028</w:t>
            </w:r>
          </w:p>
        </w:tc>
        <w:tc>
          <w:tcPr>
            <w:tcW w:w="682" w:type="dxa"/>
            <w:gridSpan w:val="3"/>
            <w:tcBorders>
              <w:top w:val="single" w:sz="4" w:space="0" w:color="000000"/>
              <w:left w:val="single" w:sz="4" w:space="0" w:color="000000"/>
            </w:tcBorders>
            <w:shd w:fill="E6E7E8" w:val="clear"/>
            <w:tcMar>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op w:val="single" w:sz="4" w:space="0" w:color="000000"/>
            </w:tcBorders>
            <w:shd w:fill="E6E7E8"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op w:val="single" w:sz="4" w:space="0" w:color="000000"/>
              <w:left w:val="single" w:sz="4" w:space="0" w:color="000000"/>
            </w:tcBorders>
            <w:shd w:fill="E6E7E8" w:val="clear"/>
            <w:tcMar>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4" w:space="0" w:color="000000"/>
              <w:left w:val="single" w:sz="4" w:space="0" w:color="000000"/>
            </w:tcBorders>
            <w:shd w:fill="E6E7E8" w:val="clear"/>
            <w:tcMar>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op w:val="single" w:sz="4" w:space="0" w:color="000000"/>
            </w:tcBorders>
            <w:shd w:fill="E6E7E8"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top w:val="single" w:sz="4" w:space="0" w:color="000000"/>
              <w:left w:val="single" w:sz="4" w:space="0" w:color="000000"/>
              <w:right w:val="single" w:sz="4" w:space="0" w:color="000000"/>
            </w:tcBorders>
            <w:shd w:fill="E6E7E8" w:val="clear"/>
            <w:tcMar>
              <w:bottom w:w="0" w:type="dxa"/>
              <w:right w:w="290" w:type="dxa"/>
            </w:tcMar>
            <w:vAlign w:val="center"/>
          </w:tcPr>
          <w:p>
            <w:pPr>
              <w:pStyle w:val="TableContents"/>
              <w:bidi w:val="0"/>
              <w:spacing w:before="0" w:after="283"/>
              <w:jc w:val="left"/>
              <w:rPr>
                <w:sz w:val="4"/>
                <w:szCs w:val="4"/>
              </w:rPr>
            </w:pPr>
            <w:r>
              <w:rPr>
                <w:sz w:val="4"/>
                <w:szCs w:val="4"/>
              </w:rPr>
            </w:r>
          </w:p>
        </w:tc>
      </w:tr>
      <w:tr>
        <w:trPr/>
        <w:tc>
          <w:tcPr>
            <w:tcW w:w="965" w:type="dxa"/>
            <w:gridSpan w:val="3"/>
            <w:vMerge w:val="continue"/>
            <w:tcBorders>
              <w:top w:val="single" w:sz="4" w:space="0" w:color="000000"/>
              <w:left w:val="single" w:sz="4" w:space="0" w:color="000000"/>
            </w:tcBorders>
            <w:tcMar>
              <w:top w:w="30" w:type="dxa"/>
              <w:bottom w:w="0" w:type="dxa"/>
              <w:right w:w="0" w:type="dxa"/>
            </w:tcMar>
            <w:vAlign w:val="center"/>
          </w:tcPr>
          <w:p>
            <w:pPr>
              <w:pStyle w:val="Normal"/>
              <w:bidi w:val="0"/>
              <w:jc w:val="left"/>
              <w:rPr/>
            </w:pPr>
            <w:r>
              <w:rPr/>
            </w:r>
          </w:p>
        </w:tc>
        <w:tc>
          <w:tcPr>
            <w:tcW w:w="52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02/21/2019</w:t>
            </w:r>
          </w:p>
        </w:tc>
        <w:tc>
          <w:tcPr>
            <w:tcW w:w="822" w:type="dxa"/>
            <w:gridSpan w:val="2"/>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12"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13,556 </w:t>
            </w:r>
          </w:p>
        </w:tc>
        <w:tc>
          <w:tcPr>
            <w:tcW w:w="371"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2"/>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36.51 </w:t>
            </w:r>
          </w:p>
        </w:tc>
        <w:tc>
          <w:tcPr>
            <w:tcW w:w="242"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02/21/2029</w:t>
            </w:r>
          </w:p>
        </w:tc>
        <w:tc>
          <w:tcPr>
            <w:tcW w:w="682"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top w:val="single" w:sz="4" w:space="0" w:color="000000"/>
              <w:left w:val="single" w:sz="4" w:space="0" w:color="000000"/>
              <w:right w:val="single" w:sz="4" w:space="0" w:color="000000"/>
            </w:tcBorders>
            <w:tcMar>
              <w:bottom w:w="0" w:type="dxa"/>
              <w:right w:w="290" w:type="dxa"/>
            </w:tcMar>
            <w:vAlign w:val="center"/>
          </w:tcPr>
          <w:p>
            <w:pPr>
              <w:pStyle w:val="TableContents"/>
              <w:bidi w:val="0"/>
              <w:spacing w:before="0" w:after="283"/>
              <w:jc w:val="left"/>
              <w:rPr>
                <w:sz w:val="4"/>
                <w:szCs w:val="4"/>
              </w:rPr>
            </w:pPr>
            <w:r>
              <w:rPr>
                <w:sz w:val="4"/>
                <w:szCs w:val="4"/>
              </w:rPr>
            </w:r>
          </w:p>
        </w:tc>
      </w:tr>
      <w:tr>
        <w:trPr/>
        <w:tc>
          <w:tcPr>
            <w:tcW w:w="965" w:type="dxa"/>
            <w:gridSpan w:val="3"/>
            <w:vMerge w:val="continue"/>
            <w:tcBorders>
              <w:top w:val="single" w:sz="4" w:space="0" w:color="000000"/>
              <w:left w:val="single" w:sz="4" w:space="0" w:color="000000"/>
            </w:tcBorders>
            <w:tcMar>
              <w:top w:w="30" w:type="dxa"/>
              <w:bottom w:w="0" w:type="dxa"/>
              <w:right w:w="0" w:type="dxa"/>
            </w:tcMar>
            <w:vAlign w:val="center"/>
          </w:tcPr>
          <w:p>
            <w:pPr>
              <w:pStyle w:val="Normal"/>
              <w:bidi w:val="0"/>
              <w:jc w:val="left"/>
              <w:rPr/>
            </w:pPr>
            <w:r>
              <w:rPr/>
            </w:r>
          </w:p>
        </w:tc>
        <w:tc>
          <w:tcPr>
            <w:tcW w:w="526" w:type="dxa"/>
            <w:gridSpan w:val="3"/>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02/20/2020</w:t>
            </w:r>
          </w:p>
        </w:tc>
        <w:tc>
          <w:tcPr>
            <w:tcW w:w="822" w:type="dxa"/>
            <w:gridSpan w:val="2"/>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12" w:type="dxa"/>
            <w:tcBorders>
              <w:top w:val="single" w:sz="4" w:space="0" w:color="000000"/>
            </w:tcBorders>
            <w:shd w:fill="E6E7E8"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10,552 </w:t>
            </w:r>
          </w:p>
        </w:tc>
        <w:tc>
          <w:tcPr>
            <w:tcW w:w="371" w:type="dxa"/>
            <w:tcBorders>
              <w:top w:val="single" w:sz="4" w:space="0" w:color="000000"/>
            </w:tcBorders>
            <w:shd w:fill="E6E7E8"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2"/>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50.09 </w:t>
            </w:r>
          </w:p>
        </w:tc>
        <w:tc>
          <w:tcPr>
            <w:tcW w:w="242" w:type="dxa"/>
            <w:tcBorders>
              <w:top w:val="single" w:sz="4" w:space="0" w:color="000000"/>
            </w:tcBorders>
            <w:shd w:fill="E6E7E8"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02/20/2030</w:t>
            </w:r>
          </w:p>
        </w:tc>
        <w:tc>
          <w:tcPr>
            <w:tcW w:w="682" w:type="dxa"/>
            <w:gridSpan w:val="3"/>
            <w:tcBorders>
              <w:top w:val="single" w:sz="4" w:space="0" w:color="000000"/>
              <w:left w:val="single" w:sz="4" w:space="0" w:color="000000"/>
            </w:tcBorders>
            <w:shd w:fill="E6E7E8" w:val="clear"/>
            <w:tcMar>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op w:val="single" w:sz="4" w:space="0" w:color="000000"/>
            </w:tcBorders>
            <w:shd w:fill="E6E7E8"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op w:val="single" w:sz="4" w:space="0" w:color="000000"/>
              <w:left w:val="single" w:sz="4" w:space="0" w:color="000000"/>
            </w:tcBorders>
            <w:shd w:fill="E6E7E8" w:val="clear"/>
            <w:tcMar>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4" w:space="0" w:color="000000"/>
              <w:left w:val="single" w:sz="4" w:space="0" w:color="000000"/>
            </w:tcBorders>
            <w:shd w:fill="E6E7E8" w:val="clear"/>
            <w:tcMar>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op w:val="single" w:sz="4" w:space="0" w:color="000000"/>
            </w:tcBorders>
            <w:shd w:fill="E6E7E8"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top w:val="single" w:sz="4" w:space="0" w:color="000000"/>
              <w:left w:val="single" w:sz="4" w:space="0" w:color="000000"/>
              <w:right w:val="single" w:sz="4" w:space="0" w:color="000000"/>
            </w:tcBorders>
            <w:shd w:fill="E6E7E8" w:val="clear"/>
            <w:tcMar>
              <w:bottom w:w="0" w:type="dxa"/>
              <w:right w:w="290" w:type="dxa"/>
            </w:tcMar>
            <w:vAlign w:val="center"/>
          </w:tcPr>
          <w:p>
            <w:pPr>
              <w:pStyle w:val="TableContents"/>
              <w:bidi w:val="0"/>
              <w:spacing w:before="0" w:after="283"/>
              <w:jc w:val="left"/>
              <w:rPr>
                <w:sz w:val="4"/>
                <w:szCs w:val="4"/>
              </w:rPr>
            </w:pPr>
            <w:r>
              <w:rPr>
                <w:sz w:val="4"/>
                <w:szCs w:val="4"/>
              </w:rPr>
            </w:r>
          </w:p>
        </w:tc>
      </w:tr>
      <w:tr>
        <w:trPr/>
        <w:tc>
          <w:tcPr>
            <w:tcW w:w="965" w:type="dxa"/>
            <w:gridSpan w:val="3"/>
            <w:vMerge w:val="continue"/>
            <w:tcBorders>
              <w:top w:val="single" w:sz="4" w:space="0" w:color="000000"/>
              <w:left w:val="single" w:sz="4" w:space="0" w:color="000000"/>
            </w:tcBorders>
            <w:tcMar>
              <w:top w:w="30" w:type="dxa"/>
              <w:bottom w:w="0" w:type="dxa"/>
              <w:right w:w="0" w:type="dxa"/>
            </w:tcMar>
            <w:vAlign w:val="center"/>
          </w:tcPr>
          <w:p>
            <w:pPr>
              <w:pStyle w:val="Normal"/>
              <w:bidi w:val="0"/>
              <w:jc w:val="left"/>
              <w:rPr/>
            </w:pPr>
            <w:r>
              <w:rPr/>
            </w:r>
          </w:p>
        </w:tc>
        <w:tc>
          <w:tcPr>
            <w:tcW w:w="52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03/01/2021</w:t>
            </w:r>
          </w:p>
        </w:tc>
        <w:tc>
          <w:tcPr>
            <w:tcW w:w="1234"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1,047 </w:t>
            </w:r>
          </w:p>
        </w:tc>
        <w:tc>
          <w:tcPr>
            <w:tcW w:w="140"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both"/>
              <w:rPr>
                <w:rFonts w:ascii="Arial;sans-serif" w:hAnsi="Arial;sans-serif"/>
                <w:b w:val="false"/>
                <w:color w:val="000000"/>
                <w:sz w:val="10"/>
              </w:rPr>
            </w:pPr>
            <w:r>
              <w:rPr>
                <w:rFonts w:ascii="Arial;sans-serif" w:hAnsi="Arial;sans-serif"/>
                <w:b w:val="false"/>
                <w:color w:val="000000"/>
                <w:sz w:val="10"/>
              </w:rPr>
              <w:t>(4a)</w:t>
            </w:r>
          </w:p>
        </w:tc>
        <w:tc>
          <w:tcPr>
            <w:tcW w:w="740" w:type="dxa"/>
            <w:gridSpan w:val="2"/>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105,757 </w:t>
            </w:r>
          </w:p>
        </w:tc>
        <w:tc>
          <w:tcPr>
            <w:tcW w:w="288"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14" w:type="dxa"/>
            <w:tcBorders>
              <w:top w:val="single" w:sz="4" w:space="0" w:color="000000"/>
              <w:right w:val="single" w:sz="4" w:space="0" w:color="000000"/>
            </w:tcBorders>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965" w:type="dxa"/>
            <w:gridSpan w:val="3"/>
            <w:vMerge w:val="continue"/>
            <w:tcBorders>
              <w:top w:val="single" w:sz="4" w:space="0" w:color="000000"/>
              <w:left w:val="single" w:sz="4" w:space="0" w:color="000000"/>
            </w:tcBorders>
            <w:tcMar>
              <w:top w:w="30" w:type="dxa"/>
              <w:bottom w:w="0" w:type="dxa"/>
              <w:right w:w="0" w:type="dxa"/>
            </w:tcMar>
            <w:vAlign w:val="center"/>
          </w:tcPr>
          <w:p>
            <w:pPr>
              <w:pStyle w:val="Normal"/>
              <w:bidi w:val="0"/>
              <w:jc w:val="left"/>
              <w:rPr/>
            </w:pPr>
            <w:r>
              <w:rPr/>
            </w:r>
          </w:p>
        </w:tc>
        <w:tc>
          <w:tcPr>
            <w:tcW w:w="526" w:type="dxa"/>
            <w:gridSpan w:val="3"/>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03/01/2021</w:t>
            </w:r>
          </w:p>
        </w:tc>
        <w:tc>
          <w:tcPr>
            <w:tcW w:w="1234" w:type="dxa"/>
            <w:gridSpan w:val="3"/>
            <w:tcBorders>
              <w:top w:val="single" w:sz="4" w:space="0" w:color="000000"/>
              <w:left w:val="single" w:sz="4" w:space="0" w:color="000000"/>
            </w:tcBorders>
            <w:shd w:fill="E6E7E8" w:val="clear"/>
            <w:tcMar>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4" w:space="0" w:color="000000"/>
              <w:left w:val="single" w:sz="4" w:space="0" w:color="000000"/>
            </w:tcBorders>
            <w:shd w:fill="E6E7E8" w:val="clear"/>
            <w:tcMar>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4" w:space="0" w:color="000000"/>
              <w:left w:val="single" w:sz="4" w:space="0" w:color="000000"/>
            </w:tcBorders>
            <w:shd w:fill="E6E7E8" w:val="clear"/>
            <w:tcMar>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op w:val="single" w:sz="4" w:space="0" w:color="000000"/>
              <w:left w:val="single" w:sz="4" w:space="0" w:color="000000"/>
            </w:tcBorders>
            <w:shd w:fill="E6E7E8" w:val="clear"/>
            <w:tcMar>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6,281 </w:t>
            </w:r>
          </w:p>
        </w:tc>
        <w:tc>
          <w:tcPr>
            <w:tcW w:w="140" w:type="dxa"/>
            <w:tcBorders>
              <w:top w:val="single" w:sz="4" w:space="0" w:color="000000"/>
            </w:tcBorders>
            <w:shd w:fill="E6E7E8"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op w:val="single" w:sz="4" w:space="0" w:color="000000"/>
            </w:tcBorders>
            <w:shd w:fill="E6E7E8"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634,444 </w:t>
            </w:r>
          </w:p>
        </w:tc>
        <w:tc>
          <w:tcPr>
            <w:tcW w:w="288" w:type="dxa"/>
            <w:tcBorders>
              <w:top w:val="single" w:sz="4" w:space="0" w:color="000000"/>
            </w:tcBorders>
            <w:shd w:fill="E6E7E8"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8,542 </w:t>
            </w:r>
          </w:p>
        </w:tc>
        <w:tc>
          <w:tcPr>
            <w:tcW w:w="176" w:type="dxa"/>
            <w:tcBorders>
              <w:top w:val="single" w:sz="4" w:space="0" w:color="000000"/>
            </w:tcBorders>
            <w:shd w:fill="E6E7E8"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op w:val="single" w:sz="4" w:space="0" w:color="000000"/>
            </w:tcBorders>
            <w:shd w:fill="E6E7E8" w:val="clear"/>
            <w:tcMar>
              <w:top w:w="30" w:type="dxa"/>
              <w:left w:w="0" w:type="dxa"/>
              <w:bottom w:w="0" w:type="dxa"/>
              <w:right w:w="0" w:type="dxa"/>
            </w:tcMar>
            <w:vAlign w:val="center"/>
          </w:tcPr>
          <w:p>
            <w:pPr>
              <w:pStyle w:val="TableContents"/>
              <w:bidi w:val="0"/>
              <w:spacing w:lineRule="auto" w:line="288" w:before="0" w:after="283"/>
              <w:jc w:val="both"/>
              <w:rPr>
                <w:rFonts w:ascii="Arial;sans-serif" w:hAnsi="Arial;sans-serif"/>
                <w:b w:val="false"/>
                <w:color w:val="000000"/>
                <w:sz w:val="10"/>
              </w:rPr>
            </w:pPr>
            <w:r>
              <w:rPr>
                <w:rFonts w:ascii="Arial;sans-serif" w:hAnsi="Arial;sans-serif"/>
                <w:b w:val="false"/>
                <w:color w:val="000000"/>
                <w:sz w:val="10"/>
              </w:rPr>
              <w:t>(4b)</w:t>
            </w:r>
          </w:p>
        </w:tc>
        <w:tc>
          <w:tcPr>
            <w:tcW w:w="869" w:type="dxa"/>
            <w:gridSpan w:val="2"/>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862,844 </w:t>
            </w:r>
          </w:p>
        </w:tc>
        <w:tc>
          <w:tcPr>
            <w:tcW w:w="414" w:type="dxa"/>
            <w:tcBorders>
              <w:top w:val="single" w:sz="4" w:space="0" w:color="000000"/>
              <w:right w:val="single" w:sz="4" w:space="0" w:color="000000"/>
            </w:tcBorders>
            <w:shd w:fill="E6E7E8"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965" w:type="dxa"/>
            <w:gridSpan w:val="3"/>
            <w:vMerge w:val="continue"/>
            <w:tcBorders>
              <w:top w:val="single" w:sz="4" w:space="0" w:color="000000"/>
              <w:left w:val="single" w:sz="4" w:space="0" w:color="000000"/>
            </w:tcBorders>
            <w:tcMar>
              <w:top w:w="30" w:type="dxa"/>
              <w:bottom w:w="0" w:type="dxa"/>
              <w:right w:w="0" w:type="dxa"/>
            </w:tcMar>
            <w:vAlign w:val="center"/>
          </w:tcPr>
          <w:p>
            <w:pPr>
              <w:pStyle w:val="Normal"/>
              <w:bidi w:val="0"/>
              <w:jc w:val="left"/>
              <w:rPr/>
            </w:pPr>
            <w:r>
              <w:rPr/>
            </w:r>
          </w:p>
        </w:tc>
        <w:tc>
          <w:tcPr>
            <w:tcW w:w="52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03/01/2021</w:t>
            </w:r>
          </w:p>
        </w:tc>
        <w:tc>
          <w:tcPr>
            <w:tcW w:w="822" w:type="dxa"/>
            <w:gridSpan w:val="2"/>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2,701 </w:t>
            </w:r>
          </w:p>
        </w:tc>
        <w:tc>
          <w:tcPr>
            <w:tcW w:w="412"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5,400 </w:t>
            </w:r>
          </w:p>
        </w:tc>
        <w:tc>
          <w:tcPr>
            <w:tcW w:w="371"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2"/>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58.34 </w:t>
            </w:r>
          </w:p>
        </w:tc>
        <w:tc>
          <w:tcPr>
            <w:tcW w:w="242"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03/01/2031</w:t>
            </w:r>
          </w:p>
        </w:tc>
        <w:tc>
          <w:tcPr>
            <w:tcW w:w="682"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top w:val="single" w:sz="4" w:space="0" w:color="000000"/>
              <w:left w:val="single" w:sz="4" w:space="0" w:color="000000"/>
              <w:right w:val="single" w:sz="4" w:space="0" w:color="000000"/>
            </w:tcBorders>
            <w:tcMar>
              <w:bottom w:w="0" w:type="dxa"/>
              <w:right w:w="290" w:type="dxa"/>
            </w:tcMar>
            <w:vAlign w:val="center"/>
          </w:tcPr>
          <w:p>
            <w:pPr>
              <w:pStyle w:val="TableContents"/>
              <w:bidi w:val="0"/>
              <w:spacing w:before="0" w:after="283"/>
              <w:jc w:val="left"/>
              <w:rPr>
                <w:sz w:val="4"/>
                <w:szCs w:val="4"/>
              </w:rPr>
            </w:pPr>
            <w:r>
              <w:rPr>
                <w:sz w:val="4"/>
                <w:szCs w:val="4"/>
              </w:rPr>
            </w:r>
          </w:p>
        </w:tc>
      </w:tr>
      <w:tr>
        <w:trPr/>
        <w:tc>
          <w:tcPr>
            <w:tcW w:w="965" w:type="dxa"/>
            <w:gridSpan w:val="3"/>
            <w:vMerge w:val="continue"/>
            <w:tcBorders>
              <w:top w:val="single" w:sz="4" w:space="0" w:color="000000"/>
              <w:left w:val="single" w:sz="4" w:space="0" w:color="000000"/>
            </w:tcBorders>
            <w:tcMar>
              <w:top w:w="30" w:type="dxa"/>
              <w:bottom w:w="0" w:type="dxa"/>
              <w:right w:w="0" w:type="dxa"/>
            </w:tcMar>
            <w:vAlign w:val="center"/>
          </w:tcPr>
          <w:p>
            <w:pPr>
              <w:pStyle w:val="Normal"/>
              <w:bidi w:val="0"/>
              <w:jc w:val="left"/>
              <w:rPr/>
            </w:pPr>
            <w:r>
              <w:rPr/>
            </w:r>
          </w:p>
        </w:tc>
        <w:tc>
          <w:tcPr>
            <w:tcW w:w="526" w:type="dxa"/>
            <w:gridSpan w:val="3"/>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03/01/2022</w:t>
            </w:r>
          </w:p>
        </w:tc>
        <w:tc>
          <w:tcPr>
            <w:tcW w:w="1234" w:type="dxa"/>
            <w:gridSpan w:val="3"/>
            <w:tcBorders>
              <w:top w:val="single" w:sz="4" w:space="0" w:color="000000"/>
              <w:left w:val="single" w:sz="4" w:space="0" w:color="000000"/>
            </w:tcBorders>
            <w:shd w:fill="E6E7E8" w:val="clear"/>
            <w:tcMar>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4" w:space="0" w:color="000000"/>
              <w:left w:val="single" w:sz="4" w:space="0" w:color="000000"/>
            </w:tcBorders>
            <w:shd w:fill="E6E7E8" w:val="clear"/>
            <w:tcMar>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4" w:space="0" w:color="000000"/>
              <w:left w:val="single" w:sz="4" w:space="0" w:color="000000"/>
            </w:tcBorders>
            <w:shd w:fill="E6E7E8" w:val="clear"/>
            <w:tcMar>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op w:val="single" w:sz="4" w:space="0" w:color="000000"/>
              <w:left w:val="single" w:sz="4" w:space="0" w:color="000000"/>
            </w:tcBorders>
            <w:shd w:fill="E6E7E8" w:val="clear"/>
            <w:tcMar>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6,821 </w:t>
            </w:r>
          </w:p>
        </w:tc>
        <w:tc>
          <w:tcPr>
            <w:tcW w:w="140" w:type="dxa"/>
            <w:tcBorders>
              <w:top w:val="single" w:sz="4" w:space="0" w:color="000000"/>
            </w:tcBorders>
            <w:shd w:fill="E6E7E8"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op w:val="single" w:sz="4" w:space="0" w:color="000000"/>
            </w:tcBorders>
            <w:shd w:fill="E6E7E8"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688,989 </w:t>
            </w:r>
          </w:p>
        </w:tc>
        <w:tc>
          <w:tcPr>
            <w:tcW w:w="288" w:type="dxa"/>
            <w:tcBorders>
              <w:top w:val="single" w:sz="4" w:space="0" w:color="000000"/>
            </w:tcBorders>
            <w:shd w:fill="E6E7E8"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10,232 </w:t>
            </w:r>
          </w:p>
        </w:tc>
        <w:tc>
          <w:tcPr>
            <w:tcW w:w="176" w:type="dxa"/>
            <w:tcBorders>
              <w:top w:val="single" w:sz="4" w:space="0" w:color="000000"/>
            </w:tcBorders>
            <w:shd w:fill="E6E7E8"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op w:val="single" w:sz="4" w:space="0" w:color="000000"/>
            </w:tcBorders>
            <w:shd w:fill="E6E7E8" w:val="clear"/>
            <w:tcMar>
              <w:top w:w="30" w:type="dxa"/>
              <w:left w:w="0" w:type="dxa"/>
              <w:bottom w:w="0" w:type="dxa"/>
              <w:right w:w="0" w:type="dxa"/>
            </w:tcMar>
            <w:vAlign w:val="center"/>
          </w:tcPr>
          <w:p>
            <w:pPr>
              <w:pStyle w:val="TableContents"/>
              <w:bidi w:val="0"/>
              <w:spacing w:lineRule="auto" w:line="288" w:before="0" w:after="283"/>
              <w:jc w:val="both"/>
              <w:rPr>
                <w:rFonts w:ascii="Arial;sans-serif" w:hAnsi="Arial;sans-serif"/>
                <w:b w:val="false"/>
                <w:color w:val="000000"/>
                <w:sz w:val="10"/>
              </w:rPr>
            </w:pPr>
            <w:r>
              <w:rPr>
                <w:rFonts w:ascii="Arial;sans-serif" w:hAnsi="Arial;sans-serif"/>
                <w:b w:val="false"/>
                <w:color w:val="000000"/>
                <w:sz w:val="10"/>
              </w:rPr>
              <w:t>(5b)</w:t>
            </w:r>
          </w:p>
        </w:tc>
        <w:tc>
          <w:tcPr>
            <w:tcW w:w="869" w:type="dxa"/>
            <w:gridSpan w:val="2"/>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1,033,484 </w:t>
            </w:r>
          </w:p>
        </w:tc>
        <w:tc>
          <w:tcPr>
            <w:tcW w:w="414" w:type="dxa"/>
            <w:tcBorders>
              <w:top w:val="single" w:sz="4" w:space="0" w:color="000000"/>
              <w:right w:val="single" w:sz="4" w:space="0" w:color="000000"/>
            </w:tcBorders>
            <w:shd w:fill="E6E7E8"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965" w:type="dxa"/>
            <w:gridSpan w:val="3"/>
            <w:vMerge w:val="continue"/>
            <w:tcBorders>
              <w:top w:val="single" w:sz="4" w:space="0" w:color="000000"/>
              <w:left w:val="single" w:sz="4" w:space="0" w:color="000000"/>
            </w:tcBorders>
            <w:tcMar>
              <w:top w:w="30" w:type="dxa"/>
              <w:bottom w:w="0" w:type="dxa"/>
              <w:right w:w="0" w:type="dxa"/>
            </w:tcMar>
            <w:vAlign w:val="center"/>
          </w:tcPr>
          <w:p>
            <w:pPr>
              <w:pStyle w:val="Normal"/>
              <w:bidi w:val="0"/>
              <w:jc w:val="left"/>
              <w:rPr/>
            </w:pPr>
            <w:r>
              <w:rPr/>
            </w:r>
          </w:p>
        </w:tc>
        <w:tc>
          <w:tcPr>
            <w:tcW w:w="52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03/01/2022</w:t>
            </w:r>
          </w:p>
        </w:tc>
        <w:tc>
          <w:tcPr>
            <w:tcW w:w="1234"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2,274 </w:t>
            </w:r>
          </w:p>
        </w:tc>
        <w:tc>
          <w:tcPr>
            <w:tcW w:w="140"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both"/>
              <w:rPr>
                <w:rFonts w:ascii="Arial;sans-serif" w:hAnsi="Arial;sans-serif"/>
                <w:b w:val="false"/>
                <w:color w:val="000000"/>
                <w:sz w:val="10"/>
              </w:rPr>
            </w:pPr>
            <w:r>
              <w:rPr>
                <w:rFonts w:ascii="Arial;sans-serif" w:hAnsi="Arial;sans-serif"/>
                <w:b w:val="false"/>
                <w:color w:val="000000"/>
                <w:sz w:val="10"/>
              </w:rPr>
              <w:t>(5a)</w:t>
            </w:r>
          </w:p>
        </w:tc>
        <w:tc>
          <w:tcPr>
            <w:tcW w:w="740" w:type="dxa"/>
            <w:gridSpan w:val="2"/>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229,697 </w:t>
            </w:r>
          </w:p>
        </w:tc>
        <w:tc>
          <w:tcPr>
            <w:tcW w:w="288"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14" w:type="dxa"/>
            <w:tcBorders>
              <w:top w:val="single" w:sz="4" w:space="0" w:color="000000"/>
              <w:right w:val="single" w:sz="4" w:space="0" w:color="000000"/>
            </w:tcBorders>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965" w:type="dxa"/>
            <w:gridSpan w:val="3"/>
            <w:vMerge w:val="continue"/>
            <w:tcBorders>
              <w:top w:val="single" w:sz="4" w:space="0" w:color="000000"/>
              <w:left w:val="single" w:sz="4" w:space="0" w:color="000000"/>
            </w:tcBorders>
            <w:tcMar>
              <w:top w:w="30" w:type="dxa"/>
              <w:bottom w:w="0" w:type="dxa"/>
              <w:right w:w="0" w:type="dxa"/>
            </w:tcMar>
            <w:vAlign w:val="center"/>
          </w:tcPr>
          <w:p>
            <w:pPr>
              <w:pStyle w:val="Normal"/>
              <w:bidi w:val="0"/>
              <w:jc w:val="left"/>
              <w:rPr/>
            </w:pPr>
            <w:r>
              <w:rPr/>
            </w:r>
          </w:p>
        </w:tc>
        <w:tc>
          <w:tcPr>
            <w:tcW w:w="526" w:type="dxa"/>
            <w:gridSpan w:val="3"/>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03/01/2022</w:t>
            </w:r>
          </w:p>
        </w:tc>
        <w:tc>
          <w:tcPr>
            <w:tcW w:w="822" w:type="dxa"/>
            <w:gridSpan w:val="2"/>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5,761 </w:t>
            </w:r>
          </w:p>
        </w:tc>
        <w:tc>
          <w:tcPr>
            <w:tcW w:w="412" w:type="dxa"/>
            <w:tcBorders>
              <w:top w:val="single" w:sz="4" w:space="0" w:color="000000"/>
            </w:tcBorders>
            <w:shd w:fill="E6E7E8"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2,880 </w:t>
            </w:r>
          </w:p>
        </w:tc>
        <w:tc>
          <w:tcPr>
            <w:tcW w:w="371" w:type="dxa"/>
            <w:tcBorders>
              <w:top w:val="single" w:sz="4" w:space="0" w:color="000000"/>
            </w:tcBorders>
            <w:shd w:fill="E6E7E8"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2"/>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48.97 </w:t>
            </w:r>
          </w:p>
        </w:tc>
        <w:tc>
          <w:tcPr>
            <w:tcW w:w="242" w:type="dxa"/>
            <w:tcBorders>
              <w:top w:val="single" w:sz="4" w:space="0" w:color="000000"/>
            </w:tcBorders>
            <w:shd w:fill="E6E7E8"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03/01/2032</w:t>
            </w:r>
          </w:p>
        </w:tc>
        <w:tc>
          <w:tcPr>
            <w:tcW w:w="682" w:type="dxa"/>
            <w:gridSpan w:val="3"/>
            <w:tcBorders>
              <w:top w:val="single" w:sz="4" w:space="0" w:color="000000"/>
              <w:left w:val="single" w:sz="4" w:space="0" w:color="000000"/>
            </w:tcBorders>
            <w:shd w:fill="E6E7E8" w:val="clear"/>
            <w:tcMar>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op w:val="single" w:sz="4" w:space="0" w:color="000000"/>
            </w:tcBorders>
            <w:shd w:fill="E6E7E8"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op w:val="single" w:sz="4" w:space="0" w:color="000000"/>
              <w:left w:val="single" w:sz="4" w:space="0" w:color="000000"/>
            </w:tcBorders>
            <w:shd w:fill="E6E7E8" w:val="clear"/>
            <w:tcMar>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4" w:space="0" w:color="000000"/>
              <w:left w:val="single" w:sz="4" w:space="0" w:color="000000"/>
            </w:tcBorders>
            <w:shd w:fill="E6E7E8" w:val="clear"/>
            <w:tcMar>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op w:val="single" w:sz="4" w:space="0" w:color="000000"/>
            </w:tcBorders>
            <w:shd w:fill="E6E7E8"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top w:val="single" w:sz="4" w:space="0" w:color="000000"/>
              <w:left w:val="single" w:sz="4" w:space="0" w:color="000000"/>
              <w:right w:val="single" w:sz="4" w:space="0" w:color="000000"/>
            </w:tcBorders>
            <w:shd w:fill="E6E7E8" w:val="clear"/>
            <w:tcMar>
              <w:bottom w:w="0" w:type="dxa"/>
              <w:right w:w="290" w:type="dxa"/>
            </w:tcMar>
            <w:vAlign w:val="center"/>
          </w:tcPr>
          <w:p>
            <w:pPr>
              <w:pStyle w:val="TableContents"/>
              <w:bidi w:val="0"/>
              <w:spacing w:before="0" w:after="283"/>
              <w:jc w:val="left"/>
              <w:rPr>
                <w:sz w:val="4"/>
                <w:szCs w:val="4"/>
              </w:rPr>
            </w:pPr>
            <w:r>
              <w:rPr>
                <w:sz w:val="4"/>
                <w:szCs w:val="4"/>
              </w:rPr>
            </w:r>
          </w:p>
        </w:tc>
      </w:tr>
      <w:tr>
        <w:trPr/>
        <w:tc>
          <w:tcPr>
            <w:tcW w:w="965" w:type="dxa"/>
            <w:gridSpan w:val="3"/>
            <w:vMerge w:val="continue"/>
            <w:tcBorders>
              <w:top w:val="single" w:sz="4" w:space="0" w:color="000000"/>
              <w:left w:val="single" w:sz="4" w:space="0" w:color="000000"/>
            </w:tcBorders>
            <w:tcMar>
              <w:top w:w="30" w:type="dxa"/>
              <w:bottom w:w="0" w:type="dxa"/>
              <w:right w:w="0" w:type="dxa"/>
            </w:tcMar>
            <w:vAlign w:val="center"/>
          </w:tcPr>
          <w:p>
            <w:pPr>
              <w:pStyle w:val="Normal"/>
              <w:bidi w:val="0"/>
              <w:jc w:val="left"/>
              <w:rPr/>
            </w:pPr>
            <w:r>
              <w:rPr/>
            </w:r>
          </w:p>
        </w:tc>
        <w:tc>
          <w:tcPr>
            <w:tcW w:w="52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03/01/2023</w:t>
            </w:r>
          </w:p>
        </w:tc>
        <w:tc>
          <w:tcPr>
            <w:tcW w:w="1234"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5,160 </w:t>
            </w:r>
          </w:p>
        </w:tc>
        <w:tc>
          <w:tcPr>
            <w:tcW w:w="140"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521,212 </w:t>
            </w:r>
          </w:p>
        </w:tc>
        <w:tc>
          <w:tcPr>
            <w:tcW w:w="288"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5,470 </w:t>
            </w:r>
          </w:p>
        </w:tc>
        <w:tc>
          <w:tcPr>
            <w:tcW w:w="17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both"/>
              <w:rPr>
                <w:rFonts w:ascii="Arial;sans-serif" w:hAnsi="Arial;sans-serif"/>
                <w:b w:val="false"/>
                <w:color w:val="000000"/>
                <w:sz w:val="10"/>
              </w:rPr>
            </w:pPr>
            <w:r>
              <w:rPr>
                <w:rFonts w:ascii="Arial;sans-serif" w:hAnsi="Arial;sans-serif"/>
                <w:b w:val="false"/>
                <w:color w:val="000000"/>
                <w:sz w:val="10"/>
              </w:rPr>
              <w:t>(6b)</w:t>
            </w:r>
          </w:p>
        </w:tc>
        <w:tc>
          <w:tcPr>
            <w:tcW w:w="869" w:type="dxa"/>
            <w:gridSpan w:val="2"/>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552,484 </w:t>
            </w:r>
          </w:p>
        </w:tc>
        <w:tc>
          <w:tcPr>
            <w:tcW w:w="414" w:type="dxa"/>
            <w:tcBorders>
              <w:top w:val="single" w:sz="4" w:space="0" w:color="000000"/>
              <w:right w:val="single" w:sz="4" w:space="0" w:color="000000"/>
            </w:tcBorders>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965" w:type="dxa"/>
            <w:gridSpan w:val="3"/>
            <w:vMerge w:val="continue"/>
            <w:tcBorders>
              <w:top w:val="single" w:sz="4" w:space="0" w:color="000000"/>
              <w:left w:val="single" w:sz="4" w:space="0" w:color="000000"/>
            </w:tcBorders>
            <w:tcMar>
              <w:top w:w="30" w:type="dxa"/>
              <w:bottom w:w="0" w:type="dxa"/>
              <w:right w:w="0" w:type="dxa"/>
            </w:tcMar>
            <w:vAlign w:val="center"/>
          </w:tcPr>
          <w:p>
            <w:pPr>
              <w:pStyle w:val="Normal"/>
              <w:bidi w:val="0"/>
              <w:jc w:val="left"/>
              <w:rPr/>
            </w:pPr>
            <w:r>
              <w:rPr/>
            </w:r>
          </w:p>
        </w:tc>
        <w:tc>
          <w:tcPr>
            <w:tcW w:w="526" w:type="dxa"/>
            <w:gridSpan w:val="3"/>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03/01/2023</w:t>
            </w:r>
          </w:p>
        </w:tc>
        <w:tc>
          <w:tcPr>
            <w:tcW w:w="1234" w:type="dxa"/>
            <w:gridSpan w:val="3"/>
            <w:tcBorders>
              <w:top w:val="single" w:sz="4" w:space="0" w:color="000000"/>
              <w:left w:val="single" w:sz="4" w:space="0" w:color="000000"/>
            </w:tcBorders>
            <w:shd w:fill="E6E7E8" w:val="clear"/>
            <w:tcMar>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4" w:space="0" w:color="000000"/>
              <w:left w:val="single" w:sz="4" w:space="0" w:color="000000"/>
            </w:tcBorders>
            <w:shd w:fill="E6E7E8" w:val="clear"/>
            <w:tcMar>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4" w:space="0" w:color="000000"/>
              <w:left w:val="single" w:sz="4" w:space="0" w:color="000000"/>
            </w:tcBorders>
            <w:shd w:fill="E6E7E8" w:val="clear"/>
            <w:tcMar>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op w:val="single" w:sz="4" w:space="0" w:color="000000"/>
              <w:left w:val="single" w:sz="4" w:space="0" w:color="000000"/>
            </w:tcBorders>
            <w:shd w:fill="E6E7E8" w:val="clear"/>
            <w:tcMar>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2,580 </w:t>
            </w:r>
          </w:p>
        </w:tc>
        <w:tc>
          <w:tcPr>
            <w:tcW w:w="140" w:type="dxa"/>
            <w:tcBorders>
              <w:top w:val="single" w:sz="4" w:space="0" w:color="000000"/>
            </w:tcBorders>
            <w:shd w:fill="E6E7E8"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op w:val="single" w:sz="4" w:space="0" w:color="000000"/>
            </w:tcBorders>
            <w:shd w:fill="E6E7E8" w:val="clear"/>
            <w:tcMar>
              <w:top w:w="30" w:type="dxa"/>
              <w:left w:w="0" w:type="dxa"/>
              <w:bottom w:w="0" w:type="dxa"/>
              <w:right w:w="0" w:type="dxa"/>
            </w:tcMar>
            <w:vAlign w:val="center"/>
          </w:tcPr>
          <w:p>
            <w:pPr>
              <w:pStyle w:val="TableContents"/>
              <w:bidi w:val="0"/>
              <w:spacing w:lineRule="auto" w:line="288" w:before="0" w:after="283"/>
              <w:jc w:val="both"/>
              <w:rPr>
                <w:rFonts w:ascii="Arial;sans-serif" w:hAnsi="Arial;sans-serif"/>
                <w:b w:val="false"/>
                <w:color w:val="000000"/>
                <w:sz w:val="10"/>
              </w:rPr>
            </w:pPr>
            <w:r>
              <w:rPr>
                <w:rFonts w:ascii="Arial;sans-serif" w:hAnsi="Arial;sans-serif"/>
                <w:b w:val="false"/>
                <w:color w:val="000000"/>
                <w:sz w:val="10"/>
              </w:rPr>
              <w:t>(6a)</w:t>
            </w:r>
          </w:p>
        </w:tc>
        <w:tc>
          <w:tcPr>
            <w:tcW w:w="740" w:type="dxa"/>
            <w:gridSpan w:val="2"/>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260,606 </w:t>
            </w:r>
          </w:p>
        </w:tc>
        <w:tc>
          <w:tcPr>
            <w:tcW w:w="288" w:type="dxa"/>
            <w:tcBorders>
              <w:top w:val="single" w:sz="4" w:space="0" w:color="000000"/>
            </w:tcBorders>
            <w:shd w:fill="E6E7E8"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6" w:type="dxa"/>
            <w:tcBorders>
              <w:top w:val="single" w:sz="4" w:space="0" w:color="000000"/>
            </w:tcBorders>
            <w:shd w:fill="E6E7E8"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op w:val="single" w:sz="4" w:space="0" w:color="000000"/>
            </w:tcBorders>
            <w:shd w:fill="E6E7E8"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14" w:type="dxa"/>
            <w:tcBorders>
              <w:top w:val="single" w:sz="4" w:space="0" w:color="000000"/>
              <w:right w:val="single" w:sz="4" w:space="0" w:color="000000"/>
            </w:tcBorders>
            <w:shd w:fill="E6E7E8"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965" w:type="dxa"/>
            <w:gridSpan w:val="3"/>
            <w:vMerge w:val="continue"/>
            <w:tcBorders>
              <w:top w:val="single" w:sz="4" w:space="0" w:color="000000"/>
              <w:left w:val="single" w:sz="4" w:space="0" w:color="000000"/>
            </w:tcBorders>
            <w:tcMar>
              <w:top w:w="30" w:type="dxa"/>
              <w:bottom w:w="0" w:type="dxa"/>
              <w:right w:w="0" w:type="dxa"/>
            </w:tcMar>
            <w:vAlign w:val="center"/>
          </w:tcPr>
          <w:p>
            <w:pPr>
              <w:pStyle w:val="Normal"/>
              <w:bidi w:val="0"/>
              <w:jc w:val="left"/>
              <w:rPr/>
            </w:pPr>
            <w:r>
              <w:rPr/>
            </w:r>
          </w:p>
        </w:tc>
        <w:tc>
          <w:tcPr>
            <w:tcW w:w="52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03/01/2023</w:t>
            </w:r>
          </w:p>
        </w:tc>
        <w:tc>
          <w:tcPr>
            <w:tcW w:w="822" w:type="dxa"/>
            <w:gridSpan w:val="2"/>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5,948 </w:t>
            </w:r>
          </w:p>
        </w:tc>
        <w:tc>
          <w:tcPr>
            <w:tcW w:w="412"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71"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2"/>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71.93 </w:t>
            </w:r>
          </w:p>
        </w:tc>
        <w:tc>
          <w:tcPr>
            <w:tcW w:w="242"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03/01/2033</w:t>
            </w:r>
          </w:p>
        </w:tc>
        <w:tc>
          <w:tcPr>
            <w:tcW w:w="682"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top w:val="single" w:sz="4" w:space="0" w:color="000000"/>
              <w:left w:val="single" w:sz="4" w:space="0" w:color="000000"/>
              <w:right w:val="single" w:sz="4" w:space="0" w:color="000000"/>
            </w:tcBorders>
            <w:tcMar>
              <w:bottom w:w="0" w:type="dxa"/>
              <w:right w:w="290" w:type="dxa"/>
            </w:tcMar>
            <w:vAlign w:val="center"/>
          </w:tcPr>
          <w:p>
            <w:pPr>
              <w:pStyle w:val="TableContents"/>
              <w:bidi w:val="0"/>
              <w:spacing w:before="0" w:after="283"/>
              <w:jc w:val="left"/>
              <w:rPr>
                <w:sz w:val="4"/>
                <w:szCs w:val="4"/>
              </w:rPr>
            </w:pPr>
            <w:r>
              <w:rPr>
                <w:sz w:val="4"/>
                <w:szCs w:val="4"/>
              </w:rPr>
            </w:r>
          </w:p>
        </w:tc>
      </w:tr>
      <w:tr>
        <w:trPr/>
        <w:tc>
          <w:tcPr>
            <w:tcW w:w="965" w:type="dxa"/>
            <w:gridSpan w:val="3"/>
            <w:vMerge w:val="restart"/>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4"/>
              </w:rPr>
            </w:pPr>
            <w:r>
              <w:rPr>
                <w:rFonts w:ascii="Arial;sans-serif" w:hAnsi="Arial;sans-serif"/>
                <w:b w:val="false"/>
                <w:color w:val="000000"/>
                <w:sz w:val="14"/>
              </w:rPr>
              <w:t>Sean McClenaghan</w:t>
            </w:r>
          </w:p>
        </w:tc>
        <w:tc>
          <w:tcPr>
            <w:tcW w:w="526" w:type="dxa"/>
            <w:gridSpan w:val="3"/>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10/01/2022</w:t>
            </w:r>
          </w:p>
        </w:tc>
        <w:tc>
          <w:tcPr>
            <w:tcW w:w="1234" w:type="dxa"/>
            <w:gridSpan w:val="3"/>
            <w:tcBorders>
              <w:top w:val="single" w:sz="4" w:space="0" w:color="000000"/>
              <w:left w:val="single" w:sz="4" w:space="0" w:color="000000"/>
            </w:tcBorders>
            <w:shd w:fill="E6E7E8" w:val="clear"/>
            <w:tcMar>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4" w:space="0" w:color="000000"/>
              <w:left w:val="single" w:sz="4" w:space="0" w:color="000000"/>
            </w:tcBorders>
            <w:shd w:fill="E6E7E8" w:val="clear"/>
            <w:tcMar>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4" w:space="0" w:color="000000"/>
              <w:left w:val="single" w:sz="4" w:space="0" w:color="000000"/>
            </w:tcBorders>
            <w:shd w:fill="E6E7E8" w:val="clear"/>
            <w:tcMar>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op w:val="single" w:sz="4" w:space="0" w:color="000000"/>
              <w:left w:val="single" w:sz="4" w:space="0" w:color="000000"/>
            </w:tcBorders>
            <w:shd w:fill="E6E7E8" w:val="clear"/>
            <w:tcMar>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5,922 </w:t>
            </w:r>
          </w:p>
        </w:tc>
        <w:tc>
          <w:tcPr>
            <w:tcW w:w="140" w:type="dxa"/>
            <w:tcBorders>
              <w:top w:val="single" w:sz="4" w:space="0" w:color="000000"/>
            </w:tcBorders>
            <w:shd w:fill="E6E7E8"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both"/>
              <w:rPr>
                <w:rFonts w:ascii="Arial;sans-serif" w:hAnsi="Arial;sans-serif"/>
                <w:b w:val="false"/>
                <w:color w:val="000000"/>
                <w:sz w:val="10"/>
              </w:rPr>
            </w:pPr>
            <w:r>
              <w:rPr>
                <w:rFonts w:ascii="Arial;sans-serif" w:hAnsi="Arial;sans-serif"/>
                <w:b w:val="false"/>
                <w:color w:val="000000"/>
                <w:sz w:val="10"/>
              </w:rPr>
              <w:t>(8)</w:t>
            </w:r>
          </w:p>
        </w:tc>
        <w:tc>
          <w:tcPr>
            <w:tcW w:w="740" w:type="dxa"/>
            <w:gridSpan w:val="2"/>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598,181 </w:t>
            </w:r>
          </w:p>
        </w:tc>
        <w:tc>
          <w:tcPr>
            <w:tcW w:w="288" w:type="dxa"/>
            <w:tcBorders>
              <w:top w:val="single" w:sz="4" w:space="0" w:color="000000"/>
            </w:tcBorders>
            <w:shd w:fill="E6E7E8"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6" w:type="dxa"/>
            <w:tcBorders>
              <w:top w:val="single" w:sz="4" w:space="0" w:color="000000"/>
            </w:tcBorders>
            <w:shd w:fill="E6E7E8"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op w:val="single" w:sz="4" w:space="0" w:color="000000"/>
            </w:tcBorders>
            <w:shd w:fill="E6E7E8"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14" w:type="dxa"/>
            <w:tcBorders>
              <w:top w:val="single" w:sz="4" w:space="0" w:color="000000"/>
              <w:right w:val="single" w:sz="4" w:space="0" w:color="000000"/>
            </w:tcBorders>
            <w:shd w:fill="E6E7E8"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965" w:type="dxa"/>
            <w:gridSpan w:val="3"/>
            <w:vMerge w:val="continue"/>
            <w:tcBorders>
              <w:top w:val="single" w:sz="4" w:space="0" w:color="000000"/>
              <w:left w:val="single" w:sz="4" w:space="0" w:color="000000"/>
            </w:tcBorders>
            <w:tcMar>
              <w:top w:w="30" w:type="dxa"/>
              <w:bottom w:w="0" w:type="dxa"/>
              <w:right w:w="0" w:type="dxa"/>
            </w:tcMar>
            <w:vAlign w:val="center"/>
          </w:tcPr>
          <w:p>
            <w:pPr>
              <w:pStyle w:val="Normal"/>
              <w:bidi w:val="0"/>
              <w:jc w:val="left"/>
              <w:rPr/>
            </w:pPr>
            <w:r>
              <w:rPr/>
            </w:r>
          </w:p>
        </w:tc>
        <w:tc>
          <w:tcPr>
            <w:tcW w:w="52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10/01/2022</w:t>
            </w:r>
          </w:p>
        </w:tc>
        <w:tc>
          <w:tcPr>
            <w:tcW w:w="822" w:type="dxa"/>
            <w:gridSpan w:val="2"/>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13,724 </w:t>
            </w:r>
          </w:p>
        </w:tc>
        <w:tc>
          <w:tcPr>
            <w:tcW w:w="412"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6,861 </w:t>
            </w:r>
          </w:p>
        </w:tc>
        <w:tc>
          <w:tcPr>
            <w:tcW w:w="371"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2"/>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55.22 </w:t>
            </w:r>
          </w:p>
        </w:tc>
        <w:tc>
          <w:tcPr>
            <w:tcW w:w="242"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10/01/2032</w:t>
            </w:r>
          </w:p>
        </w:tc>
        <w:tc>
          <w:tcPr>
            <w:tcW w:w="682"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top w:val="single" w:sz="4" w:space="0" w:color="000000"/>
              <w:left w:val="single" w:sz="4" w:space="0" w:color="000000"/>
              <w:right w:val="single" w:sz="4" w:space="0" w:color="000000"/>
            </w:tcBorders>
            <w:tcMar>
              <w:bottom w:w="0" w:type="dxa"/>
              <w:right w:w="290" w:type="dxa"/>
            </w:tcMar>
            <w:vAlign w:val="center"/>
          </w:tcPr>
          <w:p>
            <w:pPr>
              <w:pStyle w:val="TableContents"/>
              <w:bidi w:val="0"/>
              <w:spacing w:before="0" w:after="283"/>
              <w:jc w:val="left"/>
              <w:rPr>
                <w:sz w:val="4"/>
                <w:szCs w:val="4"/>
              </w:rPr>
            </w:pPr>
            <w:r>
              <w:rPr>
                <w:sz w:val="4"/>
                <w:szCs w:val="4"/>
              </w:rPr>
            </w:r>
          </w:p>
        </w:tc>
      </w:tr>
      <w:tr>
        <w:trPr/>
        <w:tc>
          <w:tcPr>
            <w:tcW w:w="965" w:type="dxa"/>
            <w:gridSpan w:val="3"/>
            <w:vMerge w:val="continue"/>
            <w:tcBorders>
              <w:top w:val="single" w:sz="4" w:space="0" w:color="000000"/>
              <w:left w:val="single" w:sz="4" w:space="0" w:color="000000"/>
            </w:tcBorders>
            <w:tcMar>
              <w:top w:w="30" w:type="dxa"/>
              <w:bottom w:w="0" w:type="dxa"/>
              <w:right w:w="0" w:type="dxa"/>
            </w:tcMar>
            <w:vAlign w:val="center"/>
          </w:tcPr>
          <w:p>
            <w:pPr>
              <w:pStyle w:val="Normal"/>
              <w:bidi w:val="0"/>
              <w:jc w:val="left"/>
              <w:rPr/>
            </w:pPr>
            <w:r>
              <w:rPr/>
            </w:r>
          </w:p>
        </w:tc>
        <w:tc>
          <w:tcPr>
            <w:tcW w:w="526" w:type="dxa"/>
            <w:gridSpan w:val="3"/>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03/01/2023</w:t>
            </w:r>
          </w:p>
        </w:tc>
        <w:tc>
          <w:tcPr>
            <w:tcW w:w="1234" w:type="dxa"/>
            <w:gridSpan w:val="3"/>
            <w:tcBorders>
              <w:top w:val="single" w:sz="4" w:space="0" w:color="000000"/>
              <w:left w:val="single" w:sz="4" w:space="0" w:color="000000"/>
            </w:tcBorders>
            <w:shd w:fill="E6E7E8" w:val="clear"/>
            <w:tcMar>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4" w:space="0" w:color="000000"/>
              <w:left w:val="single" w:sz="4" w:space="0" w:color="000000"/>
            </w:tcBorders>
            <w:shd w:fill="E6E7E8" w:val="clear"/>
            <w:tcMar>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4" w:space="0" w:color="000000"/>
              <w:left w:val="single" w:sz="4" w:space="0" w:color="000000"/>
            </w:tcBorders>
            <w:shd w:fill="E6E7E8" w:val="clear"/>
            <w:tcMar>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op w:val="single" w:sz="4" w:space="0" w:color="000000"/>
              <w:left w:val="single" w:sz="4" w:space="0" w:color="000000"/>
            </w:tcBorders>
            <w:shd w:fill="E6E7E8" w:val="clear"/>
            <w:tcMar>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5,160 </w:t>
            </w:r>
          </w:p>
        </w:tc>
        <w:tc>
          <w:tcPr>
            <w:tcW w:w="140" w:type="dxa"/>
            <w:tcBorders>
              <w:top w:val="single" w:sz="4" w:space="0" w:color="000000"/>
            </w:tcBorders>
            <w:shd w:fill="E6E7E8"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op w:val="single" w:sz="4" w:space="0" w:color="000000"/>
            </w:tcBorders>
            <w:shd w:fill="E6E7E8"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521,212 </w:t>
            </w:r>
          </w:p>
        </w:tc>
        <w:tc>
          <w:tcPr>
            <w:tcW w:w="288" w:type="dxa"/>
            <w:tcBorders>
              <w:top w:val="single" w:sz="4" w:space="0" w:color="000000"/>
            </w:tcBorders>
            <w:shd w:fill="E6E7E8"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5,470 </w:t>
            </w:r>
          </w:p>
        </w:tc>
        <w:tc>
          <w:tcPr>
            <w:tcW w:w="176" w:type="dxa"/>
            <w:tcBorders>
              <w:top w:val="single" w:sz="4" w:space="0" w:color="000000"/>
            </w:tcBorders>
            <w:shd w:fill="E6E7E8"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op w:val="single" w:sz="4" w:space="0" w:color="000000"/>
            </w:tcBorders>
            <w:shd w:fill="E6E7E8" w:val="clear"/>
            <w:tcMar>
              <w:top w:w="30" w:type="dxa"/>
              <w:left w:w="0" w:type="dxa"/>
              <w:bottom w:w="0" w:type="dxa"/>
              <w:right w:w="0" w:type="dxa"/>
            </w:tcMar>
            <w:vAlign w:val="center"/>
          </w:tcPr>
          <w:p>
            <w:pPr>
              <w:pStyle w:val="TableContents"/>
              <w:bidi w:val="0"/>
              <w:spacing w:lineRule="auto" w:line="288" w:before="0" w:after="283"/>
              <w:jc w:val="both"/>
              <w:rPr>
                <w:rFonts w:ascii="Arial;sans-serif" w:hAnsi="Arial;sans-serif"/>
                <w:b w:val="false"/>
                <w:color w:val="000000"/>
                <w:sz w:val="10"/>
              </w:rPr>
            </w:pPr>
            <w:r>
              <w:rPr>
                <w:rFonts w:ascii="Arial;sans-serif" w:hAnsi="Arial;sans-serif"/>
                <w:b w:val="false"/>
                <w:color w:val="000000"/>
                <w:sz w:val="10"/>
              </w:rPr>
              <w:t>(6b)</w:t>
            </w:r>
          </w:p>
        </w:tc>
        <w:tc>
          <w:tcPr>
            <w:tcW w:w="869" w:type="dxa"/>
            <w:gridSpan w:val="2"/>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552,484 </w:t>
            </w:r>
          </w:p>
        </w:tc>
        <w:tc>
          <w:tcPr>
            <w:tcW w:w="414" w:type="dxa"/>
            <w:tcBorders>
              <w:top w:val="single" w:sz="4" w:space="0" w:color="000000"/>
              <w:right w:val="single" w:sz="4" w:space="0" w:color="000000"/>
            </w:tcBorders>
            <w:shd w:fill="E6E7E8"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965" w:type="dxa"/>
            <w:gridSpan w:val="3"/>
            <w:vMerge w:val="continue"/>
            <w:tcBorders>
              <w:top w:val="single" w:sz="4" w:space="0" w:color="000000"/>
              <w:left w:val="single" w:sz="4" w:space="0" w:color="000000"/>
            </w:tcBorders>
            <w:tcMar>
              <w:top w:w="30" w:type="dxa"/>
              <w:bottom w:w="0" w:type="dxa"/>
              <w:right w:w="0" w:type="dxa"/>
            </w:tcMar>
            <w:vAlign w:val="center"/>
          </w:tcPr>
          <w:p>
            <w:pPr>
              <w:pStyle w:val="Normal"/>
              <w:bidi w:val="0"/>
              <w:jc w:val="left"/>
              <w:rPr/>
            </w:pPr>
            <w:r>
              <w:rPr/>
            </w:r>
          </w:p>
        </w:tc>
        <w:tc>
          <w:tcPr>
            <w:tcW w:w="52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03/01/2023</w:t>
            </w:r>
          </w:p>
        </w:tc>
        <w:tc>
          <w:tcPr>
            <w:tcW w:w="1234"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2,580 </w:t>
            </w:r>
          </w:p>
        </w:tc>
        <w:tc>
          <w:tcPr>
            <w:tcW w:w="140"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both"/>
              <w:rPr>
                <w:rFonts w:ascii="Arial;sans-serif" w:hAnsi="Arial;sans-serif"/>
                <w:b w:val="false"/>
                <w:color w:val="000000"/>
                <w:sz w:val="10"/>
              </w:rPr>
            </w:pPr>
            <w:r>
              <w:rPr>
                <w:rFonts w:ascii="Arial;sans-serif" w:hAnsi="Arial;sans-serif"/>
                <w:b w:val="false"/>
                <w:color w:val="000000"/>
                <w:sz w:val="10"/>
              </w:rPr>
              <w:t>(6a)</w:t>
            </w:r>
          </w:p>
        </w:tc>
        <w:tc>
          <w:tcPr>
            <w:tcW w:w="740" w:type="dxa"/>
            <w:gridSpan w:val="2"/>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260,606 </w:t>
            </w:r>
          </w:p>
        </w:tc>
        <w:tc>
          <w:tcPr>
            <w:tcW w:w="288"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14" w:type="dxa"/>
            <w:tcBorders>
              <w:top w:val="single" w:sz="4" w:space="0" w:color="000000"/>
              <w:right w:val="single" w:sz="4" w:space="0" w:color="000000"/>
            </w:tcBorders>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965" w:type="dxa"/>
            <w:gridSpan w:val="3"/>
            <w:vMerge w:val="continue"/>
            <w:tcBorders>
              <w:top w:val="single" w:sz="4" w:space="0" w:color="000000"/>
              <w:left w:val="single" w:sz="4" w:space="0" w:color="000000"/>
            </w:tcBorders>
            <w:tcMar>
              <w:top w:w="30" w:type="dxa"/>
              <w:bottom w:w="0" w:type="dxa"/>
              <w:right w:w="0" w:type="dxa"/>
            </w:tcMar>
            <w:vAlign w:val="center"/>
          </w:tcPr>
          <w:p>
            <w:pPr>
              <w:pStyle w:val="Normal"/>
              <w:bidi w:val="0"/>
              <w:jc w:val="left"/>
              <w:rPr/>
            </w:pPr>
            <w:r>
              <w:rPr/>
            </w:r>
          </w:p>
        </w:tc>
        <w:tc>
          <w:tcPr>
            <w:tcW w:w="526" w:type="dxa"/>
            <w:gridSpan w:val="3"/>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03/01/2023</w:t>
            </w:r>
          </w:p>
        </w:tc>
        <w:tc>
          <w:tcPr>
            <w:tcW w:w="822" w:type="dxa"/>
            <w:gridSpan w:val="2"/>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5,948 </w:t>
            </w:r>
          </w:p>
        </w:tc>
        <w:tc>
          <w:tcPr>
            <w:tcW w:w="412" w:type="dxa"/>
            <w:tcBorders>
              <w:top w:val="single" w:sz="4" w:space="0" w:color="000000"/>
            </w:tcBorders>
            <w:shd w:fill="E6E7E8"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71" w:type="dxa"/>
            <w:tcBorders>
              <w:top w:val="single" w:sz="4" w:space="0" w:color="000000"/>
            </w:tcBorders>
            <w:shd w:fill="E6E7E8"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2"/>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71.93 </w:t>
            </w:r>
          </w:p>
        </w:tc>
        <w:tc>
          <w:tcPr>
            <w:tcW w:w="242" w:type="dxa"/>
            <w:tcBorders>
              <w:top w:val="single" w:sz="4" w:space="0" w:color="000000"/>
            </w:tcBorders>
            <w:shd w:fill="E6E7E8"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03/01/2033</w:t>
            </w:r>
          </w:p>
        </w:tc>
        <w:tc>
          <w:tcPr>
            <w:tcW w:w="682" w:type="dxa"/>
            <w:gridSpan w:val="3"/>
            <w:tcBorders>
              <w:top w:val="single" w:sz="4" w:space="0" w:color="000000"/>
              <w:left w:val="single" w:sz="4" w:space="0" w:color="000000"/>
            </w:tcBorders>
            <w:shd w:fill="E6E7E8" w:val="clear"/>
            <w:tcMar>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op w:val="single" w:sz="4" w:space="0" w:color="000000"/>
            </w:tcBorders>
            <w:shd w:fill="E6E7E8"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op w:val="single" w:sz="4" w:space="0" w:color="000000"/>
              <w:left w:val="single" w:sz="4" w:space="0" w:color="000000"/>
            </w:tcBorders>
            <w:shd w:fill="E6E7E8" w:val="clear"/>
            <w:tcMar>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4" w:space="0" w:color="000000"/>
              <w:left w:val="single" w:sz="4" w:space="0" w:color="000000"/>
            </w:tcBorders>
            <w:shd w:fill="E6E7E8" w:val="clear"/>
            <w:tcMar>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op w:val="single" w:sz="4" w:space="0" w:color="000000"/>
            </w:tcBorders>
            <w:shd w:fill="E6E7E8"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top w:val="single" w:sz="4" w:space="0" w:color="000000"/>
              <w:left w:val="single" w:sz="4" w:space="0" w:color="000000"/>
              <w:right w:val="single" w:sz="4" w:space="0" w:color="000000"/>
            </w:tcBorders>
            <w:shd w:fill="E6E7E8" w:val="clear"/>
            <w:tcMar>
              <w:bottom w:w="0" w:type="dxa"/>
              <w:right w:w="290" w:type="dxa"/>
            </w:tcMar>
            <w:vAlign w:val="center"/>
          </w:tcPr>
          <w:p>
            <w:pPr>
              <w:pStyle w:val="TableContents"/>
              <w:bidi w:val="0"/>
              <w:spacing w:before="0" w:after="283"/>
              <w:jc w:val="left"/>
              <w:rPr>
                <w:sz w:val="4"/>
                <w:szCs w:val="4"/>
              </w:rPr>
            </w:pPr>
            <w:r>
              <w:rPr>
                <w:sz w:val="4"/>
                <w:szCs w:val="4"/>
              </w:rPr>
            </w:r>
          </w:p>
        </w:tc>
      </w:tr>
      <w:tr>
        <w:trPr/>
        <w:tc>
          <w:tcPr>
            <w:tcW w:w="965" w:type="dxa"/>
            <w:gridSpan w:val="3"/>
            <w:vMerge w:val="restart"/>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0"/>
              <w:jc w:val="left"/>
              <w:rPr>
                <w:rFonts w:ascii="Arial;sans-serif" w:hAnsi="Arial;sans-serif"/>
                <w:b w:val="false"/>
                <w:color w:val="000000"/>
                <w:sz w:val="14"/>
              </w:rPr>
            </w:pPr>
            <w:r>
              <w:rPr>
                <w:rFonts w:ascii="Arial;sans-serif" w:hAnsi="Arial;sans-serif"/>
                <w:b w:val="false"/>
                <w:color w:val="000000"/>
                <w:sz w:val="14"/>
              </w:rPr>
              <w:t>Michael A. Reilly</w:t>
            </w:r>
          </w:p>
        </w:tc>
        <w:tc>
          <w:tcPr>
            <w:tcW w:w="52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03/01/2021</w:t>
            </w:r>
          </w:p>
        </w:tc>
        <w:tc>
          <w:tcPr>
            <w:tcW w:w="822" w:type="dxa"/>
            <w:gridSpan w:val="2"/>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12"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5,628 </w:t>
            </w:r>
          </w:p>
        </w:tc>
        <w:tc>
          <w:tcPr>
            <w:tcW w:w="371"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2"/>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50.09 </w:t>
            </w:r>
          </w:p>
        </w:tc>
        <w:tc>
          <w:tcPr>
            <w:tcW w:w="242"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02/20/2030</w:t>
            </w:r>
          </w:p>
        </w:tc>
        <w:tc>
          <w:tcPr>
            <w:tcW w:w="682"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top w:val="single" w:sz="4" w:space="0" w:color="000000"/>
              <w:left w:val="single" w:sz="4" w:space="0" w:color="000000"/>
              <w:right w:val="single" w:sz="4" w:space="0" w:color="000000"/>
            </w:tcBorders>
            <w:tcMar>
              <w:bottom w:w="0" w:type="dxa"/>
              <w:right w:w="290" w:type="dxa"/>
            </w:tcMar>
            <w:vAlign w:val="center"/>
          </w:tcPr>
          <w:p>
            <w:pPr>
              <w:pStyle w:val="TableContents"/>
              <w:bidi w:val="0"/>
              <w:spacing w:before="0" w:after="283"/>
              <w:jc w:val="left"/>
              <w:rPr>
                <w:sz w:val="4"/>
                <w:szCs w:val="4"/>
              </w:rPr>
            </w:pPr>
            <w:r>
              <w:rPr>
                <w:sz w:val="4"/>
                <w:szCs w:val="4"/>
              </w:rPr>
            </w:r>
          </w:p>
        </w:tc>
      </w:tr>
      <w:tr>
        <w:trPr/>
        <w:tc>
          <w:tcPr>
            <w:tcW w:w="965" w:type="dxa"/>
            <w:gridSpan w:val="3"/>
            <w:vMerge w:val="continue"/>
            <w:tcBorders>
              <w:top w:val="single" w:sz="4" w:space="0" w:color="000000"/>
              <w:left w:val="single" w:sz="4" w:space="0" w:color="000000"/>
              <w:bottom w:val="single" w:sz="4" w:space="0" w:color="000000"/>
            </w:tcBorders>
            <w:tcMar>
              <w:top w:w="30" w:type="dxa"/>
              <w:bottom w:w="30" w:type="dxa"/>
              <w:right w:w="0" w:type="dxa"/>
            </w:tcMar>
            <w:vAlign w:val="center"/>
          </w:tcPr>
          <w:p>
            <w:pPr>
              <w:pStyle w:val="Normal"/>
              <w:bidi w:val="0"/>
              <w:jc w:val="left"/>
              <w:rPr/>
            </w:pPr>
            <w:r>
              <w:rPr/>
            </w:r>
          </w:p>
        </w:tc>
        <w:tc>
          <w:tcPr>
            <w:tcW w:w="526" w:type="dxa"/>
            <w:gridSpan w:val="3"/>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03/01/2021</w:t>
            </w:r>
          </w:p>
        </w:tc>
        <w:tc>
          <w:tcPr>
            <w:tcW w:w="1234" w:type="dxa"/>
            <w:gridSpan w:val="3"/>
            <w:tcBorders>
              <w:top w:val="single" w:sz="4" w:space="0" w:color="000000"/>
              <w:left w:val="single" w:sz="4" w:space="0" w:color="000000"/>
            </w:tcBorders>
            <w:shd w:fill="E6E7E8" w:val="clear"/>
            <w:tcMar>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4" w:space="0" w:color="000000"/>
              <w:left w:val="single" w:sz="4" w:space="0" w:color="000000"/>
            </w:tcBorders>
            <w:shd w:fill="E6E7E8" w:val="clear"/>
            <w:tcMar>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4" w:space="0" w:color="000000"/>
              <w:left w:val="single" w:sz="4" w:space="0" w:color="000000"/>
            </w:tcBorders>
            <w:shd w:fill="E6E7E8" w:val="clear"/>
            <w:tcMar>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op w:val="single" w:sz="4" w:space="0" w:color="000000"/>
              <w:left w:val="single" w:sz="4" w:space="0" w:color="000000"/>
            </w:tcBorders>
            <w:shd w:fill="E6E7E8" w:val="clear"/>
            <w:tcMar>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3,589 </w:t>
            </w:r>
          </w:p>
        </w:tc>
        <w:tc>
          <w:tcPr>
            <w:tcW w:w="140" w:type="dxa"/>
            <w:tcBorders>
              <w:top w:val="single" w:sz="4" w:space="0" w:color="000000"/>
            </w:tcBorders>
            <w:shd w:fill="E6E7E8"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op w:val="single" w:sz="4" w:space="0" w:color="000000"/>
            </w:tcBorders>
            <w:shd w:fill="E6E7E8"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362,525 </w:t>
            </w:r>
          </w:p>
        </w:tc>
        <w:tc>
          <w:tcPr>
            <w:tcW w:w="288" w:type="dxa"/>
            <w:tcBorders>
              <w:top w:val="single" w:sz="4" w:space="0" w:color="000000"/>
            </w:tcBorders>
            <w:shd w:fill="E6E7E8"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4,881 </w:t>
            </w:r>
          </w:p>
        </w:tc>
        <w:tc>
          <w:tcPr>
            <w:tcW w:w="176" w:type="dxa"/>
            <w:tcBorders>
              <w:top w:val="single" w:sz="4" w:space="0" w:color="000000"/>
            </w:tcBorders>
            <w:shd w:fill="E6E7E8"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op w:val="single" w:sz="4" w:space="0" w:color="000000"/>
            </w:tcBorders>
            <w:shd w:fill="E6E7E8" w:val="clear"/>
            <w:tcMar>
              <w:top w:w="30" w:type="dxa"/>
              <w:left w:w="0" w:type="dxa"/>
              <w:bottom w:w="0" w:type="dxa"/>
              <w:right w:w="0" w:type="dxa"/>
            </w:tcMar>
            <w:vAlign w:val="center"/>
          </w:tcPr>
          <w:p>
            <w:pPr>
              <w:pStyle w:val="TableContents"/>
              <w:bidi w:val="0"/>
              <w:spacing w:lineRule="auto" w:line="288" w:before="0" w:after="283"/>
              <w:jc w:val="both"/>
              <w:rPr>
                <w:rFonts w:ascii="Arial;sans-serif" w:hAnsi="Arial;sans-serif"/>
                <w:b w:val="false"/>
                <w:color w:val="000000"/>
                <w:sz w:val="10"/>
              </w:rPr>
            </w:pPr>
            <w:r>
              <w:rPr>
                <w:rFonts w:ascii="Arial;sans-serif" w:hAnsi="Arial;sans-serif"/>
                <w:b w:val="false"/>
                <w:color w:val="000000"/>
                <w:sz w:val="10"/>
              </w:rPr>
              <w:t>(4b)</w:t>
            </w:r>
          </w:p>
        </w:tc>
        <w:tc>
          <w:tcPr>
            <w:tcW w:w="869" w:type="dxa"/>
            <w:gridSpan w:val="2"/>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493,034 </w:t>
            </w:r>
          </w:p>
        </w:tc>
        <w:tc>
          <w:tcPr>
            <w:tcW w:w="414" w:type="dxa"/>
            <w:tcBorders>
              <w:top w:val="single" w:sz="4" w:space="0" w:color="000000"/>
              <w:right w:val="single" w:sz="4" w:space="0" w:color="000000"/>
            </w:tcBorders>
            <w:shd w:fill="E6E7E8"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965" w:type="dxa"/>
            <w:gridSpan w:val="3"/>
            <w:vMerge w:val="continue"/>
            <w:tcBorders>
              <w:top w:val="single" w:sz="4" w:space="0" w:color="000000"/>
              <w:left w:val="single" w:sz="4" w:space="0" w:color="000000"/>
              <w:bottom w:val="single" w:sz="4" w:space="0" w:color="000000"/>
            </w:tcBorders>
            <w:tcMar>
              <w:top w:w="30" w:type="dxa"/>
              <w:bottom w:w="30" w:type="dxa"/>
              <w:right w:w="0" w:type="dxa"/>
            </w:tcMar>
            <w:vAlign w:val="center"/>
          </w:tcPr>
          <w:p>
            <w:pPr>
              <w:pStyle w:val="Normal"/>
              <w:bidi w:val="0"/>
              <w:jc w:val="left"/>
              <w:rPr/>
            </w:pPr>
            <w:r>
              <w:rPr/>
            </w:r>
          </w:p>
        </w:tc>
        <w:tc>
          <w:tcPr>
            <w:tcW w:w="52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03/01/2021</w:t>
            </w:r>
          </w:p>
        </w:tc>
        <w:tc>
          <w:tcPr>
            <w:tcW w:w="1234"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599 </w:t>
            </w:r>
          </w:p>
        </w:tc>
        <w:tc>
          <w:tcPr>
            <w:tcW w:w="140"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both"/>
              <w:rPr>
                <w:rFonts w:ascii="Arial;sans-serif" w:hAnsi="Arial;sans-serif"/>
                <w:b w:val="false"/>
                <w:color w:val="000000"/>
                <w:sz w:val="10"/>
              </w:rPr>
            </w:pPr>
            <w:r>
              <w:rPr>
                <w:rFonts w:ascii="Arial;sans-serif" w:hAnsi="Arial;sans-serif"/>
                <w:b w:val="false"/>
                <w:color w:val="000000"/>
                <w:sz w:val="10"/>
              </w:rPr>
              <w:t>(4a)</w:t>
            </w:r>
          </w:p>
        </w:tc>
        <w:tc>
          <w:tcPr>
            <w:tcW w:w="740" w:type="dxa"/>
            <w:gridSpan w:val="2"/>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60,505 </w:t>
            </w:r>
          </w:p>
        </w:tc>
        <w:tc>
          <w:tcPr>
            <w:tcW w:w="288"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14" w:type="dxa"/>
            <w:tcBorders>
              <w:top w:val="single" w:sz="4" w:space="0" w:color="000000"/>
              <w:right w:val="single" w:sz="4" w:space="0" w:color="000000"/>
            </w:tcBorders>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965" w:type="dxa"/>
            <w:gridSpan w:val="3"/>
            <w:vMerge w:val="continue"/>
            <w:tcBorders>
              <w:top w:val="single" w:sz="4" w:space="0" w:color="000000"/>
              <w:left w:val="single" w:sz="4" w:space="0" w:color="000000"/>
              <w:bottom w:val="single" w:sz="4" w:space="0" w:color="000000"/>
            </w:tcBorders>
            <w:tcMar>
              <w:top w:w="30" w:type="dxa"/>
              <w:bottom w:w="30" w:type="dxa"/>
              <w:right w:w="0" w:type="dxa"/>
            </w:tcMar>
            <w:vAlign w:val="center"/>
          </w:tcPr>
          <w:p>
            <w:pPr>
              <w:pStyle w:val="Normal"/>
              <w:bidi w:val="0"/>
              <w:jc w:val="left"/>
              <w:rPr/>
            </w:pPr>
            <w:r>
              <w:rPr/>
            </w:r>
          </w:p>
        </w:tc>
        <w:tc>
          <w:tcPr>
            <w:tcW w:w="526" w:type="dxa"/>
            <w:gridSpan w:val="3"/>
            <w:tcBorders>
              <w:top w:val="single" w:sz="4" w:space="0" w:color="000000"/>
              <w:left w:val="single" w:sz="4" w:space="0" w:color="000000"/>
              <w:bottom w:val="single" w:sz="4" w:space="0" w:color="000000"/>
            </w:tcBorders>
            <w:shd w:fill="E6E7E8" w:val="clear"/>
            <w:tcMar>
              <w:top w:w="30" w:type="dxa"/>
              <w:bottom w:w="3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03/01/2021</w:t>
            </w:r>
          </w:p>
        </w:tc>
        <w:tc>
          <w:tcPr>
            <w:tcW w:w="822" w:type="dxa"/>
            <w:gridSpan w:val="2"/>
            <w:tcBorders>
              <w:top w:val="single" w:sz="4" w:space="0" w:color="000000"/>
              <w:left w:val="single" w:sz="4" w:space="0" w:color="000000"/>
              <w:bottom w:val="single" w:sz="4" w:space="0" w:color="000000"/>
            </w:tcBorders>
            <w:shd w:fill="E6E7E8" w:val="clear"/>
            <w:tcMar>
              <w:top w:w="3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1,543 </w:t>
            </w:r>
          </w:p>
        </w:tc>
        <w:tc>
          <w:tcPr>
            <w:tcW w:w="412" w:type="dxa"/>
            <w:tcBorders>
              <w:top w:val="single" w:sz="4" w:space="0" w:color="000000"/>
              <w:bottom w:val="single" w:sz="4" w:space="0" w:color="000000"/>
            </w:tcBorders>
            <w:shd w:fill="E6E7E8"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top w:val="single" w:sz="4" w:space="0" w:color="000000"/>
              <w:left w:val="single" w:sz="4" w:space="0" w:color="000000"/>
              <w:bottom w:val="single" w:sz="4" w:space="0" w:color="000000"/>
            </w:tcBorders>
            <w:shd w:fill="E6E7E8" w:val="clear"/>
            <w:tcMar>
              <w:top w:w="3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3,086 </w:t>
            </w:r>
          </w:p>
        </w:tc>
        <w:tc>
          <w:tcPr>
            <w:tcW w:w="371" w:type="dxa"/>
            <w:tcBorders>
              <w:top w:val="single" w:sz="4" w:space="0" w:color="000000"/>
              <w:bottom w:val="single" w:sz="4" w:space="0" w:color="000000"/>
            </w:tcBorders>
            <w:shd w:fill="E6E7E8"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25" w:type="dxa"/>
            <w:gridSpan w:val="2"/>
            <w:tcBorders>
              <w:top w:val="single" w:sz="4" w:space="0" w:color="000000"/>
              <w:left w:val="single" w:sz="4" w:space="0" w:color="000000"/>
              <w:bottom w:val="single" w:sz="4" w:space="0" w:color="000000"/>
            </w:tcBorders>
            <w:shd w:fill="E6E7E8" w:val="clear"/>
            <w:tcMar>
              <w:top w:w="3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58.34 </w:t>
            </w:r>
          </w:p>
        </w:tc>
        <w:tc>
          <w:tcPr>
            <w:tcW w:w="242" w:type="dxa"/>
            <w:tcBorders>
              <w:top w:val="single" w:sz="4" w:space="0" w:color="000000"/>
              <w:bottom w:val="single" w:sz="4" w:space="0" w:color="000000"/>
            </w:tcBorders>
            <w:shd w:fill="E6E7E8"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op w:val="single" w:sz="4" w:space="0" w:color="000000"/>
              <w:left w:val="single" w:sz="4" w:space="0" w:color="000000"/>
              <w:bottom w:val="single" w:sz="4" w:space="0" w:color="000000"/>
            </w:tcBorders>
            <w:shd w:fill="E6E7E8" w:val="clear"/>
            <w:tcMar>
              <w:top w:w="3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03/01/2031</w:t>
            </w:r>
          </w:p>
        </w:tc>
        <w:tc>
          <w:tcPr>
            <w:tcW w:w="682" w:type="dxa"/>
            <w:gridSpan w:val="3"/>
            <w:tcBorders>
              <w:top w:val="single" w:sz="4" w:space="0" w:color="000000"/>
              <w:left w:val="single" w:sz="4" w:space="0" w:color="000000"/>
              <w:bottom w:val="single" w:sz="4" w:space="0" w:color="000000"/>
            </w:tcBorders>
            <w:shd w:fill="E6E7E8" w:val="clear"/>
            <w:tcMar>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op w:val="single" w:sz="4" w:space="0" w:color="000000"/>
              <w:bottom w:val="single" w:sz="4" w:space="0" w:color="000000"/>
            </w:tcBorders>
            <w:shd w:fill="E6E7E8" w:val="clear"/>
            <w:tcMar>
              <w:left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op w:val="single" w:sz="4" w:space="0" w:color="000000"/>
              <w:left w:val="single" w:sz="4" w:space="0" w:color="000000"/>
              <w:bottom w:val="single" w:sz="4" w:space="0" w:color="000000"/>
            </w:tcBorders>
            <w:shd w:fill="E6E7E8" w:val="clear"/>
            <w:tcMar>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4" w:space="0" w:color="000000"/>
              <w:left w:val="single" w:sz="4" w:space="0" w:color="000000"/>
              <w:bottom w:val="single" w:sz="4" w:space="0" w:color="000000"/>
            </w:tcBorders>
            <w:shd w:fill="E6E7E8" w:val="clear"/>
            <w:tcMar>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op w:val="single" w:sz="4" w:space="0" w:color="000000"/>
              <w:bottom w:val="single" w:sz="4" w:space="0" w:color="000000"/>
            </w:tcBorders>
            <w:shd w:fill="E6E7E8" w:val="clear"/>
            <w:tcMar>
              <w:left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top w:val="single" w:sz="4" w:space="0" w:color="000000"/>
              <w:left w:val="single" w:sz="4" w:space="0" w:color="000000"/>
              <w:bottom w:val="single" w:sz="4" w:space="0" w:color="000000"/>
              <w:right w:val="single" w:sz="4" w:space="0" w:color="000000"/>
            </w:tcBorders>
            <w:shd w:fill="E6E7E8" w:val="clear"/>
            <w:tcMar>
              <w:right w:w="29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hanging="360"/>
        <w:jc w:val="both"/>
        <w:rPr>
          <w:rFonts w:ascii="Arial;sans-serif" w:hAnsi="Arial;sans-serif"/>
          <w:b w:val="false"/>
          <w:color w:val="000000"/>
          <w:sz w:val="14"/>
        </w:rPr>
      </w:pPr>
      <w:r>
        <w:rPr>
          <w:rFonts w:ascii="Arial;sans-serif" w:hAnsi="Arial;sans-serif"/>
          <w:b w:val="false"/>
          <w:color w:val="000000"/>
          <w:sz w:val="14"/>
        </w:rPr>
        <w:t>(1)Unvested Options are subject to satisfaction of vesting criteria for the applicable year. Options vest at the rate of 33 1/3 percent in annual installments over three years beginning on the first anniversary of the grant date. LTI awards are generally subject to continued service through the applicable vesting period.</w:t>
      </w:r>
    </w:p>
    <w:p>
      <w:pPr>
        <w:pStyle w:val="TextBody"/>
        <w:bidi w:val="0"/>
        <w:spacing w:lineRule="auto" w:line="288" w:before="0" w:after="60"/>
        <w:ind w:left="0" w:right="0" w:hanging="360"/>
        <w:jc w:val="both"/>
        <w:rPr>
          <w:rFonts w:ascii="Arial;sans-serif" w:hAnsi="Arial;sans-serif"/>
          <w:b w:val="false"/>
          <w:color w:val="000000"/>
          <w:sz w:val="14"/>
        </w:rPr>
      </w:pPr>
      <w:r>
        <w:rPr>
          <w:rFonts w:ascii="Arial;sans-serif" w:hAnsi="Arial;sans-serif"/>
          <w:b w:val="false"/>
          <w:color w:val="000000"/>
          <w:sz w:val="14"/>
        </w:rPr>
        <w:t>(2)Based on the closing price of our common stock on the award date adjusted when applicable for the spin-off of SPX FLOW, Inc. on September 26, 2015.</w:t>
      </w:r>
    </w:p>
    <w:p>
      <w:pPr>
        <w:pStyle w:val="TextBody"/>
        <w:bidi w:val="0"/>
        <w:spacing w:lineRule="auto" w:line="288" w:before="0" w:after="60"/>
        <w:ind w:left="0" w:right="0" w:hanging="360"/>
        <w:jc w:val="both"/>
        <w:rPr>
          <w:rFonts w:ascii="Arial;sans-serif" w:hAnsi="Arial;sans-serif"/>
          <w:b w:val="false"/>
          <w:color w:val="000000"/>
          <w:sz w:val="14"/>
        </w:rPr>
      </w:pPr>
      <w:r>
        <w:rPr>
          <w:rFonts w:ascii="Arial;sans-serif" w:hAnsi="Arial;sans-serif"/>
          <w:b w:val="false"/>
          <w:color w:val="000000"/>
          <w:sz w:val="14"/>
        </w:rPr>
        <w:t>(3)Based on the closing price of our common stock of $101.01 on December 29, 2023, the last trading day of 2023.</w:t>
      </w:r>
    </w:p>
    <w:p>
      <w:pPr>
        <w:pStyle w:val="TextBody"/>
        <w:bidi w:val="0"/>
        <w:spacing w:lineRule="auto" w:line="288" w:before="0" w:after="60"/>
        <w:ind w:left="0" w:right="0" w:hanging="360"/>
        <w:jc w:val="both"/>
        <w:rPr>
          <w:rFonts w:ascii="Arial;sans-serif" w:hAnsi="Arial;sans-serif"/>
          <w:b w:val="false"/>
          <w:color w:val="000000"/>
          <w:sz w:val="14"/>
        </w:rPr>
      </w:pPr>
      <w:r>
        <w:rPr>
          <w:rFonts w:ascii="Arial;sans-serif" w:hAnsi="Arial;sans-serif"/>
          <w:b w:val="false"/>
          <w:color w:val="000000"/>
          <w:sz w:val="14"/>
        </w:rPr>
        <w:t>(4a)RSUs awarded on March 1, 2021, vest at the rate of 33 1/3 percent each year over three years beginning on the first anniversary of the grant date. LTI awards are generally subject to continued service through the applicable vesting period.</w:t>
      </w:r>
    </w:p>
    <w:p>
      <w:pPr>
        <w:pStyle w:val="TextBody"/>
        <w:bidi w:val="0"/>
        <w:spacing w:lineRule="auto" w:line="288" w:before="0" w:after="60"/>
        <w:ind w:left="0" w:right="0" w:hanging="360"/>
        <w:jc w:val="both"/>
        <w:rPr>
          <w:rFonts w:ascii="Arial;sans-serif" w:hAnsi="Arial;sans-serif"/>
          <w:b w:val="false"/>
          <w:color w:val="000000"/>
          <w:sz w:val="14"/>
        </w:rPr>
      </w:pPr>
      <w:r>
        <w:rPr>
          <w:rFonts w:ascii="Arial;sans-serif" w:hAnsi="Arial;sans-serif"/>
          <w:b w:val="false"/>
          <w:color w:val="000000"/>
          <w:sz w:val="14"/>
        </w:rPr>
        <w:t>(4b)PSUs awarded on March 1, 2021, become eligible to vest upon Committee certification of achievement, subject to satisfaction of external performance criteria for the three-year performance period. LTI awards are generally subject to continued service through the applicable vesting period. PSUs are capped at target if our TSR is negative. Amount presented assumes achievement at 136% performance level.</w:t>
      </w:r>
    </w:p>
    <w:p>
      <w:pPr>
        <w:pStyle w:val="TextBody"/>
        <w:bidi w:val="0"/>
        <w:spacing w:lineRule="auto" w:line="288" w:before="0" w:after="60"/>
        <w:ind w:left="0" w:right="0" w:hanging="360"/>
        <w:jc w:val="both"/>
        <w:rPr>
          <w:rFonts w:ascii="Arial;sans-serif" w:hAnsi="Arial;sans-serif"/>
          <w:b w:val="false"/>
          <w:color w:val="000000"/>
          <w:sz w:val="14"/>
        </w:rPr>
      </w:pPr>
      <w:r>
        <w:rPr>
          <w:rFonts w:ascii="Arial;sans-serif" w:hAnsi="Arial;sans-serif"/>
          <w:b w:val="false"/>
          <w:color w:val="000000"/>
          <w:sz w:val="14"/>
        </w:rPr>
        <w:t>(5a)RSUs awarded on March 1, 2022, vest at the rate of 33 1/3 percent each year over three years beginning on the first anniversary of the grant date. LTI awards are generally subject to continued service through the applicable vesting period.</w:t>
      </w:r>
    </w:p>
    <w:p>
      <w:pPr>
        <w:pStyle w:val="TextBody"/>
        <w:bidi w:val="0"/>
        <w:spacing w:lineRule="auto" w:line="288" w:before="0" w:after="60"/>
        <w:ind w:left="0" w:right="0" w:hanging="360"/>
        <w:jc w:val="both"/>
        <w:rPr>
          <w:rFonts w:ascii="Arial;sans-serif" w:hAnsi="Arial;sans-serif"/>
          <w:b w:val="false"/>
          <w:color w:val="000000"/>
          <w:sz w:val="14"/>
        </w:rPr>
      </w:pPr>
      <w:r>
        <w:rPr>
          <w:rFonts w:ascii="Arial;sans-serif" w:hAnsi="Arial;sans-serif"/>
          <w:b w:val="false"/>
          <w:color w:val="000000"/>
          <w:sz w:val="14"/>
        </w:rPr>
        <w:t>(5b)PSUs awarded on March 1, 2022, become eligible to vest upon Committee certification of achievement, subject to satisfaction of external performance criteria for the three-year performance period. LTI awards are generally subject to continued service through the applicable vesting period. PSUs are capped at target if our TSR is negative. Amount presented assumes achievement at 150% performance level.</w:t>
      </w:r>
    </w:p>
    <w:p>
      <w:pPr>
        <w:pStyle w:val="TextBody"/>
        <w:bidi w:val="0"/>
        <w:spacing w:lineRule="auto" w:line="288" w:before="0" w:after="60"/>
        <w:ind w:left="0" w:right="0" w:hanging="360"/>
        <w:jc w:val="both"/>
        <w:rPr>
          <w:rFonts w:ascii="Arial;sans-serif" w:hAnsi="Arial;sans-serif"/>
          <w:b w:val="false"/>
          <w:color w:val="000000"/>
          <w:sz w:val="14"/>
        </w:rPr>
      </w:pPr>
      <w:r>
        <w:rPr>
          <w:rFonts w:ascii="Arial;sans-serif" w:hAnsi="Arial;sans-serif"/>
          <w:b w:val="false"/>
          <w:color w:val="000000"/>
          <w:sz w:val="14"/>
        </w:rPr>
        <w:t>(6a)RSUs awarded on March 1, 2023, vest at the rate of 33 1/3 percent each year over three years beginning on the first anniversary of the grant date. LTI awards are generally subject to continued service through the applicable vesting period.</w:t>
      </w:r>
    </w:p>
    <w:p>
      <w:pPr>
        <w:pStyle w:val="TextBody"/>
        <w:bidi w:val="0"/>
        <w:spacing w:lineRule="auto" w:line="288" w:before="0" w:after="60"/>
        <w:ind w:left="0" w:right="0" w:hanging="360"/>
        <w:jc w:val="both"/>
        <w:rPr>
          <w:rFonts w:ascii="Arial;sans-serif" w:hAnsi="Arial;sans-serif"/>
          <w:b w:val="false"/>
          <w:color w:val="000000"/>
          <w:sz w:val="14"/>
        </w:rPr>
      </w:pPr>
      <w:r>
        <w:rPr>
          <w:rFonts w:ascii="Arial;sans-serif" w:hAnsi="Arial;sans-serif"/>
          <w:b w:val="false"/>
          <w:color w:val="000000"/>
          <w:sz w:val="14"/>
        </w:rPr>
        <w:t>(6b)PSUs awarded on March 1, 2023, become eligible to vest upon Committee certification of achievement, subject to satisfaction of external performance criteria for the three-year performance period. LTI awards are generally subject to continued 106% performance level.</w:t>
      </w:r>
    </w:p>
    <w:p>
      <w:pPr>
        <w:pStyle w:val="TextBody"/>
        <w:bidi w:val="0"/>
        <w:spacing w:lineRule="auto" w:line="288" w:before="0" w:after="60"/>
        <w:ind w:left="0" w:right="0" w:hanging="360"/>
        <w:jc w:val="both"/>
        <w:rPr>
          <w:rFonts w:ascii="Arial;sans-serif" w:hAnsi="Arial;sans-serif"/>
          <w:b w:val="false"/>
          <w:color w:val="000000"/>
          <w:sz w:val="14"/>
        </w:rPr>
      </w:pPr>
      <w:r>
        <w:rPr>
          <w:rFonts w:ascii="Arial;sans-serif" w:hAnsi="Arial;sans-serif"/>
          <w:b w:val="false"/>
          <w:color w:val="000000"/>
          <w:sz w:val="14"/>
        </w:rPr>
        <w:t>(7)RSUs awarded to Mr. Carano on February 1, 2023, vest at the rate of 33 1/3 percent per year, subject to satisfaction of vesting criteria for the applicable year, with vesting dates of February 1, 2024, February 1, 2025, and February 1, 2026. LTI awards are generally subject to continued service through the applicable vesting period.</w:t>
      </w:r>
    </w:p>
    <w:p>
      <w:pPr>
        <w:pStyle w:val="TextBody"/>
        <w:bidi w:val="0"/>
        <w:spacing w:lineRule="auto" w:line="288" w:before="0" w:after="60"/>
        <w:ind w:left="0" w:right="0" w:hanging="360"/>
        <w:jc w:val="both"/>
        <w:rPr>
          <w:rFonts w:ascii="Arial;sans-serif" w:hAnsi="Arial;sans-serif"/>
          <w:b w:val="false"/>
          <w:color w:val="000000"/>
          <w:sz w:val="14"/>
        </w:rPr>
      </w:pPr>
      <w:r>
        <w:rPr>
          <w:rFonts w:ascii="Arial;sans-serif" w:hAnsi="Arial;sans-serif"/>
          <w:b w:val="false"/>
          <w:color w:val="000000"/>
          <w:sz w:val="14"/>
        </w:rPr>
        <w:t>(8)RSUs awarded to Mr. McClenaghan on October 1, 2022, vest at the rate of 33 1/3 percent per year, subject to satisfaction of vesting criteria for the applicable year, with vesting dates of October 1, 2023, October 1, 2024, and October 1, 2025. LTI awards are generally subject to continued service through the applicable vesting period.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739140"/>
                <wp:effectExtent l="0" t="0" r="0" b="0"/>
                <wp:wrapNone/>
                <wp:docPr id="165" name="Frame50"/>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292" w:type="dxa"/>
                              <w:jc w:val="left"/>
                              <w:tblInd w:w="0" w:type="dxa"/>
                              <w:tblLayout w:type="fixed"/>
                              <w:tblCellMar>
                                <w:top w:w="28" w:type="dxa"/>
                                <w:left w:w="28" w:type="dxa"/>
                                <w:bottom w:w="28" w:type="dxa"/>
                                <w:right w:w="28" w:type="dxa"/>
                              </w:tblCellMar>
                            </w:tblPr>
                            <w:tblGrid>
                              <w:gridCol w:w="124"/>
                              <w:gridCol w:w="109"/>
                              <w:gridCol w:w="109"/>
                              <w:gridCol w:w="704"/>
                              <w:gridCol w:w="704"/>
                              <w:gridCol w:w="706"/>
                              <w:gridCol w:w="244"/>
                              <w:gridCol w:w="244"/>
                              <w:gridCol w:w="34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6"/>
                                    </w:rPr>
                                  </w:pPr>
                                  <w:r>
                                    <w:rPr>
                                      <w:rFonts w:ascii="Arial;sans-serif" w:hAnsi="Arial;sans-serif"/>
                                      <w:b/>
                                      <w:color w:val="000000"/>
                                      <w:sz w:val="16"/>
                                    </w:rPr>
                                    <w:t>44</w:t>
                                  </w:r>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2024 PROXY STATEMENT</w:t>
                                  </w:r>
                                </w:p>
                              </w:tc>
                              <w:tc>
                                <w:tcPr>
                                  <w:tcW w:w="83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166"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 name="Image73" descr=""/>
                                                <pic:cNvPicPr>
                                                  <a:picLocks noChangeAspect="1" noChangeArrowheads="1"/>
                                                </pic:cNvPicPr>
                                              </pic:nvPicPr>
                                              <pic:blipFill>
                                                <a:blip r:embed="rId117"/>
                                                <a:stretch>
                                                  <a:fillRect/>
                                                </a:stretch>
                                              </pic:blipFill>
                                              <pic:spPr bwMode="auto">
                                                <a:xfrm>
                                                  <a:off x="0" y="0"/>
                                                  <a:ext cx="447675" cy="161925"/>
                                                </a:xfrm>
                                                <a:prstGeom prst="rect">
                                                  <a:avLst/>
                                                </a:prstGeom>
                                              </pic:spPr>
                                            </pic:pic>
                                          </a:graphicData>
                                        </a:graphic>
                                      </wp:inline>
                                    </w:drawing>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292" w:type="dxa"/>
                        <w:jc w:val="left"/>
                        <w:tblInd w:w="0" w:type="dxa"/>
                        <w:tblLayout w:type="fixed"/>
                        <w:tblCellMar>
                          <w:top w:w="28" w:type="dxa"/>
                          <w:left w:w="28" w:type="dxa"/>
                          <w:bottom w:w="28" w:type="dxa"/>
                          <w:right w:w="28" w:type="dxa"/>
                        </w:tblCellMar>
                      </w:tblPr>
                      <w:tblGrid>
                        <w:gridCol w:w="124"/>
                        <w:gridCol w:w="109"/>
                        <w:gridCol w:w="109"/>
                        <w:gridCol w:w="704"/>
                        <w:gridCol w:w="704"/>
                        <w:gridCol w:w="706"/>
                        <w:gridCol w:w="244"/>
                        <w:gridCol w:w="244"/>
                        <w:gridCol w:w="34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6"/>
                              </w:rPr>
                            </w:pPr>
                            <w:r>
                              <w:rPr>
                                <w:rFonts w:ascii="Arial;sans-serif" w:hAnsi="Arial;sans-serif"/>
                                <w:b/>
                                <w:color w:val="000000"/>
                                <w:sz w:val="16"/>
                              </w:rPr>
                              <w:t>44</w:t>
                            </w:r>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2024 PROXY STATEMENT</w:t>
                            </w:r>
                          </w:p>
                        </w:tc>
                        <w:tc>
                          <w:tcPr>
                            <w:tcW w:w="83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167"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 name="Image73" descr=""/>
                                          <pic:cNvPicPr>
                                            <a:picLocks noChangeAspect="1" noChangeArrowheads="1"/>
                                          </pic:cNvPicPr>
                                        </pic:nvPicPr>
                                        <pic:blipFill>
                                          <a:blip r:embed="rId118"/>
                                          <a:stretch>
                                            <a:fillRect/>
                                          </a:stretch>
                                        </pic:blipFill>
                                        <pic:spPr bwMode="auto">
                                          <a:xfrm>
                                            <a:off x="0" y="0"/>
                                            <a:ext cx="447675" cy="161925"/>
                                          </a:xfrm>
                                          <a:prstGeom prst="rect">
                                            <a:avLst/>
                                          </a:prstGeom>
                                        </pic:spPr>
                                      </pic:pic>
                                    </a:graphicData>
                                  </a:graphic>
                                </wp:inline>
                              </w:drawing>
                            </w:r>
                          </w:p>
                        </w:tc>
                      </w:tr>
                    </w:tbl>
                    <w:p>
                      <w:pPr>
                        <w:pStyle w:val="TextBody"/>
                        <w:bidi w:val="0"/>
                        <w:spacing w:before="0" w:after="283"/>
                        <w:jc w:val="left"/>
                        <w:rPr/>
                      </w:pPr>
                      <w:r>
                        <w:rPr/>
                      </w:r>
                    </w:p>
                  </w:txbxContent>
                </v:textbox>
                <w10:wrap type="none"/>
              </v:rect>
            </w:pict>
          </mc:Fallback>
        </mc:AlternateContent>
      </w:r>
    </w:p>
    <w:tbl>
      <w:tblPr>
        <w:tblW w:w="2459" w:type="dxa"/>
        <w:jc w:val="left"/>
        <w:tblInd w:w="0" w:type="dxa"/>
        <w:tblLayout w:type="fixed"/>
        <w:tblCellMar>
          <w:top w:w="28" w:type="dxa"/>
          <w:left w:w="28" w:type="dxa"/>
          <w:bottom w:w="28" w:type="dxa"/>
          <w:right w:w="28" w:type="dxa"/>
        </w:tblCellMar>
      </w:tblPr>
      <w:tblGrid>
        <w:gridCol w:w="786"/>
        <w:gridCol w:w="691"/>
        <w:gridCol w:w="982"/>
      </w:tblGrid>
      <w:tr>
        <w:trPr/>
        <w:tc>
          <w:tcPr>
            <w:tcW w:w="78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r>
      <w:tr>
        <w:trPr/>
        <w:tc>
          <w:tcPr>
            <w:tcW w:w="2459" w:type="dxa"/>
            <w:gridSpan w:val="3"/>
            <w:tcBorders>
              <w:bottom w:val="single" w:sz="4" w:space="0" w:color="004C97"/>
            </w:tcBorders>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4C97"/>
                <w:sz w:val="16"/>
              </w:rPr>
            </w:pPr>
            <w:r>
              <w:rPr>
                <w:rFonts w:ascii="Arial;sans-serif" w:hAnsi="Arial;sans-serif"/>
                <w:b w:val="false"/>
                <w:color w:val="004C97"/>
                <w:sz w:val="16"/>
              </w:rPr>
              <w:t>EXECUTIVE COMPENSATION</w:t>
            </w:r>
          </w:p>
        </w:tc>
      </w:tr>
    </w:tbl>
    <w:p>
      <w:pPr>
        <w:pStyle w:val="TextBody"/>
        <w:bidi w:val="0"/>
        <w:spacing w:lineRule="auto" w:line="288" w:before="0" w:after="60"/>
        <w:jc w:val="left"/>
        <w:rPr>
          <w:rFonts w:ascii="Arial;sans-serif" w:hAnsi="Arial;sans-serif"/>
          <w:b/>
          <w:color w:val="000000"/>
          <w:sz w:val="22"/>
        </w:rPr>
      </w:pPr>
      <w:bookmarkStart w:id="17" w:name="i52e69073c4b44be18b26bb8ffcaf1259_294481"/>
      <w:bookmarkEnd w:id="17"/>
      <w:r>
        <w:rPr>
          <w:rFonts w:ascii="Arial;sans-serif" w:hAnsi="Arial;sans-serif"/>
          <w:b/>
          <w:color w:val="000000"/>
          <w:sz w:val="22"/>
        </w:rPr>
        <w:t>OPTION EXERCISES AND STOCK VESTED IN 2023</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The following table sets forth options exercised and stock vested for each of our NEOs in 2023.</w:t>
      </w:r>
    </w:p>
    <w:tbl>
      <w:tblPr>
        <w:tblW w:w="7857" w:type="dxa"/>
        <w:jc w:val="left"/>
        <w:tblInd w:w="0" w:type="dxa"/>
        <w:tblLayout w:type="fixed"/>
        <w:tblCellMar>
          <w:top w:w="28" w:type="dxa"/>
          <w:left w:w="28" w:type="dxa"/>
          <w:bottom w:w="28" w:type="dxa"/>
          <w:right w:w="28" w:type="dxa"/>
        </w:tblCellMar>
      </w:tblPr>
      <w:tblGrid>
        <w:gridCol w:w="560"/>
        <w:gridCol w:w="489"/>
        <w:gridCol w:w="496"/>
        <w:gridCol w:w="609"/>
        <w:gridCol w:w="609"/>
        <w:gridCol w:w="611"/>
        <w:gridCol w:w="429"/>
        <w:gridCol w:w="429"/>
        <w:gridCol w:w="446"/>
        <w:gridCol w:w="609"/>
        <w:gridCol w:w="609"/>
        <w:gridCol w:w="611"/>
        <w:gridCol w:w="394"/>
        <w:gridCol w:w="394"/>
        <w:gridCol w:w="562"/>
      </w:tblGrid>
      <w:tr>
        <w:trPr/>
        <w:tc>
          <w:tcPr>
            <w:tcW w:w="560"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r>
      <w:tr>
        <w:trPr/>
        <w:tc>
          <w:tcPr>
            <w:tcW w:w="1545" w:type="dxa"/>
            <w:gridSpan w:val="3"/>
            <w:vMerge w:val="restart"/>
            <w:tcBorders>
              <w:top w:val="single" w:sz="4" w:space="0" w:color="000000"/>
              <w:left w:val="single" w:sz="4" w:space="0" w:color="000000"/>
            </w:tcBorders>
            <w:shd w:fill="004C97" w:val="clear"/>
            <w:tcMar>
              <w:top w:w="30" w:type="dxa"/>
              <w:bottom w:w="0" w:type="dxa"/>
              <w:right w:w="0" w:type="dxa"/>
            </w:tcMar>
            <w:vAlign w:val="center"/>
          </w:tcPr>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Name</w:t>
            </w:r>
          </w:p>
        </w:tc>
        <w:tc>
          <w:tcPr>
            <w:tcW w:w="3133" w:type="dxa"/>
            <w:gridSpan w:val="6"/>
            <w:tcBorders>
              <w:top w:val="single" w:sz="4" w:space="0" w:color="000000"/>
              <w:left w:val="single" w:sz="4" w:space="0" w:color="000000"/>
            </w:tcBorders>
            <w:shd w:fill="004C97" w:val="clear"/>
            <w:tcMar>
              <w:top w:w="30" w:type="dxa"/>
              <w:bottom w:w="0" w:type="dxa"/>
              <w:right w:w="0" w:type="dxa"/>
            </w:tcMar>
            <w:vAlign w:val="center"/>
          </w:tcPr>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Option Awards</w:t>
            </w:r>
          </w:p>
        </w:tc>
        <w:tc>
          <w:tcPr>
            <w:tcW w:w="3179" w:type="dxa"/>
            <w:gridSpan w:val="6"/>
            <w:tcBorders>
              <w:top w:val="single" w:sz="4" w:space="0" w:color="000000"/>
              <w:left w:val="single" w:sz="4" w:space="0" w:color="000000"/>
              <w:right w:val="single" w:sz="4" w:space="0" w:color="000000"/>
            </w:tcBorders>
            <w:shd w:fill="004C97" w:val="clear"/>
            <w:tcMar>
              <w:top w:w="30" w:type="dxa"/>
              <w:bottom w:w="0" w:type="dxa"/>
            </w:tcMar>
            <w:vAlign w:val="center"/>
          </w:tcPr>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Stock Awards</w:t>
            </w:r>
          </w:p>
        </w:tc>
      </w:tr>
      <w:tr>
        <w:trPr/>
        <w:tc>
          <w:tcPr>
            <w:tcW w:w="1545" w:type="dxa"/>
            <w:gridSpan w:val="3"/>
            <w:vMerge w:val="continue"/>
            <w:tcBorders>
              <w:top w:val="single" w:sz="4" w:space="0" w:color="000000"/>
              <w:left w:val="single" w:sz="4" w:space="0" w:color="000000"/>
            </w:tcBorders>
            <w:shd w:fill="004C97" w:val="clear"/>
            <w:tcMar>
              <w:top w:w="30" w:type="dxa"/>
              <w:bottom w:w="0" w:type="dxa"/>
              <w:right w:w="0" w:type="dxa"/>
            </w:tcMar>
            <w:vAlign w:val="center"/>
          </w:tcPr>
          <w:p>
            <w:pPr>
              <w:pStyle w:val="Normal"/>
              <w:bidi w:val="0"/>
              <w:jc w:val="left"/>
              <w:rPr/>
            </w:pPr>
            <w:r>
              <w:rPr/>
            </w:r>
          </w:p>
        </w:tc>
        <w:tc>
          <w:tcPr>
            <w:tcW w:w="1829" w:type="dxa"/>
            <w:gridSpan w:val="3"/>
            <w:tcBorders>
              <w:top w:val="single" w:sz="4" w:space="0" w:color="000000"/>
              <w:left w:val="single" w:sz="4" w:space="0" w:color="000000"/>
            </w:tcBorders>
            <w:shd w:fill="004C97" w:val="clear"/>
            <w:tcMar>
              <w:top w:w="30" w:type="dxa"/>
              <w:bottom w:w="0" w:type="dxa"/>
              <w:right w:w="0" w:type="dxa"/>
            </w:tcMar>
            <w:vAlign w:val="center"/>
          </w:tcPr>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 xml:space="preserve">Number of Shares </w:t>
            </w:r>
          </w:p>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 xml:space="preserve">Acquired on Exercise </w:t>
            </w:r>
          </w:p>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w:t>
            </w:r>
          </w:p>
        </w:tc>
        <w:tc>
          <w:tcPr>
            <w:tcW w:w="1304" w:type="dxa"/>
            <w:gridSpan w:val="3"/>
            <w:tcBorders>
              <w:top w:val="single" w:sz="4" w:space="0" w:color="000000"/>
              <w:left w:val="single" w:sz="4" w:space="0" w:color="000000"/>
            </w:tcBorders>
            <w:shd w:fill="004C97" w:val="clear"/>
            <w:tcMar>
              <w:top w:w="30" w:type="dxa"/>
              <w:bottom w:w="0" w:type="dxa"/>
              <w:right w:w="0" w:type="dxa"/>
            </w:tcMar>
            <w:vAlign w:val="center"/>
          </w:tcPr>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 xml:space="preserve">Value Realized </w:t>
            </w:r>
          </w:p>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 xml:space="preserve">on Exercise </w:t>
              <w:br/>
              <w:t>($)</w:t>
            </w:r>
          </w:p>
        </w:tc>
        <w:tc>
          <w:tcPr>
            <w:tcW w:w="1829" w:type="dxa"/>
            <w:gridSpan w:val="3"/>
            <w:tcBorders>
              <w:top w:val="single" w:sz="4" w:space="0" w:color="000000"/>
              <w:left w:val="single" w:sz="4" w:space="0" w:color="000000"/>
            </w:tcBorders>
            <w:shd w:fill="004C97" w:val="clear"/>
            <w:tcMar>
              <w:top w:w="30" w:type="dxa"/>
              <w:bottom w:w="0" w:type="dxa"/>
              <w:right w:w="0" w:type="dxa"/>
            </w:tcMar>
            <w:vAlign w:val="center"/>
          </w:tcPr>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Number of Shares</w:t>
            </w:r>
          </w:p>
          <w:p>
            <w:pPr>
              <w:pStyle w:val="TableContents"/>
              <w:bidi w:val="0"/>
              <w:spacing w:lineRule="auto" w:line="288" w:before="0" w:after="0"/>
              <w:jc w:val="center"/>
              <w:rPr>
                <w:color w:val="FFFFFF"/>
              </w:rPr>
            </w:pPr>
            <w:r>
              <w:rPr>
                <w:color w:val="FFFFFF"/>
              </w:rPr>
              <w:t> </w:t>
            </w:r>
            <w:r>
              <w:rPr>
                <w:rFonts w:ascii="Arial;sans-serif" w:hAnsi="Arial;sans-serif"/>
                <w:b/>
                <w:color w:val="FFFFFF"/>
                <w:sz w:val="16"/>
              </w:rPr>
              <w:t xml:space="preserve">Acquired on Vesting </w:t>
            </w:r>
          </w:p>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w:t>
            </w:r>
          </w:p>
        </w:tc>
        <w:tc>
          <w:tcPr>
            <w:tcW w:w="1350" w:type="dxa"/>
            <w:gridSpan w:val="3"/>
            <w:tcBorders>
              <w:top w:val="single" w:sz="4" w:space="0" w:color="000000"/>
              <w:left w:val="single" w:sz="4" w:space="0" w:color="000000"/>
              <w:right w:val="single" w:sz="4" w:space="0" w:color="000000"/>
            </w:tcBorders>
            <w:shd w:fill="004C97" w:val="clear"/>
            <w:tcMar>
              <w:top w:w="30" w:type="dxa"/>
              <w:bottom w:w="0" w:type="dxa"/>
            </w:tcMar>
            <w:vAlign w:val="center"/>
          </w:tcPr>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 xml:space="preserve">Value Realized </w:t>
            </w:r>
          </w:p>
          <w:p>
            <w:pPr>
              <w:pStyle w:val="TableContents"/>
              <w:bidi w:val="0"/>
              <w:spacing w:lineRule="auto" w:line="288" w:before="0" w:after="0"/>
              <w:jc w:val="center"/>
              <w:rPr/>
            </w:pPr>
            <w:r>
              <w:rPr>
                <w:rFonts w:ascii="Arial;sans-serif" w:hAnsi="Arial;sans-serif"/>
                <w:b/>
                <w:color w:val="FFFFFF"/>
                <w:sz w:val="16"/>
              </w:rPr>
              <w:t xml:space="preserve">on Vesting </w:t>
              <w:br/>
              <w:t>($)</w:t>
            </w:r>
            <w:r>
              <w:rPr>
                <w:rFonts w:ascii="Arial;sans-serif" w:hAnsi="Arial;sans-serif"/>
                <w:b/>
                <w:color w:val="FFFFFF"/>
                <w:sz w:val="10"/>
              </w:rPr>
              <w:t>(1)</w:t>
            </w:r>
          </w:p>
        </w:tc>
      </w:tr>
      <w:tr>
        <w:trPr/>
        <w:tc>
          <w:tcPr>
            <w:tcW w:w="1545" w:type="dxa"/>
            <w:gridSpan w:val="3"/>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Eugene J. Lowe, III</w:t>
            </w:r>
          </w:p>
        </w:tc>
        <w:tc>
          <w:tcPr>
            <w:tcW w:w="1829" w:type="dxa"/>
            <w:gridSpan w:val="3"/>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304" w:type="dxa"/>
            <w:gridSpan w:val="3"/>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829" w:type="dxa"/>
            <w:gridSpan w:val="3"/>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56,617</w:t>
            </w:r>
          </w:p>
        </w:tc>
        <w:tc>
          <w:tcPr>
            <w:tcW w:w="1350" w:type="dxa"/>
            <w:gridSpan w:val="3"/>
            <w:tcBorders>
              <w:top w:val="single" w:sz="4" w:space="0" w:color="000000"/>
              <w:left w:val="single" w:sz="4" w:space="0" w:color="000000"/>
              <w:right w:val="single" w:sz="4" w:space="0" w:color="000000"/>
            </w:tcBorders>
            <w:shd w:fill="E6E7E8" w:val="clear"/>
            <w:tcMar>
              <w:top w:w="30" w:type="dxa"/>
              <w:bottom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4,125,815</w:t>
            </w:r>
          </w:p>
        </w:tc>
      </w:tr>
      <w:tr>
        <w:trPr/>
        <w:tc>
          <w:tcPr>
            <w:tcW w:w="1545" w:type="dxa"/>
            <w:gridSpan w:val="3"/>
            <w:tcBorders>
              <w:top w:val="single" w:sz="4" w:space="0" w:color="000000"/>
              <w:left w:val="single" w:sz="4" w:space="0" w:color="000000"/>
            </w:tcBorders>
            <w:shd w:fill="FFFFFF" w:val="clear"/>
            <w:tcMar>
              <w:top w:w="30" w:type="dxa"/>
              <w:left w:w="11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Mark A. Carano</w:t>
            </w:r>
          </w:p>
        </w:tc>
        <w:tc>
          <w:tcPr>
            <w:tcW w:w="1829"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304"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829"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350" w:type="dxa"/>
            <w:gridSpan w:val="3"/>
            <w:tcBorders>
              <w:top w:val="single" w:sz="4" w:space="0" w:color="000000"/>
              <w:left w:val="single" w:sz="4" w:space="0" w:color="000000"/>
              <w:right w:val="single" w:sz="4" w:space="0" w:color="000000"/>
            </w:tcBorders>
            <w:shd w:fill="FFFFFF" w:val="clear"/>
            <w:tcMar>
              <w:top w:w="30" w:type="dxa"/>
              <w:bottom w:w="0" w:type="dxa"/>
            </w:tcMar>
            <w:vAlign w:val="center"/>
          </w:tcPr>
          <w:p>
            <w:pPr>
              <w:pStyle w:val="TableContents"/>
              <w:bidi w:val="0"/>
              <w:spacing w:lineRule="auto" w:line="288" w:before="0" w:after="283"/>
              <w:jc w:val="center"/>
              <w:rPr>
                <w:color w:val="000000"/>
              </w:rPr>
            </w:pPr>
            <w:r>
              <w:rPr>
                <w:color w:val="000000"/>
              </w:rPr>
              <w:t>—</w:t>
            </w:r>
          </w:p>
        </w:tc>
      </w:tr>
      <w:tr>
        <w:trPr/>
        <w:tc>
          <w:tcPr>
            <w:tcW w:w="1545" w:type="dxa"/>
            <w:gridSpan w:val="3"/>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J. Randall Data</w:t>
            </w:r>
          </w:p>
        </w:tc>
        <w:tc>
          <w:tcPr>
            <w:tcW w:w="1829" w:type="dxa"/>
            <w:gridSpan w:val="3"/>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32,464</w:t>
            </w:r>
          </w:p>
        </w:tc>
        <w:tc>
          <w:tcPr>
            <w:tcW w:w="1304" w:type="dxa"/>
            <w:gridSpan w:val="3"/>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1,173,831</w:t>
            </w:r>
          </w:p>
        </w:tc>
        <w:tc>
          <w:tcPr>
            <w:tcW w:w="1829" w:type="dxa"/>
            <w:gridSpan w:val="3"/>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12,316</w:t>
            </w:r>
          </w:p>
        </w:tc>
        <w:tc>
          <w:tcPr>
            <w:tcW w:w="1350" w:type="dxa"/>
            <w:gridSpan w:val="3"/>
            <w:tcBorders>
              <w:top w:val="single" w:sz="4" w:space="0" w:color="000000"/>
              <w:left w:val="single" w:sz="4" w:space="0" w:color="000000"/>
              <w:right w:val="single" w:sz="4" w:space="0" w:color="000000"/>
            </w:tcBorders>
            <w:shd w:fill="E6E7E8" w:val="clear"/>
            <w:tcMar>
              <w:top w:w="30" w:type="dxa"/>
              <w:bottom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898,343</w:t>
            </w:r>
          </w:p>
        </w:tc>
      </w:tr>
      <w:tr>
        <w:trPr/>
        <w:tc>
          <w:tcPr>
            <w:tcW w:w="1545"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John W. Swann, III</w:t>
            </w:r>
          </w:p>
        </w:tc>
        <w:tc>
          <w:tcPr>
            <w:tcW w:w="1829"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304"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829"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10,896</w:t>
            </w:r>
          </w:p>
        </w:tc>
        <w:tc>
          <w:tcPr>
            <w:tcW w:w="1350" w:type="dxa"/>
            <w:gridSpan w:val="3"/>
            <w:tcBorders>
              <w:top w:val="single" w:sz="4" w:space="0" w:color="000000"/>
              <w:left w:val="single" w:sz="4" w:space="0" w:color="000000"/>
              <w:right w:val="single" w:sz="4" w:space="0" w:color="000000"/>
            </w:tcBorders>
            <w:shd w:fill="FFFFFF" w:val="clear"/>
            <w:tcMar>
              <w:top w:w="30" w:type="dxa"/>
              <w:bottom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794,696</w:t>
            </w:r>
          </w:p>
        </w:tc>
      </w:tr>
      <w:tr>
        <w:trPr/>
        <w:tc>
          <w:tcPr>
            <w:tcW w:w="1545" w:type="dxa"/>
            <w:gridSpan w:val="3"/>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Sean McClenaghan</w:t>
            </w:r>
          </w:p>
        </w:tc>
        <w:tc>
          <w:tcPr>
            <w:tcW w:w="1829" w:type="dxa"/>
            <w:gridSpan w:val="3"/>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304" w:type="dxa"/>
            <w:gridSpan w:val="3"/>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829" w:type="dxa"/>
            <w:gridSpan w:val="3"/>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2,961</w:t>
            </w:r>
          </w:p>
        </w:tc>
        <w:tc>
          <w:tcPr>
            <w:tcW w:w="1350" w:type="dxa"/>
            <w:gridSpan w:val="3"/>
            <w:tcBorders>
              <w:top w:val="single" w:sz="4" w:space="0" w:color="000000"/>
              <w:left w:val="single" w:sz="4" w:space="0" w:color="000000"/>
              <w:right w:val="single" w:sz="4" w:space="0" w:color="000000"/>
            </w:tcBorders>
            <w:shd w:fill="E6E7E8" w:val="clear"/>
            <w:tcMar>
              <w:top w:w="30" w:type="dxa"/>
              <w:bottom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241,025</w:t>
            </w:r>
          </w:p>
        </w:tc>
      </w:tr>
      <w:tr>
        <w:trPr/>
        <w:tc>
          <w:tcPr>
            <w:tcW w:w="1545" w:type="dxa"/>
            <w:gridSpan w:val="3"/>
            <w:tcBorders>
              <w:top w:val="single" w:sz="4" w:space="0" w:color="000000"/>
              <w:left w:val="single" w:sz="4" w:space="0" w:color="000000"/>
              <w:bottom w:val="single" w:sz="4" w:space="0" w:color="000000"/>
            </w:tcBorders>
            <w:shd w:fill="FFFFFF" w:val="clear"/>
            <w:tcMar>
              <w:top w:w="30" w:type="dxa"/>
              <w:bottom w:w="3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Michael A. Reilly</w:t>
            </w:r>
          </w:p>
        </w:tc>
        <w:tc>
          <w:tcPr>
            <w:tcW w:w="1829" w:type="dxa"/>
            <w:gridSpan w:val="3"/>
            <w:tcBorders>
              <w:top w:val="single" w:sz="4" w:space="0" w:color="000000"/>
              <w:left w:val="single" w:sz="4" w:space="0" w:color="000000"/>
              <w:bottom w:val="single" w:sz="4" w:space="0" w:color="000000"/>
            </w:tcBorders>
            <w:shd w:fill="FFFFFF" w:val="clear"/>
            <w:tcMar>
              <w:top w:w="30" w:type="dxa"/>
              <w:bottom w:w="3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11,717</w:t>
            </w:r>
          </w:p>
        </w:tc>
        <w:tc>
          <w:tcPr>
            <w:tcW w:w="1304" w:type="dxa"/>
            <w:gridSpan w:val="3"/>
            <w:tcBorders>
              <w:top w:val="single" w:sz="4" w:space="0" w:color="000000"/>
              <w:left w:val="single" w:sz="4" w:space="0" w:color="000000"/>
              <w:bottom w:val="single" w:sz="4" w:space="0" w:color="000000"/>
            </w:tcBorders>
            <w:shd w:fill="FFFFFF" w:val="clear"/>
            <w:tcMar>
              <w:top w:w="30" w:type="dxa"/>
              <w:bottom w:w="3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443,122</w:t>
            </w:r>
          </w:p>
        </w:tc>
        <w:tc>
          <w:tcPr>
            <w:tcW w:w="1829" w:type="dxa"/>
            <w:gridSpan w:val="3"/>
            <w:tcBorders>
              <w:top w:val="single" w:sz="4" w:space="0" w:color="000000"/>
              <w:left w:val="single" w:sz="4" w:space="0" w:color="000000"/>
              <w:bottom w:val="single" w:sz="4" w:space="0" w:color="000000"/>
            </w:tcBorders>
            <w:shd w:fill="FFFFFF" w:val="clear"/>
            <w:tcMar>
              <w:top w:w="30" w:type="dxa"/>
              <w:bottom w:w="3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5,245</w:t>
            </w:r>
          </w:p>
        </w:tc>
        <w:tc>
          <w:tcPr>
            <w:tcW w:w="1350" w:type="dxa"/>
            <w:gridSpan w:val="3"/>
            <w:tcBorders>
              <w:top w:val="single" w:sz="4" w:space="0" w:color="000000"/>
              <w:left w:val="single" w:sz="4" w:space="0" w:color="000000"/>
              <w:bottom w:val="single" w:sz="4" w:space="0" w:color="000000"/>
              <w:right w:val="single" w:sz="4" w:space="0" w:color="000000"/>
            </w:tcBorders>
            <w:shd w:fill="FFFFFF" w:val="clear"/>
            <w:tcMar>
              <w:top w:w="30" w:type="dxa"/>
              <w:bottom w:w="3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383,956</w:t>
            </w:r>
          </w:p>
        </w:tc>
      </w:tr>
    </w:tbl>
    <w:p>
      <w:pPr>
        <w:pStyle w:val="TextBody"/>
        <w:bidi w:val="0"/>
        <w:spacing w:lineRule="auto" w:line="288" w:before="0" w:after="360"/>
        <w:ind w:left="0" w:right="0" w:hanging="360"/>
        <w:jc w:val="both"/>
        <w:rPr>
          <w:rFonts w:ascii="Arial;sans-serif" w:hAnsi="Arial;sans-serif"/>
          <w:b w:val="false"/>
          <w:color w:val="000000"/>
          <w:sz w:val="14"/>
        </w:rPr>
      </w:pPr>
      <w:r>
        <w:rPr>
          <w:rFonts w:ascii="Arial;sans-serif" w:hAnsi="Arial;sans-serif"/>
          <w:b w:val="false"/>
          <w:color w:val="000000"/>
          <w:sz w:val="14"/>
        </w:rPr>
        <w:t>(1)Value realized on exercise and value realized on vesting is based on the closing price of our common stock on the New York Stock Exchange on the date of exercise or vesting, as applicable. In connection with the vesting of stock awards, our NEOs surrendered shares to satisfy tax withholding requirements, which reduced the number of shares acquired and actual value they received upon vesting.</w:t>
      </w:r>
    </w:p>
    <w:p>
      <w:pPr>
        <w:pStyle w:val="TextBody"/>
        <w:bidi w:val="0"/>
        <w:spacing w:lineRule="auto" w:line="288" w:before="0" w:after="60"/>
        <w:jc w:val="left"/>
        <w:rPr>
          <w:rFonts w:ascii="Arial;sans-serif" w:hAnsi="Arial;sans-serif"/>
          <w:b/>
          <w:color w:val="000000"/>
          <w:sz w:val="22"/>
        </w:rPr>
      </w:pPr>
      <w:bookmarkStart w:id="18" w:name="i52e69073c4b44be18b26bb8ffcaf1259_294482"/>
      <w:bookmarkEnd w:id="18"/>
      <w:r>
        <w:rPr>
          <w:rFonts w:ascii="Arial;sans-serif" w:hAnsi="Arial;sans-serif"/>
          <w:b/>
          <w:color w:val="000000"/>
          <w:sz w:val="22"/>
        </w:rPr>
        <w:t>NONQUALIFIED DEFERRED COMPENSATION</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The following table sets forth information relating to the SPX Supplemental Retirement Savings Plan (“SRSP”) for NEOs in 2023. Other members of senior-level management are also eligible to participate in the SRSP, a nonqualified deferred compensation plan that allows them to make pre-tax deferrals in excess of those permitted by the 401(k) Plan. Eligible executives may defer up to 50% of their base compensation (excluding annual bonuses) and up to 100% of their annual bonuses into the SRSP. Both base compensation and annual bonus deferral elections are made prior to the beginning of the year to which they relate.</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A company match is made to the SRSP after the maximum company match has been made under the 401(k) Plan, and the deferrals and match are allocated to the fund(s) under the SRSP as selected by the participant.</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In general, “eligible compensation” for purposes of the SRSP is the amount reported as wages on a participant’s Form W-2, (1) increased by (a) amounts contributed by the participant to the 401(k) Plan and the SPX Flexible Spending Account Plans, and (b) vacation and holiday pay paid after termination of employment; and (2) decreased by (a) reimbursements or other expense allowances, (b) fringe benefits (cash and non-cash), (c) moving expenses, (d) welfare benefits (provided that short-term disability payments are included and long-term disability payments are excluded), (e) employer-provided automobiles, mileage reimbursements, and car allowances for which no documentation is required, taxable and non-taxable tuition reimbursements, the taxable value of physical examinations, and group term life insurance coverage in excess of $50,000, (f) pay in lieu of notice, (g) deferred compensation, (h) the value of restricted shares and other equity awards, and (i) severance pay paid after termination of employment.</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All matching contributions into the SRSP are made in cash and invested according to the participant’s elections. All participant and matching contributions vest immediately. There is no minimum holding period. The SRSP is unfunded and earnings are credited on account balances based on participant direction within the similar investment choices available in the 401(k) Plan. All returns in the SRSP and the 401(k) Plan are at market rates. In-service distributions are not allowed under the SRSP. All amounts deferred under the SRSP after 2009 will be paid in a lump-sum payment six months following termination of employment. Participants may elect to receive their pre-2009 accounts in a lump sum, annual installments (two to ten years), or monthly installments (up to 120 months) upon separation from service, on a date that is a specified number of months after retirement or separation from service, or on a specified date following separation from service (no later than attainment of age 70 1/2).</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739140"/>
                <wp:effectExtent l="0" t="0" r="0" b="0"/>
                <wp:wrapNone/>
                <wp:docPr id="168" name="Frame51"/>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292" w:type="dxa"/>
                              <w:jc w:val="right"/>
                              <w:tblInd w:w="0" w:type="dxa"/>
                              <w:tblLayout w:type="fixed"/>
                              <w:tblCellMar>
                                <w:top w:w="28" w:type="dxa"/>
                                <w:left w:w="28" w:type="dxa"/>
                                <w:bottom w:w="28" w:type="dxa"/>
                                <w:right w:w="28" w:type="dxa"/>
                              </w:tblCellMar>
                            </w:tblPr>
                            <w:tblGrid>
                              <w:gridCol w:w="292"/>
                              <w:gridCol w:w="256"/>
                              <w:gridCol w:w="258"/>
                              <w:gridCol w:w="704"/>
                              <w:gridCol w:w="704"/>
                              <w:gridCol w:w="706"/>
                              <w:gridCol w:w="109"/>
                              <w:gridCol w:w="109"/>
                              <w:gridCol w:w="154"/>
                            </w:tblGrid>
                            <w:tr>
                              <w:trPr/>
                              <w:tc>
                                <w:tcPr>
                                  <w:tcW w:w="29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0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169" name="Image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 name="Image74" descr=""/>
                                                <pic:cNvPicPr>
                                                  <a:picLocks noChangeAspect="1" noChangeArrowheads="1"/>
                                                </pic:cNvPicPr>
                                              </pic:nvPicPr>
                                              <pic:blipFill>
                                                <a:blip r:embed="rId119"/>
                                                <a:stretch>
                                                  <a:fillRect/>
                                                </a:stretch>
                                              </pic:blipFill>
                                              <pic:spPr bwMode="auto">
                                                <a:xfrm>
                                                  <a:off x="0" y="0"/>
                                                  <a:ext cx="447675" cy="161925"/>
                                                </a:xfrm>
                                                <a:prstGeom prst="rect">
                                                  <a:avLst/>
                                                </a:prstGeom>
                                              </pic:spPr>
                                            </pic:pic>
                                          </a:graphicData>
                                        </a:graphic>
                                      </wp:inline>
                                    </w:drawing>
                                  </w:r>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2024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000000"/>
                                      <w:sz w:val="16"/>
                                    </w:rPr>
                                  </w:pPr>
                                  <w:r>
                                    <w:rPr>
                                      <w:rFonts w:ascii="Arial;sans-serif" w:hAnsi="Arial;sans-serif"/>
                                      <w:b/>
                                      <w:color w:val="000000"/>
                                      <w:sz w:val="16"/>
                                    </w:rPr>
                                    <w:t>45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292" w:type="dxa"/>
                        <w:jc w:val="right"/>
                        <w:tblInd w:w="0" w:type="dxa"/>
                        <w:tblLayout w:type="fixed"/>
                        <w:tblCellMar>
                          <w:top w:w="28" w:type="dxa"/>
                          <w:left w:w="28" w:type="dxa"/>
                          <w:bottom w:w="28" w:type="dxa"/>
                          <w:right w:w="28" w:type="dxa"/>
                        </w:tblCellMar>
                      </w:tblPr>
                      <w:tblGrid>
                        <w:gridCol w:w="292"/>
                        <w:gridCol w:w="256"/>
                        <w:gridCol w:w="258"/>
                        <w:gridCol w:w="704"/>
                        <w:gridCol w:w="704"/>
                        <w:gridCol w:w="706"/>
                        <w:gridCol w:w="109"/>
                        <w:gridCol w:w="109"/>
                        <w:gridCol w:w="154"/>
                      </w:tblGrid>
                      <w:tr>
                        <w:trPr/>
                        <w:tc>
                          <w:tcPr>
                            <w:tcW w:w="29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0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170" name="Image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 name="Image74" descr=""/>
                                          <pic:cNvPicPr>
                                            <a:picLocks noChangeAspect="1" noChangeArrowheads="1"/>
                                          </pic:cNvPicPr>
                                        </pic:nvPicPr>
                                        <pic:blipFill>
                                          <a:blip r:embed="rId120"/>
                                          <a:stretch>
                                            <a:fillRect/>
                                          </a:stretch>
                                        </pic:blipFill>
                                        <pic:spPr bwMode="auto">
                                          <a:xfrm>
                                            <a:off x="0" y="0"/>
                                            <a:ext cx="447675" cy="161925"/>
                                          </a:xfrm>
                                          <a:prstGeom prst="rect">
                                            <a:avLst/>
                                          </a:prstGeom>
                                        </pic:spPr>
                                      </pic:pic>
                                    </a:graphicData>
                                  </a:graphic>
                                </wp:inline>
                              </w:drawing>
                            </w:r>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2024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000000"/>
                                <w:sz w:val="16"/>
                              </w:rPr>
                            </w:pPr>
                            <w:r>
                              <w:rPr>
                                <w:rFonts w:ascii="Arial;sans-serif" w:hAnsi="Arial;sans-serif"/>
                                <w:b/>
                                <w:color w:val="000000"/>
                                <w:sz w:val="16"/>
                              </w:rPr>
                              <w:t>45</w:t>
                            </w:r>
                          </w:p>
                        </w:tc>
                      </w:tr>
                    </w:tbl>
                    <w:p>
                      <w:pPr>
                        <w:pStyle w:val="TextBody"/>
                        <w:bidi w:val="0"/>
                        <w:spacing w:before="0" w:after="283"/>
                        <w:jc w:val="left"/>
                        <w:rPr/>
                      </w:pPr>
                      <w:r>
                        <w:rPr/>
                      </w:r>
                    </w:p>
                  </w:txbxContent>
                </v:textbox>
                <w10:wrap type="none"/>
              </v:rect>
            </w:pict>
          </mc:Fallback>
        </mc:AlternateContent>
      </w:r>
    </w:p>
    <w:tbl>
      <w:tblPr>
        <w:tblW w:w="2459" w:type="dxa"/>
        <w:jc w:val="right"/>
        <w:tblInd w:w="0" w:type="dxa"/>
        <w:tblLayout w:type="fixed"/>
        <w:tblCellMar>
          <w:top w:w="28" w:type="dxa"/>
          <w:left w:w="28" w:type="dxa"/>
          <w:bottom w:w="28" w:type="dxa"/>
          <w:right w:w="28" w:type="dxa"/>
        </w:tblCellMar>
      </w:tblPr>
      <w:tblGrid>
        <w:gridCol w:w="786"/>
        <w:gridCol w:w="691"/>
        <w:gridCol w:w="982"/>
      </w:tblGrid>
      <w:tr>
        <w:trPr/>
        <w:tc>
          <w:tcPr>
            <w:tcW w:w="78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r>
      <w:tr>
        <w:trPr/>
        <w:tc>
          <w:tcPr>
            <w:tcW w:w="2459" w:type="dxa"/>
            <w:gridSpan w:val="3"/>
            <w:tcBorders>
              <w:bottom w:val="single" w:sz="4" w:space="0" w:color="004C97"/>
            </w:tcBorders>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4C97"/>
                <w:sz w:val="16"/>
              </w:rPr>
            </w:pPr>
            <w:r>
              <w:rPr>
                <w:rFonts w:ascii="Arial;sans-serif" w:hAnsi="Arial;sans-serif"/>
                <w:b w:val="false"/>
                <w:color w:val="004C97"/>
                <w:sz w:val="16"/>
              </w:rPr>
              <w:t>EXECUTIVE COMPENSATION</w:t>
            </w:r>
          </w:p>
        </w:tc>
      </w:tr>
    </w:tbl>
    <w:tbl>
      <w:tblPr>
        <w:tblW w:w="10205" w:type="dxa"/>
        <w:jc w:val="left"/>
        <w:tblInd w:w="0" w:type="dxa"/>
        <w:tblLayout w:type="fixed"/>
        <w:tblCellMar>
          <w:top w:w="28" w:type="dxa"/>
          <w:left w:w="28" w:type="dxa"/>
          <w:bottom w:w="28" w:type="dxa"/>
          <w:right w:w="28" w:type="dxa"/>
        </w:tblCellMar>
      </w:tblPr>
      <w:tblGrid>
        <w:gridCol w:w="552"/>
        <w:gridCol w:w="406"/>
        <w:gridCol w:w="317"/>
        <w:gridCol w:w="648"/>
        <w:gridCol w:w="648"/>
        <w:gridCol w:w="650"/>
        <w:gridCol w:w="655"/>
        <w:gridCol w:w="655"/>
        <w:gridCol w:w="657"/>
        <w:gridCol w:w="620"/>
        <w:gridCol w:w="546"/>
        <w:gridCol w:w="547"/>
        <w:gridCol w:w="727"/>
        <w:gridCol w:w="640"/>
        <w:gridCol w:w="641"/>
        <w:gridCol w:w="435"/>
        <w:gridCol w:w="436"/>
        <w:gridCol w:w="425"/>
      </w:tblGrid>
      <w:tr>
        <w:trPr/>
        <w:tc>
          <w:tcPr>
            <w:tcW w:w="552"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r>
      <w:tr>
        <w:trPr/>
        <w:tc>
          <w:tcPr>
            <w:tcW w:w="1275" w:type="dxa"/>
            <w:gridSpan w:val="3"/>
            <w:tcBorders>
              <w:top w:val="single" w:sz="4" w:space="0" w:color="000000"/>
              <w:left w:val="single" w:sz="4" w:space="0" w:color="000000"/>
            </w:tcBorders>
            <w:shd w:fill="004C97" w:val="clear"/>
            <w:tcMar>
              <w:top w:w="30" w:type="dxa"/>
              <w:bottom w:w="0" w:type="dxa"/>
              <w:right w:w="0" w:type="dxa"/>
            </w:tcMar>
            <w:vAlign w:val="center"/>
          </w:tcPr>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Name</w:t>
            </w:r>
          </w:p>
        </w:tc>
        <w:tc>
          <w:tcPr>
            <w:tcW w:w="1946" w:type="dxa"/>
            <w:gridSpan w:val="3"/>
            <w:tcBorders>
              <w:top w:val="single" w:sz="4" w:space="0" w:color="000000"/>
              <w:left w:val="single" w:sz="4" w:space="0" w:color="000000"/>
            </w:tcBorders>
            <w:shd w:fill="004C97" w:val="clear"/>
            <w:tcMar>
              <w:top w:w="30" w:type="dxa"/>
              <w:bottom w:w="0" w:type="dxa"/>
              <w:right w:w="0" w:type="dxa"/>
            </w:tcMar>
            <w:vAlign w:val="center"/>
          </w:tcPr>
          <w:p>
            <w:pPr>
              <w:pStyle w:val="TableContents"/>
              <w:bidi w:val="0"/>
              <w:spacing w:lineRule="auto" w:line="288" w:before="0" w:after="0"/>
              <w:jc w:val="center"/>
              <w:rPr/>
            </w:pPr>
            <w:r>
              <w:rPr>
                <w:rFonts w:ascii="Arial;sans-serif" w:hAnsi="Arial;sans-serif"/>
                <w:b/>
                <w:color w:val="FFFFFF"/>
                <w:sz w:val="16"/>
              </w:rPr>
              <w:t>Executive Contributions in Last FY ($)</w:t>
            </w:r>
            <w:r>
              <w:rPr>
                <w:rFonts w:ascii="Arial;sans-serif" w:hAnsi="Arial;sans-serif"/>
                <w:b/>
                <w:color w:val="FFFFFF"/>
                <w:sz w:val="10"/>
              </w:rPr>
              <w:t>(1)</w:t>
            </w:r>
          </w:p>
        </w:tc>
        <w:tc>
          <w:tcPr>
            <w:tcW w:w="1967" w:type="dxa"/>
            <w:gridSpan w:val="3"/>
            <w:tcBorders>
              <w:top w:val="single" w:sz="4" w:space="0" w:color="000000"/>
              <w:left w:val="single" w:sz="4" w:space="0" w:color="000000"/>
            </w:tcBorders>
            <w:shd w:fill="004C97" w:val="clear"/>
            <w:tcMar>
              <w:top w:w="30" w:type="dxa"/>
              <w:bottom w:w="0" w:type="dxa"/>
              <w:right w:w="0" w:type="dxa"/>
            </w:tcMar>
            <w:vAlign w:val="center"/>
          </w:tcPr>
          <w:p>
            <w:pPr>
              <w:pStyle w:val="TableContents"/>
              <w:bidi w:val="0"/>
              <w:spacing w:lineRule="auto" w:line="288" w:before="0" w:after="0"/>
              <w:jc w:val="center"/>
              <w:rPr/>
            </w:pPr>
            <w:r>
              <w:rPr>
                <w:rFonts w:ascii="Arial;sans-serif" w:hAnsi="Arial;sans-serif"/>
                <w:b/>
                <w:color w:val="FFFFFF"/>
                <w:sz w:val="16"/>
              </w:rPr>
              <w:t>Registrant Contributions in Last FY ($)</w:t>
            </w:r>
            <w:r>
              <w:rPr>
                <w:rFonts w:ascii="Arial;sans-serif" w:hAnsi="Arial;sans-serif"/>
                <w:b/>
                <w:color w:val="FFFFFF"/>
                <w:sz w:val="10"/>
              </w:rPr>
              <w:t>(2)</w:t>
            </w:r>
          </w:p>
        </w:tc>
        <w:tc>
          <w:tcPr>
            <w:tcW w:w="1713" w:type="dxa"/>
            <w:gridSpan w:val="3"/>
            <w:tcBorders>
              <w:top w:val="single" w:sz="4" w:space="0" w:color="000000"/>
              <w:left w:val="single" w:sz="4" w:space="0" w:color="000000"/>
            </w:tcBorders>
            <w:shd w:fill="004C97" w:val="clear"/>
            <w:tcMar>
              <w:top w:w="30" w:type="dxa"/>
              <w:bottom w:w="0" w:type="dxa"/>
              <w:right w:w="0" w:type="dxa"/>
            </w:tcMar>
            <w:vAlign w:val="center"/>
          </w:tcPr>
          <w:p>
            <w:pPr>
              <w:pStyle w:val="TableContents"/>
              <w:bidi w:val="0"/>
              <w:spacing w:lineRule="auto" w:line="288" w:before="0" w:after="0"/>
              <w:jc w:val="center"/>
              <w:rPr/>
            </w:pPr>
            <w:r>
              <w:rPr>
                <w:rFonts w:ascii="Arial;sans-serif" w:hAnsi="Arial;sans-serif"/>
                <w:b/>
                <w:color w:val="FFFFFF"/>
                <w:sz w:val="16"/>
              </w:rPr>
              <w:t>Aggregate Earnings in Last FY ($)</w:t>
            </w:r>
            <w:r>
              <w:rPr>
                <w:rFonts w:ascii="Arial;sans-serif" w:hAnsi="Arial;sans-serif"/>
                <w:b/>
                <w:color w:val="FFFFFF"/>
                <w:sz w:val="10"/>
              </w:rPr>
              <w:t>(3)</w:t>
            </w:r>
          </w:p>
        </w:tc>
        <w:tc>
          <w:tcPr>
            <w:tcW w:w="2008" w:type="dxa"/>
            <w:gridSpan w:val="3"/>
            <w:tcBorders>
              <w:top w:val="single" w:sz="4" w:space="0" w:color="000000"/>
              <w:left w:val="single" w:sz="4" w:space="0" w:color="000000"/>
            </w:tcBorders>
            <w:shd w:fill="004C97" w:val="clear"/>
            <w:tcMar>
              <w:top w:w="30" w:type="dxa"/>
              <w:bottom w:w="0" w:type="dxa"/>
              <w:right w:w="0" w:type="dxa"/>
            </w:tcMar>
            <w:vAlign w:val="center"/>
          </w:tcPr>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Aggregate Withdrawals/ Distributions ($)</w:t>
            </w:r>
          </w:p>
        </w:tc>
        <w:tc>
          <w:tcPr>
            <w:tcW w:w="1296" w:type="dxa"/>
            <w:gridSpan w:val="3"/>
            <w:tcBorders>
              <w:top w:val="single" w:sz="4" w:space="0" w:color="000000"/>
              <w:left w:val="single" w:sz="4" w:space="0" w:color="000000"/>
              <w:right w:val="single" w:sz="4" w:space="0" w:color="000000"/>
            </w:tcBorders>
            <w:shd w:fill="004C97" w:val="clear"/>
            <w:tcMar>
              <w:top w:w="30" w:type="dxa"/>
              <w:bottom w:w="0" w:type="dxa"/>
            </w:tcMar>
            <w:vAlign w:val="center"/>
          </w:tcPr>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Aggregate</w:t>
            </w:r>
          </w:p>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Balance</w:t>
            </w:r>
          </w:p>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at Last FYE</w:t>
            </w:r>
          </w:p>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w:t>
            </w:r>
          </w:p>
        </w:tc>
      </w:tr>
      <w:tr>
        <w:trPr/>
        <w:tc>
          <w:tcPr>
            <w:tcW w:w="1275" w:type="dxa"/>
            <w:gridSpan w:val="3"/>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Eugene J. Lowe, III</w:t>
            </w:r>
          </w:p>
        </w:tc>
        <w:tc>
          <w:tcPr>
            <w:tcW w:w="1296" w:type="dxa"/>
            <w:gridSpan w:val="2"/>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107,494 </w:t>
            </w:r>
          </w:p>
        </w:tc>
        <w:tc>
          <w:tcPr>
            <w:tcW w:w="650" w:type="dxa"/>
            <w:tcBorders>
              <w:top w:val="single" w:sz="4" w:space="0" w:color="000000"/>
            </w:tcBorders>
            <w:shd w:fill="E6E7E8"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96,745 </w:t>
            </w:r>
          </w:p>
        </w:tc>
        <w:tc>
          <w:tcPr>
            <w:tcW w:w="657" w:type="dxa"/>
            <w:tcBorders>
              <w:top w:val="single" w:sz="4" w:space="0" w:color="000000"/>
            </w:tcBorders>
            <w:shd w:fill="E6E7E8"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420,349 </w:t>
            </w:r>
          </w:p>
        </w:tc>
        <w:tc>
          <w:tcPr>
            <w:tcW w:w="547" w:type="dxa"/>
            <w:tcBorders>
              <w:top w:val="single" w:sz="4" w:space="0" w:color="000000"/>
            </w:tcBorders>
            <w:shd w:fill="E6E7E8"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41" w:type="dxa"/>
            <w:tcBorders>
              <w:top w:val="single" w:sz="4" w:space="0" w:color="000000"/>
            </w:tcBorders>
            <w:shd w:fill="E6E7E8"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2,095,784 </w:t>
            </w:r>
          </w:p>
        </w:tc>
        <w:tc>
          <w:tcPr>
            <w:tcW w:w="425" w:type="dxa"/>
            <w:tcBorders>
              <w:top w:val="single" w:sz="4" w:space="0" w:color="000000"/>
              <w:right w:val="single" w:sz="4" w:space="0" w:color="000000"/>
            </w:tcBorders>
            <w:shd w:fill="E6E7E8"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275" w:type="dxa"/>
            <w:gridSpan w:val="3"/>
            <w:tcBorders>
              <w:top w:val="single" w:sz="4" w:space="0" w:color="000000"/>
              <w:left w:val="single" w:sz="4" w:space="0" w:color="000000"/>
            </w:tcBorders>
            <w:shd w:fill="FFFFFF" w:val="clear"/>
            <w:tcMar>
              <w:top w:w="30" w:type="dxa"/>
              <w:left w:w="11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Mark A. Carano</w:t>
            </w:r>
          </w:p>
        </w:tc>
        <w:tc>
          <w:tcPr>
            <w:tcW w:w="1296" w:type="dxa"/>
            <w:gridSpan w:val="2"/>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50"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57"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47"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4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25" w:type="dxa"/>
            <w:tcBorders>
              <w:top w:val="single" w:sz="4" w:space="0" w:color="000000"/>
              <w:right w:val="single" w:sz="4" w:space="0" w:color="000000"/>
            </w:tcBorders>
            <w:shd w:fill="FFFF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275" w:type="dxa"/>
            <w:gridSpan w:val="3"/>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J. Randall Data</w:t>
            </w:r>
          </w:p>
        </w:tc>
        <w:tc>
          <w:tcPr>
            <w:tcW w:w="1296" w:type="dxa"/>
            <w:gridSpan w:val="2"/>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26,285 </w:t>
            </w:r>
          </w:p>
        </w:tc>
        <w:tc>
          <w:tcPr>
            <w:tcW w:w="650" w:type="dxa"/>
            <w:tcBorders>
              <w:top w:val="single" w:sz="4" w:space="0" w:color="000000"/>
            </w:tcBorders>
            <w:shd w:fill="E6E7E8"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21,904 </w:t>
            </w:r>
          </w:p>
        </w:tc>
        <w:tc>
          <w:tcPr>
            <w:tcW w:w="657" w:type="dxa"/>
            <w:tcBorders>
              <w:top w:val="single" w:sz="4" w:space="0" w:color="000000"/>
            </w:tcBorders>
            <w:shd w:fill="E6E7E8"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101,205 </w:t>
            </w:r>
          </w:p>
        </w:tc>
        <w:tc>
          <w:tcPr>
            <w:tcW w:w="547" w:type="dxa"/>
            <w:tcBorders>
              <w:top w:val="single" w:sz="4" w:space="0" w:color="000000"/>
            </w:tcBorders>
            <w:shd w:fill="E6E7E8"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41" w:type="dxa"/>
            <w:tcBorders>
              <w:top w:val="single" w:sz="4" w:space="0" w:color="000000"/>
            </w:tcBorders>
            <w:shd w:fill="E6E7E8"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515,425 </w:t>
            </w:r>
          </w:p>
        </w:tc>
        <w:tc>
          <w:tcPr>
            <w:tcW w:w="425" w:type="dxa"/>
            <w:tcBorders>
              <w:top w:val="single" w:sz="4" w:space="0" w:color="000000"/>
              <w:right w:val="single" w:sz="4" w:space="0" w:color="000000"/>
            </w:tcBorders>
            <w:shd w:fill="E6E7E8"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275"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John W. Swann, III</w:t>
            </w:r>
          </w:p>
        </w:tc>
        <w:tc>
          <w:tcPr>
            <w:tcW w:w="1296" w:type="dxa"/>
            <w:gridSpan w:val="2"/>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40,086 </w:t>
            </w:r>
          </w:p>
        </w:tc>
        <w:tc>
          <w:tcPr>
            <w:tcW w:w="650"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33,405 </w:t>
            </w:r>
          </w:p>
        </w:tc>
        <w:tc>
          <w:tcPr>
            <w:tcW w:w="657"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157,349 </w:t>
            </w:r>
          </w:p>
        </w:tc>
        <w:tc>
          <w:tcPr>
            <w:tcW w:w="547"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4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1,162,438 </w:t>
            </w:r>
          </w:p>
        </w:tc>
        <w:tc>
          <w:tcPr>
            <w:tcW w:w="425" w:type="dxa"/>
            <w:tcBorders>
              <w:top w:val="single" w:sz="4" w:space="0" w:color="000000"/>
              <w:right w:val="single" w:sz="4" w:space="0" w:color="000000"/>
            </w:tcBorders>
            <w:shd w:fill="FFFF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275" w:type="dxa"/>
            <w:gridSpan w:val="3"/>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Sean McClenaghan</w:t>
            </w:r>
          </w:p>
        </w:tc>
        <w:tc>
          <w:tcPr>
            <w:tcW w:w="1296" w:type="dxa"/>
            <w:gridSpan w:val="2"/>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50" w:type="dxa"/>
            <w:tcBorders>
              <w:top w:val="single" w:sz="4" w:space="0" w:color="000000"/>
            </w:tcBorders>
            <w:shd w:fill="E6E7E8"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57" w:type="dxa"/>
            <w:tcBorders>
              <w:top w:val="single" w:sz="4" w:space="0" w:color="000000"/>
            </w:tcBorders>
            <w:shd w:fill="E6E7E8"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47" w:type="dxa"/>
            <w:tcBorders>
              <w:top w:val="single" w:sz="4" w:space="0" w:color="000000"/>
            </w:tcBorders>
            <w:shd w:fill="E6E7E8"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41" w:type="dxa"/>
            <w:tcBorders>
              <w:top w:val="single" w:sz="4" w:space="0" w:color="000000"/>
            </w:tcBorders>
            <w:shd w:fill="E6E7E8"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25" w:type="dxa"/>
            <w:tcBorders>
              <w:top w:val="single" w:sz="4" w:space="0" w:color="000000"/>
              <w:right w:val="single" w:sz="4" w:space="0" w:color="000000"/>
            </w:tcBorders>
            <w:shd w:fill="E6E7E8"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275" w:type="dxa"/>
            <w:gridSpan w:val="3"/>
            <w:tcBorders>
              <w:top w:val="single" w:sz="4" w:space="0" w:color="000000"/>
              <w:left w:val="single" w:sz="4" w:space="0" w:color="000000"/>
              <w:bottom w:val="single" w:sz="4" w:space="0" w:color="000000"/>
            </w:tcBorders>
            <w:shd w:fill="FFFFFF" w:val="clear"/>
            <w:tcMar>
              <w:top w:w="30" w:type="dxa"/>
              <w:bottom w:w="3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Michael A. Reilly</w:t>
            </w:r>
          </w:p>
        </w:tc>
        <w:tc>
          <w:tcPr>
            <w:tcW w:w="1296" w:type="dxa"/>
            <w:gridSpan w:val="2"/>
            <w:tcBorders>
              <w:top w:val="single" w:sz="4" w:space="0" w:color="000000"/>
              <w:left w:val="single" w:sz="4" w:space="0" w:color="000000"/>
              <w:bottom w:val="single" w:sz="4" w:space="0" w:color="000000"/>
            </w:tcBorders>
            <w:shd w:fill="FFFFFF" w:val="clear"/>
            <w:tcMar>
              <w:top w:w="3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7,269 </w:t>
            </w:r>
          </w:p>
        </w:tc>
        <w:tc>
          <w:tcPr>
            <w:tcW w:w="650" w:type="dxa"/>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top w:val="single" w:sz="4" w:space="0" w:color="000000"/>
              <w:left w:val="single" w:sz="4" w:space="0" w:color="000000"/>
              <w:bottom w:val="single" w:sz="4" w:space="0" w:color="000000"/>
            </w:tcBorders>
            <w:shd w:fill="FFFFFF" w:val="clear"/>
            <w:tcMar>
              <w:top w:w="3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6,057 </w:t>
            </w:r>
          </w:p>
        </w:tc>
        <w:tc>
          <w:tcPr>
            <w:tcW w:w="657" w:type="dxa"/>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top w:val="single" w:sz="4" w:space="0" w:color="000000"/>
              <w:left w:val="single" w:sz="4" w:space="0" w:color="000000"/>
              <w:bottom w:val="single" w:sz="4" w:space="0" w:color="000000"/>
            </w:tcBorders>
            <w:shd w:fill="E6E7E8" w:val="clear"/>
            <w:tcMar>
              <w:top w:w="3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547" w:type="dxa"/>
            <w:tcBorders>
              <w:top w:val="single" w:sz="4" w:space="0" w:color="000000"/>
              <w:bottom w:val="single" w:sz="4" w:space="0" w:color="000000"/>
            </w:tcBorders>
            <w:shd w:fill="E6E7E8"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top w:val="single" w:sz="4" w:space="0" w:color="000000"/>
              <w:left w:val="single" w:sz="4" w:space="0" w:color="000000"/>
              <w:bottom w:val="single" w:sz="4" w:space="0" w:color="000000"/>
            </w:tcBorders>
            <w:shd w:fill="FFFFFF" w:val="clear"/>
            <w:tcMar>
              <w:top w:w="3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(1,460,222)</w:t>
            </w:r>
          </w:p>
        </w:tc>
        <w:tc>
          <w:tcPr>
            <w:tcW w:w="641" w:type="dxa"/>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000000"/>
              <w:left w:val="single" w:sz="4" w:space="0" w:color="000000"/>
              <w:bottom w:val="single" w:sz="4" w:space="0" w:color="000000"/>
            </w:tcBorders>
            <w:shd w:fill="FFFFFF" w:val="clear"/>
            <w:tcMar>
              <w:top w:w="3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425" w:type="dxa"/>
            <w:tcBorders>
              <w:top w:val="single" w:sz="4" w:space="0" w:color="000000"/>
              <w:bottom w:val="single" w:sz="4" w:space="0" w:color="000000"/>
              <w:right w:val="single" w:sz="4" w:space="0" w:color="000000"/>
            </w:tcBorders>
            <w:shd w:fill="FFFFFF" w:val="clear"/>
            <w:tcMar>
              <w:top w:w="30" w:type="dxa"/>
              <w:left w:w="0" w:type="dxa"/>
              <w:bottom w:w="3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hanging="360"/>
        <w:jc w:val="both"/>
        <w:rPr>
          <w:rFonts w:ascii="Arial;sans-serif" w:hAnsi="Arial;sans-serif"/>
          <w:b w:val="false"/>
          <w:color w:val="000000"/>
          <w:sz w:val="14"/>
        </w:rPr>
      </w:pPr>
      <w:r>
        <w:rPr>
          <w:rFonts w:ascii="Arial;sans-serif" w:hAnsi="Arial;sans-serif"/>
          <w:b w:val="false"/>
          <w:color w:val="000000"/>
          <w:sz w:val="14"/>
        </w:rPr>
        <w:t>(1)Contributions to the SRSP consisted of deferrals from 2023 base salary and 2022 bonus payout.</w:t>
      </w:r>
    </w:p>
    <w:tbl>
      <w:tblPr>
        <w:tblW w:w="5008" w:type="dxa"/>
        <w:jc w:val="left"/>
        <w:tblInd w:w="0" w:type="dxa"/>
        <w:tblLayout w:type="fixed"/>
        <w:tblCellMar>
          <w:top w:w="28" w:type="dxa"/>
          <w:left w:w="28" w:type="dxa"/>
          <w:bottom w:w="28" w:type="dxa"/>
          <w:right w:w="28" w:type="dxa"/>
        </w:tblCellMar>
      </w:tblPr>
      <w:tblGrid>
        <w:gridCol w:w="560"/>
        <w:gridCol w:w="489"/>
        <w:gridCol w:w="496"/>
        <w:gridCol w:w="414"/>
        <w:gridCol w:w="414"/>
        <w:gridCol w:w="416"/>
        <w:gridCol w:w="650"/>
        <w:gridCol w:w="650"/>
        <w:gridCol w:w="919"/>
      </w:tblGrid>
      <w:tr>
        <w:trPr/>
        <w:tc>
          <w:tcPr>
            <w:tcW w:w="560"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r>
      <w:tr>
        <w:trPr/>
        <w:tc>
          <w:tcPr>
            <w:tcW w:w="1545" w:type="dxa"/>
            <w:gridSpan w:val="3"/>
            <w:tcBorders>
              <w:top w:val="single" w:sz="4" w:space="0" w:color="000000"/>
              <w:left w:val="single" w:sz="4" w:space="0" w:color="000000"/>
            </w:tcBorders>
            <w:shd w:fill="004C97" w:val="clear"/>
            <w:tcMar>
              <w:top w:w="30" w:type="dxa"/>
              <w:bottom w:w="0" w:type="dxa"/>
              <w:right w:w="0" w:type="dxa"/>
            </w:tcMar>
            <w:vAlign w:val="center"/>
          </w:tcPr>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Name</w:t>
            </w:r>
          </w:p>
        </w:tc>
        <w:tc>
          <w:tcPr>
            <w:tcW w:w="1244" w:type="dxa"/>
            <w:gridSpan w:val="3"/>
            <w:tcBorders>
              <w:top w:val="single" w:sz="4" w:space="0" w:color="000000"/>
              <w:left w:val="single" w:sz="4" w:space="0" w:color="000000"/>
            </w:tcBorders>
            <w:shd w:fill="004C97" w:val="clear"/>
            <w:tcMar>
              <w:top w:w="30" w:type="dxa"/>
              <w:bottom w:w="0" w:type="dxa"/>
              <w:right w:w="0" w:type="dxa"/>
            </w:tcMar>
            <w:vAlign w:val="center"/>
          </w:tcPr>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2023 Salary ($)</w:t>
            </w:r>
          </w:p>
        </w:tc>
        <w:tc>
          <w:tcPr>
            <w:tcW w:w="2219" w:type="dxa"/>
            <w:gridSpan w:val="3"/>
            <w:tcBorders>
              <w:top w:val="single" w:sz="4" w:space="0" w:color="000000"/>
              <w:left w:val="single" w:sz="8" w:space="0" w:color="929292"/>
              <w:right w:val="single" w:sz="8" w:space="0" w:color="929292"/>
            </w:tcBorders>
            <w:shd w:fill="004C97" w:val="clear"/>
            <w:tcMar>
              <w:top w:w="30" w:type="dxa"/>
              <w:bottom w:w="0" w:type="dxa"/>
            </w:tcMar>
            <w:vAlign w:val="center"/>
          </w:tcPr>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2022 Non-Equity Incentive</w:t>
            </w:r>
          </w:p>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Plan Compensation ($)</w:t>
            </w:r>
          </w:p>
        </w:tc>
      </w:tr>
      <w:tr>
        <w:trPr/>
        <w:tc>
          <w:tcPr>
            <w:tcW w:w="1545" w:type="dxa"/>
            <w:gridSpan w:val="3"/>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Eugene J. Lowe, III</w:t>
            </w:r>
          </w:p>
        </w:tc>
        <w:tc>
          <w:tcPr>
            <w:tcW w:w="828" w:type="dxa"/>
            <w:gridSpan w:val="2"/>
            <w:tcBorders>
              <w:top w:val="single" w:sz="4" w:space="0" w:color="000000"/>
              <w:left w:val="single" w:sz="8" w:space="0" w:color="929292"/>
            </w:tcBorders>
            <w:shd w:fill="E6E7E8"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41,663 </w:t>
            </w:r>
          </w:p>
        </w:tc>
        <w:tc>
          <w:tcPr>
            <w:tcW w:w="416" w:type="dxa"/>
            <w:tcBorders>
              <w:top w:val="single" w:sz="4" w:space="0" w:color="000000"/>
            </w:tcBorders>
            <w:shd w:fill="E6E7E8"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2"/>
            <w:tcBorders>
              <w:top w:val="single" w:sz="4" w:space="0" w:color="000000"/>
              <w:left w:val="single" w:sz="8" w:space="0" w:color="929292"/>
            </w:tcBorders>
            <w:shd w:fill="E6E7E8"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65,831 </w:t>
            </w:r>
          </w:p>
        </w:tc>
        <w:tc>
          <w:tcPr>
            <w:tcW w:w="919" w:type="dxa"/>
            <w:tcBorders>
              <w:top w:val="single" w:sz="4" w:space="0" w:color="000000"/>
              <w:right w:val="single" w:sz="8" w:space="0" w:color="929292"/>
            </w:tcBorders>
            <w:shd w:fill="E6E7E8"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545" w:type="dxa"/>
            <w:gridSpan w:val="3"/>
            <w:tcBorders>
              <w:top w:val="single" w:sz="4" w:space="0" w:color="000000"/>
              <w:left w:val="single" w:sz="4" w:space="0" w:color="000000"/>
            </w:tcBorders>
            <w:shd w:fill="FFFFFF" w:val="clear"/>
            <w:tcMar>
              <w:top w:w="30" w:type="dxa"/>
              <w:left w:w="11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Mark A. Carano</w:t>
            </w:r>
          </w:p>
        </w:tc>
        <w:tc>
          <w:tcPr>
            <w:tcW w:w="828" w:type="dxa"/>
            <w:gridSpan w:val="2"/>
            <w:tcBorders>
              <w:top w:val="single" w:sz="4" w:space="0" w:color="000000"/>
              <w:left w:val="single" w:sz="8" w:space="0" w:color="929292"/>
            </w:tcBorders>
            <w:shd w:fill="FFFFFF" w:val="clear"/>
            <w:tcMar>
              <w:top w:w="3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1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2"/>
            <w:tcBorders>
              <w:top w:val="single" w:sz="4" w:space="0" w:color="000000"/>
              <w:left w:val="single" w:sz="8" w:space="0" w:color="929292"/>
            </w:tcBorders>
            <w:shd w:fill="FFFFFF" w:val="clear"/>
            <w:tcMar>
              <w:top w:w="3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919" w:type="dxa"/>
            <w:tcBorders>
              <w:top w:val="single" w:sz="4" w:space="0" w:color="000000"/>
              <w:right w:val="single" w:sz="8" w:space="0" w:color="929292"/>
            </w:tcBorders>
            <w:shd w:fill="FFFF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545" w:type="dxa"/>
            <w:gridSpan w:val="3"/>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J. Randall Data</w:t>
            </w:r>
          </w:p>
        </w:tc>
        <w:tc>
          <w:tcPr>
            <w:tcW w:w="828" w:type="dxa"/>
            <w:gridSpan w:val="2"/>
            <w:tcBorders>
              <w:top w:val="single" w:sz="4" w:space="0" w:color="000000"/>
              <w:left w:val="single" w:sz="8" w:space="0" w:color="929292"/>
            </w:tcBorders>
            <w:shd w:fill="E6E7E8"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26,285 </w:t>
            </w:r>
          </w:p>
        </w:tc>
        <w:tc>
          <w:tcPr>
            <w:tcW w:w="416" w:type="dxa"/>
            <w:tcBorders>
              <w:top w:val="single" w:sz="4" w:space="0" w:color="000000"/>
            </w:tcBorders>
            <w:shd w:fill="E6E7E8"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2"/>
            <w:tcBorders>
              <w:top w:val="single" w:sz="4" w:space="0" w:color="000000"/>
              <w:left w:val="single" w:sz="8" w:space="0" w:color="929292"/>
            </w:tcBorders>
            <w:shd w:fill="E6E7E8" w:val="clear"/>
            <w:tcMar>
              <w:top w:w="3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919" w:type="dxa"/>
            <w:tcBorders>
              <w:top w:val="single" w:sz="4" w:space="0" w:color="000000"/>
              <w:right w:val="single" w:sz="8" w:space="0" w:color="929292"/>
            </w:tcBorders>
            <w:shd w:fill="E6E7E8"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545"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John W. Swann, III</w:t>
            </w:r>
          </w:p>
        </w:tc>
        <w:tc>
          <w:tcPr>
            <w:tcW w:w="828" w:type="dxa"/>
            <w:gridSpan w:val="2"/>
            <w:tcBorders>
              <w:top w:val="single" w:sz="4" w:space="0" w:color="000000"/>
              <w:left w:val="single" w:sz="8" w:space="0" w:color="929292"/>
            </w:tcBorders>
            <w:shd w:fill="FFFFFF"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27,875 </w:t>
            </w:r>
          </w:p>
        </w:tc>
        <w:tc>
          <w:tcPr>
            <w:tcW w:w="41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2"/>
            <w:tcBorders>
              <w:top w:val="single" w:sz="4" w:space="0" w:color="000000"/>
              <w:left w:val="single" w:sz="8" w:space="0" w:color="929292"/>
            </w:tcBorders>
            <w:shd w:fill="FFFFFF"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12,211 </w:t>
            </w:r>
          </w:p>
        </w:tc>
        <w:tc>
          <w:tcPr>
            <w:tcW w:w="919" w:type="dxa"/>
            <w:tcBorders>
              <w:top w:val="single" w:sz="4" w:space="0" w:color="000000"/>
              <w:right w:val="single" w:sz="8" w:space="0" w:color="929292"/>
            </w:tcBorders>
            <w:shd w:fill="FFFF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545" w:type="dxa"/>
            <w:gridSpan w:val="3"/>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Sean McClenaghan</w:t>
            </w:r>
          </w:p>
        </w:tc>
        <w:tc>
          <w:tcPr>
            <w:tcW w:w="828" w:type="dxa"/>
            <w:gridSpan w:val="2"/>
            <w:tcBorders>
              <w:top w:val="single" w:sz="4" w:space="0" w:color="000000"/>
              <w:left w:val="single" w:sz="8" w:space="0" w:color="929292"/>
            </w:tcBorders>
            <w:shd w:fill="E6E7E8" w:val="clear"/>
            <w:tcMar>
              <w:top w:w="3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16" w:type="dxa"/>
            <w:tcBorders>
              <w:top w:val="single" w:sz="4" w:space="0" w:color="000000"/>
            </w:tcBorders>
            <w:shd w:fill="E6E7E8"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2"/>
            <w:tcBorders>
              <w:top w:val="single" w:sz="4" w:space="0" w:color="000000"/>
              <w:left w:val="single" w:sz="8" w:space="0" w:color="929292"/>
            </w:tcBorders>
            <w:shd w:fill="E6E7E8" w:val="clear"/>
            <w:tcMar>
              <w:top w:w="3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919" w:type="dxa"/>
            <w:tcBorders>
              <w:top w:val="single" w:sz="4" w:space="0" w:color="000000"/>
              <w:right w:val="single" w:sz="8" w:space="0" w:color="929292"/>
            </w:tcBorders>
            <w:shd w:fill="E6E7E8"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545" w:type="dxa"/>
            <w:gridSpan w:val="3"/>
            <w:tcBorders>
              <w:top w:val="single" w:sz="4" w:space="0" w:color="000000"/>
              <w:left w:val="single" w:sz="4" w:space="0" w:color="000000"/>
              <w:bottom w:val="single" w:sz="4" w:space="0" w:color="000000"/>
            </w:tcBorders>
            <w:shd w:fill="FFFFFF" w:val="clear"/>
            <w:tcMar>
              <w:top w:w="30" w:type="dxa"/>
              <w:bottom w:w="3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Michael A. Reilly</w:t>
            </w:r>
          </w:p>
        </w:tc>
        <w:tc>
          <w:tcPr>
            <w:tcW w:w="828" w:type="dxa"/>
            <w:gridSpan w:val="2"/>
            <w:tcBorders>
              <w:top w:val="single" w:sz="4" w:space="0" w:color="000000"/>
              <w:left w:val="single" w:sz="8" w:space="0" w:color="929292"/>
              <w:bottom w:val="single" w:sz="4" w:space="0" w:color="000000"/>
            </w:tcBorders>
            <w:shd w:fill="FFFFFF" w:val="clear"/>
            <w:tcMar>
              <w:top w:w="3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3,123 </w:t>
            </w:r>
          </w:p>
        </w:tc>
        <w:tc>
          <w:tcPr>
            <w:tcW w:w="416" w:type="dxa"/>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300" w:type="dxa"/>
            <w:gridSpan w:val="2"/>
            <w:tcBorders>
              <w:top w:val="single" w:sz="4" w:space="0" w:color="000000"/>
              <w:left w:val="single" w:sz="8" w:space="0" w:color="929292"/>
              <w:bottom w:val="single" w:sz="4" w:space="0" w:color="000000"/>
            </w:tcBorders>
            <w:shd w:fill="FFFFFF" w:val="clear"/>
            <w:tcMar>
              <w:top w:w="3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4,146 </w:t>
            </w:r>
          </w:p>
        </w:tc>
        <w:tc>
          <w:tcPr>
            <w:tcW w:w="919" w:type="dxa"/>
            <w:tcBorders>
              <w:top w:val="single" w:sz="4" w:space="0" w:color="000000"/>
              <w:bottom w:val="single" w:sz="4" w:space="0" w:color="000000"/>
              <w:right w:val="single" w:sz="8" w:space="0" w:color="929292"/>
            </w:tcBorders>
            <w:shd w:fill="FFFFFF" w:val="clear"/>
            <w:tcMar>
              <w:top w:w="30" w:type="dxa"/>
              <w:left w:w="0" w:type="dxa"/>
              <w:bottom w:w="3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hanging="360"/>
        <w:jc w:val="both"/>
        <w:rPr>
          <w:rFonts w:ascii="Arial;sans-serif" w:hAnsi="Arial;sans-serif"/>
          <w:b w:val="false"/>
          <w:color w:val="000000"/>
          <w:sz w:val="14"/>
        </w:rPr>
      </w:pPr>
      <w:r>
        <w:rPr>
          <w:rFonts w:ascii="Arial;sans-serif" w:hAnsi="Arial;sans-serif"/>
          <w:b w:val="false"/>
          <w:color w:val="000000"/>
          <w:sz w:val="14"/>
        </w:rPr>
        <w:t>(2)Represents matching amounts contributed by SPX to the SRSP. These amounts have been included in the All Other Compensation column of the Summary Compensation Table.</w:t>
      </w:r>
    </w:p>
    <w:p>
      <w:pPr>
        <w:pStyle w:val="TextBody"/>
        <w:bidi w:val="0"/>
        <w:spacing w:lineRule="auto" w:line="288" w:before="0" w:after="60"/>
        <w:ind w:left="0" w:right="0" w:hanging="360"/>
        <w:jc w:val="both"/>
        <w:rPr>
          <w:rFonts w:ascii="Arial;sans-serif" w:hAnsi="Arial;sans-serif"/>
          <w:b w:val="false"/>
          <w:color w:val="000000"/>
          <w:sz w:val="14"/>
        </w:rPr>
      </w:pPr>
      <w:r>
        <w:rPr>
          <w:rFonts w:ascii="Arial;sans-serif" w:hAnsi="Arial;sans-serif"/>
          <w:b w:val="false"/>
          <w:color w:val="000000"/>
          <w:sz w:val="14"/>
        </w:rPr>
        <w:t>(3)Aggregate earnings under the SRSP are not above market and, accordingly, are not included in the Summary Compensation Table.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739140"/>
                <wp:effectExtent l="0" t="0" r="0" b="0"/>
                <wp:wrapNone/>
                <wp:docPr id="171" name="Frame52"/>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292" w:type="dxa"/>
                              <w:jc w:val="left"/>
                              <w:tblInd w:w="0" w:type="dxa"/>
                              <w:tblLayout w:type="fixed"/>
                              <w:tblCellMar>
                                <w:top w:w="28" w:type="dxa"/>
                                <w:left w:w="28" w:type="dxa"/>
                                <w:bottom w:w="28" w:type="dxa"/>
                                <w:right w:w="28" w:type="dxa"/>
                              </w:tblCellMar>
                            </w:tblPr>
                            <w:tblGrid>
                              <w:gridCol w:w="124"/>
                              <w:gridCol w:w="109"/>
                              <w:gridCol w:w="109"/>
                              <w:gridCol w:w="704"/>
                              <w:gridCol w:w="704"/>
                              <w:gridCol w:w="706"/>
                              <w:gridCol w:w="244"/>
                              <w:gridCol w:w="244"/>
                              <w:gridCol w:w="34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6"/>
                                    </w:rPr>
                                  </w:pPr>
                                  <w:r>
                                    <w:rPr>
                                      <w:rFonts w:ascii="Arial;sans-serif" w:hAnsi="Arial;sans-serif"/>
                                      <w:b/>
                                      <w:color w:val="000000"/>
                                      <w:sz w:val="16"/>
                                    </w:rPr>
                                    <w:t>46</w:t>
                                  </w:r>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2024 PROXY STATEMENT</w:t>
                                  </w:r>
                                </w:p>
                              </w:tc>
                              <w:tc>
                                <w:tcPr>
                                  <w:tcW w:w="83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172" name="Image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 name="Image75" descr=""/>
                                                <pic:cNvPicPr>
                                                  <a:picLocks noChangeAspect="1" noChangeArrowheads="1"/>
                                                </pic:cNvPicPr>
                                              </pic:nvPicPr>
                                              <pic:blipFill>
                                                <a:blip r:embed="rId121"/>
                                                <a:stretch>
                                                  <a:fillRect/>
                                                </a:stretch>
                                              </pic:blipFill>
                                              <pic:spPr bwMode="auto">
                                                <a:xfrm>
                                                  <a:off x="0" y="0"/>
                                                  <a:ext cx="447675" cy="161925"/>
                                                </a:xfrm>
                                                <a:prstGeom prst="rect">
                                                  <a:avLst/>
                                                </a:prstGeom>
                                              </pic:spPr>
                                            </pic:pic>
                                          </a:graphicData>
                                        </a:graphic>
                                      </wp:inline>
                                    </w:drawing>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292" w:type="dxa"/>
                        <w:jc w:val="left"/>
                        <w:tblInd w:w="0" w:type="dxa"/>
                        <w:tblLayout w:type="fixed"/>
                        <w:tblCellMar>
                          <w:top w:w="28" w:type="dxa"/>
                          <w:left w:w="28" w:type="dxa"/>
                          <w:bottom w:w="28" w:type="dxa"/>
                          <w:right w:w="28" w:type="dxa"/>
                        </w:tblCellMar>
                      </w:tblPr>
                      <w:tblGrid>
                        <w:gridCol w:w="124"/>
                        <w:gridCol w:w="109"/>
                        <w:gridCol w:w="109"/>
                        <w:gridCol w:w="704"/>
                        <w:gridCol w:w="704"/>
                        <w:gridCol w:w="706"/>
                        <w:gridCol w:w="244"/>
                        <w:gridCol w:w="244"/>
                        <w:gridCol w:w="34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6"/>
                              </w:rPr>
                            </w:pPr>
                            <w:r>
                              <w:rPr>
                                <w:rFonts w:ascii="Arial;sans-serif" w:hAnsi="Arial;sans-serif"/>
                                <w:b/>
                                <w:color w:val="000000"/>
                                <w:sz w:val="16"/>
                              </w:rPr>
                              <w:t>46</w:t>
                            </w:r>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2024 PROXY STATEMENT</w:t>
                            </w:r>
                          </w:p>
                        </w:tc>
                        <w:tc>
                          <w:tcPr>
                            <w:tcW w:w="83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173" name="Image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 name="Image75" descr=""/>
                                          <pic:cNvPicPr>
                                            <a:picLocks noChangeAspect="1" noChangeArrowheads="1"/>
                                          </pic:cNvPicPr>
                                        </pic:nvPicPr>
                                        <pic:blipFill>
                                          <a:blip r:embed="rId122"/>
                                          <a:stretch>
                                            <a:fillRect/>
                                          </a:stretch>
                                        </pic:blipFill>
                                        <pic:spPr bwMode="auto">
                                          <a:xfrm>
                                            <a:off x="0" y="0"/>
                                            <a:ext cx="447675" cy="161925"/>
                                          </a:xfrm>
                                          <a:prstGeom prst="rect">
                                            <a:avLst/>
                                          </a:prstGeom>
                                        </pic:spPr>
                                      </pic:pic>
                                    </a:graphicData>
                                  </a:graphic>
                                </wp:inline>
                              </w:drawing>
                            </w:r>
                          </w:p>
                        </w:tc>
                      </w:tr>
                    </w:tbl>
                    <w:p>
                      <w:pPr>
                        <w:pStyle w:val="TextBody"/>
                        <w:bidi w:val="0"/>
                        <w:spacing w:before="0" w:after="283"/>
                        <w:jc w:val="left"/>
                        <w:rPr/>
                      </w:pPr>
                      <w:r>
                        <w:rPr/>
                      </w:r>
                    </w:p>
                  </w:txbxContent>
                </v:textbox>
                <w10:wrap type="none"/>
              </v:rect>
            </w:pict>
          </mc:Fallback>
        </mc:AlternateContent>
      </w:r>
    </w:p>
    <w:tbl>
      <w:tblPr>
        <w:tblW w:w="2459" w:type="dxa"/>
        <w:jc w:val="left"/>
        <w:tblInd w:w="0" w:type="dxa"/>
        <w:tblLayout w:type="fixed"/>
        <w:tblCellMar>
          <w:top w:w="28" w:type="dxa"/>
          <w:left w:w="28" w:type="dxa"/>
          <w:bottom w:w="28" w:type="dxa"/>
          <w:right w:w="28" w:type="dxa"/>
        </w:tblCellMar>
      </w:tblPr>
      <w:tblGrid>
        <w:gridCol w:w="786"/>
        <w:gridCol w:w="691"/>
        <w:gridCol w:w="982"/>
      </w:tblGrid>
      <w:tr>
        <w:trPr/>
        <w:tc>
          <w:tcPr>
            <w:tcW w:w="78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r>
      <w:tr>
        <w:trPr/>
        <w:tc>
          <w:tcPr>
            <w:tcW w:w="2459" w:type="dxa"/>
            <w:gridSpan w:val="3"/>
            <w:tcBorders>
              <w:bottom w:val="single" w:sz="4" w:space="0" w:color="004C97"/>
            </w:tcBorders>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4C97"/>
                <w:sz w:val="16"/>
              </w:rPr>
            </w:pPr>
            <w:r>
              <w:rPr>
                <w:rFonts w:ascii="Arial;sans-serif" w:hAnsi="Arial;sans-serif"/>
                <w:b w:val="false"/>
                <w:color w:val="004C97"/>
                <w:sz w:val="16"/>
              </w:rPr>
              <w:t>EXECUTIVE COMPENSATION</w:t>
            </w:r>
          </w:p>
        </w:tc>
      </w:tr>
    </w:tbl>
    <w:p>
      <w:pPr>
        <w:pStyle w:val="TextBody"/>
        <w:bidi w:val="0"/>
        <w:spacing w:lineRule="auto" w:line="288" w:before="0" w:after="60"/>
        <w:jc w:val="left"/>
        <w:rPr>
          <w:rFonts w:ascii="Arial;sans-serif" w:hAnsi="Arial;sans-serif"/>
          <w:b/>
          <w:color w:val="000000"/>
          <w:sz w:val="22"/>
        </w:rPr>
      </w:pPr>
      <w:bookmarkStart w:id="19" w:name="i52e69073c4b44be18b26bb8ffcaf1259_294483"/>
      <w:bookmarkEnd w:id="19"/>
      <w:r>
        <w:rPr>
          <w:rFonts w:ascii="Arial;sans-serif" w:hAnsi="Arial;sans-serif"/>
          <w:b/>
          <w:color w:val="000000"/>
          <w:sz w:val="22"/>
        </w:rPr>
        <w:t>POTENTIAL PAYMENTS UPON TERMINATION OR CHANGE-IN-CONTROL</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Our NEOs who are currently employees are covered by change-in-control agreements, severance agreements, and stock plan award agreements governing compensation in the event of a termination of employment or a change in control of our Company. In addition, we have entered into an employment agreement with Mr. Lowe in lieu of a severance agreement. The following tables set forth the expected benefits to be received by each current NEO in the event of their termination resulting from various scenarios, assuming a termination date of December 31, 2023 and a stock price of $101.01, our closing stock price on December 29, 2023 the last trading day of fiscal 2023. Assumptions and explanations of the numbers set forth in the tables below are set forth in the footnotes to, and in additional text following, the tables.</w:t>
      </w:r>
    </w:p>
    <w:tbl>
      <w:tblPr>
        <w:tblW w:w="10205" w:type="dxa"/>
        <w:jc w:val="left"/>
        <w:tblInd w:w="0" w:type="dxa"/>
        <w:tblLayout w:type="fixed"/>
        <w:tblCellMar>
          <w:top w:w="28" w:type="dxa"/>
          <w:left w:w="28" w:type="dxa"/>
          <w:bottom w:w="28" w:type="dxa"/>
          <w:right w:w="28" w:type="dxa"/>
        </w:tblCellMar>
      </w:tblPr>
      <w:tblGrid>
        <w:gridCol w:w="720"/>
        <w:gridCol w:w="310"/>
        <w:gridCol w:w="313"/>
        <w:gridCol w:w="656"/>
        <w:gridCol w:w="635"/>
        <w:gridCol w:w="637"/>
        <w:gridCol w:w="534"/>
        <w:gridCol w:w="534"/>
        <w:gridCol w:w="538"/>
        <w:gridCol w:w="534"/>
        <w:gridCol w:w="534"/>
        <w:gridCol w:w="538"/>
        <w:gridCol w:w="814"/>
        <w:gridCol w:w="643"/>
        <w:gridCol w:w="644"/>
        <w:gridCol w:w="489"/>
        <w:gridCol w:w="465"/>
        <w:gridCol w:w="667"/>
      </w:tblGrid>
      <w:tr>
        <w:trPr/>
        <w:tc>
          <w:tcPr>
            <w:tcW w:w="72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r>
      <w:tr>
        <w:trPr/>
        <w:tc>
          <w:tcPr>
            <w:tcW w:w="1343" w:type="dxa"/>
            <w:gridSpan w:val="3"/>
            <w:tcBorders>
              <w:top w:val="single" w:sz="4" w:space="0" w:color="000000"/>
              <w:left w:val="single" w:sz="4" w:space="0" w:color="000000"/>
            </w:tcBorders>
            <w:shd w:fill="004C97"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6"/>
              </w:rPr>
            </w:pPr>
            <w:r>
              <w:rPr>
                <w:rFonts w:ascii="Arial;sans-serif" w:hAnsi="Arial;sans-serif"/>
                <w:b/>
                <w:color w:val="FFFFFF"/>
                <w:sz w:val="16"/>
              </w:rPr>
              <w:t>Eugene J. Lowe, III</w:t>
            </w:r>
          </w:p>
        </w:tc>
        <w:tc>
          <w:tcPr>
            <w:tcW w:w="1928" w:type="dxa"/>
            <w:gridSpan w:val="3"/>
            <w:tcBorders>
              <w:top w:val="single" w:sz="4" w:space="0" w:color="000000"/>
              <w:left w:val="single" w:sz="4" w:space="0" w:color="000000"/>
            </w:tcBorders>
            <w:shd w:fill="004C97" w:val="clear"/>
            <w:tcMar>
              <w:top w:w="30" w:type="dxa"/>
              <w:bottom w:w="0" w:type="dxa"/>
              <w:right w:w="0" w:type="dxa"/>
            </w:tcMar>
            <w:vAlign w:val="center"/>
          </w:tcPr>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(a) Voluntary Resignation or (b) Involuntary Termination for Cause ($)</w:t>
            </w:r>
          </w:p>
        </w:tc>
        <w:tc>
          <w:tcPr>
            <w:tcW w:w="1606" w:type="dxa"/>
            <w:gridSpan w:val="3"/>
            <w:tcBorders>
              <w:top w:val="single" w:sz="4" w:space="0" w:color="000000"/>
              <w:left w:val="single" w:sz="4" w:space="0" w:color="000000"/>
            </w:tcBorders>
            <w:shd w:fill="004C97" w:val="clear"/>
            <w:tcMar>
              <w:top w:w="30" w:type="dxa"/>
              <w:bottom w:w="0" w:type="dxa"/>
              <w:right w:w="0" w:type="dxa"/>
            </w:tcMar>
            <w:vAlign w:val="center"/>
          </w:tcPr>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Disability ($)</w:t>
            </w:r>
          </w:p>
        </w:tc>
        <w:tc>
          <w:tcPr>
            <w:tcW w:w="1606" w:type="dxa"/>
            <w:gridSpan w:val="3"/>
            <w:tcBorders>
              <w:top w:val="single" w:sz="4" w:space="0" w:color="000000"/>
              <w:left w:val="single" w:sz="4" w:space="0" w:color="000000"/>
            </w:tcBorders>
            <w:shd w:fill="004C97" w:val="clear"/>
            <w:tcMar>
              <w:top w:w="30" w:type="dxa"/>
              <w:bottom w:w="0" w:type="dxa"/>
              <w:right w:w="0" w:type="dxa"/>
            </w:tcMar>
            <w:vAlign w:val="center"/>
          </w:tcPr>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Death</w:t>
            </w:r>
          </w:p>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Pre-retirement ($)</w:t>
            </w:r>
          </w:p>
        </w:tc>
        <w:tc>
          <w:tcPr>
            <w:tcW w:w="2101" w:type="dxa"/>
            <w:gridSpan w:val="3"/>
            <w:tcBorders>
              <w:top w:val="single" w:sz="4" w:space="0" w:color="000000"/>
              <w:left w:val="single" w:sz="4" w:space="0" w:color="000000"/>
            </w:tcBorders>
            <w:shd w:fill="004C97" w:val="clear"/>
            <w:tcMar>
              <w:top w:w="30" w:type="dxa"/>
              <w:bottom w:w="0" w:type="dxa"/>
              <w:right w:w="0" w:type="dxa"/>
            </w:tcMar>
            <w:vAlign w:val="center"/>
          </w:tcPr>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Involuntary Without Cause/ Voluntary Resignation for Good Reason ($)</w:t>
            </w:r>
          </w:p>
        </w:tc>
        <w:tc>
          <w:tcPr>
            <w:tcW w:w="1621" w:type="dxa"/>
            <w:gridSpan w:val="3"/>
            <w:tcBorders>
              <w:top w:val="single" w:sz="4" w:space="0" w:color="000000"/>
              <w:left w:val="single" w:sz="4" w:space="0" w:color="000000"/>
              <w:right w:val="single" w:sz="4" w:space="0" w:color="000000"/>
            </w:tcBorders>
            <w:shd w:fill="004C97" w:val="clear"/>
            <w:tcMar>
              <w:top w:w="30" w:type="dxa"/>
              <w:bottom w:w="0" w:type="dxa"/>
            </w:tcMar>
            <w:vAlign w:val="center"/>
          </w:tcPr>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Termination Following Change in Control ($)</w:t>
            </w:r>
          </w:p>
        </w:tc>
      </w:tr>
      <w:tr>
        <w:trPr/>
        <w:tc>
          <w:tcPr>
            <w:tcW w:w="1343" w:type="dxa"/>
            <w:gridSpan w:val="3"/>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Salary</w:t>
            </w:r>
          </w:p>
        </w:tc>
        <w:tc>
          <w:tcPr>
            <w:tcW w:w="1291" w:type="dxa"/>
            <w:gridSpan w:val="2"/>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37" w:type="dxa"/>
            <w:tcBorders>
              <w:top w:val="single" w:sz="4" w:space="0" w:color="000000"/>
            </w:tcBorders>
            <w:shd w:fill="E6E7E8"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3"/>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0"/>
              <w:jc w:val="left"/>
              <w:rPr>
                <w:color w:val="000000"/>
              </w:rPr>
            </w:pPr>
            <w:r>
              <w:rPr>
                <w:color w:val="000000"/>
              </w:rPr>
              <w:t>                     —</w:t>
            </w:r>
          </w:p>
        </w:tc>
        <w:tc>
          <w:tcPr>
            <w:tcW w:w="1606" w:type="dxa"/>
            <w:gridSpan w:val="3"/>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0"/>
              <w:jc w:val="left"/>
              <w:rPr>
                <w:color w:val="000000"/>
              </w:rPr>
            </w:pPr>
            <w:r>
              <w:rPr>
                <w:color w:val="000000"/>
              </w:rPr>
              <w:t>                     —</w:t>
            </w:r>
          </w:p>
        </w:tc>
        <w:tc>
          <w:tcPr>
            <w:tcW w:w="2101" w:type="dxa"/>
            <w:gridSpan w:val="3"/>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0"/>
              <w:jc w:val="right"/>
              <w:rPr/>
            </w:pPr>
            <w:r>
              <w:rPr>
                <w:rFonts w:ascii="Arial;sans-serif" w:hAnsi="Arial;sans-serif"/>
                <w:b w:val="false"/>
                <w:color w:val="000000"/>
                <w:sz w:val="16"/>
              </w:rPr>
              <w:t xml:space="preserve">2,070,000 </w:t>
            </w:r>
            <w:r>
              <w:rPr>
                <w:rFonts w:ascii="Arial;sans-serif" w:hAnsi="Arial;sans-serif"/>
                <w:b w:val="false"/>
                <w:color w:val="000000"/>
                <w:sz w:val="10"/>
              </w:rPr>
              <w:t>(1)</w:t>
            </w:r>
          </w:p>
        </w:tc>
        <w:tc>
          <w:tcPr>
            <w:tcW w:w="1621" w:type="dxa"/>
            <w:gridSpan w:val="3"/>
            <w:tcBorders>
              <w:top w:val="single" w:sz="4" w:space="0" w:color="000000"/>
              <w:left w:val="single" w:sz="4" w:space="0" w:color="000000"/>
              <w:right w:val="single" w:sz="4" w:space="0" w:color="000000"/>
            </w:tcBorders>
            <w:shd w:fill="E6E7E8" w:val="clear"/>
            <w:tcMar>
              <w:top w:w="30" w:type="dxa"/>
              <w:bottom w:w="0" w:type="dxa"/>
            </w:tcMar>
            <w:vAlign w:val="center"/>
          </w:tcPr>
          <w:p>
            <w:pPr>
              <w:pStyle w:val="TableContents"/>
              <w:bidi w:val="0"/>
              <w:spacing w:lineRule="auto" w:line="288" w:before="0" w:after="0"/>
              <w:jc w:val="right"/>
              <w:rPr/>
            </w:pPr>
            <w:r>
              <w:rPr>
                <w:rFonts w:ascii="Arial;sans-serif" w:hAnsi="Arial;sans-serif"/>
                <w:b w:val="false"/>
                <w:color w:val="000000"/>
                <w:sz w:val="16"/>
              </w:rPr>
              <w:t xml:space="preserve">3,105,000 </w:t>
            </w:r>
            <w:r>
              <w:rPr>
                <w:rFonts w:ascii="Arial;sans-serif" w:hAnsi="Arial;sans-serif"/>
                <w:b w:val="false"/>
                <w:color w:val="000000"/>
                <w:sz w:val="10"/>
              </w:rPr>
              <w:t>(2)</w:t>
            </w:r>
          </w:p>
        </w:tc>
      </w:tr>
      <w:tr>
        <w:trPr/>
        <w:tc>
          <w:tcPr>
            <w:tcW w:w="134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Bonus</w:t>
            </w:r>
          </w:p>
        </w:tc>
        <w:tc>
          <w:tcPr>
            <w:tcW w:w="1291" w:type="dxa"/>
            <w:gridSpan w:val="2"/>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37"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right"/>
              <w:rPr/>
            </w:pPr>
            <w:r>
              <w:rPr>
                <w:rFonts w:ascii="Arial;sans-serif" w:hAnsi="Arial;sans-serif"/>
                <w:b w:val="false"/>
                <w:color w:val="000000"/>
                <w:sz w:val="16"/>
              </w:rPr>
              <w:t xml:space="preserve">1,138,500 </w:t>
            </w:r>
            <w:r>
              <w:rPr>
                <w:rFonts w:ascii="Arial;sans-serif" w:hAnsi="Arial;sans-serif"/>
                <w:b w:val="false"/>
                <w:color w:val="000000"/>
                <w:sz w:val="10"/>
              </w:rPr>
              <w:t>(3)</w:t>
            </w:r>
          </w:p>
        </w:tc>
        <w:tc>
          <w:tcPr>
            <w:tcW w:w="160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right"/>
              <w:rPr/>
            </w:pPr>
            <w:r>
              <w:rPr>
                <w:rFonts w:ascii="Arial;sans-serif" w:hAnsi="Arial;sans-serif"/>
                <w:b w:val="false"/>
                <w:color w:val="000000"/>
                <w:sz w:val="16"/>
              </w:rPr>
              <w:t xml:space="preserve">1,138,500 </w:t>
            </w:r>
            <w:r>
              <w:rPr>
                <w:rFonts w:ascii="Arial;sans-serif" w:hAnsi="Arial;sans-serif"/>
                <w:b w:val="false"/>
                <w:color w:val="000000"/>
                <w:sz w:val="10"/>
              </w:rPr>
              <w:t>(3)</w:t>
            </w:r>
          </w:p>
        </w:tc>
        <w:tc>
          <w:tcPr>
            <w:tcW w:w="210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right"/>
              <w:rPr/>
            </w:pPr>
            <w:r>
              <w:rPr>
                <w:rFonts w:ascii="Arial;sans-serif" w:hAnsi="Arial;sans-serif"/>
                <w:b w:val="false"/>
                <w:color w:val="000000"/>
                <w:sz w:val="16"/>
              </w:rPr>
              <w:t xml:space="preserve">4,554,000 </w:t>
            </w:r>
            <w:r>
              <w:rPr>
                <w:rFonts w:ascii="Arial;sans-serif" w:hAnsi="Arial;sans-serif"/>
                <w:b w:val="false"/>
                <w:color w:val="000000"/>
                <w:sz w:val="10"/>
              </w:rPr>
              <w:t>(4)</w:t>
            </w:r>
          </w:p>
        </w:tc>
        <w:tc>
          <w:tcPr>
            <w:tcW w:w="1621"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right"/>
              <w:rPr/>
            </w:pPr>
            <w:r>
              <w:rPr>
                <w:rFonts w:ascii="Arial;sans-serif" w:hAnsi="Arial;sans-serif"/>
                <w:b w:val="false"/>
                <w:color w:val="000000"/>
                <w:sz w:val="16"/>
              </w:rPr>
              <w:t xml:space="preserve">6,831,000 </w:t>
            </w:r>
            <w:r>
              <w:rPr>
                <w:rFonts w:ascii="Arial;sans-serif" w:hAnsi="Arial;sans-serif"/>
                <w:b w:val="false"/>
                <w:color w:val="000000"/>
                <w:sz w:val="10"/>
              </w:rPr>
              <w:t>(5)</w:t>
            </w:r>
          </w:p>
        </w:tc>
      </w:tr>
      <w:tr>
        <w:trPr/>
        <w:tc>
          <w:tcPr>
            <w:tcW w:w="1343" w:type="dxa"/>
            <w:gridSpan w:val="3"/>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Value of Accelerated Equity</w:t>
            </w:r>
          </w:p>
        </w:tc>
        <w:tc>
          <w:tcPr>
            <w:tcW w:w="1291" w:type="dxa"/>
            <w:gridSpan w:val="2"/>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37" w:type="dxa"/>
            <w:tcBorders>
              <w:top w:val="single" w:sz="4" w:space="0" w:color="000000"/>
            </w:tcBorders>
            <w:shd w:fill="E6E7E8"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3"/>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0"/>
              <w:jc w:val="right"/>
              <w:rPr/>
            </w:pPr>
            <w:r>
              <w:rPr>
                <w:rFonts w:ascii="Arial;sans-serif" w:hAnsi="Arial;sans-serif"/>
                <w:b w:val="false"/>
                <w:color w:val="000000"/>
                <w:sz w:val="16"/>
              </w:rPr>
              <w:t xml:space="preserve">17,261,429 </w:t>
            </w:r>
            <w:r>
              <w:rPr>
                <w:rFonts w:ascii="Arial;sans-serif" w:hAnsi="Arial;sans-serif"/>
                <w:b w:val="false"/>
                <w:color w:val="000000"/>
                <w:sz w:val="10"/>
              </w:rPr>
              <w:t>(6)</w:t>
            </w:r>
          </w:p>
        </w:tc>
        <w:tc>
          <w:tcPr>
            <w:tcW w:w="1606" w:type="dxa"/>
            <w:gridSpan w:val="3"/>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0"/>
              <w:jc w:val="right"/>
              <w:rPr/>
            </w:pPr>
            <w:r>
              <w:rPr>
                <w:rFonts w:ascii="Arial;sans-serif" w:hAnsi="Arial;sans-serif"/>
                <w:b w:val="false"/>
                <w:color w:val="000000"/>
                <w:sz w:val="16"/>
              </w:rPr>
              <w:t xml:space="preserve">17,261,429 </w:t>
            </w:r>
            <w:r>
              <w:rPr>
                <w:rFonts w:ascii="Arial;sans-serif" w:hAnsi="Arial;sans-serif"/>
                <w:b w:val="false"/>
                <w:color w:val="000000"/>
                <w:sz w:val="10"/>
              </w:rPr>
              <w:t>(6)</w:t>
            </w:r>
          </w:p>
        </w:tc>
        <w:tc>
          <w:tcPr>
            <w:tcW w:w="2101" w:type="dxa"/>
            <w:gridSpan w:val="3"/>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0"/>
              <w:jc w:val="right"/>
              <w:rPr/>
            </w:pPr>
            <w:r>
              <w:rPr>
                <w:rFonts w:ascii="Arial;sans-serif" w:hAnsi="Arial;sans-serif"/>
                <w:b w:val="false"/>
                <w:color w:val="000000"/>
                <w:sz w:val="16"/>
              </w:rPr>
              <w:t xml:space="preserve">13,488,886 </w:t>
            </w:r>
            <w:r>
              <w:rPr>
                <w:rFonts w:ascii="Arial;sans-serif" w:hAnsi="Arial;sans-serif"/>
                <w:b w:val="false"/>
                <w:color w:val="000000"/>
                <w:sz w:val="10"/>
              </w:rPr>
              <w:t>(7)</w:t>
            </w:r>
          </w:p>
        </w:tc>
        <w:tc>
          <w:tcPr>
            <w:tcW w:w="1621" w:type="dxa"/>
            <w:gridSpan w:val="3"/>
            <w:tcBorders>
              <w:top w:val="single" w:sz="4" w:space="0" w:color="000000"/>
              <w:left w:val="single" w:sz="4" w:space="0" w:color="000000"/>
              <w:right w:val="single" w:sz="4" w:space="0" w:color="000000"/>
            </w:tcBorders>
            <w:shd w:fill="E6E7E8" w:val="clear"/>
            <w:tcMar>
              <w:top w:w="30" w:type="dxa"/>
              <w:bottom w:w="0" w:type="dxa"/>
            </w:tcMar>
            <w:vAlign w:val="center"/>
          </w:tcPr>
          <w:p>
            <w:pPr>
              <w:pStyle w:val="TableContents"/>
              <w:bidi w:val="0"/>
              <w:spacing w:lineRule="auto" w:line="288" w:before="0" w:after="0"/>
              <w:jc w:val="right"/>
              <w:rPr/>
            </w:pPr>
            <w:r>
              <w:rPr>
                <w:rFonts w:ascii="Arial;sans-serif" w:hAnsi="Arial;sans-serif"/>
                <w:b w:val="false"/>
                <w:color w:val="000000"/>
                <w:sz w:val="16"/>
              </w:rPr>
              <w:t xml:space="preserve">17,261,429 </w:t>
            </w:r>
            <w:r>
              <w:rPr>
                <w:rFonts w:ascii="Arial;sans-serif" w:hAnsi="Arial;sans-serif"/>
                <w:b w:val="false"/>
                <w:color w:val="000000"/>
                <w:sz w:val="10"/>
              </w:rPr>
              <w:t>(6)</w:t>
            </w:r>
          </w:p>
        </w:tc>
      </w:tr>
      <w:tr>
        <w:trPr/>
        <w:tc>
          <w:tcPr>
            <w:tcW w:w="134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All Other Compensation</w:t>
            </w:r>
          </w:p>
        </w:tc>
        <w:tc>
          <w:tcPr>
            <w:tcW w:w="1291" w:type="dxa"/>
            <w:gridSpan w:val="2"/>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134,615 </w:t>
            </w:r>
          </w:p>
        </w:tc>
        <w:tc>
          <w:tcPr>
            <w:tcW w:w="637"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right"/>
              <w:rPr/>
            </w:pPr>
            <w:r>
              <w:rPr>
                <w:rFonts w:ascii="Arial;sans-serif" w:hAnsi="Arial;sans-serif"/>
                <w:b w:val="false"/>
                <w:color w:val="000000"/>
                <w:sz w:val="16"/>
              </w:rPr>
              <w:t xml:space="preserve">135,615 </w:t>
            </w:r>
            <w:r>
              <w:rPr>
                <w:rFonts w:ascii="Arial;sans-serif" w:hAnsi="Arial;sans-serif"/>
                <w:b w:val="false"/>
                <w:color w:val="000000"/>
                <w:sz w:val="10"/>
              </w:rPr>
              <w:t>(8)</w:t>
            </w:r>
          </w:p>
        </w:tc>
        <w:tc>
          <w:tcPr>
            <w:tcW w:w="160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right"/>
              <w:rPr/>
            </w:pPr>
            <w:r>
              <w:rPr>
                <w:rFonts w:ascii="Arial;sans-serif" w:hAnsi="Arial;sans-serif"/>
                <w:b w:val="false"/>
                <w:color w:val="000000"/>
                <w:sz w:val="16"/>
              </w:rPr>
              <w:t xml:space="preserve">134,615 </w:t>
            </w:r>
            <w:r>
              <w:rPr>
                <w:rFonts w:ascii="Arial;sans-serif" w:hAnsi="Arial;sans-serif"/>
                <w:b w:val="false"/>
                <w:color w:val="000000"/>
                <w:sz w:val="10"/>
              </w:rPr>
              <w:t>(8)</w:t>
            </w:r>
          </w:p>
        </w:tc>
        <w:tc>
          <w:tcPr>
            <w:tcW w:w="210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right"/>
              <w:rPr/>
            </w:pPr>
            <w:r>
              <w:rPr>
                <w:rFonts w:ascii="Arial;sans-serif" w:hAnsi="Arial;sans-serif"/>
                <w:b w:val="false"/>
                <w:color w:val="000000"/>
                <w:sz w:val="16"/>
              </w:rPr>
              <w:t xml:space="preserve">271,556 </w:t>
            </w:r>
            <w:r>
              <w:rPr>
                <w:rFonts w:ascii="Arial;sans-serif" w:hAnsi="Arial;sans-serif"/>
                <w:b w:val="false"/>
                <w:color w:val="000000"/>
                <w:sz w:val="10"/>
              </w:rPr>
              <w:t>(9)</w:t>
            </w:r>
          </w:p>
        </w:tc>
        <w:tc>
          <w:tcPr>
            <w:tcW w:w="1621"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right"/>
              <w:rPr/>
            </w:pPr>
            <w:r>
              <w:rPr>
                <w:rFonts w:ascii="Arial;sans-serif" w:hAnsi="Arial;sans-serif"/>
                <w:b w:val="false"/>
                <w:color w:val="000000"/>
                <w:sz w:val="16"/>
              </w:rPr>
              <w:t xml:space="preserve">315,027 </w:t>
            </w:r>
            <w:r>
              <w:rPr>
                <w:rFonts w:ascii="Arial;sans-serif" w:hAnsi="Arial;sans-serif"/>
                <w:b w:val="false"/>
                <w:color w:val="000000"/>
                <w:sz w:val="10"/>
              </w:rPr>
              <w:t>(10)</w:t>
            </w:r>
          </w:p>
        </w:tc>
      </w:tr>
      <w:tr>
        <w:trPr/>
        <w:tc>
          <w:tcPr>
            <w:tcW w:w="1343" w:type="dxa"/>
            <w:gridSpan w:val="3"/>
            <w:tcBorders>
              <w:top w:val="single" w:sz="4" w:space="0" w:color="000000"/>
              <w:left w:val="single" w:sz="4" w:space="0" w:color="000000"/>
              <w:bottom w:val="single" w:sz="4" w:space="0" w:color="000000"/>
            </w:tcBorders>
            <w:shd w:fill="E6E7E8" w:val="clear"/>
            <w:tcMar>
              <w:top w:w="30" w:type="dxa"/>
              <w:bottom w:w="3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Total</w:t>
            </w:r>
          </w:p>
        </w:tc>
        <w:tc>
          <w:tcPr>
            <w:tcW w:w="1291" w:type="dxa"/>
            <w:gridSpan w:val="2"/>
            <w:tcBorders>
              <w:top w:val="single" w:sz="4" w:space="0" w:color="000000"/>
              <w:left w:val="single" w:sz="4" w:space="0" w:color="000000"/>
              <w:bottom w:val="single" w:sz="4" w:space="0" w:color="000000"/>
            </w:tcBorders>
            <w:shd w:fill="E6E7E8" w:val="clear"/>
            <w:tcMar>
              <w:top w:w="3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134,615 </w:t>
            </w:r>
          </w:p>
        </w:tc>
        <w:tc>
          <w:tcPr>
            <w:tcW w:w="637" w:type="dxa"/>
            <w:tcBorders>
              <w:top w:val="single" w:sz="4" w:space="0" w:color="000000"/>
              <w:bottom w:val="single" w:sz="4" w:space="0" w:color="000000"/>
            </w:tcBorders>
            <w:shd w:fill="E6E7E8"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606" w:type="dxa"/>
            <w:gridSpan w:val="3"/>
            <w:tcBorders>
              <w:top w:val="single" w:sz="4" w:space="0" w:color="000000"/>
              <w:left w:val="single" w:sz="4" w:space="0" w:color="000000"/>
              <w:bottom w:val="single" w:sz="4" w:space="0" w:color="000000"/>
            </w:tcBorders>
            <w:shd w:fill="E6E7E8" w:val="clear"/>
            <w:tcMar>
              <w:top w:w="30" w:type="dxa"/>
              <w:bottom w:w="30" w:type="dxa"/>
              <w:right w:w="0" w:type="dxa"/>
            </w:tcMar>
            <w:vAlign w:val="center"/>
          </w:tcPr>
          <w:p>
            <w:pPr>
              <w:pStyle w:val="TableContents"/>
              <w:bidi w:val="0"/>
              <w:spacing w:lineRule="auto" w:line="288" w:before="0" w:after="283"/>
              <w:jc w:val="center"/>
              <w:rPr>
                <w:color w:val="000000"/>
              </w:rPr>
            </w:pPr>
            <w:r>
              <w:rPr>
                <w:color w:val="000000"/>
              </w:rPr>
              <w:t>  </w:t>
            </w:r>
            <w:r>
              <w:rPr>
                <w:rFonts w:ascii="Arial;sans-serif" w:hAnsi="Arial;sans-serif"/>
                <w:b w:val="false"/>
                <w:color w:val="000000"/>
                <w:sz w:val="16"/>
              </w:rPr>
              <w:t>18,534,544</w:t>
            </w:r>
          </w:p>
        </w:tc>
        <w:tc>
          <w:tcPr>
            <w:tcW w:w="1606" w:type="dxa"/>
            <w:gridSpan w:val="3"/>
            <w:tcBorders>
              <w:top w:val="single" w:sz="4" w:space="0" w:color="000000"/>
              <w:left w:val="single" w:sz="4" w:space="0" w:color="000000"/>
              <w:bottom w:val="single" w:sz="4" w:space="0" w:color="000000"/>
            </w:tcBorders>
            <w:shd w:fill="E6E7E8" w:val="clear"/>
            <w:tcMar>
              <w:top w:w="30" w:type="dxa"/>
              <w:bottom w:w="30" w:type="dxa"/>
              <w:right w:w="0" w:type="dxa"/>
            </w:tcMar>
            <w:vAlign w:val="center"/>
          </w:tcPr>
          <w:p>
            <w:pPr>
              <w:pStyle w:val="TableContents"/>
              <w:bidi w:val="0"/>
              <w:spacing w:lineRule="auto" w:line="288" w:before="0" w:after="0"/>
              <w:jc w:val="center"/>
              <w:rPr>
                <w:color w:val="000000"/>
              </w:rPr>
            </w:pPr>
            <w:r>
              <w:rPr>
                <w:color w:val="000000"/>
              </w:rPr>
              <w:t> </w:t>
            </w:r>
            <w:r>
              <w:rPr>
                <w:rFonts w:ascii="Arial;sans-serif" w:hAnsi="Arial;sans-serif"/>
                <w:b w:val="false"/>
                <w:color w:val="000000"/>
                <w:sz w:val="16"/>
              </w:rPr>
              <w:t>18,534,544</w:t>
            </w:r>
          </w:p>
        </w:tc>
        <w:tc>
          <w:tcPr>
            <w:tcW w:w="2101" w:type="dxa"/>
            <w:gridSpan w:val="3"/>
            <w:tcBorders>
              <w:top w:val="single" w:sz="4" w:space="0" w:color="000000"/>
              <w:left w:val="single" w:sz="4" w:space="0" w:color="000000"/>
              <w:bottom w:val="single" w:sz="4" w:space="0" w:color="000000"/>
            </w:tcBorders>
            <w:shd w:fill="E6E7E8" w:val="clear"/>
            <w:tcMar>
              <w:top w:w="30" w:type="dxa"/>
              <w:bottom w:w="30" w:type="dxa"/>
              <w:right w:w="0" w:type="dxa"/>
            </w:tcMar>
            <w:vAlign w:val="center"/>
          </w:tcPr>
          <w:p>
            <w:pPr>
              <w:pStyle w:val="TableContents"/>
              <w:bidi w:val="0"/>
              <w:spacing w:lineRule="auto" w:line="288" w:before="0" w:after="0"/>
              <w:jc w:val="center"/>
              <w:rPr>
                <w:color w:val="000000"/>
              </w:rPr>
            </w:pPr>
            <w:r>
              <w:rPr>
                <w:color w:val="000000"/>
              </w:rPr>
              <w:t>      </w:t>
            </w:r>
            <w:r>
              <w:rPr>
                <w:rFonts w:ascii="Arial;sans-serif" w:hAnsi="Arial;sans-serif"/>
                <w:b w:val="false"/>
                <w:color w:val="000000"/>
                <w:sz w:val="16"/>
              </w:rPr>
              <w:t xml:space="preserve">20,384,422 </w:t>
            </w:r>
          </w:p>
        </w:tc>
        <w:tc>
          <w:tcPr>
            <w:tcW w:w="1621" w:type="dxa"/>
            <w:gridSpan w:val="3"/>
            <w:tcBorders>
              <w:top w:val="single" w:sz="4" w:space="0" w:color="000000"/>
              <w:left w:val="single" w:sz="4" w:space="0" w:color="000000"/>
              <w:bottom w:val="single" w:sz="4" w:space="0" w:color="000000"/>
              <w:right w:val="single" w:sz="4" w:space="0" w:color="000000"/>
            </w:tcBorders>
            <w:shd w:fill="E6E7E8" w:val="clear"/>
            <w:tcMar>
              <w:top w:w="30" w:type="dxa"/>
              <w:bottom w:w="30" w:type="dxa"/>
            </w:tcMar>
            <w:vAlign w:val="center"/>
          </w:tcPr>
          <w:p>
            <w:pPr>
              <w:pStyle w:val="TableContents"/>
              <w:bidi w:val="0"/>
              <w:spacing w:lineRule="auto" w:line="288" w:before="0" w:after="0"/>
              <w:jc w:val="center"/>
              <w:rPr>
                <w:color w:val="000000"/>
              </w:rPr>
            </w:pPr>
            <w:r>
              <w:rPr>
                <w:color w:val="000000"/>
              </w:rPr>
              <w:t>   </w:t>
            </w:r>
            <w:r>
              <w:rPr>
                <w:rFonts w:ascii="Arial;sans-serif" w:hAnsi="Arial;sans-serif"/>
                <w:b w:val="false"/>
                <w:color w:val="000000"/>
                <w:sz w:val="16"/>
              </w:rPr>
              <w:t>27,512,456</w:t>
            </w:r>
          </w:p>
        </w:tc>
      </w:tr>
    </w:tbl>
    <w:tbl>
      <w:tblPr>
        <w:tblW w:w="10205" w:type="dxa"/>
        <w:jc w:val="left"/>
        <w:tblInd w:w="0" w:type="dxa"/>
        <w:tblLayout w:type="fixed"/>
        <w:tblCellMar>
          <w:top w:w="28" w:type="dxa"/>
          <w:left w:w="28" w:type="dxa"/>
          <w:bottom w:w="28" w:type="dxa"/>
          <w:right w:w="28" w:type="dxa"/>
        </w:tblCellMar>
      </w:tblPr>
      <w:tblGrid>
        <w:gridCol w:w="678"/>
        <w:gridCol w:w="368"/>
        <w:gridCol w:w="311"/>
        <w:gridCol w:w="655"/>
        <w:gridCol w:w="655"/>
        <w:gridCol w:w="657"/>
        <w:gridCol w:w="534"/>
        <w:gridCol w:w="534"/>
        <w:gridCol w:w="538"/>
        <w:gridCol w:w="534"/>
        <w:gridCol w:w="534"/>
        <w:gridCol w:w="538"/>
        <w:gridCol w:w="711"/>
        <w:gridCol w:w="663"/>
        <w:gridCol w:w="665"/>
        <w:gridCol w:w="475"/>
        <w:gridCol w:w="475"/>
        <w:gridCol w:w="680"/>
      </w:tblGrid>
      <w:tr>
        <w:trPr/>
        <w:tc>
          <w:tcPr>
            <w:tcW w:w="67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r>
      <w:tr>
        <w:trPr/>
        <w:tc>
          <w:tcPr>
            <w:tcW w:w="1357" w:type="dxa"/>
            <w:gridSpan w:val="3"/>
            <w:tcBorders>
              <w:top w:val="single" w:sz="4" w:space="0" w:color="000000"/>
              <w:left w:val="single" w:sz="4" w:space="0" w:color="000000"/>
            </w:tcBorders>
            <w:shd w:fill="004C97" w:val="clear"/>
            <w:tcMar>
              <w:top w:w="30" w:type="dxa"/>
              <w:bottom w:w="0" w:type="dxa"/>
              <w:right w:w="0" w:type="dxa"/>
            </w:tcMar>
            <w:vAlign w:val="center"/>
          </w:tcPr>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Mark A. Carano</w:t>
            </w:r>
          </w:p>
        </w:tc>
        <w:tc>
          <w:tcPr>
            <w:tcW w:w="1967" w:type="dxa"/>
            <w:gridSpan w:val="3"/>
            <w:tcBorders>
              <w:top w:val="single" w:sz="4" w:space="0" w:color="000000"/>
              <w:left w:val="single" w:sz="4" w:space="0" w:color="000000"/>
            </w:tcBorders>
            <w:shd w:fill="004C97" w:val="clear"/>
            <w:tcMar>
              <w:top w:w="30" w:type="dxa"/>
              <w:bottom w:w="0" w:type="dxa"/>
              <w:right w:w="0" w:type="dxa"/>
            </w:tcMar>
            <w:vAlign w:val="center"/>
          </w:tcPr>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(a) Voluntary Resignation or (b) Involuntary Termination for Cause ($)</w:t>
            </w:r>
          </w:p>
        </w:tc>
        <w:tc>
          <w:tcPr>
            <w:tcW w:w="1606" w:type="dxa"/>
            <w:gridSpan w:val="3"/>
            <w:tcBorders>
              <w:top w:val="single" w:sz="4" w:space="0" w:color="000000"/>
              <w:left w:val="single" w:sz="4" w:space="0" w:color="000000"/>
            </w:tcBorders>
            <w:shd w:fill="004C97" w:val="clear"/>
            <w:tcMar>
              <w:top w:w="30" w:type="dxa"/>
              <w:bottom w:w="0" w:type="dxa"/>
              <w:right w:w="0" w:type="dxa"/>
            </w:tcMar>
            <w:vAlign w:val="center"/>
          </w:tcPr>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Disability ($)</w:t>
            </w:r>
          </w:p>
        </w:tc>
        <w:tc>
          <w:tcPr>
            <w:tcW w:w="1606" w:type="dxa"/>
            <w:gridSpan w:val="3"/>
            <w:tcBorders>
              <w:top w:val="single" w:sz="4" w:space="0" w:color="000000"/>
              <w:left w:val="single" w:sz="4" w:space="0" w:color="000000"/>
            </w:tcBorders>
            <w:shd w:fill="004C97" w:val="clear"/>
            <w:tcMar>
              <w:top w:w="30" w:type="dxa"/>
              <w:bottom w:w="0" w:type="dxa"/>
              <w:right w:w="0" w:type="dxa"/>
            </w:tcMar>
            <w:vAlign w:val="center"/>
          </w:tcPr>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Death</w:t>
            </w:r>
          </w:p>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Pre-retirement ($)</w:t>
            </w:r>
          </w:p>
        </w:tc>
        <w:tc>
          <w:tcPr>
            <w:tcW w:w="2039" w:type="dxa"/>
            <w:gridSpan w:val="3"/>
            <w:tcBorders>
              <w:top w:val="single" w:sz="4" w:space="0" w:color="000000"/>
              <w:left w:val="single" w:sz="4" w:space="0" w:color="000000"/>
            </w:tcBorders>
            <w:shd w:fill="004C97" w:val="clear"/>
            <w:tcMar>
              <w:top w:w="30" w:type="dxa"/>
              <w:bottom w:w="0" w:type="dxa"/>
              <w:right w:w="0" w:type="dxa"/>
            </w:tcMar>
            <w:vAlign w:val="center"/>
          </w:tcPr>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Involuntary Without Cause/ Voluntary Resignation for Good Reason ($)</w:t>
            </w:r>
          </w:p>
        </w:tc>
        <w:tc>
          <w:tcPr>
            <w:tcW w:w="1630" w:type="dxa"/>
            <w:gridSpan w:val="3"/>
            <w:tcBorders>
              <w:top w:val="single" w:sz="4" w:space="0" w:color="000000"/>
              <w:left w:val="single" w:sz="4" w:space="0" w:color="000000"/>
              <w:right w:val="single" w:sz="4" w:space="0" w:color="000000"/>
            </w:tcBorders>
            <w:shd w:fill="004C97" w:val="clear"/>
            <w:tcMar>
              <w:top w:w="30" w:type="dxa"/>
              <w:bottom w:w="0" w:type="dxa"/>
            </w:tcMar>
            <w:vAlign w:val="center"/>
          </w:tcPr>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Termination Following Change in Control ($)</w:t>
            </w:r>
          </w:p>
        </w:tc>
      </w:tr>
      <w:tr>
        <w:trPr/>
        <w:tc>
          <w:tcPr>
            <w:tcW w:w="1357" w:type="dxa"/>
            <w:gridSpan w:val="3"/>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Salary</w:t>
            </w:r>
          </w:p>
        </w:tc>
        <w:tc>
          <w:tcPr>
            <w:tcW w:w="1310" w:type="dxa"/>
            <w:gridSpan w:val="2"/>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57" w:type="dxa"/>
            <w:tcBorders>
              <w:top w:val="single" w:sz="4" w:space="0" w:color="000000"/>
            </w:tcBorders>
            <w:shd w:fill="E6E7E8"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3"/>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0"/>
              <w:jc w:val="left"/>
              <w:rPr>
                <w:color w:val="000000"/>
              </w:rPr>
            </w:pPr>
            <w:r>
              <w:rPr>
                <w:color w:val="000000"/>
              </w:rPr>
              <w:t>                     —</w:t>
            </w:r>
          </w:p>
        </w:tc>
        <w:tc>
          <w:tcPr>
            <w:tcW w:w="1606" w:type="dxa"/>
            <w:gridSpan w:val="3"/>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0"/>
              <w:jc w:val="left"/>
              <w:rPr>
                <w:color w:val="000000"/>
              </w:rPr>
            </w:pPr>
            <w:r>
              <w:rPr>
                <w:color w:val="000000"/>
              </w:rPr>
              <w:t>                     —</w:t>
            </w:r>
          </w:p>
        </w:tc>
        <w:tc>
          <w:tcPr>
            <w:tcW w:w="2039" w:type="dxa"/>
            <w:gridSpan w:val="3"/>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0"/>
              <w:jc w:val="right"/>
              <w:rPr/>
            </w:pPr>
            <w:r>
              <w:rPr>
                <w:rFonts w:ascii="Arial;sans-serif" w:hAnsi="Arial;sans-serif"/>
                <w:b w:val="false"/>
                <w:color w:val="000000"/>
                <w:sz w:val="16"/>
              </w:rPr>
              <w:t xml:space="preserve">500,000 </w:t>
            </w:r>
            <w:r>
              <w:rPr>
                <w:rFonts w:ascii="Arial;sans-serif" w:hAnsi="Arial;sans-serif"/>
                <w:b w:val="false"/>
                <w:color w:val="000000"/>
                <w:sz w:val="10"/>
              </w:rPr>
              <w:t>(11)</w:t>
            </w:r>
          </w:p>
        </w:tc>
        <w:tc>
          <w:tcPr>
            <w:tcW w:w="1630" w:type="dxa"/>
            <w:gridSpan w:val="3"/>
            <w:tcBorders>
              <w:top w:val="single" w:sz="4" w:space="0" w:color="000000"/>
              <w:left w:val="single" w:sz="4" w:space="0" w:color="000000"/>
              <w:right w:val="single" w:sz="4" w:space="0" w:color="000000"/>
            </w:tcBorders>
            <w:shd w:fill="E6E7E8" w:val="clear"/>
            <w:tcMar>
              <w:top w:w="30" w:type="dxa"/>
              <w:bottom w:w="0" w:type="dxa"/>
            </w:tcMar>
            <w:vAlign w:val="center"/>
          </w:tcPr>
          <w:p>
            <w:pPr>
              <w:pStyle w:val="TableContents"/>
              <w:bidi w:val="0"/>
              <w:spacing w:lineRule="auto" w:line="288" w:before="0" w:after="0"/>
              <w:jc w:val="right"/>
              <w:rPr/>
            </w:pPr>
            <w:r>
              <w:rPr>
                <w:rFonts w:ascii="Arial;sans-serif" w:hAnsi="Arial;sans-serif"/>
                <w:b w:val="false"/>
                <w:color w:val="000000"/>
                <w:sz w:val="16"/>
              </w:rPr>
              <w:t xml:space="preserve">1,000,000 </w:t>
            </w:r>
            <w:r>
              <w:rPr>
                <w:rFonts w:ascii="Arial;sans-serif" w:hAnsi="Arial;sans-serif"/>
                <w:b w:val="false"/>
                <w:color w:val="000000"/>
                <w:sz w:val="10"/>
              </w:rPr>
              <w:t>(1)</w:t>
            </w:r>
          </w:p>
        </w:tc>
      </w:tr>
      <w:tr>
        <w:trPr/>
        <w:tc>
          <w:tcPr>
            <w:tcW w:w="135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Bonus</w:t>
            </w:r>
          </w:p>
        </w:tc>
        <w:tc>
          <w:tcPr>
            <w:tcW w:w="1310" w:type="dxa"/>
            <w:gridSpan w:val="2"/>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57"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right"/>
              <w:rPr/>
            </w:pPr>
            <w:r>
              <w:rPr>
                <w:rFonts w:ascii="Arial;sans-serif" w:hAnsi="Arial;sans-serif"/>
                <w:b w:val="false"/>
                <w:color w:val="000000"/>
                <w:sz w:val="16"/>
              </w:rPr>
              <w:t xml:space="preserve">350,000 </w:t>
            </w:r>
            <w:r>
              <w:rPr>
                <w:rFonts w:ascii="Arial;sans-serif" w:hAnsi="Arial;sans-serif"/>
                <w:b w:val="false"/>
                <w:color w:val="000000"/>
                <w:sz w:val="10"/>
              </w:rPr>
              <w:t>(3)</w:t>
            </w:r>
          </w:p>
        </w:tc>
        <w:tc>
          <w:tcPr>
            <w:tcW w:w="160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right"/>
              <w:rPr/>
            </w:pPr>
            <w:r>
              <w:rPr>
                <w:rFonts w:ascii="Arial;sans-serif" w:hAnsi="Arial;sans-serif"/>
                <w:b w:val="false"/>
                <w:color w:val="000000"/>
                <w:sz w:val="16"/>
              </w:rPr>
              <w:t xml:space="preserve">350,000 </w:t>
            </w:r>
            <w:r>
              <w:rPr>
                <w:rFonts w:ascii="Arial;sans-serif" w:hAnsi="Arial;sans-serif"/>
                <w:b w:val="false"/>
                <w:color w:val="000000"/>
                <w:sz w:val="10"/>
              </w:rPr>
              <w:t>(3)</w:t>
            </w:r>
          </w:p>
        </w:tc>
        <w:tc>
          <w:tcPr>
            <w:tcW w:w="203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right"/>
              <w:rPr/>
            </w:pPr>
            <w:r>
              <w:rPr>
                <w:rFonts w:ascii="Arial;sans-serif" w:hAnsi="Arial;sans-serif"/>
                <w:b w:val="false"/>
                <w:color w:val="000000"/>
                <w:sz w:val="16"/>
              </w:rPr>
              <w:t xml:space="preserve">700,000 </w:t>
            </w:r>
            <w:r>
              <w:rPr>
                <w:rFonts w:ascii="Arial;sans-serif" w:hAnsi="Arial;sans-serif"/>
                <w:b w:val="false"/>
                <w:color w:val="000000"/>
                <w:sz w:val="10"/>
              </w:rPr>
              <w:t>(12)</w:t>
            </w:r>
          </w:p>
        </w:tc>
        <w:tc>
          <w:tcPr>
            <w:tcW w:w="163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right"/>
              <w:rPr/>
            </w:pPr>
            <w:r>
              <w:rPr>
                <w:rFonts w:ascii="Arial;sans-serif" w:hAnsi="Arial;sans-serif"/>
                <w:b w:val="false"/>
                <w:color w:val="000000"/>
                <w:sz w:val="16"/>
              </w:rPr>
              <w:t xml:space="preserve">1,400,000 </w:t>
            </w:r>
            <w:r>
              <w:rPr>
                <w:rFonts w:ascii="Arial;sans-serif" w:hAnsi="Arial;sans-serif"/>
                <w:b w:val="false"/>
                <w:color w:val="000000"/>
                <w:sz w:val="10"/>
              </w:rPr>
              <w:t>(4)</w:t>
            </w:r>
          </w:p>
        </w:tc>
      </w:tr>
      <w:tr>
        <w:trPr/>
        <w:tc>
          <w:tcPr>
            <w:tcW w:w="1357" w:type="dxa"/>
            <w:gridSpan w:val="3"/>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Value of Accelerated Equity</w:t>
            </w:r>
          </w:p>
        </w:tc>
        <w:tc>
          <w:tcPr>
            <w:tcW w:w="1310" w:type="dxa"/>
            <w:gridSpan w:val="2"/>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57" w:type="dxa"/>
            <w:tcBorders>
              <w:top w:val="single" w:sz="4" w:space="0" w:color="000000"/>
            </w:tcBorders>
            <w:shd w:fill="E6E7E8"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3"/>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0"/>
              <w:jc w:val="right"/>
              <w:rPr/>
            </w:pPr>
            <w:r>
              <w:rPr>
                <w:rFonts w:ascii="Arial;sans-serif" w:hAnsi="Arial;sans-serif"/>
                <w:b w:val="false"/>
                <w:color w:val="000000"/>
                <w:sz w:val="16"/>
              </w:rPr>
              <w:t xml:space="preserve">1,841,248 </w:t>
            </w:r>
            <w:r>
              <w:rPr>
                <w:rFonts w:ascii="Arial;sans-serif" w:hAnsi="Arial;sans-serif"/>
                <w:b w:val="false"/>
                <w:color w:val="000000"/>
                <w:sz w:val="10"/>
              </w:rPr>
              <w:t>(6)</w:t>
            </w:r>
          </w:p>
        </w:tc>
        <w:tc>
          <w:tcPr>
            <w:tcW w:w="1606" w:type="dxa"/>
            <w:gridSpan w:val="3"/>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0"/>
              <w:jc w:val="right"/>
              <w:rPr/>
            </w:pPr>
            <w:r>
              <w:rPr>
                <w:rFonts w:ascii="Arial;sans-serif" w:hAnsi="Arial;sans-serif"/>
                <w:b w:val="false"/>
                <w:color w:val="000000"/>
                <w:sz w:val="16"/>
              </w:rPr>
              <w:t xml:space="preserve">1,841,248 </w:t>
            </w:r>
            <w:r>
              <w:rPr>
                <w:rFonts w:ascii="Arial;sans-serif" w:hAnsi="Arial;sans-serif"/>
                <w:b w:val="false"/>
                <w:color w:val="000000"/>
                <w:sz w:val="10"/>
              </w:rPr>
              <w:t>(6)</w:t>
            </w:r>
          </w:p>
        </w:tc>
        <w:tc>
          <w:tcPr>
            <w:tcW w:w="2039" w:type="dxa"/>
            <w:gridSpan w:val="3"/>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0"/>
              <w:jc w:val="right"/>
              <w:rPr/>
            </w:pPr>
            <w:r>
              <w:rPr>
                <w:rFonts w:ascii="Arial;sans-serif" w:hAnsi="Arial;sans-serif"/>
                <w:b w:val="false"/>
                <w:color w:val="000000"/>
                <w:sz w:val="16"/>
              </w:rPr>
              <w:t xml:space="preserve">53,827 </w:t>
            </w:r>
            <w:r>
              <w:rPr>
                <w:rFonts w:ascii="Arial;sans-serif" w:hAnsi="Arial;sans-serif"/>
                <w:b w:val="false"/>
                <w:color w:val="000000"/>
                <w:sz w:val="10"/>
              </w:rPr>
              <w:t xml:space="preserve">(7) </w:t>
            </w:r>
          </w:p>
        </w:tc>
        <w:tc>
          <w:tcPr>
            <w:tcW w:w="1630" w:type="dxa"/>
            <w:gridSpan w:val="3"/>
            <w:tcBorders>
              <w:top w:val="single" w:sz="4" w:space="0" w:color="000000"/>
              <w:left w:val="single" w:sz="4" w:space="0" w:color="000000"/>
              <w:right w:val="single" w:sz="4" w:space="0" w:color="000000"/>
            </w:tcBorders>
            <w:shd w:fill="E6E7E8" w:val="clear"/>
            <w:tcMar>
              <w:top w:w="30" w:type="dxa"/>
              <w:bottom w:w="0" w:type="dxa"/>
            </w:tcMar>
            <w:vAlign w:val="center"/>
          </w:tcPr>
          <w:p>
            <w:pPr>
              <w:pStyle w:val="TableContents"/>
              <w:bidi w:val="0"/>
              <w:spacing w:lineRule="auto" w:line="288" w:before="0" w:after="0"/>
              <w:jc w:val="right"/>
              <w:rPr/>
            </w:pPr>
            <w:r>
              <w:rPr>
                <w:rFonts w:ascii="Arial;sans-serif" w:hAnsi="Arial;sans-serif"/>
                <w:b w:val="false"/>
                <w:color w:val="000000"/>
                <w:sz w:val="16"/>
              </w:rPr>
              <w:t xml:space="preserve">1,841,248 </w:t>
            </w:r>
            <w:r>
              <w:rPr>
                <w:rFonts w:ascii="Arial;sans-serif" w:hAnsi="Arial;sans-serif"/>
                <w:b w:val="false"/>
                <w:color w:val="000000"/>
                <w:sz w:val="10"/>
              </w:rPr>
              <w:t>(6)</w:t>
            </w:r>
          </w:p>
        </w:tc>
      </w:tr>
      <w:tr>
        <w:trPr/>
        <w:tc>
          <w:tcPr>
            <w:tcW w:w="135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All Other Compensation</w:t>
            </w:r>
          </w:p>
        </w:tc>
        <w:tc>
          <w:tcPr>
            <w:tcW w:w="1310" w:type="dxa"/>
            <w:gridSpan w:val="2"/>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52,044 </w:t>
            </w:r>
          </w:p>
        </w:tc>
        <w:tc>
          <w:tcPr>
            <w:tcW w:w="657"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right"/>
              <w:rPr/>
            </w:pPr>
            <w:r>
              <w:rPr>
                <w:rFonts w:ascii="Arial;sans-serif" w:hAnsi="Arial;sans-serif"/>
                <w:b w:val="false"/>
                <w:color w:val="000000"/>
                <w:sz w:val="16"/>
              </w:rPr>
              <w:t xml:space="preserve">52,044 </w:t>
            </w:r>
            <w:r>
              <w:rPr>
                <w:rFonts w:ascii="Arial;sans-serif" w:hAnsi="Arial;sans-serif"/>
                <w:b w:val="false"/>
                <w:color w:val="000000"/>
                <w:sz w:val="10"/>
              </w:rPr>
              <w:t>(8)</w:t>
            </w:r>
          </w:p>
        </w:tc>
        <w:tc>
          <w:tcPr>
            <w:tcW w:w="160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right"/>
              <w:rPr/>
            </w:pPr>
            <w:r>
              <w:rPr>
                <w:rFonts w:ascii="Arial;sans-serif" w:hAnsi="Arial;sans-serif"/>
                <w:b w:val="false"/>
                <w:color w:val="000000"/>
                <w:sz w:val="16"/>
              </w:rPr>
              <w:t xml:space="preserve">52,044 </w:t>
            </w:r>
            <w:r>
              <w:rPr>
                <w:rFonts w:ascii="Arial;sans-serif" w:hAnsi="Arial;sans-serif"/>
                <w:b w:val="false"/>
                <w:color w:val="000000"/>
                <w:sz w:val="10"/>
              </w:rPr>
              <w:t>(8)</w:t>
            </w:r>
          </w:p>
        </w:tc>
        <w:tc>
          <w:tcPr>
            <w:tcW w:w="203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right"/>
              <w:rPr/>
            </w:pPr>
            <w:r>
              <w:rPr>
                <w:rFonts w:ascii="Arial;sans-serif" w:hAnsi="Arial;sans-serif"/>
                <w:b w:val="false"/>
                <w:color w:val="000000"/>
                <w:sz w:val="16"/>
              </w:rPr>
              <w:t xml:space="preserve">102,423 </w:t>
            </w:r>
            <w:r>
              <w:rPr>
                <w:rFonts w:ascii="Arial;sans-serif" w:hAnsi="Arial;sans-serif"/>
                <w:b w:val="false"/>
                <w:color w:val="000000"/>
                <w:sz w:val="10"/>
              </w:rPr>
              <w:t>(13)</w:t>
            </w:r>
          </w:p>
        </w:tc>
        <w:tc>
          <w:tcPr>
            <w:tcW w:w="163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right"/>
              <w:rPr/>
            </w:pPr>
            <w:r>
              <w:rPr>
                <w:rFonts w:ascii="Arial;sans-serif" w:hAnsi="Arial;sans-serif"/>
                <w:b w:val="false"/>
                <w:color w:val="000000"/>
                <w:sz w:val="16"/>
              </w:rPr>
              <w:t xml:space="preserve">117,802 </w:t>
            </w:r>
            <w:r>
              <w:rPr>
                <w:rFonts w:ascii="Arial;sans-serif" w:hAnsi="Arial;sans-serif"/>
                <w:b w:val="false"/>
                <w:color w:val="000000"/>
                <w:sz w:val="10"/>
              </w:rPr>
              <w:t>(14)</w:t>
            </w:r>
          </w:p>
        </w:tc>
      </w:tr>
      <w:tr>
        <w:trPr/>
        <w:tc>
          <w:tcPr>
            <w:tcW w:w="1357" w:type="dxa"/>
            <w:gridSpan w:val="3"/>
            <w:tcBorders>
              <w:top w:val="single" w:sz="4" w:space="0" w:color="000000"/>
              <w:left w:val="single" w:sz="4" w:space="0" w:color="000000"/>
              <w:bottom w:val="single" w:sz="4" w:space="0" w:color="000000"/>
            </w:tcBorders>
            <w:shd w:fill="E6E7E8" w:val="clear"/>
            <w:tcMar>
              <w:top w:w="30" w:type="dxa"/>
              <w:bottom w:w="3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Total</w:t>
            </w:r>
          </w:p>
        </w:tc>
        <w:tc>
          <w:tcPr>
            <w:tcW w:w="1310" w:type="dxa"/>
            <w:gridSpan w:val="2"/>
            <w:tcBorders>
              <w:top w:val="single" w:sz="4" w:space="0" w:color="000000"/>
              <w:left w:val="single" w:sz="4" w:space="0" w:color="000000"/>
              <w:bottom w:val="single" w:sz="4" w:space="0" w:color="000000"/>
            </w:tcBorders>
            <w:shd w:fill="E6E7E8" w:val="clear"/>
            <w:tcMar>
              <w:top w:w="3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52,044 </w:t>
            </w:r>
          </w:p>
        </w:tc>
        <w:tc>
          <w:tcPr>
            <w:tcW w:w="657" w:type="dxa"/>
            <w:tcBorders>
              <w:top w:val="single" w:sz="4" w:space="0" w:color="000000"/>
              <w:bottom w:val="single" w:sz="4" w:space="0" w:color="000000"/>
            </w:tcBorders>
            <w:shd w:fill="E6E7E8"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606" w:type="dxa"/>
            <w:gridSpan w:val="3"/>
            <w:tcBorders>
              <w:top w:val="single" w:sz="4" w:space="0" w:color="000000"/>
              <w:left w:val="single" w:sz="4" w:space="0" w:color="000000"/>
              <w:bottom w:val="single" w:sz="4" w:space="0" w:color="000000"/>
            </w:tcBorders>
            <w:shd w:fill="E6E7E8" w:val="clear"/>
            <w:tcMar>
              <w:top w:w="30" w:type="dxa"/>
              <w:bottom w:w="30" w:type="dxa"/>
              <w:right w:w="0" w:type="dxa"/>
            </w:tcMar>
            <w:vAlign w:val="center"/>
          </w:tcPr>
          <w:p>
            <w:pPr>
              <w:pStyle w:val="TableContents"/>
              <w:bidi w:val="0"/>
              <w:spacing w:lineRule="auto" w:line="288" w:before="0" w:after="0"/>
              <w:jc w:val="center"/>
              <w:rPr>
                <w:color w:val="000000"/>
              </w:rPr>
            </w:pPr>
            <w:r>
              <w:rPr>
                <w:color w:val="000000"/>
              </w:rPr>
              <w:t>  </w:t>
            </w:r>
            <w:r>
              <w:rPr>
                <w:rFonts w:ascii="Arial;sans-serif" w:hAnsi="Arial;sans-serif"/>
                <w:b w:val="false"/>
                <w:color w:val="000000"/>
                <w:sz w:val="16"/>
              </w:rPr>
              <w:t>2,243,292</w:t>
            </w:r>
          </w:p>
        </w:tc>
        <w:tc>
          <w:tcPr>
            <w:tcW w:w="1606" w:type="dxa"/>
            <w:gridSpan w:val="3"/>
            <w:tcBorders>
              <w:top w:val="single" w:sz="4" w:space="0" w:color="000000"/>
              <w:left w:val="single" w:sz="4" w:space="0" w:color="000000"/>
              <w:bottom w:val="single" w:sz="4" w:space="0" w:color="000000"/>
            </w:tcBorders>
            <w:shd w:fill="E6E7E8" w:val="clear"/>
            <w:tcMar>
              <w:top w:w="30" w:type="dxa"/>
              <w:bottom w:w="30" w:type="dxa"/>
              <w:right w:w="0" w:type="dxa"/>
            </w:tcMar>
            <w:vAlign w:val="center"/>
          </w:tcPr>
          <w:p>
            <w:pPr>
              <w:pStyle w:val="TableContents"/>
              <w:bidi w:val="0"/>
              <w:spacing w:lineRule="auto" w:line="288" w:before="0" w:after="0"/>
              <w:jc w:val="center"/>
              <w:rPr>
                <w:color w:val="000000"/>
              </w:rPr>
            </w:pPr>
            <w:r>
              <w:rPr>
                <w:color w:val="000000"/>
              </w:rPr>
              <w:t>    </w:t>
            </w:r>
            <w:r>
              <w:rPr>
                <w:rFonts w:ascii="Arial;sans-serif" w:hAnsi="Arial;sans-serif"/>
                <w:b w:val="false"/>
                <w:color w:val="000000"/>
                <w:sz w:val="16"/>
              </w:rPr>
              <w:t>2,243,292</w:t>
            </w:r>
          </w:p>
        </w:tc>
        <w:tc>
          <w:tcPr>
            <w:tcW w:w="2039" w:type="dxa"/>
            <w:gridSpan w:val="3"/>
            <w:tcBorders>
              <w:top w:val="single" w:sz="4" w:space="0" w:color="000000"/>
              <w:left w:val="single" w:sz="4" w:space="0" w:color="000000"/>
              <w:bottom w:val="single" w:sz="4" w:space="0" w:color="000000"/>
            </w:tcBorders>
            <w:shd w:fill="E6E7E8" w:val="clear"/>
            <w:tcMar>
              <w:top w:w="30" w:type="dxa"/>
              <w:bottom w:w="30" w:type="dxa"/>
              <w:right w:w="0" w:type="dxa"/>
            </w:tcMar>
            <w:vAlign w:val="center"/>
          </w:tcPr>
          <w:p>
            <w:pPr>
              <w:pStyle w:val="TableContents"/>
              <w:bidi w:val="0"/>
              <w:spacing w:lineRule="auto" w:line="288" w:before="0" w:after="283"/>
              <w:jc w:val="center"/>
              <w:rPr>
                <w:color w:val="000000"/>
              </w:rPr>
            </w:pPr>
            <w:r>
              <w:rPr>
                <w:color w:val="000000"/>
              </w:rPr>
              <w:t>     </w:t>
            </w:r>
            <w:r>
              <w:rPr>
                <w:rFonts w:ascii="Arial;sans-serif" w:hAnsi="Arial;sans-serif"/>
                <w:b w:val="false"/>
                <w:color w:val="000000"/>
                <w:sz w:val="16"/>
              </w:rPr>
              <w:t>1,356,250</w:t>
            </w:r>
          </w:p>
        </w:tc>
        <w:tc>
          <w:tcPr>
            <w:tcW w:w="1630" w:type="dxa"/>
            <w:gridSpan w:val="3"/>
            <w:tcBorders>
              <w:top w:val="single" w:sz="4" w:space="0" w:color="000000"/>
              <w:left w:val="single" w:sz="4" w:space="0" w:color="000000"/>
              <w:bottom w:val="single" w:sz="4" w:space="0" w:color="000000"/>
              <w:right w:val="single" w:sz="4" w:space="0" w:color="000000"/>
            </w:tcBorders>
            <w:shd w:fill="E6E7E8" w:val="clear"/>
            <w:tcMar>
              <w:top w:w="30" w:type="dxa"/>
              <w:bottom w:w="30" w:type="dxa"/>
            </w:tcMar>
            <w:vAlign w:val="center"/>
          </w:tcPr>
          <w:p>
            <w:pPr>
              <w:pStyle w:val="TableContents"/>
              <w:bidi w:val="0"/>
              <w:spacing w:lineRule="auto" w:line="288" w:before="0" w:after="283"/>
              <w:jc w:val="center"/>
              <w:rPr>
                <w:color w:val="000000"/>
              </w:rPr>
            </w:pPr>
            <w:r>
              <w:rPr>
                <w:color w:val="000000"/>
              </w:rPr>
              <w:t>   </w:t>
            </w:r>
            <w:r>
              <w:rPr>
                <w:rFonts w:ascii="Arial;sans-serif" w:hAnsi="Arial;sans-serif"/>
                <w:b w:val="false"/>
                <w:color w:val="000000"/>
                <w:sz w:val="16"/>
              </w:rPr>
              <w:t>4,359,050</w:t>
            </w:r>
          </w:p>
        </w:tc>
      </w:tr>
    </w:tbl>
    <w:tbl>
      <w:tblPr>
        <w:tblW w:w="10205" w:type="dxa"/>
        <w:jc w:val="left"/>
        <w:tblInd w:w="0" w:type="dxa"/>
        <w:tblLayout w:type="fixed"/>
        <w:tblCellMar>
          <w:top w:w="28" w:type="dxa"/>
          <w:left w:w="28" w:type="dxa"/>
          <w:bottom w:w="28" w:type="dxa"/>
          <w:right w:w="28" w:type="dxa"/>
        </w:tblCellMar>
      </w:tblPr>
      <w:tblGrid>
        <w:gridCol w:w="674"/>
        <w:gridCol w:w="363"/>
        <w:gridCol w:w="319"/>
        <w:gridCol w:w="655"/>
        <w:gridCol w:w="655"/>
        <w:gridCol w:w="657"/>
        <w:gridCol w:w="534"/>
        <w:gridCol w:w="534"/>
        <w:gridCol w:w="538"/>
        <w:gridCol w:w="534"/>
        <w:gridCol w:w="534"/>
        <w:gridCol w:w="538"/>
        <w:gridCol w:w="711"/>
        <w:gridCol w:w="663"/>
        <w:gridCol w:w="665"/>
        <w:gridCol w:w="475"/>
        <w:gridCol w:w="475"/>
        <w:gridCol w:w="681"/>
      </w:tblGrid>
      <w:tr>
        <w:trPr/>
        <w:tc>
          <w:tcPr>
            <w:tcW w:w="674"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r>
      <w:tr>
        <w:trPr/>
        <w:tc>
          <w:tcPr>
            <w:tcW w:w="1356" w:type="dxa"/>
            <w:gridSpan w:val="3"/>
            <w:tcBorders>
              <w:top w:val="single" w:sz="4" w:space="0" w:color="000000"/>
              <w:left w:val="single" w:sz="4" w:space="0" w:color="000000"/>
            </w:tcBorders>
            <w:shd w:fill="004C97" w:val="clear"/>
            <w:tcMar>
              <w:top w:w="30" w:type="dxa"/>
              <w:bottom w:w="0" w:type="dxa"/>
              <w:right w:w="0" w:type="dxa"/>
            </w:tcMar>
            <w:vAlign w:val="center"/>
          </w:tcPr>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J. Randall Data</w:t>
            </w:r>
          </w:p>
        </w:tc>
        <w:tc>
          <w:tcPr>
            <w:tcW w:w="1967" w:type="dxa"/>
            <w:gridSpan w:val="3"/>
            <w:tcBorders>
              <w:top w:val="single" w:sz="4" w:space="0" w:color="000000"/>
              <w:left w:val="single" w:sz="4" w:space="0" w:color="000000"/>
            </w:tcBorders>
            <w:shd w:fill="004C97" w:val="clear"/>
            <w:tcMar>
              <w:top w:w="30" w:type="dxa"/>
              <w:bottom w:w="0" w:type="dxa"/>
              <w:right w:w="0" w:type="dxa"/>
            </w:tcMar>
            <w:vAlign w:val="center"/>
          </w:tcPr>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(a) Voluntary Resignation or (b) Involuntary Termination for Cause ($)</w:t>
            </w:r>
          </w:p>
        </w:tc>
        <w:tc>
          <w:tcPr>
            <w:tcW w:w="1606" w:type="dxa"/>
            <w:gridSpan w:val="3"/>
            <w:tcBorders>
              <w:top w:val="single" w:sz="4" w:space="0" w:color="000000"/>
              <w:left w:val="single" w:sz="4" w:space="0" w:color="000000"/>
            </w:tcBorders>
            <w:shd w:fill="004C97" w:val="clear"/>
            <w:tcMar>
              <w:top w:w="30" w:type="dxa"/>
              <w:bottom w:w="0" w:type="dxa"/>
              <w:right w:w="0" w:type="dxa"/>
            </w:tcMar>
            <w:vAlign w:val="center"/>
          </w:tcPr>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Disability ($)</w:t>
            </w:r>
          </w:p>
        </w:tc>
        <w:tc>
          <w:tcPr>
            <w:tcW w:w="1606" w:type="dxa"/>
            <w:gridSpan w:val="3"/>
            <w:tcBorders>
              <w:top w:val="single" w:sz="4" w:space="0" w:color="000000"/>
              <w:left w:val="single" w:sz="4" w:space="0" w:color="000000"/>
            </w:tcBorders>
            <w:shd w:fill="004C97" w:val="clear"/>
            <w:tcMar>
              <w:top w:w="30" w:type="dxa"/>
              <w:bottom w:w="0" w:type="dxa"/>
              <w:right w:w="0" w:type="dxa"/>
            </w:tcMar>
            <w:vAlign w:val="center"/>
          </w:tcPr>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Death</w:t>
            </w:r>
          </w:p>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Pre-retirement ($)</w:t>
            </w:r>
          </w:p>
        </w:tc>
        <w:tc>
          <w:tcPr>
            <w:tcW w:w="2039" w:type="dxa"/>
            <w:gridSpan w:val="3"/>
            <w:tcBorders>
              <w:top w:val="single" w:sz="4" w:space="0" w:color="000000"/>
              <w:left w:val="single" w:sz="4" w:space="0" w:color="000000"/>
            </w:tcBorders>
            <w:shd w:fill="004C97" w:val="clear"/>
            <w:tcMar>
              <w:top w:w="30" w:type="dxa"/>
              <w:bottom w:w="0" w:type="dxa"/>
              <w:right w:w="0" w:type="dxa"/>
            </w:tcMar>
            <w:vAlign w:val="center"/>
          </w:tcPr>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Involuntary Without Cause/ Voluntary Resignation for Good Reason ($)</w:t>
            </w:r>
          </w:p>
        </w:tc>
        <w:tc>
          <w:tcPr>
            <w:tcW w:w="1631" w:type="dxa"/>
            <w:gridSpan w:val="3"/>
            <w:tcBorders>
              <w:top w:val="single" w:sz="4" w:space="0" w:color="000000"/>
              <w:left w:val="single" w:sz="4" w:space="0" w:color="000000"/>
              <w:right w:val="single" w:sz="4" w:space="0" w:color="000000"/>
            </w:tcBorders>
            <w:shd w:fill="004C97" w:val="clear"/>
            <w:tcMar>
              <w:top w:w="30" w:type="dxa"/>
              <w:bottom w:w="0" w:type="dxa"/>
            </w:tcMar>
            <w:vAlign w:val="center"/>
          </w:tcPr>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Termination Following Change in Control ($)</w:t>
            </w:r>
          </w:p>
        </w:tc>
      </w:tr>
      <w:tr>
        <w:trPr/>
        <w:tc>
          <w:tcPr>
            <w:tcW w:w="1356" w:type="dxa"/>
            <w:gridSpan w:val="3"/>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Salary</w:t>
            </w:r>
          </w:p>
        </w:tc>
        <w:tc>
          <w:tcPr>
            <w:tcW w:w="1310" w:type="dxa"/>
            <w:gridSpan w:val="2"/>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57" w:type="dxa"/>
            <w:tcBorders>
              <w:top w:val="single" w:sz="4" w:space="0" w:color="000000"/>
            </w:tcBorders>
            <w:shd w:fill="E6E7E8"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3"/>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0"/>
              <w:jc w:val="left"/>
              <w:rPr>
                <w:color w:val="000000"/>
              </w:rPr>
            </w:pPr>
            <w:r>
              <w:rPr>
                <w:color w:val="000000"/>
              </w:rPr>
              <w:t>                     —</w:t>
            </w:r>
          </w:p>
        </w:tc>
        <w:tc>
          <w:tcPr>
            <w:tcW w:w="1606" w:type="dxa"/>
            <w:gridSpan w:val="3"/>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0"/>
              <w:jc w:val="left"/>
              <w:rPr>
                <w:color w:val="000000"/>
              </w:rPr>
            </w:pPr>
            <w:r>
              <w:rPr>
                <w:color w:val="000000"/>
              </w:rPr>
              <w:t>                     —</w:t>
            </w:r>
          </w:p>
        </w:tc>
        <w:tc>
          <w:tcPr>
            <w:tcW w:w="2039" w:type="dxa"/>
            <w:gridSpan w:val="3"/>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0"/>
              <w:jc w:val="right"/>
              <w:rPr/>
            </w:pPr>
            <w:r>
              <w:rPr>
                <w:rFonts w:ascii="Arial;sans-serif" w:hAnsi="Arial;sans-serif"/>
                <w:b w:val="false"/>
                <w:color w:val="000000"/>
                <w:sz w:val="16"/>
              </w:rPr>
              <w:t xml:space="preserve">544,619 </w:t>
            </w:r>
            <w:r>
              <w:rPr>
                <w:rFonts w:ascii="Arial;sans-serif" w:hAnsi="Arial;sans-serif"/>
                <w:b w:val="false"/>
                <w:color w:val="000000"/>
                <w:sz w:val="10"/>
              </w:rPr>
              <w:t>(11)</w:t>
            </w:r>
          </w:p>
        </w:tc>
        <w:tc>
          <w:tcPr>
            <w:tcW w:w="1631" w:type="dxa"/>
            <w:gridSpan w:val="3"/>
            <w:tcBorders>
              <w:top w:val="single" w:sz="4" w:space="0" w:color="000000"/>
              <w:left w:val="single" w:sz="4" w:space="0" w:color="000000"/>
              <w:right w:val="single" w:sz="4" w:space="0" w:color="000000"/>
            </w:tcBorders>
            <w:shd w:fill="E6E7E8" w:val="clear"/>
            <w:tcMar>
              <w:top w:w="30" w:type="dxa"/>
              <w:bottom w:w="0" w:type="dxa"/>
            </w:tcMar>
            <w:vAlign w:val="center"/>
          </w:tcPr>
          <w:p>
            <w:pPr>
              <w:pStyle w:val="TableContents"/>
              <w:bidi w:val="0"/>
              <w:spacing w:lineRule="auto" w:line="288" w:before="0" w:after="0"/>
              <w:jc w:val="right"/>
              <w:rPr/>
            </w:pPr>
            <w:r>
              <w:rPr>
                <w:rFonts w:ascii="Arial;sans-serif" w:hAnsi="Arial;sans-serif"/>
                <w:b w:val="false"/>
                <w:color w:val="000000"/>
                <w:sz w:val="16"/>
              </w:rPr>
              <w:t xml:space="preserve">1,089,238 </w:t>
            </w:r>
            <w:r>
              <w:rPr>
                <w:rFonts w:ascii="Arial;sans-serif" w:hAnsi="Arial;sans-serif"/>
                <w:b w:val="false"/>
                <w:color w:val="000000"/>
                <w:sz w:val="10"/>
              </w:rPr>
              <w:t>(1)</w:t>
            </w:r>
          </w:p>
        </w:tc>
      </w:tr>
      <w:tr>
        <w:trPr/>
        <w:tc>
          <w:tcPr>
            <w:tcW w:w="135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Bonus</w:t>
            </w:r>
          </w:p>
        </w:tc>
        <w:tc>
          <w:tcPr>
            <w:tcW w:w="1310" w:type="dxa"/>
            <w:gridSpan w:val="2"/>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57"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right"/>
              <w:rPr/>
            </w:pPr>
            <w:r>
              <w:rPr>
                <w:rFonts w:ascii="Arial;sans-serif" w:hAnsi="Arial;sans-serif"/>
                <w:b w:val="false"/>
                <w:color w:val="000000"/>
                <w:sz w:val="16"/>
              </w:rPr>
              <w:t xml:space="preserve">381,233 </w:t>
            </w:r>
            <w:r>
              <w:rPr>
                <w:rFonts w:ascii="Arial;sans-serif" w:hAnsi="Arial;sans-serif"/>
                <w:b w:val="false"/>
                <w:color w:val="000000"/>
                <w:sz w:val="10"/>
              </w:rPr>
              <w:t>(3)</w:t>
            </w:r>
          </w:p>
        </w:tc>
        <w:tc>
          <w:tcPr>
            <w:tcW w:w="160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right"/>
              <w:rPr/>
            </w:pPr>
            <w:r>
              <w:rPr>
                <w:rFonts w:ascii="Arial;sans-serif" w:hAnsi="Arial;sans-serif"/>
                <w:b w:val="false"/>
                <w:color w:val="000000"/>
                <w:sz w:val="16"/>
              </w:rPr>
              <w:t xml:space="preserve">381,233 </w:t>
            </w:r>
            <w:r>
              <w:rPr>
                <w:rFonts w:ascii="Arial;sans-serif" w:hAnsi="Arial;sans-serif"/>
                <w:b w:val="false"/>
                <w:color w:val="000000"/>
                <w:sz w:val="10"/>
              </w:rPr>
              <w:t>(3)</w:t>
            </w:r>
          </w:p>
        </w:tc>
        <w:tc>
          <w:tcPr>
            <w:tcW w:w="203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right"/>
              <w:rPr/>
            </w:pPr>
            <w:r>
              <w:rPr>
                <w:rFonts w:ascii="Arial;sans-serif" w:hAnsi="Arial;sans-serif"/>
                <w:b w:val="false"/>
                <w:color w:val="000000"/>
                <w:sz w:val="16"/>
              </w:rPr>
              <w:t xml:space="preserve">762,467 </w:t>
            </w:r>
            <w:r>
              <w:rPr>
                <w:rFonts w:ascii="Arial;sans-serif" w:hAnsi="Arial;sans-serif"/>
                <w:b w:val="false"/>
                <w:color w:val="000000"/>
                <w:sz w:val="10"/>
              </w:rPr>
              <w:t>(12)</w:t>
            </w:r>
          </w:p>
        </w:tc>
        <w:tc>
          <w:tcPr>
            <w:tcW w:w="1631"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right"/>
              <w:rPr/>
            </w:pPr>
            <w:r>
              <w:rPr>
                <w:rFonts w:ascii="Arial;sans-serif" w:hAnsi="Arial;sans-serif"/>
                <w:b w:val="false"/>
                <w:color w:val="000000"/>
                <w:sz w:val="16"/>
              </w:rPr>
              <w:t xml:space="preserve">1,524,933 </w:t>
            </w:r>
            <w:r>
              <w:rPr>
                <w:rFonts w:ascii="Arial;sans-serif" w:hAnsi="Arial;sans-serif"/>
                <w:b w:val="false"/>
                <w:color w:val="000000"/>
                <w:sz w:val="10"/>
              </w:rPr>
              <w:t>(4)</w:t>
            </w:r>
          </w:p>
        </w:tc>
      </w:tr>
      <w:tr>
        <w:trPr/>
        <w:tc>
          <w:tcPr>
            <w:tcW w:w="1356" w:type="dxa"/>
            <w:gridSpan w:val="3"/>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Value of Accelerated Equity</w:t>
            </w:r>
          </w:p>
        </w:tc>
        <w:tc>
          <w:tcPr>
            <w:tcW w:w="1310" w:type="dxa"/>
            <w:gridSpan w:val="2"/>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57" w:type="dxa"/>
            <w:tcBorders>
              <w:top w:val="single" w:sz="4" w:space="0" w:color="000000"/>
            </w:tcBorders>
            <w:shd w:fill="E6E7E8"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3"/>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0"/>
              <w:jc w:val="right"/>
              <w:rPr/>
            </w:pPr>
            <w:r>
              <w:rPr>
                <w:rFonts w:ascii="Arial;sans-serif" w:hAnsi="Arial;sans-serif"/>
                <w:b w:val="false"/>
                <w:color w:val="000000"/>
                <w:sz w:val="16"/>
              </w:rPr>
              <w:t xml:space="preserve">3,337,082 </w:t>
            </w:r>
            <w:r>
              <w:rPr>
                <w:rFonts w:ascii="Arial;sans-serif" w:hAnsi="Arial;sans-serif"/>
                <w:b w:val="false"/>
                <w:color w:val="000000"/>
                <w:sz w:val="10"/>
              </w:rPr>
              <w:t>(6)</w:t>
            </w:r>
          </w:p>
        </w:tc>
        <w:tc>
          <w:tcPr>
            <w:tcW w:w="1606" w:type="dxa"/>
            <w:gridSpan w:val="3"/>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0"/>
              <w:jc w:val="right"/>
              <w:rPr/>
            </w:pPr>
            <w:r>
              <w:rPr>
                <w:rFonts w:ascii="Arial;sans-serif" w:hAnsi="Arial;sans-serif"/>
                <w:b w:val="false"/>
                <w:color w:val="000000"/>
                <w:sz w:val="16"/>
              </w:rPr>
              <w:t xml:space="preserve">3,337,082 </w:t>
            </w:r>
            <w:r>
              <w:rPr>
                <w:rFonts w:ascii="Arial;sans-serif" w:hAnsi="Arial;sans-serif"/>
                <w:b w:val="false"/>
                <w:color w:val="000000"/>
                <w:sz w:val="10"/>
              </w:rPr>
              <w:t>(6)</w:t>
            </w:r>
          </w:p>
        </w:tc>
        <w:tc>
          <w:tcPr>
            <w:tcW w:w="2039" w:type="dxa"/>
            <w:gridSpan w:val="3"/>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0"/>
              <w:jc w:val="right"/>
              <w:rPr/>
            </w:pPr>
            <w:r>
              <w:rPr>
                <w:rFonts w:ascii="Arial;sans-serif" w:hAnsi="Arial;sans-serif"/>
                <w:b w:val="false"/>
                <w:color w:val="000000"/>
                <w:sz w:val="16"/>
              </w:rPr>
              <w:t xml:space="preserve">1,394,846 </w:t>
            </w:r>
            <w:r>
              <w:rPr>
                <w:rFonts w:ascii="Arial;sans-serif" w:hAnsi="Arial;sans-serif"/>
                <w:b w:val="false"/>
                <w:color w:val="000000"/>
                <w:sz w:val="10"/>
              </w:rPr>
              <w:t>(7)</w:t>
            </w:r>
          </w:p>
        </w:tc>
        <w:tc>
          <w:tcPr>
            <w:tcW w:w="1631" w:type="dxa"/>
            <w:gridSpan w:val="3"/>
            <w:tcBorders>
              <w:top w:val="single" w:sz="4" w:space="0" w:color="000000"/>
              <w:left w:val="single" w:sz="4" w:space="0" w:color="000000"/>
              <w:right w:val="single" w:sz="4" w:space="0" w:color="000000"/>
            </w:tcBorders>
            <w:shd w:fill="E6E7E8" w:val="clear"/>
            <w:tcMar>
              <w:top w:w="30" w:type="dxa"/>
              <w:bottom w:w="0" w:type="dxa"/>
            </w:tcMar>
            <w:vAlign w:val="center"/>
          </w:tcPr>
          <w:p>
            <w:pPr>
              <w:pStyle w:val="TableContents"/>
              <w:bidi w:val="0"/>
              <w:spacing w:lineRule="auto" w:line="288" w:before="0" w:after="0"/>
              <w:jc w:val="right"/>
              <w:rPr/>
            </w:pPr>
            <w:r>
              <w:rPr>
                <w:rFonts w:ascii="Arial;sans-serif" w:hAnsi="Arial;sans-serif"/>
                <w:b w:val="false"/>
                <w:color w:val="000000"/>
                <w:sz w:val="16"/>
              </w:rPr>
              <w:t xml:space="preserve">3,337,082 </w:t>
            </w:r>
            <w:r>
              <w:rPr>
                <w:rFonts w:ascii="Arial;sans-serif" w:hAnsi="Arial;sans-serif"/>
                <w:b w:val="false"/>
                <w:color w:val="000000"/>
                <w:sz w:val="10"/>
              </w:rPr>
              <w:t>(6)</w:t>
            </w:r>
          </w:p>
        </w:tc>
      </w:tr>
      <w:tr>
        <w:trPr/>
        <w:tc>
          <w:tcPr>
            <w:tcW w:w="135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All Other Compensation</w:t>
            </w:r>
          </w:p>
        </w:tc>
        <w:tc>
          <w:tcPr>
            <w:tcW w:w="1310" w:type="dxa"/>
            <w:gridSpan w:val="2"/>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31,458 </w:t>
            </w:r>
          </w:p>
        </w:tc>
        <w:tc>
          <w:tcPr>
            <w:tcW w:w="657"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right"/>
              <w:rPr/>
            </w:pPr>
            <w:r>
              <w:rPr>
                <w:rFonts w:ascii="Arial;sans-serif" w:hAnsi="Arial;sans-serif"/>
                <w:b w:val="false"/>
                <w:color w:val="000000"/>
                <w:sz w:val="16"/>
              </w:rPr>
              <w:t xml:space="preserve">31,458 </w:t>
            </w:r>
            <w:r>
              <w:rPr>
                <w:rFonts w:ascii="Arial;sans-serif" w:hAnsi="Arial;sans-serif"/>
                <w:b w:val="false"/>
                <w:color w:val="000000"/>
                <w:sz w:val="10"/>
              </w:rPr>
              <w:t>(8)</w:t>
            </w:r>
          </w:p>
        </w:tc>
        <w:tc>
          <w:tcPr>
            <w:tcW w:w="160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right"/>
              <w:rPr/>
            </w:pPr>
            <w:r>
              <w:rPr>
                <w:rFonts w:ascii="Arial;sans-serif" w:hAnsi="Arial;sans-serif"/>
                <w:b w:val="false"/>
                <w:color w:val="000000"/>
                <w:sz w:val="16"/>
              </w:rPr>
              <w:t xml:space="preserve">31,458 </w:t>
            </w:r>
            <w:r>
              <w:rPr>
                <w:rFonts w:ascii="Arial;sans-serif" w:hAnsi="Arial;sans-serif"/>
                <w:b w:val="false"/>
                <w:color w:val="000000"/>
                <w:sz w:val="10"/>
              </w:rPr>
              <w:t>(8)</w:t>
            </w:r>
          </w:p>
        </w:tc>
        <w:tc>
          <w:tcPr>
            <w:tcW w:w="203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right"/>
              <w:rPr/>
            </w:pPr>
            <w:r>
              <w:rPr>
                <w:rFonts w:ascii="Arial;sans-serif" w:hAnsi="Arial;sans-serif"/>
                <w:b w:val="false"/>
                <w:color w:val="000000"/>
                <w:sz w:val="16"/>
              </w:rPr>
              <w:t xml:space="preserve">106,401 </w:t>
            </w:r>
            <w:r>
              <w:rPr>
                <w:rFonts w:ascii="Arial;sans-serif" w:hAnsi="Arial;sans-serif"/>
                <w:b w:val="false"/>
                <w:color w:val="000000"/>
                <w:sz w:val="10"/>
              </w:rPr>
              <w:t>(13)</w:t>
            </w:r>
          </w:p>
        </w:tc>
        <w:tc>
          <w:tcPr>
            <w:tcW w:w="1631"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right"/>
              <w:rPr/>
            </w:pPr>
            <w:r>
              <w:rPr>
                <w:rFonts w:ascii="Arial;sans-serif" w:hAnsi="Arial;sans-serif"/>
                <w:b w:val="false"/>
                <w:color w:val="000000"/>
                <w:sz w:val="16"/>
              </w:rPr>
              <w:t xml:space="preserve">146,345 </w:t>
            </w:r>
            <w:r>
              <w:rPr>
                <w:rFonts w:ascii="Arial;sans-serif" w:hAnsi="Arial;sans-serif"/>
                <w:b w:val="false"/>
                <w:color w:val="000000"/>
                <w:sz w:val="10"/>
              </w:rPr>
              <w:t>(14)</w:t>
            </w:r>
          </w:p>
        </w:tc>
      </w:tr>
      <w:tr>
        <w:trPr/>
        <w:tc>
          <w:tcPr>
            <w:tcW w:w="1356" w:type="dxa"/>
            <w:gridSpan w:val="3"/>
            <w:tcBorders>
              <w:top w:val="single" w:sz="4" w:space="0" w:color="000000"/>
              <w:left w:val="single" w:sz="4" w:space="0" w:color="000000"/>
              <w:bottom w:val="single" w:sz="4" w:space="0" w:color="000000"/>
            </w:tcBorders>
            <w:shd w:fill="E6E7E8" w:val="clear"/>
            <w:tcMar>
              <w:top w:w="30" w:type="dxa"/>
              <w:bottom w:w="3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Total</w:t>
            </w:r>
          </w:p>
        </w:tc>
        <w:tc>
          <w:tcPr>
            <w:tcW w:w="1310" w:type="dxa"/>
            <w:gridSpan w:val="2"/>
            <w:tcBorders>
              <w:top w:val="single" w:sz="4" w:space="0" w:color="000000"/>
              <w:left w:val="single" w:sz="4" w:space="0" w:color="000000"/>
              <w:bottom w:val="single" w:sz="4" w:space="0" w:color="000000"/>
            </w:tcBorders>
            <w:shd w:fill="E6E7E8" w:val="clear"/>
            <w:tcMar>
              <w:top w:w="3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31,458 </w:t>
            </w:r>
          </w:p>
        </w:tc>
        <w:tc>
          <w:tcPr>
            <w:tcW w:w="657" w:type="dxa"/>
            <w:tcBorders>
              <w:top w:val="single" w:sz="4" w:space="0" w:color="000000"/>
              <w:bottom w:val="single" w:sz="4" w:space="0" w:color="000000"/>
            </w:tcBorders>
            <w:shd w:fill="E6E7E8"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606" w:type="dxa"/>
            <w:gridSpan w:val="3"/>
            <w:tcBorders>
              <w:top w:val="single" w:sz="4" w:space="0" w:color="000000"/>
              <w:left w:val="single" w:sz="4" w:space="0" w:color="000000"/>
              <w:bottom w:val="single" w:sz="4" w:space="0" w:color="000000"/>
            </w:tcBorders>
            <w:shd w:fill="E6E7E8" w:val="clear"/>
            <w:tcMar>
              <w:top w:w="30" w:type="dxa"/>
              <w:bottom w:w="30" w:type="dxa"/>
              <w:right w:w="0" w:type="dxa"/>
            </w:tcMar>
            <w:vAlign w:val="center"/>
          </w:tcPr>
          <w:p>
            <w:pPr>
              <w:pStyle w:val="TableContents"/>
              <w:bidi w:val="0"/>
              <w:spacing w:lineRule="auto" w:line="288" w:before="0" w:after="0"/>
              <w:jc w:val="center"/>
              <w:rPr>
                <w:color w:val="000000"/>
              </w:rPr>
            </w:pPr>
            <w:r>
              <w:rPr>
                <w:color w:val="000000"/>
              </w:rPr>
              <w:t>   </w:t>
            </w:r>
            <w:r>
              <w:rPr>
                <w:rFonts w:ascii="Arial;sans-serif" w:hAnsi="Arial;sans-serif"/>
                <w:b w:val="false"/>
                <w:color w:val="000000"/>
                <w:sz w:val="16"/>
              </w:rPr>
              <w:t>3,749,773</w:t>
            </w:r>
          </w:p>
        </w:tc>
        <w:tc>
          <w:tcPr>
            <w:tcW w:w="1606" w:type="dxa"/>
            <w:gridSpan w:val="3"/>
            <w:tcBorders>
              <w:top w:val="single" w:sz="4" w:space="0" w:color="000000"/>
              <w:left w:val="single" w:sz="4" w:space="0" w:color="000000"/>
              <w:bottom w:val="single" w:sz="4" w:space="0" w:color="000000"/>
            </w:tcBorders>
            <w:shd w:fill="E6E7E8" w:val="clear"/>
            <w:tcMar>
              <w:top w:w="30" w:type="dxa"/>
              <w:bottom w:w="30" w:type="dxa"/>
              <w:right w:w="0" w:type="dxa"/>
            </w:tcMar>
            <w:vAlign w:val="center"/>
          </w:tcPr>
          <w:p>
            <w:pPr>
              <w:pStyle w:val="TableContents"/>
              <w:bidi w:val="0"/>
              <w:spacing w:lineRule="auto" w:line="288" w:before="0" w:after="0"/>
              <w:jc w:val="center"/>
              <w:rPr>
                <w:color w:val="000000"/>
              </w:rPr>
            </w:pPr>
            <w:r>
              <w:rPr>
                <w:color w:val="000000"/>
              </w:rPr>
              <w:t>    </w:t>
            </w:r>
            <w:r>
              <w:rPr>
                <w:rFonts w:ascii="Arial;sans-serif" w:hAnsi="Arial;sans-serif"/>
                <w:b w:val="false"/>
                <w:color w:val="000000"/>
                <w:sz w:val="16"/>
              </w:rPr>
              <w:t>3,749,773</w:t>
            </w:r>
          </w:p>
        </w:tc>
        <w:tc>
          <w:tcPr>
            <w:tcW w:w="2039" w:type="dxa"/>
            <w:gridSpan w:val="3"/>
            <w:tcBorders>
              <w:top w:val="single" w:sz="4" w:space="0" w:color="000000"/>
              <w:left w:val="single" w:sz="4" w:space="0" w:color="000000"/>
              <w:bottom w:val="single" w:sz="4" w:space="0" w:color="000000"/>
            </w:tcBorders>
            <w:shd w:fill="E6E7E8" w:val="clear"/>
            <w:tcMar>
              <w:top w:w="30" w:type="dxa"/>
              <w:bottom w:w="30" w:type="dxa"/>
              <w:right w:w="0" w:type="dxa"/>
            </w:tcMar>
            <w:vAlign w:val="center"/>
          </w:tcPr>
          <w:p>
            <w:pPr>
              <w:pStyle w:val="TableContents"/>
              <w:bidi w:val="0"/>
              <w:spacing w:lineRule="auto" w:line="288" w:before="0" w:after="0"/>
              <w:jc w:val="center"/>
              <w:rPr>
                <w:color w:val="000000"/>
              </w:rPr>
            </w:pPr>
            <w:r>
              <w:rPr>
                <w:color w:val="000000"/>
              </w:rPr>
              <w:t>     </w:t>
            </w:r>
            <w:r>
              <w:rPr>
                <w:rFonts w:ascii="Arial;sans-serif" w:hAnsi="Arial;sans-serif"/>
                <w:b w:val="false"/>
                <w:color w:val="000000"/>
                <w:sz w:val="16"/>
              </w:rPr>
              <w:t>2,808,333</w:t>
            </w:r>
          </w:p>
        </w:tc>
        <w:tc>
          <w:tcPr>
            <w:tcW w:w="1631" w:type="dxa"/>
            <w:gridSpan w:val="3"/>
            <w:tcBorders>
              <w:top w:val="single" w:sz="4" w:space="0" w:color="000000"/>
              <w:left w:val="single" w:sz="4" w:space="0" w:color="000000"/>
              <w:bottom w:val="single" w:sz="4" w:space="0" w:color="000000"/>
              <w:right w:val="single" w:sz="4" w:space="0" w:color="000000"/>
            </w:tcBorders>
            <w:shd w:fill="E6E7E8" w:val="clear"/>
            <w:tcMar>
              <w:top w:w="30" w:type="dxa"/>
              <w:bottom w:w="30" w:type="dxa"/>
            </w:tcMar>
            <w:vAlign w:val="center"/>
          </w:tcPr>
          <w:p>
            <w:pPr>
              <w:pStyle w:val="TableContents"/>
              <w:bidi w:val="0"/>
              <w:spacing w:lineRule="auto" w:line="288" w:before="0" w:after="0"/>
              <w:jc w:val="center"/>
              <w:rPr>
                <w:color w:val="000000"/>
              </w:rPr>
            </w:pPr>
            <w:r>
              <w:rPr>
                <w:color w:val="000000"/>
              </w:rPr>
              <w:t>    </w:t>
            </w:r>
            <w:r>
              <w:rPr>
                <w:rFonts w:ascii="Arial;sans-serif" w:hAnsi="Arial;sans-serif"/>
                <w:b w:val="false"/>
                <w:color w:val="000000"/>
                <w:sz w:val="16"/>
              </w:rPr>
              <w:t>6,097,598</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739140"/>
                <wp:effectExtent l="0" t="0" r="0" b="0"/>
                <wp:wrapNone/>
                <wp:docPr id="174" name="Frame53"/>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292" w:type="dxa"/>
                              <w:jc w:val="right"/>
                              <w:tblInd w:w="0" w:type="dxa"/>
                              <w:tblLayout w:type="fixed"/>
                              <w:tblCellMar>
                                <w:top w:w="28" w:type="dxa"/>
                                <w:left w:w="28" w:type="dxa"/>
                                <w:bottom w:w="28" w:type="dxa"/>
                                <w:right w:w="28" w:type="dxa"/>
                              </w:tblCellMar>
                            </w:tblPr>
                            <w:tblGrid>
                              <w:gridCol w:w="292"/>
                              <w:gridCol w:w="256"/>
                              <w:gridCol w:w="258"/>
                              <w:gridCol w:w="704"/>
                              <w:gridCol w:w="704"/>
                              <w:gridCol w:w="706"/>
                              <w:gridCol w:w="109"/>
                              <w:gridCol w:w="109"/>
                              <w:gridCol w:w="154"/>
                            </w:tblGrid>
                            <w:tr>
                              <w:trPr/>
                              <w:tc>
                                <w:tcPr>
                                  <w:tcW w:w="29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0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175" name="Image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 name="Image76" descr=""/>
                                                <pic:cNvPicPr>
                                                  <a:picLocks noChangeAspect="1" noChangeArrowheads="1"/>
                                                </pic:cNvPicPr>
                                              </pic:nvPicPr>
                                              <pic:blipFill>
                                                <a:blip r:embed="rId123"/>
                                                <a:stretch>
                                                  <a:fillRect/>
                                                </a:stretch>
                                              </pic:blipFill>
                                              <pic:spPr bwMode="auto">
                                                <a:xfrm>
                                                  <a:off x="0" y="0"/>
                                                  <a:ext cx="447675" cy="161925"/>
                                                </a:xfrm>
                                                <a:prstGeom prst="rect">
                                                  <a:avLst/>
                                                </a:prstGeom>
                                              </pic:spPr>
                                            </pic:pic>
                                          </a:graphicData>
                                        </a:graphic>
                                      </wp:inline>
                                    </w:drawing>
                                  </w:r>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2024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000000"/>
                                      <w:sz w:val="16"/>
                                    </w:rPr>
                                  </w:pPr>
                                  <w:r>
                                    <w:rPr>
                                      <w:rFonts w:ascii="Arial;sans-serif" w:hAnsi="Arial;sans-serif"/>
                                      <w:b/>
                                      <w:color w:val="000000"/>
                                      <w:sz w:val="16"/>
                                    </w:rPr>
                                    <w:t>47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292" w:type="dxa"/>
                        <w:jc w:val="right"/>
                        <w:tblInd w:w="0" w:type="dxa"/>
                        <w:tblLayout w:type="fixed"/>
                        <w:tblCellMar>
                          <w:top w:w="28" w:type="dxa"/>
                          <w:left w:w="28" w:type="dxa"/>
                          <w:bottom w:w="28" w:type="dxa"/>
                          <w:right w:w="28" w:type="dxa"/>
                        </w:tblCellMar>
                      </w:tblPr>
                      <w:tblGrid>
                        <w:gridCol w:w="292"/>
                        <w:gridCol w:w="256"/>
                        <w:gridCol w:w="258"/>
                        <w:gridCol w:w="704"/>
                        <w:gridCol w:w="704"/>
                        <w:gridCol w:w="706"/>
                        <w:gridCol w:w="109"/>
                        <w:gridCol w:w="109"/>
                        <w:gridCol w:w="154"/>
                      </w:tblGrid>
                      <w:tr>
                        <w:trPr/>
                        <w:tc>
                          <w:tcPr>
                            <w:tcW w:w="29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0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176" name="Image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 name="Image76" descr=""/>
                                          <pic:cNvPicPr>
                                            <a:picLocks noChangeAspect="1" noChangeArrowheads="1"/>
                                          </pic:cNvPicPr>
                                        </pic:nvPicPr>
                                        <pic:blipFill>
                                          <a:blip r:embed="rId124"/>
                                          <a:stretch>
                                            <a:fillRect/>
                                          </a:stretch>
                                        </pic:blipFill>
                                        <pic:spPr bwMode="auto">
                                          <a:xfrm>
                                            <a:off x="0" y="0"/>
                                            <a:ext cx="447675" cy="161925"/>
                                          </a:xfrm>
                                          <a:prstGeom prst="rect">
                                            <a:avLst/>
                                          </a:prstGeom>
                                        </pic:spPr>
                                      </pic:pic>
                                    </a:graphicData>
                                  </a:graphic>
                                </wp:inline>
                              </w:drawing>
                            </w:r>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2024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000000"/>
                                <w:sz w:val="16"/>
                              </w:rPr>
                            </w:pPr>
                            <w:r>
                              <w:rPr>
                                <w:rFonts w:ascii="Arial;sans-serif" w:hAnsi="Arial;sans-serif"/>
                                <w:b/>
                                <w:color w:val="000000"/>
                                <w:sz w:val="16"/>
                              </w:rPr>
                              <w:t>47</w:t>
                            </w:r>
                          </w:p>
                        </w:tc>
                      </w:tr>
                    </w:tbl>
                    <w:p>
                      <w:pPr>
                        <w:pStyle w:val="TextBody"/>
                        <w:bidi w:val="0"/>
                        <w:spacing w:before="0" w:after="283"/>
                        <w:jc w:val="left"/>
                        <w:rPr/>
                      </w:pPr>
                      <w:r>
                        <w:rPr/>
                      </w:r>
                    </w:p>
                  </w:txbxContent>
                </v:textbox>
                <w10:wrap type="none"/>
              </v:rect>
            </w:pict>
          </mc:Fallback>
        </mc:AlternateContent>
      </w:r>
    </w:p>
    <w:tbl>
      <w:tblPr>
        <w:tblW w:w="2459" w:type="dxa"/>
        <w:jc w:val="right"/>
        <w:tblInd w:w="0" w:type="dxa"/>
        <w:tblLayout w:type="fixed"/>
        <w:tblCellMar>
          <w:top w:w="28" w:type="dxa"/>
          <w:left w:w="28" w:type="dxa"/>
          <w:bottom w:w="28" w:type="dxa"/>
          <w:right w:w="28" w:type="dxa"/>
        </w:tblCellMar>
      </w:tblPr>
      <w:tblGrid>
        <w:gridCol w:w="786"/>
        <w:gridCol w:w="691"/>
        <w:gridCol w:w="982"/>
      </w:tblGrid>
      <w:tr>
        <w:trPr/>
        <w:tc>
          <w:tcPr>
            <w:tcW w:w="78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r>
      <w:tr>
        <w:trPr/>
        <w:tc>
          <w:tcPr>
            <w:tcW w:w="2459" w:type="dxa"/>
            <w:gridSpan w:val="3"/>
            <w:tcBorders>
              <w:bottom w:val="single" w:sz="4" w:space="0" w:color="004C97"/>
            </w:tcBorders>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4C97"/>
                <w:sz w:val="16"/>
              </w:rPr>
            </w:pPr>
            <w:r>
              <w:rPr>
                <w:rFonts w:ascii="Arial;sans-serif" w:hAnsi="Arial;sans-serif"/>
                <w:b w:val="false"/>
                <w:color w:val="004C97"/>
                <w:sz w:val="16"/>
              </w:rPr>
              <w:t>EXECUTIVE COMPENSATION</w:t>
            </w:r>
          </w:p>
        </w:tc>
      </w:tr>
    </w:tbl>
    <w:tbl>
      <w:tblPr>
        <w:tblW w:w="10205" w:type="dxa"/>
        <w:jc w:val="left"/>
        <w:tblInd w:w="0" w:type="dxa"/>
        <w:tblLayout w:type="fixed"/>
        <w:tblCellMar>
          <w:top w:w="28" w:type="dxa"/>
          <w:left w:w="28" w:type="dxa"/>
          <w:bottom w:w="28" w:type="dxa"/>
          <w:right w:w="28" w:type="dxa"/>
        </w:tblCellMar>
      </w:tblPr>
      <w:tblGrid>
        <w:gridCol w:w="728"/>
        <w:gridCol w:w="312"/>
        <w:gridCol w:w="313"/>
        <w:gridCol w:w="649"/>
        <w:gridCol w:w="649"/>
        <w:gridCol w:w="651"/>
        <w:gridCol w:w="534"/>
        <w:gridCol w:w="534"/>
        <w:gridCol w:w="538"/>
        <w:gridCol w:w="534"/>
        <w:gridCol w:w="534"/>
        <w:gridCol w:w="538"/>
        <w:gridCol w:w="706"/>
        <w:gridCol w:w="657"/>
        <w:gridCol w:w="659"/>
        <w:gridCol w:w="520"/>
        <w:gridCol w:w="472"/>
        <w:gridCol w:w="677"/>
      </w:tblGrid>
      <w:tr>
        <w:trPr/>
        <w:tc>
          <w:tcPr>
            <w:tcW w:w="728"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r>
      <w:tr>
        <w:trPr/>
        <w:tc>
          <w:tcPr>
            <w:tcW w:w="1353" w:type="dxa"/>
            <w:gridSpan w:val="3"/>
            <w:tcBorders>
              <w:top w:val="single" w:sz="4" w:space="0" w:color="000000"/>
              <w:left w:val="single" w:sz="4" w:space="0" w:color="000000"/>
            </w:tcBorders>
            <w:shd w:fill="004C97" w:val="clear"/>
            <w:tcMar>
              <w:top w:w="30" w:type="dxa"/>
              <w:bottom w:w="0" w:type="dxa"/>
              <w:right w:w="0" w:type="dxa"/>
            </w:tcMar>
            <w:vAlign w:val="center"/>
          </w:tcPr>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John W. Swann, III</w:t>
            </w:r>
          </w:p>
        </w:tc>
        <w:tc>
          <w:tcPr>
            <w:tcW w:w="1949" w:type="dxa"/>
            <w:gridSpan w:val="3"/>
            <w:tcBorders>
              <w:top w:val="single" w:sz="4" w:space="0" w:color="000000"/>
              <w:left w:val="single" w:sz="4" w:space="0" w:color="000000"/>
            </w:tcBorders>
            <w:shd w:fill="004C97" w:val="clear"/>
            <w:tcMar>
              <w:top w:w="30" w:type="dxa"/>
              <w:bottom w:w="0" w:type="dxa"/>
              <w:right w:w="0" w:type="dxa"/>
            </w:tcMar>
            <w:vAlign w:val="center"/>
          </w:tcPr>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(a) Voluntary Resignation or (b) Involuntary Termination for Cause ($)</w:t>
            </w:r>
          </w:p>
        </w:tc>
        <w:tc>
          <w:tcPr>
            <w:tcW w:w="1606" w:type="dxa"/>
            <w:gridSpan w:val="3"/>
            <w:tcBorders>
              <w:top w:val="single" w:sz="4" w:space="0" w:color="000000"/>
              <w:left w:val="single" w:sz="4" w:space="0" w:color="000000"/>
            </w:tcBorders>
            <w:shd w:fill="004C97" w:val="clear"/>
            <w:tcMar>
              <w:top w:w="30" w:type="dxa"/>
              <w:bottom w:w="0" w:type="dxa"/>
              <w:right w:w="0" w:type="dxa"/>
            </w:tcMar>
            <w:vAlign w:val="center"/>
          </w:tcPr>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Disability ($)</w:t>
            </w:r>
          </w:p>
        </w:tc>
        <w:tc>
          <w:tcPr>
            <w:tcW w:w="1606" w:type="dxa"/>
            <w:gridSpan w:val="3"/>
            <w:tcBorders>
              <w:top w:val="single" w:sz="4" w:space="0" w:color="000000"/>
              <w:left w:val="single" w:sz="4" w:space="0" w:color="000000"/>
            </w:tcBorders>
            <w:shd w:fill="004C97" w:val="clear"/>
            <w:tcMar>
              <w:top w:w="30" w:type="dxa"/>
              <w:bottom w:w="0" w:type="dxa"/>
              <w:right w:w="0" w:type="dxa"/>
            </w:tcMar>
            <w:vAlign w:val="center"/>
          </w:tcPr>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Death</w:t>
            </w:r>
          </w:p>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Pre-retirement ($)</w:t>
            </w:r>
          </w:p>
        </w:tc>
        <w:tc>
          <w:tcPr>
            <w:tcW w:w="2022" w:type="dxa"/>
            <w:gridSpan w:val="3"/>
            <w:tcBorders>
              <w:top w:val="single" w:sz="4" w:space="0" w:color="000000"/>
              <w:left w:val="single" w:sz="4" w:space="0" w:color="000000"/>
            </w:tcBorders>
            <w:shd w:fill="004C97" w:val="clear"/>
            <w:tcMar>
              <w:top w:w="30" w:type="dxa"/>
              <w:bottom w:w="0" w:type="dxa"/>
              <w:right w:w="0" w:type="dxa"/>
            </w:tcMar>
            <w:vAlign w:val="center"/>
          </w:tcPr>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Involuntary Without Cause/ Voluntary Resignation for Good Reason ($)</w:t>
            </w:r>
          </w:p>
        </w:tc>
        <w:tc>
          <w:tcPr>
            <w:tcW w:w="1669" w:type="dxa"/>
            <w:gridSpan w:val="3"/>
            <w:tcBorders>
              <w:top w:val="single" w:sz="4" w:space="0" w:color="000000"/>
              <w:left w:val="single" w:sz="4" w:space="0" w:color="000000"/>
              <w:right w:val="single" w:sz="4" w:space="0" w:color="000000"/>
            </w:tcBorders>
            <w:shd w:fill="004C97" w:val="clear"/>
            <w:tcMar>
              <w:top w:w="30" w:type="dxa"/>
              <w:bottom w:w="0" w:type="dxa"/>
            </w:tcMar>
            <w:vAlign w:val="center"/>
          </w:tcPr>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Termination Following Change in Control ($)</w:t>
            </w:r>
          </w:p>
        </w:tc>
      </w:tr>
      <w:tr>
        <w:trPr/>
        <w:tc>
          <w:tcPr>
            <w:tcW w:w="1353" w:type="dxa"/>
            <w:gridSpan w:val="3"/>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Salary</w:t>
            </w:r>
          </w:p>
        </w:tc>
        <w:tc>
          <w:tcPr>
            <w:tcW w:w="1298" w:type="dxa"/>
            <w:gridSpan w:val="2"/>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51" w:type="dxa"/>
            <w:tcBorders>
              <w:top w:val="single" w:sz="4" w:space="0" w:color="000000"/>
            </w:tcBorders>
            <w:shd w:fill="E6E7E8"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3"/>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0"/>
              <w:jc w:val="left"/>
              <w:rPr>
                <w:color w:val="000000"/>
              </w:rPr>
            </w:pPr>
            <w:r>
              <w:rPr>
                <w:color w:val="000000"/>
              </w:rPr>
              <w:t>                     —</w:t>
            </w:r>
          </w:p>
        </w:tc>
        <w:tc>
          <w:tcPr>
            <w:tcW w:w="1606" w:type="dxa"/>
            <w:gridSpan w:val="3"/>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0"/>
              <w:jc w:val="left"/>
              <w:rPr>
                <w:color w:val="000000"/>
              </w:rPr>
            </w:pPr>
            <w:r>
              <w:rPr>
                <w:color w:val="000000"/>
              </w:rPr>
              <w:t>                     —</w:t>
            </w:r>
          </w:p>
        </w:tc>
        <w:tc>
          <w:tcPr>
            <w:tcW w:w="2022" w:type="dxa"/>
            <w:gridSpan w:val="3"/>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0"/>
              <w:jc w:val="right"/>
              <w:rPr/>
            </w:pPr>
            <w:r>
              <w:rPr>
                <w:rFonts w:ascii="Arial;sans-serif" w:hAnsi="Arial;sans-serif"/>
                <w:b w:val="false"/>
                <w:color w:val="000000"/>
                <w:sz w:val="16"/>
              </w:rPr>
              <w:t xml:space="preserve">576,800 </w:t>
            </w:r>
            <w:r>
              <w:rPr>
                <w:rFonts w:ascii="Arial;sans-serif" w:hAnsi="Arial;sans-serif"/>
                <w:b w:val="false"/>
                <w:color w:val="000000"/>
                <w:sz w:val="10"/>
              </w:rPr>
              <w:t>(11)</w:t>
            </w:r>
          </w:p>
        </w:tc>
        <w:tc>
          <w:tcPr>
            <w:tcW w:w="1669" w:type="dxa"/>
            <w:gridSpan w:val="3"/>
            <w:tcBorders>
              <w:top w:val="single" w:sz="4" w:space="0" w:color="000000"/>
              <w:left w:val="single" w:sz="4" w:space="0" w:color="000000"/>
              <w:right w:val="single" w:sz="4" w:space="0" w:color="000000"/>
            </w:tcBorders>
            <w:shd w:fill="E6E7E8" w:val="clear"/>
            <w:tcMar>
              <w:top w:w="30" w:type="dxa"/>
              <w:bottom w:w="0" w:type="dxa"/>
            </w:tcMar>
            <w:vAlign w:val="center"/>
          </w:tcPr>
          <w:p>
            <w:pPr>
              <w:pStyle w:val="TableContents"/>
              <w:bidi w:val="0"/>
              <w:spacing w:lineRule="auto" w:line="288" w:before="0" w:after="0"/>
              <w:jc w:val="right"/>
              <w:rPr/>
            </w:pPr>
            <w:r>
              <w:rPr>
                <w:rFonts w:ascii="Arial;sans-serif" w:hAnsi="Arial;sans-serif"/>
                <w:b w:val="false"/>
                <w:color w:val="000000"/>
                <w:sz w:val="16"/>
              </w:rPr>
              <w:t xml:space="preserve">1,153,600 </w:t>
            </w:r>
            <w:r>
              <w:rPr>
                <w:rFonts w:ascii="Arial;sans-serif" w:hAnsi="Arial;sans-serif"/>
                <w:b w:val="false"/>
                <w:color w:val="000000"/>
                <w:sz w:val="10"/>
              </w:rPr>
              <w:t>(1)</w:t>
            </w:r>
          </w:p>
        </w:tc>
      </w:tr>
      <w:tr>
        <w:trPr/>
        <w:tc>
          <w:tcPr>
            <w:tcW w:w="135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Bonus</w:t>
            </w:r>
          </w:p>
        </w:tc>
        <w:tc>
          <w:tcPr>
            <w:tcW w:w="1298" w:type="dxa"/>
            <w:gridSpan w:val="2"/>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51"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right"/>
              <w:rPr/>
            </w:pPr>
            <w:r>
              <w:rPr>
                <w:rFonts w:ascii="Arial;sans-serif" w:hAnsi="Arial;sans-serif"/>
                <w:b w:val="false"/>
                <w:color w:val="000000"/>
                <w:sz w:val="16"/>
              </w:rPr>
              <w:t xml:space="preserve">403,760 </w:t>
            </w:r>
            <w:r>
              <w:rPr>
                <w:rFonts w:ascii="Arial;sans-serif" w:hAnsi="Arial;sans-serif"/>
                <w:b w:val="false"/>
                <w:color w:val="000000"/>
                <w:sz w:val="10"/>
              </w:rPr>
              <w:t>(3)</w:t>
            </w:r>
          </w:p>
        </w:tc>
        <w:tc>
          <w:tcPr>
            <w:tcW w:w="160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right"/>
              <w:rPr/>
            </w:pPr>
            <w:r>
              <w:rPr>
                <w:rFonts w:ascii="Arial;sans-serif" w:hAnsi="Arial;sans-serif"/>
                <w:b w:val="false"/>
                <w:color w:val="000000"/>
                <w:sz w:val="16"/>
              </w:rPr>
              <w:t xml:space="preserve">403,760 </w:t>
            </w:r>
            <w:r>
              <w:rPr>
                <w:rFonts w:ascii="Arial;sans-serif" w:hAnsi="Arial;sans-serif"/>
                <w:b w:val="false"/>
                <w:color w:val="000000"/>
                <w:sz w:val="10"/>
              </w:rPr>
              <w:t>(3)</w:t>
            </w:r>
          </w:p>
        </w:tc>
        <w:tc>
          <w:tcPr>
            <w:tcW w:w="202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right"/>
              <w:rPr/>
            </w:pPr>
            <w:r>
              <w:rPr>
                <w:rFonts w:ascii="Arial;sans-serif" w:hAnsi="Arial;sans-serif"/>
                <w:b w:val="false"/>
                <w:color w:val="000000"/>
                <w:sz w:val="16"/>
              </w:rPr>
              <w:t xml:space="preserve">654,071 </w:t>
            </w:r>
            <w:r>
              <w:rPr>
                <w:rFonts w:ascii="Arial;sans-serif" w:hAnsi="Arial;sans-serif"/>
                <w:b w:val="false"/>
                <w:color w:val="000000"/>
                <w:sz w:val="10"/>
              </w:rPr>
              <w:t>(12)</w:t>
            </w:r>
          </w:p>
        </w:tc>
        <w:tc>
          <w:tcPr>
            <w:tcW w:w="166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right"/>
              <w:rPr/>
            </w:pPr>
            <w:r>
              <w:rPr>
                <w:rFonts w:ascii="Arial;sans-serif" w:hAnsi="Arial;sans-serif"/>
                <w:b w:val="false"/>
                <w:color w:val="000000"/>
                <w:sz w:val="16"/>
              </w:rPr>
              <w:t xml:space="preserve">1,308,141 </w:t>
            </w:r>
            <w:r>
              <w:rPr>
                <w:rFonts w:ascii="Arial;sans-serif" w:hAnsi="Arial;sans-serif"/>
                <w:b w:val="false"/>
                <w:color w:val="000000"/>
                <w:sz w:val="10"/>
              </w:rPr>
              <w:t>(4)</w:t>
            </w:r>
          </w:p>
        </w:tc>
      </w:tr>
      <w:tr>
        <w:trPr/>
        <w:tc>
          <w:tcPr>
            <w:tcW w:w="1353" w:type="dxa"/>
            <w:gridSpan w:val="3"/>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Value of Accelerated Equity</w:t>
            </w:r>
          </w:p>
        </w:tc>
        <w:tc>
          <w:tcPr>
            <w:tcW w:w="1298" w:type="dxa"/>
            <w:gridSpan w:val="2"/>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51" w:type="dxa"/>
            <w:tcBorders>
              <w:top w:val="single" w:sz="4" w:space="0" w:color="000000"/>
            </w:tcBorders>
            <w:shd w:fill="E6E7E8"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3"/>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0"/>
              <w:jc w:val="right"/>
              <w:rPr/>
            </w:pPr>
            <w:r>
              <w:rPr>
                <w:rFonts w:ascii="Arial;sans-serif" w:hAnsi="Arial;sans-serif"/>
                <w:b w:val="false"/>
                <w:color w:val="000000"/>
                <w:sz w:val="16"/>
              </w:rPr>
              <w:t xml:space="preserve">3,028,727 </w:t>
            </w:r>
            <w:r>
              <w:rPr>
                <w:rFonts w:ascii="Arial;sans-serif" w:hAnsi="Arial;sans-serif"/>
                <w:b w:val="false"/>
                <w:color w:val="000000"/>
                <w:sz w:val="10"/>
              </w:rPr>
              <w:t>(6)</w:t>
            </w:r>
          </w:p>
        </w:tc>
        <w:tc>
          <w:tcPr>
            <w:tcW w:w="1606" w:type="dxa"/>
            <w:gridSpan w:val="3"/>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0"/>
              <w:jc w:val="right"/>
              <w:rPr/>
            </w:pPr>
            <w:r>
              <w:rPr>
                <w:rFonts w:ascii="Arial;sans-serif" w:hAnsi="Arial;sans-serif"/>
                <w:b w:val="false"/>
                <w:color w:val="000000"/>
                <w:sz w:val="16"/>
              </w:rPr>
              <w:t xml:space="preserve">3,028,727 </w:t>
            </w:r>
            <w:r>
              <w:rPr>
                <w:rFonts w:ascii="Arial;sans-serif" w:hAnsi="Arial;sans-serif"/>
                <w:b w:val="false"/>
                <w:color w:val="000000"/>
                <w:sz w:val="10"/>
              </w:rPr>
              <w:t>(6)</w:t>
            </w:r>
          </w:p>
        </w:tc>
        <w:tc>
          <w:tcPr>
            <w:tcW w:w="2022" w:type="dxa"/>
            <w:gridSpan w:val="3"/>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0"/>
              <w:jc w:val="right"/>
              <w:rPr/>
            </w:pPr>
            <w:r>
              <w:rPr>
                <w:rFonts w:ascii="Arial;sans-serif" w:hAnsi="Arial;sans-serif"/>
                <w:b w:val="false"/>
                <w:color w:val="000000"/>
                <w:sz w:val="16"/>
              </w:rPr>
              <w:t xml:space="preserve">1,264,668 </w:t>
            </w:r>
            <w:r>
              <w:rPr>
                <w:rFonts w:ascii="Arial;sans-serif" w:hAnsi="Arial;sans-serif"/>
                <w:b w:val="false"/>
                <w:color w:val="000000"/>
                <w:sz w:val="10"/>
              </w:rPr>
              <w:t>(7)</w:t>
            </w:r>
          </w:p>
        </w:tc>
        <w:tc>
          <w:tcPr>
            <w:tcW w:w="1669" w:type="dxa"/>
            <w:gridSpan w:val="3"/>
            <w:tcBorders>
              <w:top w:val="single" w:sz="4" w:space="0" w:color="000000"/>
              <w:left w:val="single" w:sz="4" w:space="0" w:color="000000"/>
              <w:right w:val="single" w:sz="4" w:space="0" w:color="000000"/>
            </w:tcBorders>
            <w:shd w:fill="E6E7E8" w:val="clear"/>
            <w:tcMar>
              <w:top w:w="30" w:type="dxa"/>
              <w:bottom w:w="0" w:type="dxa"/>
            </w:tcMar>
            <w:vAlign w:val="center"/>
          </w:tcPr>
          <w:p>
            <w:pPr>
              <w:pStyle w:val="TableContents"/>
              <w:bidi w:val="0"/>
              <w:spacing w:lineRule="auto" w:line="288" w:before="0" w:after="0"/>
              <w:jc w:val="right"/>
              <w:rPr/>
            </w:pPr>
            <w:r>
              <w:rPr>
                <w:rFonts w:ascii="Arial;sans-serif" w:hAnsi="Arial;sans-serif"/>
                <w:b w:val="false"/>
                <w:color w:val="000000"/>
                <w:sz w:val="16"/>
              </w:rPr>
              <w:t xml:space="preserve">3,028,727 </w:t>
            </w:r>
            <w:r>
              <w:rPr>
                <w:rFonts w:ascii="Arial;sans-serif" w:hAnsi="Arial;sans-serif"/>
                <w:b w:val="false"/>
                <w:color w:val="000000"/>
                <w:sz w:val="10"/>
              </w:rPr>
              <w:t>(6)</w:t>
            </w:r>
          </w:p>
        </w:tc>
      </w:tr>
      <w:tr>
        <w:trPr/>
        <w:tc>
          <w:tcPr>
            <w:tcW w:w="135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All Other Compensation</w:t>
            </w:r>
          </w:p>
        </w:tc>
        <w:tc>
          <w:tcPr>
            <w:tcW w:w="1298" w:type="dxa"/>
            <w:gridSpan w:val="2"/>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70,996 </w:t>
            </w:r>
          </w:p>
        </w:tc>
        <w:tc>
          <w:tcPr>
            <w:tcW w:w="651"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right"/>
              <w:rPr/>
            </w:pPr>
            <w:r>
              <w:rPr>
                <w:rFonts w:ascii="Arial;sans-serif" w:hAnsi="Arial;sans-serif"/>
                <w:b w:val="false"/>
                <w:color w:val="000000"/>
                <w:sz w:val="16"/>
              </w:rPr>
              <w:t xml:space="preserve">70,996 </w:t>
            </w:r>
            <w:r>
              <w:rPr>
                <w:rFonts w:ascii="Arial;sans-serif" w:hAnsi="Arial;sans-serif"/>
                <w:b w:val="false"/>
                <w:color w:val="000000"/>
                <w:sz w:val="10"/>
              </w:rPr>
              <w:t>(8)</w:t>
            </w:r>
          </w:p>
        </w:tc>
        <w:tc>
          <w:tcPr>
            <w:tcW w:w="160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right"/>
              <w:rPr/>
            </w:pPr>
            <w:r>
              <w:rPr>
                <w:rFonts w:ascii="Arial;sans-serif" w:hAnsi="Arial;sans-serif"/>
                <w:b w:val="false"/>
                <w:color w:val="000000"/>
                <w:sz w:val="16"/>
              </w:rPr>
              <w:t xml:space="preserve">70,996 </w:t>
            </w:r>
            <w:r>
              <w:rPr>
                <w:rFonts w:ascii="Arial;sans-serif" w:hAnsi="Arial;sans-serif"/>
                <w:b w:val="false"/>
                <w:color w:val="000000"/>
                <w:sz w:val="10"/>
              </w:rPr>
              <w:t>(8)</w:t>
            </w:r>
          </w:p>
        </w:tc>
        <w:tc>
          <w:tcPr>
            <w:tcW w:w="202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right"/>
              <w:rPr/>
            </w:pPr>
            <w:r>
              <w:rPr>
                <w:rFonts w:ascii="Arial;sans-serif" w:hAnsi="Arial;sans-serif"/>
                <w:b w:val="false"/>
                <w:color w:val="000000"/>
                <w:sz w:val="16"/>
              </w:rPr>
              <w:t xml:space="preserve">138,440 </w:t>
            </w:r>
            <w:r>
              <w:rPr>
                <w:rFonts w:ascii="Arial;sans-serif" w:hAnsi="Arial;sans-serif"/>
                <w:b w:val="false"/>
                <w:color w:val="000000"/>
                <w:sz w:val="10"/>
              </w:rPr>
              <w:t>(13)</w:t>
            </w:r>
          </w:p>
        </w:tc>
        <w:tc>
          <w:tcPr>
            <w:tcW w:w="166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right"/>
              <w:rPr/>
            </w:pPr>
            <w:r>
              <w:rPr>
                <w:rFonts w:ascii="Arial;sans-serif" w:hAnsi="Arial;sans-serif"/>
                <w:b w:val="false"/>
                <w:color w:val="000000"/>
                <w:sz w:val="16"/>
              </w:rPr>
              <w:t xml:space="preserve">170,884 </w:t>
            </w:r>
            <w:r>
              <w:rPr>
                <w:rFonts w:ascii="Arial;sans-serif" w:hAnsi="Arial;sans-serif"/>
                <w:b w:val="false"/>
                <w:color w:val="000000"/>
                <w:sz w:val="10"/>
              </w:rPr>
              <w:t>(14)</w:t>
            </w:r>
          </w:p>
        </w:tc>
      </w:tr>
      <w:tr>
        <w:trPr/>
        <w:tc>
          <w:tcPr>
            <w:tcW w:w="1353" w:type="dxa"/>
            <w:gridSpan w:val="3"/>
            <w:tcBorders>
              <w:top w:val="single" w:sz="4" w:space="0" w:color="000000"/>
              <w:left w:val="single" w:sz="4" w:space="0" w:color="000000"/>
              <w:bottom w:val="single" w:sz="8" w:space="0" w:color="000000"/>
            </w:tcBorders>
            <w:shd w:fill="E6E7E8" w:val="clear"/>
            <w:tcMar>
              <w:top w:w="30" w:type="dxa"/>
              <w:bottom w:w="3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Total</w:t>
            </w:r>
          </w:p>
        </w:tc>
        <w:tc>
          <w:tcPr>
            <w:tcW w:w="1298" w:type="dxa"/>
            <w:gridSpan w:val="2"/>
            <w:tcBorders>
              <w:top w:val="single" w:sz="4" w:space="0" w:color="000000"/>
              <w:left w:val="single" w:sz="4" w:space="0" w:color="000000"/>
              <w:bottom w:val="single" w:sz="8" w:space="0" w:color="000000"/>
            </w:tcBorders>
            <w:shd w:fill="E6E7E8" w:val="clear"/>
            <w:tcMar>
              <w:top w:w="3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70,996 </w:t>
            </w:r>
          </w:p>
        </w:tc>
        <w:tc>
          <w:tcPr>
            <w:tcW w:w="651" w:type="dxa"/>
            <w:tcBorders>
              <w:top w:val="single" w:sz="4" w:space="0" w:color="000000"/>
              <w:bottom w:val="single" w:sz="8" w:space="0" w:color="000000"/>
            </w:tcBorders>
            <w:shd w:fill="E6E7E8"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606" w:type="dxa"/>
            <w:gridSpan w:val="3"/>
            <w:tcBorders>
              <w:top w:val="single" w:sz="4" w:space="0" w:color="000000"/>
              <w:left w:val="single" w:sz="4" w:space="0" w:color="000000"/>
              <w:bottom w:val="single" w:sz="8" w:space="0" w:color="000000"/>
            </w:tcBorders>
            <w:shd w:fill="E6E7E8" w:val="clear"/>
            <w:tcMar>
              <w:top w:w="30" w:type="dxa"/>
              <w:bottom w:w="30" w:type="dxa"/>
              <w:right w:w="0" w:type="dxa"/>
            </w:tcMar>
            <w:vAlign w:val="center"/>
          </w:tcPr>
          <w:p>
            <w:pPr>
              <w:pStyle w:val="TableContents"/>
              <w:bidi w:val="0"/>
              <w:spacing w:lineRule="auto" w:line="288" w:before="0" w:after="0"/>
              <w:jc w:val="center"/>
              <w:rPr>
                <w:color w:val="000000"/>
              </w:rPr>
            </w:pPr>
            <w:r>
              <w:rPr>
                <w:color w:val="000000"/>
              </w:rPr>
              <w:t>     </w:t>
            </w:r>
            <w:r>
              <w:rPr>
                <w:rFonts w:ascii="Arial;sans-serif" w:hAnsi="Arial;sans-serif"/>
                <w:b w:val="false"/>
                <w:color w:val="000000"/>
                <w:sz w:val="16"/>
              </w:rPr>
              <w:t>3,503,483</w:t>
            </w:r>
          </w:p>
        </w:tc>
        <w:tc>
          <w:tcPr>
            <w:tcW w:w="1606" w:type="dxa"/>
            <w:gridSpan w:val="3"/>
            <w:tcBorders>
              <w:top w:val="single" w:sz="4" w:space="0" w:color="000000"/>
              <w:left w:val="single" w:sz="4" w:space="0" w:color="000000"/>
              <w:bottom w:val="single" w:sz="8" w:space="0" w:color="000000"/>
            </w:tcBorders>
            <w:shd w:fill="E6E7E8" w:val="clear"/>
            <w:tcMar>
              <w:top w:w="30" w:type="dxa"/>
              <w:bottom w:w="30" w:type="dxa"/>
              <w:right w:w="0" w:type="dxa"/>
            </w:tcMar>
            <w:vAlign w:val="center"/>
          </w:tcPr>
          <w:p>
            <w:pPr>
              <w:pStyle w:val="TableContents"/>
              <w:bidi w:val="0"/>
              <w:spacing w:lineRule="auto" w:line="288" w:before="0" w:after="0"/>
              <w:jc w:val="center"/>
              <w:rPr>
                <w:color w:val="000000"/>
              </w:rPr>
            </w:pPr>
            <w:r>
              <w:rPr>
                <w:color w:val="000000"/>
              </w:rPr>
              <w:t>     </w:t>
            </w:r>
            <w:r>
              <w:rPr>
                <w:rFonts w:ascii="Arial;sans-serif" w:hAnsi="Arial;sans-serif"/>
                <w:b w:val="false"/>
                <w:color w:val="000000"/>
                <w:sz w:val="16"/>
              </w:rPr>
              <w:t>3,503,483</w:t>
            </w:r>
          </w:p>
        </w:tc>
        <w:tc>
          <w:tcPr>
            <w:tcW w:w="2022" w:type="dxa"/>
            <w:gridSpan w:val="3"/>
            <w:tcBorders>
              <w:top w:val="single" w:sz="4" w:space="0" w:color="000000"/>
              <w:left w:val="single" w:sz="4" w:space="0" w:color="000000"/>
              <w:bottom w:val="single" w:sz="8" w:space="0" w:color="000000"/>
            </w:tcBorders>
            <w:shd w:fill="E6E7E8" w:val="clear"/>
            <w:tcMar>
              <w:top w:w="30" w:type="dxa"/>
              <w:bottom w:w="30" w:type="dxa"/>
              <w:right w:w="0" w:type="dxa"/>
            </w:tcMar>
            <w:vAlign w:val="center"/>
          </w:tcPr>
          <w:p>
            <w:pPr>
              <w:pStyle w:val="TableContents"/>
              <w:bidi w:val="0"/>
              <w:spacing w:lineRule="auto" w:line="288" w:before="0" w:after="0"/>
              <w:jc w:val="center"/>
              <w:rPr>
                <w:color w:val="000000"/>
              </w:rPr>
            </w:pPr>
            <w:r>
              <w:rPr>
                <w:color w:val="000000"/>
              </w:rPr>
              <w:t>     </w:t>
            </w:r>
            <w:r>
              <w:rPr>
                <w:rFonts w:ascii="Arial;sans-serif" w:hAnsi="Arial;sans-serif"/>
                <w:b w:val="false"/>
                <w:color w:val="000000"/>
                <w:sz w:val="16"/>
              </w:rPr>
              <w:t>2,633,979</w:t>
            </w:r>
          </w:p>
        </w:tc>
        <w:tc>
          <w:tcPr>
            <w:tcW w:w="1669" w:type="dxa"/>
            <w:gridSpan w:val="3"/>
            <w:tcBorders>
              <w:top w:val="single" w:sz="4" w:space="0" w:color="000000"/>
              <w:left w:val="single" w:sz="4" w:space="0" w:color="000000"/>
              <w:bottom w:val="single" w:sz="8" w:space="0" w:color="000000"/>
              <w:right w:val="single" w:sz="4" w:space="0" w:color="000000"/>
            </w:tcBorders>
            <w:shd w:fill="E6E7E8" w:val="clear"/>
            <w:tcMar>
              <w:top w:w="30" w:type="dxa"/>
              <w:bottom w:w="30" w:type="dxa"/>
            </w:tcMar>
            <w:vAlign w:val="center"/>
          </w:tcPr>
          <w:p>
            <w:pPr>
              <w:pStyle w:val="TableContents"/>
              <w:bidi w:val="0"/>
              <w:spacing w:lineRule="auto" w:line="288" w:before="0" w:after="0"/>
              <w:jc w:val="center"/>
              <w:rPr>
                <w:color w:val="000000"/>
              </w:rPr>
            </w:pPr>
            <w:r>
              <w:rPr>
                <w:color w:val="000000"/>
              </w:rPr>
              <w:t>     </w:t>
            </w:r>
            <w:r>
              <w:rPr>
                <w:rFonts w:ascii="Arial;sans-serif" w:hAnsi="Arial;sans-serif"/>
                <w:b w:val="false"/>
                <w:color w:val="000000"/>
                <w:sz w:val="16"/>
              </w:rPr>
              <w:t>5,661,352</w:t>
            </w:r>
          </w:p>
        </w:tc>
      </w:tr>
    </w:tbl>
    <w:tbl>
      <w:tblPr>
        <w:tblW w:w="10205" w:type="dxa"/>
        <w:jc w:val="left"/>
        <w:tblInd w:w="0" w:type="dxa"/>
        <w:tblLayout w:type="fixed"/>
        <w:tblCellMar>
          <w:top w:w="28" w:type="dxa"/>
          <w:left w:w="28" w:type="dxa"/>
          <w:bottom w:w="28" w:type="dxa"/>
          <w:right w:w="28" w:type="dxa"/>
        </w:tblCellMar>
      </w:tblPr>
      <w:tblGrid>
        <w:gridCol w:w="498"/>
        <w:gridCol w:w="437"/>
        <w:gridCol w:w="440"/>
        <w:gridCol w:w="647"/>
        <w:gridCol w:w="647"/>
        <w:gridCol w:w="648"/>
        <w:gridCol w:w="534"/>
        <w:gridCol w:w="534"/>
        <w:gridCol w:w="538"/>
        <w:gridCol w:w="534"/>
        <w:gridCol w:w="534"/>
        <w:gridCol w:w="538"/>
        <w:gridCol w:w="703"/>
        <w:gridCol w:w="654"/>
        <w:gridCol w:w="656"/>
        <w:gridCol w:w="519"/>
        <w:gridCol w:w="471"/>
        <w:gridCol w:w="673"/>
      </w:tblGrid>
      <w:tr>
        <w:trPr/>
        <w:tc>
          <w:tcPr>
            <w:tcW w:w="498"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r>
      <w:tr>
        <w:trPr/>
        <w:tc>
          <w:tcPr>
            <w:tcW w:w="1375" w:type="dxa"/>
            <w:gridSpan w:val="3"/>
            <w:tcBorders>
              <w:top w:val="single" w:sz="4" w:space="0" w:color="000000"/>
              <w:left w:val="single" w:sz="4" w:space="0" w:color="000000"/>
            </w:tcBorders>
            <w:shd w:fill="004C97" w:val="clear"/>
            <w:tcMar>
              <w:top w:w="30" w:type="dxa"/>
              <w:bottom w:w="0" w:type="dxa"/>
              <w:right w:w="0" w:type="dxa"/>
            </w:tcMar>
            <w:vAlign w:val="center"/>
          </w:tcPr>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Sean McClenaghan</w:t>
            </w:r>
          </w:p>
        </w:tc>
        <w:tc>
          <w:tcPr>
            <w:tcW w:w="1942" w:type="dxa"/>
            <w:gridSpan w:val="3"/>
            <w:tcBorders>
              <w:top w:val="single" w:sz="4" w:space="0" w:color="000000"/>
              <w:left w:val="single" w:sz="4" w:space="0" w:color="000000"/>
            </w:tcBorders>
            <w:shd w:fill="004C97" w:val="clear"/>
            <w:tcMar>
              <w:top w:w="30" w:type="dxa"/>
              <w:bottom w:w="0" w:type="dxa"/>
              <w:right w:w="0" w:type="dxa"/>
            </w:tcMar>
            <w:vAlign w:val="center"/>
          </w:tcPr>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(a) Voluntary Resignation or (b) Involuntary Termination for Cause ($)</w:t>
            </w:r>
          </w:p>
        </w:tc>
        <w:tc>
          <w:tcPr>
            <w:tcW w:w="1606" w:type="dxa"/>
            <w:gridSpan w:val="3"/>
            <w:tcBorders>
              <w:top w:val="single" w:sz="4" w:space="0" w:color="000000"/>
              <w:left w:val="single" w:sz="4" w:space="0" w:color="000000"/>
            </w:tcBorders>
            <w:shd w:fill="004C97" w:val="clear"/>
            <w:tcMar>
              <w:top w:w="30" w:type="dxa"/>
              <w:bottom w:w="0" w:type="dxa"/>
              <w:right w:w="0" w:type="dxa"/>
            </w:tcMar>
            <w:vAlign w:val="center"/>
          </w:tcPr>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Disability ($)</w:t>
            </w:r>
          </w:p>
        </w:tc>
        <w:tc>
          <w:tcPr>
            <w:tcW w:w="1606" w:type="dxa"/>
            <w:gridSpan w:val="3"/>
            <w:tcBorders>
              <w:top w:val="single" w:sz="4" w:space="0" w:color="000000"/>
              <w:left w:val="single" w:sz="4" w:space="0" w:color="000000"/>
            </w:tcBorders>
            <w:shd w:fill="004C97" w:val="clear"/>
            <w:tcMar>
              <w:top w:w="30" w:type="dxa"/>
              <w:bottom w:w="0" w:type="dxa"/>
              <w:right w:w="0" w:type="dxa"/>
            </w:tcMar>
            <w:vAlign w:val="center"/>
          </w:tcPr>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Death</w:t>
            </w:r>
          </w:p>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Pre-retirement ($)</w:t>
            </w:r>
          </w:p>
        </w:tc>
        <w:tc>
          <w:tcPr>
            <w:tcW w:w="2013" w:type="dxa"/>
            <w:gridSpan w:val="3"/>
            <w:tcBorders>
              <w:top w:val="single" w:sz="4" w:space="0" w:color="000000"/>
              <w:left w:val="single" w:sz="4" w:space="0" w:color="000000"/>
            </w:tcBorders>
            <w:shd w:fill="004C97" w:val="clear"/>
            <w:tcMar>
              <w:top w:w="30" w:type="dxa"/>
              <w:bottom w:w="0" w:type="dxa"/>
              <w:right w:w="0" w:type="dxa"/>
            </w:tcMar>
            <w:vAlign w:val="center"/>
          </w:tcPr>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Involuntary Without Cause/ Voluntary Resignation for Good Reason ($)</w:t>
            </w:r>
          </w:p>
        </w:tc>
        <w:tc>
          <w:tcPr>
            <w:tcW w:w="1663" w:type="dxa"/>
            <w:gridSpan w:val="3"/>
            <w:tcBorders>
              <w:top w:val="single" w:sz="4" w:space="0" w:color="000000"/>
              <w:left w:val="single" w:sz="4" w:space="0" w:color="000000"/>
              <w:right w:val="single" w:sz="4" w:space="0" w:color="000000"/>
            </w:tcBorders>
            <w:shd w:fill="004C97" w:val="clear"/>
            <w:tcMar>
              <w:top w:w="30" w:type="dxa"/>
              <w:bottom w:w="0" w:type="dxa"/>
            </w:tcMar>
            <w:vAlign w:val="center"/>
          </w:tcPr>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Termination Following Change in Control ($)</w:t>
            </w:r>
          </w:p>
        </w:tc>
      </w:tr>
      <w:tr>
        <w:trPr/>
        <w:tc>
          <w:tcPr>
            <w:tcW w:w="1375" w:type="dxa"/>
            <w:gridSpan w:val="3"/>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Salary</w:t>
            </w:r>
          </w:p>
        </w:tc>
        <w:tc>
          <w:tcPr>
            <w:tcW w:w="1294" w:type="dxa"/>
            <w:gridSpan w:val="2"/>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48" w:type="dxa"/>
            <w:tcBorders>
              <w:top w:val="single" w:sz="4" w:space="0" w:color="000000"/>
            </w:tcBorders>
            <w:shd w:fill="E6E7E8"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3"/>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0"/>
              <w:jc w:val="left"/>
              <w:rPr>
                <w:color w:val="000000"/>
              </w:rPr>
            </w:pPr>
            <w:r>
              <w:rPr>
                <w:color w:val="000000"/>
              </w:rPr>
              <w:t>                     —</w:t>
            </w:r>
          </w:p>
        </w:tc>
        <w:tc>
          <w:tcPr>
            <w:tcW w:w="1606" w:type="dxa"/>
            <w:gridSpan w:val="3"/>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0"/>
              <w:jc w:val="left"/>
              <w:rPr>
                <w:color w:val="000000"/>
              </w:rPr>
            </w:pPr>
            <w:r>
              <w:rPr>
                <w:color w:val="000000"/>
              </w:rPr>
              <w:t>                     —</w:t>
            </w:r>
          </w:p>
        </w:tc>
        <w:tc>
          <w:tcPr>
            <w:tcW w:w="2013" w:type="dxa"/>
            <w:gridSpan w:val="3"/>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0"/>
              <w:jc w:val="right"/>
              <w:rPr/>
            </w:pPr>
            <w:r>
              <w:rPr>
                <w:rFonts w:ascii="Arial;sans-serif" w:hAnsi="Arial;sans-serif"/>
                <w:b w:val="false"/>
                <w:color w:val="000000"/>
                <w:sz w:val="16"/>
              </w:rPr>
              <w:t xml:space="preserve">576,800 </w:t>
            </w:r>
            <w:r>
              <w:rPr>
                <w:rFonts w:ascii="Arial;sans-serif" w:hAnsi="Arial;sans-serif"/>
                <w:b w:val="false"/>
                <w:color w:val="000000"/>
                <w:sz w:val="10"/>
              </w:rPr>
              <w:t>(11)</w:t>
            </w:r>
          </w:p>
        </w:tc>
        <w:tc>
          <w:tcPr>
            <w:tcW w:w="1663" w:type="dxa"/>
            <w:gridSpan w:val="3"/>
            <w:tcBorders>
              <w:top w:val="single" w:sz="4" w:space="0" w:color="000000"/>
              <w:left w:val="single" w:sz="4" w:space="0" w:color="000000"/>
              <w:right w:val="single" w:sz="4" w:space="0" w:color="000000"/>
            </w:tcBorders>
            <w:shd w:fill="E6E7E8" w:val="clear"/>
            <w:tcMar>
              <w:top w:w="30" w:type="dxa"/>
              <w:bottom w:w="0" w:type="dxa"/>
            </w:tcMar>
            <w:vAlign w:val="center"/>
          </w:tcPr>
          <w:p>
            <w:pPr>
              <w:pStyle w:val="TableContents"/>
              <w:bidi w:val="0"/>
              <w:spacing w:lineRule="auto" w:line="288" w:before="0" w:after="0"/>
              <w:jc w:val="right"/>
              <w:rPr/>
            </w:pPr>
            <w:r>
              <w:rPr>
                <w:rFonts w:ascii="Arial;sans-serif" w:hAnsi="Arial;sans-serif"/>
                <w:b w:val="false"/>
                <w:color w:val="000000"/>
                <w:sz w:val="16"/>
              </w:rPr>
              <w:t xml:space="preserve">1,153,600 </w:t>
            </w:r>
            <w:r>
              <w:rPr>
                <w:rFonts w:ascii="Arial;sans-serif" w:hAnsi="Arial;sans-serif"/>
                <w:b w:val="false"/>
                <w:color w:val="000000"/>
                <w:sz w:val="10"/>
              </w:rPr>
              <w:t>(1)</w:t>
            </w:r>
          </w:p>
        </w:tc>
      </w:tr>
      <w:tr>
        <w:trPr/>
        <w:tc>
          <w:tcPr>
            <w:tcW w:w="137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Bonus</w:t>
            </w:r>
          </w:p>
        </w:tc>
        <w:tc>
          <w:tcPr>
            <w:tcW w:w="1294" w:type="dxa"/>
            <w:gridSpan w:val="2"/>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48"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right"/>
              <w:rPr/>
            </w:pPr>
            <w:r>
              <w:rPr>
                <w:rFonts w:ascii="Arial;sans-serif" w:hAnsi="Arial;sans-serif"/>
                <w:b w:val="false"/>
                <w:color w:val="000000"/>
                <w:sz w:val="16"/>
              </w:rPr>
              <w:t xml:space="preserve">403,760 </w:t>
            </w:r>
            <w:r>
              <w:rPr>
                <w:rFonts w:ascii="Arial;sans-serif" w:hAnsi="Arial;sans-serif"/>
                <w:b w:val="false"/>
                <w:color w:val="000000"/>
                <w:sz w:val="10"/>
              </w:rPr>
              <w:t>(3)</w:t>
            </w:r>
          </w:p>
        </w:tc>
        <w:tc>
          <w:tcPr>
            <w:tcW w:w="160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right"/>
              <w:rPr/>
            </w:pPr>
            <w:r>
              <w:rPr>
                <w:rFonts w:ascii="Arial;sans-serif" w:hAnsi="Arial;sans-serif"/>
                <w:b w:val="false"/>
                <w:color w:val="000000"/>
                <w:sz w:val="16"/>
              </w:rPr>
              <w:t xml:space="preserve">403,760 </w:t>
            </w:r>
            <w:r>
              <w:rPr>
                <w:rFonts w:ascii="Arial;sans-serif" w:hAnsi="Arial;sans-serif"/>
                <w:b w:val="false"/>
                <w:color w:val="000000"/>
                <w:sz w:val="10"/>
              </w:rPr>
              <w:t>(3)</w:t>
            </w:r>
          </w:p>
        </w:tc>
        <w:tc>
          <w:tcPr>
            <w:tcW w:w="201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right"/>
              <w:rPr/>
            </w:pPr>
            <w:r>
              <w:rPr>
                <w:rFonts w:ascii="Arial;sans-serif" w:hAnsi="Arial;sans-serif"/>
                <w:b w:val="false"/>
                <w:color w:val="000000"/>
                <w:sz w:val="16"/>
              </w:rPr>
              <w:t xml:space="preserve">792,207 </w:t>
            </w:r>
            <w:r>
              <w:rPr>
                <w:rFonts w:ascii="Arial;sans-serif" w:hAnsi="Arial;sans-serif"/>
                <w:b w:val="false"/>
                <w:color w:val="000000"/>
                <w:sz w:val="10"/>
              </w:rPr>
              <w:t>(12)</w:t>
            </w:r>
          </w:p>
        </w:tc>
        <w:tc>
          <w:tcPr>
            <w:tcW w:w="1663"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right"/>
              <w:rPr/>
            </w:pPr>
            <w:r>
              <w:rPr>
                <w:rFonts w:ascii="Arial;sans-serif" w:hAnsi="Arial;sans-serif"/>
                <w:b w:val="false"/>
                <w:color w:val="000000"/>
                <w:sz w:val="16"/>
              </w:rPr>
              <w:t xml:space="preserve">1,584,415 </w:t>
            </w:r>
            <w:r>
              <w:rPr>
                <w:rFonts w:ascii="Arial;sans-serif" w:hAnsi="Arial;sans-serif"/>
                <w:b w:val="false"/>
                <w:color w:val="000000"/>
                <w:sz w:val="10"/>
              </w:rPr>
              <w:t>(4)</w:t>
            </w:r>
          </w:p>
        </w:tc>
      </w:tr>
      <w:tr>
        <w:trPr/>
        <w:tc>
          <w:tcPr>
            <w:tcW w:w="1375" w:type="dxa"/>
            <w:gridSpan w:val="3"/>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Value of Accelerated Equity</w:t>
            </w:r>
          </w:p>
        </w:tc>
        <w:tc>
          <w:tcPr>
            <w:tcW w:w="1294" w:type="dxa"/>
            <w:gridSpan w:val="2"/>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48" w:type="dxa"/>
            <w:tcBorders>
              <w:top w:val="single" w:sz="4" w:space="0" w:color="000000"/>
            </w:tcBorders>
            <w:shd w:fill="E6E7E8"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3"/>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0"/>
              <w:jc w:val="right"/>
              <w:rPr/>
            </w:pPr>
            <w:r>
              <w:rPr>
                <w:rFonts w:ascii="Arial;sans-serif" w:hAnsi="Arial;sans-serif"/>
                <w:b w:val="false"/>
                <w:color w:val="000000"/>
                <w:sz w:val="16"/>
              </w:rPr>
              <w:t xml:space="preserve">2,181,389 </w:t>
            </w:r>
            <w:r>
              <w:rPr>
                <w:rFonts w:ascii="Arial;sans-serif" w:hAnsi="Arial;sans-serif"/>
                <w:b w:val="false"/>
                <w:color w:val="000000"/>
                <w:sz w:val="10"/>
              </w:rPr>
              <w:t>(6)</w:t>
            </w:r>
          </w:p>
        </w:tc>
        <w:tc>
          <w:tcPr>
            <w:tcW w:w="1606" w:type="dxa"/>
            <w:gridSpan w:val="3"/>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0"/>
              <w:jc w:val="right"/>
              <w:rPr/>
            </w:pPr>
            <w:r>
              <w:rPr>
                <w:rFonts w:ascii="Arial;sans-serif" w:hAnsi="Arial;sans-serif"/>
                <w:b w:val="false"/>
                <w:color w:val="000000"/>
                <w:sz w:val="16"/>
              </w:rPr>
              <w:t xml:space="preserve">2,181,389 </w:t>
            </w:r>
            <w:r>
              <w:rPr>
                <w:rFonts w:ascii="Arial;sans-serif" w:hAnsi="Arial;sans-serif"/>
                <w:b w:val="false"/>
                <w:color w:val="000000"/>
                <w:sz w:val="10"/>
              </w:rPr>
              <w:t>(6)</w:t>
            </w:r>
          </w:p>
        </w:tc>
        <w:tc>
          <w:tcPr>
            <w:tcW w:w="2013" w:type="dxa"/>
            <w:gridSpan w:val="3"/>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0"/>
              <w:jc w:val="right"/>
              <w:rPr/>
            </w:pPr>
            <w:r>
              <w:rPr>
                <w:rFonts w:ascii="Arial;sans-serif" w:hAnsi="Arial;sans-serif"/>
                <w:b w:val="false"/>
                <w:color w:val="000000"/>
                <w:sz w:val="16"/>
              </w:rPr>
              <w:t xml:space="preserve">757,837 </w:t>
            </w:r>
            <w:r>
              <w:rPr>
                <w:rFonts w:ascii="Arial;sans-serif" w:hAnsi="Arial;sans-serif"/>
                <w:b w:val="false"/>
                <w:color w:val="000000"/>
                <w:sz w:val="10"/>
              </w:rPr>
              <w:t>(7)</w:t>
            </w:r>
          </w:p>
        </w:tc>
        <w:tc>
          <w:tcPr>
            <w:tcW w:w="1663" w:type="dxa"/>
            <w:gridSpan w:val="3"/>
            <w:tcBorders>
              <w:top w:val="single" w:sz="4" w:space="0" w:color="000000"/>
              <w:left w:val="single" w:sz="4" w:space="0" w:color="000000"/>
              <w:right w:val="single" w:sz="4" w:space="0" w:color="000000"/>
            </w:tcBorders>
            <w:shd w:fill="E6E7E8" w:val="clear"/>
            <w:tcMar>
              <w:top w:w="30" w:type="dxa"/>
              <w:bottom w:w="0" w:type="dxa"/>
            </w:tcMar>
            <w:vAlign w:val="center"/>
          </w:tcPr>
          <w:p>
            <w:pPr>
              <w:pStyle w:val="TableContents"/>
              <w:bidi w:val="0"/>
              <w:spacing w:lineRule="auto" w:line="288" w:before="0" w:after="0"/>
              <w:jc w:val="right"/>
              <w:rPr/>
            </w:pPr>
            <w:r>
              <w:rPr>
                <w:rFonts w:ascii="Arial;sans-serif" w:hAnsi="Arial;sans-serif"/>
                <w:b w:val="false"/>
                <w:color w:val="000000"/>
                <w:sz w:val="16"/>
              </w:rPr>
              <w:t xml:space="preserve">2,181,389 </w:t>
            </w:r>
            <w:r>
              <w:rPr>
                <w:rFonts w:ascii="Arial;sans-serif" w:hAnsi="Arial;sans-serif"/>
                <w:b w:val="false"/>
                <w:color w:val="000000"/>
                <w:sz w:val="10"/>
              </w:rPr>
              <w:t>(6)</w:t>
            </w:r>
          </w:p>
        </w:tc>
      </w:tr>
      <w:tr>
        <w:trPr/>
        <w:tc>
          <w:tcPr>
            <w:tcW w:w="137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All Other Compensation</w:t>
            </w:r>
          </w:p>
        </w:tc>
        <w:tc>
          <w:tcPr>
            <w:tcW w:w="1294" w:type="dxa"/>
            <w:gridSpan w:val="2"/>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4,860 </w:t>
            </w:r>
          </w:p>
        </w:tc>
        <w:tc>
          <w:tcPr>
            <w:tcW w:w="648"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right"/>
              <w:rPr/>
            </w:pPr>
            <w:r>
              <w:rPr>
                <w:rFonts w:ascii="Arial;sans-serif" w:hAnsi="Arial;sans-serif"/>
                <w:b w:val="false"/>
                <w:color w:val="000000"/>
                <w:sz w:val="16"/>
              </w:rPr>
              <w:t xml:space="preserve">4,860 </w:t>
            </w:r>
            <w:r>
              <w:rPr>
                <w:rFonts w:ascii="Arial;sans-serif" w:hAnsi="Arial;sans-serif"/>
                <w:b w:val="false"/>
                <w:color w:val="000000"/>
                <w:sz w:val="10"/>
              </w:rPr>
              <w:t>(8)</w:t>
            </w:r>
          </w:p>
        </w:tc>
        <w:tc>
          <w:tcPr>
            <w:tcW w:w="160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right"/>
              <w:rPr/>
            </w:pPr>
            <w:r>
              <w:rPr>
                <w:rFonts w:ascii="Arial;sans-serif" w:hAnsi="Arial;sans-serif"/>
                <w:b w:val="false"/>
                <w:color w:val="000000"/>
                <w:sz w:val="16"/>
              </w:rPr>
              <w:t xml:space="preserve">4,860 </w:t>
            </w:r>
            <w:r>
              <w:rPr>
                <w:rFonts w:ascii="Arial;sans-serif" w:hAnsi="Arial;sans-serif"/>
                <w:b w:val="false"/>
                <w:color w:val="000000"/>
                <w:sz w:val="10"/>
              </w:rPr>
              <w:t>(8)</w:t>
            </w:r>
          </w:p>
        </w:tc>
        <w:tc>
          <w:tcPr>
            <w:tcW w:w="201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right"/>
              <w:rPr/>
            </w:pPr>
            <w:r>
              <w:rPr>
                <w:rFonts w:ascii="Arial;sans-serif" w:hAnsi="Arial;sans-serif"/>
                <w:b w:val="false"/>
                <w:color w:val="000000"/>
                <w:sz w:val="16"/>
              </w:rPr>
              <w:t xml:space="preserve">73,666 </w:t>
            </w:r>
            <w:r>
              <w:rPr>
                <w:rFonts w:ascii="Arial;sans-serif" w:hAnsi="Arial;sans-serif"/>
                <w:b w:val="false"/>
                <w:color w:val="000000"/>
                <w:sz w:val="10"/>
              </w:rPr>
              <w:t>(13)</w:t>
            </w:r>
          </w:p>
        </w:tc>
        <w:tc>
          <w:tcPr>
            <w:tcW w:w="1663"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right"/>
              <w:rPr/>
            </w:pPr>
            <w:r>
              <w:rPr>
                <w:rFonts w:ascii="Arial;sans-serif" w:hAnsi="Arial;sans-serif"/>
                <w:b w:val="false"/>
                <w:color w:val="000000"/>
                <w:sz w:val="16"/>
              </w:rPr>
              <w:t xml:space="preserve">107,473 </w:t>
            </w:r>
            <w:r>
              <w:rPr>
                <w:rFonts w:ascii="Arial;sans-serif" w:hAnsi="Arial;sans-serif"/>
                <w:b w:val="false"/>
                <w:color w:val="000000"/>
                <w:sz w:val="10"/>
              </w:rPr>
              <w:t>(14)</w:t>
            </w:r>
          </w:p>
        </w:tc>
      </w:tr>
      <w:tr>
        <w:trPr/>
        <w:tc>
          <w:tcPr>
            <w:tcW w:w="1375" w:type="dxa"/>
            <w:gridSpan w:val="3"/>
            <w:tcBorders>
              <w:top w:val="single" w:sz="4" w:space="0" w:color="000000"/>
              <w:left w:val="single" w:sz="4" w:space="0" w:color="000000"/>
              <w:bottom w:val="single" w:sz="8" w:space="0" w:color="000000"/>
            </w:tcBorders>
            <w:shd w:fill="E6E7E8" w:val="clear"/>
            <w:tcMar>
              <w:top w:w="30" w:type="dxa"/>
              <w:bottom w:w="3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Total</w:t>
            </w:r>
          </w:p>
        </w:tc>
        <w:tc>
          <w:tcPr>
            <w:tcW w:w="1294" w:type="dxa"/>
            <w:gridSpan w:val="2"/>
            <w:tcBorders>
              <w:top w:val="single" w:sz="4" w:space="0" w:color="000000"/>
              <w:left w:val="single" w:sz="4" w:space="0" w:color="000000"/>
              <w:bottom w:val="single" w:sz="8" w:space="0" w:color="000000"/>
            </w:tcBorders>
            <w:shd w:fill="E6E7E8" w:val="clear"/>
            <w:tcMar>
              <w:top w:w="3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4,860 </w:t>
            </w:r>
          </w:p>
        </w:tc>
        <w:tc>
          <w:tcPr>
            <w:tcW w:w="648" w:type="dxa"/>
            <w:tcBorders>
              <w:top w:val="single" w:sz="4" w:space="0" w:color="000000"/>
              <w:bottom w:val="single" w:sz="8" w:space="0" w:color="000000"/>
            </w:tcBorders>
            <w:shd w:fill="E6E7E8"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606" w:type="dxa"/>
            <w:gridSpan w:val="3"/>
            <w:tcBorders>
              <w:top w:val="single" w:sz="4" w:space="0" w:color="000000"/>
              <w:left w:val="single" w:sz="4" w:space="0" w:color="000000"/>
              <w:bottom w:val="single" w:sz="8" w:space="0" w:color="000000"/>
            </w:tcBorders>
            <w:shd w:fill="E6E7E8" w:val="clear"/>
            <w:tcMar>
              <w:top w:w="30" w:type="dxa"/>
              <w:bottom w:w="30" w:type="dxa"/>
              <w:right w:w="0" w:type="dxa"/>
            </w:tcMar>
            <w:vAlign w:val="center"/>
          </w:tcPr>
          <w:p>
            <w:pPr>
              <w:pStyle w:val="TableContents"/>
              <w:bidi w:val="0"/>
              <w:spacing w:lineRule="auto" w:line="288" w:before="0" w:after="0"/>
              <w:jc w:val="center"/>
              <w:rPr>
                <w:color w:val="000000"/>
              </w:rPr>
            </w:pPr>
            <w:r>
              <w:rPr>
                <w:color w:val="000000"/>
              </w:rPr>
              <w:t>     </w:t>
            </w:r>
            <w:r>
              <w:rPr>
                <w:rFonts w:ascii="Arial;sans-serif" w:hAnsi="Arial;sans-serif"/>
                <w:b w:val="false"/>
                <w:color w:val="000000"/>
                <w:sz w:val="16"/>
              </w:rPr>
              <w:t>2,590,009</w:t>
            </w:r>
          </w:p>
        </w:tc>
        <w:tc>
          <w:tcPr>
            <w:tcW w:w="1606" w:type="dxa"/>
            <w:gridSpan w:val="3"/>
            <w:tcBorders>
              <w:top w:val="single" w:sz="4" w:space="0" w:color="000000"/>
              <w:left w:val="single" w:sz="4" w:space="0" w:color="000000"/>
              <w:bottom w:val="single" w:sz="8" w:space="0" w:color="000000"/>
            </w:tcBorders>
            <w:shd w:fill="E6E7E8" w:val="clear"/>
            <w:tcMar>
              <w:top w:w="30" w:type="dxa"/>
              <w:bottom w:w="30" w:type="dxa"/>
              <w:right w:w="0" w:type="dxa"/>
            </w:tcMar>
            <w:vAlign w:val="center"/>
          </w:tcPr>
          <w:p>
            <w:pPr>
              <w:pStyle w:val="TableContents"/>
              <w:bidi w:val="0"/>
              <w:spacing w:lineRule="auto" w:line="288" w:before="0" w:after="0"/>
              <w:jc w:val="center"/>
              <w:rPr>
                <w:color w:val="000000"/>
              </w:rPr>
            </w:pPr>
            <w:r>
              <w:rPr>
                <w:color w:val="000000"/>
              </w:rPr>
              <w:t>    </w:t>
            </w:r>
            <w:r>
              <w:rPr>
                <w:rFonts w:ascii="Arial;sans-serif" w:hAnsi="Arial;sans-serif"/>
                <w:b w:val="false"/>
                <w:color w:val="000000"/>
                <w:sz w:val="16"/>
              </w:rPr>
              <w:t>2,590,009</w:t>
            </w:r>
          </w:p>
        </w:tc>
        <w:tc>
          <w:tcPr>
            <w:tcW w:w="2013" w:type="dxa"/>
            <w:gridSpan w:val="3"/>
            <w:tcBorders>
              <w:top w:val="single" w:sz="4" w:space="0" w:color="000000"/>
              <w:left w:val="single" w:sz="4" w:space="0" w:color="000000"/>
              <w:bottom w:val="single" w:sz="8" w:space="0" w:color="000000"/>
            </w:tcBorders>
            <w:shd w:fill="E6E7E8" w:val="clear"/>
            <w:tcMar>
              <w:top w:w="30" w:type="dxa"/>
              <w:bottom w:w="30" w:type="dxa"/>
              <w:right w:w="0" w:type="dxa"/>
            </w:tcMar>
            <w:vAlign w:val="center"/>
          </w:tcPr>
          <w:p>
            <w:pPr>
              <w:pStyle w:val="TableContents"/>
              <w:bidi w:val="0"/>
              <w:spacing w:lineRule="auto" w:line="288" w:before="0" w:after="0"/>
              <w:jc w:val="center"/>
              <w:rPr>
                <w:color w:val="000000"/>
              </w:rPr>
            </w:pPr>
            <w:r>
              <w:rPr>
                <w:color w:val="000000"/>
              </w:rPr>
              <w:t>     </w:t>
            </w:r>
            <w:r>
              <w:rPr>
                <w:rFonts w:ascii="Arial;sans-serif" w:hAnsi="Arial;sans-serif"/>
                <w:b w:val="false"/>
                <w:color w:val="000000"/>
                <w:sz w:val="16"/>
              </w:rPr>
              <w:t>2,200,510</w:t>
            </w:r>
          </w:p>
        </w:tc>
        <w:tc>
          <w:tcPr>
            <w:tcW w:w="1663" w:type="dxa"/>
            <w:gridSpan w:val="3"/>
            <w:tcBorders>
              <w:top w:val="single" w:sz="4" w:space="0" w:color="000000"/>
              <w:left w:val="single" w:sz="4" w:space="0" w:color="000000"/>
              <w:bottom w:val="single" w:sz="8" w:space="0" w:color="000000"/>
              <w:right w:val="single" w:sz="4" w:space="0" w:color="000000"/>
            </w:tcBorders>
            <w:shd w:fill="E6E7E8" w:val="clear"/>
            <w:tcMar>
              <w:top w:w="30" w:type="dxa"/>
              <w:bottom w:w="30" w:type="dxa"/>
            </w:tcMar>
            <w:vAlign w:val="center"/>
          </w:tcPr>
          <w:p>
            <w:pPr>
              <w:pStyle w:val="TableContents"/>
              <w:bidi w:val="0"/>
              <w:spacing w:lineRule="auto" w:line="288" w:before="0" w:after="0"/>
              <w:jc w:val="center"/>
              <w:rPr>
                <w:color w:val="000000"/>
              </w:rPr>
            </w:pPr>
            <w:r>
              <w:rPr>
                <w:color w:val="000000"/>
              </w:rPr>
              <w:t>     </w:t>
            </w:r>
            <w:r>
              <w:rPr>
                <w:rFonts w:ascii="Arial;sans-serif" w:hAnsi="Arial;sans-serif"/>
                <w:b w:val="false"/>
                <w:color w:val="000000"/>
                <w:sz w:val="16"/>
              </w:rPr>
              <w:t>5,026,877</w:t>
            </w:r>
          </w:p>
        </w:tc>
      </w:tr>
    </w:tbl>
    <w:p>
      <w:pPr>
        <w:pStyle w:val="TextBody"/>
        <w:bidi w:val="0"/>
        <w:spacing w:lineRule="auto" w:line="288" w:before="0" w:after="60"/>
        <w:ind w:left="0" w:right="0" w:hanging="360"/>
        <w:jc w:val="both"/>
        <w:rPr>
          <w:rFonts w:ascii="Arial;sans-serif" w:hAnsi="Arial;sans-serif"/>
          <w:b w:val="false"/>
          <w:color w:val="000000"/>
          <w:sz w:val="14"/>
        </w:rPr>
      </w:pPr>
      <w:r>
        <w:rPr>
          <w:rFonts w:ascii="Arial;sans-serif" w:hAnsi="Arial;sans-serif"/>
          <w:b w:val="false"/>
          <w:color w:val="000000"/>
          <w:sz w:val="14"/>
        </w:rPr>
        <w:t xml:space="preserve">(1)Two times current base salary. </w:t>
      </w:r>
    </w:p>
    <w:p>
      <w:pPr>
        <w:pStyle w:val="TextBody"/>
        <w:bidi w:val="0"/>
        <w:spacing w:lineRule="auto" w:line="288" w:before="0" w:after="60"/>
        <w:ind w:left="0" w:right="0" w:hanging="360"/>
        <w:jc w:val="both"/>
        <w:rPr>
          <w:rFonts w:ascii="Arial;sans-serif" w:hAnsi="Arial;sans-serif"/>
          <w:b w:val="false"/>
          <w:color w:val="000000"/>
          <w:sz w:val="14"/>
        </w:rPr>
      </w:pPr>
      <w:r>
        <w:rPr>
          <w:rFonts w:ascii="Arial;sans-serif" w:hAnsi="Arial;sans-serif"/>
          <w:b w:val="false"/>
          <w:color w:val="000000"/>
          <w:sz w:val="14"/>
        </w:rPr>
        <w:t>(2)Three times current base salary.</w:t>
      </w:r>
    </w:p>
    <w:p>
      <w:pPr>
        <w:pStyle w:val="TextBody"/>
        <w:bidi w:val="0"/>
        <w:spacing w:lineRule="auto" w:line="288" w:before="0" w:after="60"/>
        <w:ind w:left="0" w:right="0" w:hanging="360"/>
        <w:jc w:val="both"/>
        <w:rPr>
          <w:rFonts w:ascii="Arial;sans-serif" w:hAnsi="Arial;sans-serif"/>
          <w:b w:val="false"/>
          <w:color w:val="000000"/>
          <w:sz w:val="14"/>
        </w:rPr>
      </w:pPr>
      <w:r>
        <w:rPr>
          <w:rFonts w:ascii="Arial;sans-serif" w:hAnsi="Arial;sans-serif"/>
          <w:b w:val="false"/>
          <w:color w:val="000000"/>
          <w:sz w:val="14"/>
        </w:rPr>
        <w:t>(3)Reflects annual bonus, which is equal to a pro-rated portion of the highest of actual bonus for year preceding termination or current-year target bonus.</w:t>
      </w:r>
    </w:p>
    <w:p>
      <w:pPr>
        <w:pStyle w:val="TextBody"/>
        <w:bidi w:val="0"/>
        <w:spacing w:lineRule="auto" w:line="288" w:before="0" w:after="60"/>
        <w:ind w:left="0" w:right="0" w:hanging="360"/>
        <w:jc w:val="both"/>
        <w:rPr>
          <w:rFonts w:ascii="Arial;sans-serif" w:hAnsi="Arial;sans-serif"/>
          <w:b w:val="false"/>
          <w:color w:val="000000"/>
          <w:sz w:val="14"/>
        </w:rPr>
      </w:pPr>
      <w:r>
        <w:rPr>
          <w:rFonts w:ascii="Arial;sans-serif" w:hAnsi="Arial;sans-serif"/>
          <w:b w:val="false"/>
          <w:color w:val="000000"/>
          <w:sz w:val="14"/>
        </w:rPr>
        <w:t>(4)Two times annual bonus, which is equal to the highest of actual bonus for year preceding termination or current-year target bonus plus the amount, if any, that the bonus that would have been paid to the executive for the bonus plan year in which such termination of employment occurs, based on the performance level actually attained, exceeds the amount payable under the highest of prior actual or current target bonus.</w:t>
      </w:r>
    </w:p>
    <w:p>
      <w:pPr>
        <w:pStyle w:val="TextBody"/>
        <w:bidi w:val="0"/>
        <w:spacing w:lineRule="auto" w:line="288" w:before="0" w:after="60"/>
        <w:ind w:left="0" w:right="0" w:hanging="360"/>
        <w:jc w:val="both"/>
        <w:rPr>
          <w:rFonts w:ascii="Arial;sans-serif" w:hAnsi="Arial;sans-serif"/>
          <w:b w:val="false"/>
          <w:color w:val="000000"/>
          <w:sz w:val="14"/>
        </w:rPr>
      </w:pPr>
      <w:r>
        <w:rPr>
          <w:rFonts w:ascii="Arial;sans-serif" w:hAnsi="Arial;sans-serif"/>
          <w:b w:val="false"/>
          <w:color w:val="000000"/>
          <w:sz w:val="14"/>
        </w:rPr>
        <w:t>(5)Three times annual bonus, which is equal to the highest of actual bonus for year preceding termination or current year target bonus plus the amount, if any, that the bonus that would have been paid to the executive for the bonus plan year in which such termination of employment occurs, based on the performance level actually attained, exceeds the amount payable under the highest of prior actual or current target bonus.</w:t>
      </w:r>
    </w:p>
    <w:p>
      <w:pPr>
        <w:pStyle w:val="TextBody"/>
        <w:bidi w:val="0"/>
        <w:spacing w:lineRule="auto" w:line="288" w:before="0" w:after="60"/>
        <w:ind w:left="0" w:right="0" w:hanging="360"/>
        <w:jc w:val="both"/>
        <w:rPr>
          <w:rFonts w:ascii="Arial;sans-serif" w:hAnsi="Arial;sans-serif"/>
          <w:b w:val="false"/>
          <w:color w:val="000000"/>
          <w:sz w:val="14"/>
        </w:rPr>
      </w:pPr>
      <w:r>
        <w:rPr>
          <w:rFonts w:ascii="Arial;sans-serif" w:hAnsi="Arial;sans-serif"/>
          <w:b w:val="false"/>
          <w:color w:val="000000"/>
          <w:sz w:val="14"/>
        </w:rPr>
        <w:t>(6)Represents the accelerated vesting of all unvested PSUs (at assumed target performance level), RSUs, and Options.</w:t>
      </w:r>
    </w:p>
    <w:p>
      <w:pPr>
        <w:pStyle w:val="TextBody"/>
        <w:bidi w:val="0"/>
        <w:spacing w:lineRule="auto" w:line="288" w:before="0" w:after="60"/>
        <w:ind w:left="0" w:right="0" w:hanging="360"/>
        <w:jc w:val="both"/>
        <w:rPr>
          <w:rFonts w:ascii="Arial;sans-serif" w:hAnsi="Arial;sans-serif"/>
          <w:b w:val="false"/>
          <w:color w:val="000000"/>
          <w:sz w:val="14"/>
        </w:rPr>
      </w:pPr>
      <w:r>
        <w:rPr>
          <w:rFonts w:ascii="Arial;sans-serif" w:hAnsi="Arial;sans-serif"/>
          <w:b w:val="false"/>
          <w:color w:val="000000"/>
          <w:sz w:val="14"/>
        </w:rPr>
        <w:t>(7)Represents the accelerated vesting of all unvested PSUs (at assumed target performance level), RSUs, and Options, which would have otherwise vested within two years of termination for Mr. Lowe and within one year for Mr. Carano, Mr. Data, Mr. Swann, and Mr. McClenaghan.</w:t>
      </w:r>
    </w:p>
    <w:p>
      <w:pPr>
        <w:pStyle w:val="TextBody"/>
        <w:bidi w:val="0"/>
        <w:spacing w:lineRule="auto" w:line="288" w:before="0" w:after="60"/>
        <w:ind w:left="0" w:right="0" w:hanging="360"/>
        <w:jc w:val="both"/>
        <w:rPr>
          <w:rFonts w:ascii="Arial;sans-serif" w:hAnsi="Arial;sans-serif"/>
          <w:b w:val="false"/>
          <w:color w:val="000000"/>
          <w:sz w:val="14"/>
        </w:rPr>
      </w:pPr>
      <w:r>
        <w:rPr>
          <w:rFonts w:ascii="Arial;sans-serif" w:hAnsi="Arial;sans-serif"/>
          <w:b w:val="false"/>
          <w:color w:val="000000"/>
          <w:sz w:val="14"/>
        </w:rPr>
        <w:t>(8)Other compensation includes a payout, in lieu of unused vacation accrued through December 2023, as a result of a change in paid time-off policies affecting all relevant employees, which change was adopted in December 2022.</w:t>
      </w:r>
    </w:p>
    <w:p>
      <w:pPr>
        <w:pStyle w:val="TextBody"/>
        <w:bidi w:val="0"/>
        <w:spacing w:lineRule="auto" w:line="288" w:before="0" w:after="60"/>
        <w:ind w:left="0" w:right="0" w:hanging="360"/>
        <w:jc w:val="both"/>
        <w:rPr>
          <w:rFonts w:ascii="Arial;sans-serif" w:hAnsi="Arial;sans-serif"/>
          <w:b w:val="false"/>
          <w:color w:val="000000"/>
          <w:sz w:val="14"/>
        </w:rPr>
      </w:pPr>
      <w:r>
        <w:rPr>
          <w:rFonts w:ascii="Arial;sans-serif" w:hAnsi="Arial;sans-serif"/>
          <w:b w:val="false"/>
          <w:color w:val="000000"/>
          <w:sz w:val="14"/>
        </w:rPr>
        <w:t>(9)Sum of other compensation for Mr. Lowe includes:</w:t>
      </w:r>
    </w:p>
    <w:p>
      <w:pPr>
        <w:pStyle w:val="TextBody"/>
        <w:bidi w:val="0"/>
        <w:spacing w:lineRule="auto" w:line="288" w:before="0" w:after="60"/>
        <w:ind w:left="0" w:right="0" w:hanging="180"/>
        <w:jc w:val="both"/>
        <w:rPr/>
      </w:pPr>
      <w:r>
        <w:rPr>
          <w:color w:val="000000"/>
        </w:rPr>
        <w:t>•</w:t>
      </w:r>
      <w:r>
        <w:rPr>
          <w:rFonts w:ascii="Arial;sans-serif" w:hAnsi="Arial;sans-serif"/>
          <w:b w:val="false"/>
          <w:color w:val="000000"/>
          <w:sz w:val="14"/>
        </w:rPr>
        <w:t>Payout in lieu of unused vacation accrued through December 2023 as a result of a change in paid time-off policies affecting all relevant employees, which change was adopted in December 2022.</w:t>
      </w:r>
    </w:p>
    <w:p>
      <w:pPr>
        <w:pStyle w:val="TextBody"/>
        <w:bidi w:val="0"/>
        <w:spacing w:lineRule="auto" w:line="288" w:before="0" w:after="60"/>
        <w:ind w:left="0" w:right="0" w:hanging="180"/>
        <w:jc w:val="both"/>
        <w:rPr/>
      </w:pPr>
      <w:r>
        <w:rPr>
          <w:color w:val="000000"/>
        </w:rPr>
        <w:t>•</w:t>
      </w:r>
      <w:r>
        <w:rPr>
          <w:rFonts w:ascii="Arial;sans-serif" w:hAnsi="Arial;sans-serif"/>
          <w:b w:val="false"/>
          <w:color w:val="000000"/>
          <w:sz w:val="14"/>
        </w:rPr>
        <w:t>Maximum outplacement benefit for involuntary termination of $50,000.</w:t>
      </w:r>
    </w:p>
    <w:p>
      <w:pPr>
        <w:pStyle w:val="TextBody"/>
        <w:bidi w:val="0"/>
        <w:spacing w:lineRule="auto" w:line="288" w:before="0" w:after="60"/>
        <w:ind w:left="0" w:right="0" w:hanging="180"/>
        <w:jc w:val="both"/>
        <w:rPr/>
      </w:pPr>
      <w:r>
        <w:rPr>
          <w:color w:val="000000"/>
        </w:rPr>
        <w:t>•</w:t>
      </w:r>
      <w:r>
        <w:rPr>
          <w:rFonts w:ascii="Arial;sans-serif" w:hAnsi="Arial;sans-serif"/>
          <w:b w:val="false"/>
          <w:color w:val="000000"/>
          <w:sz w:val="14"/>
        </w:rPr>
        <w:t>The Company will reimburse premiums paid over benefit continuation period. Value shown represents group term life imputed income in year preceding termination.</w:t>
      </w:r>
    </w:p>
    <w:p>
      <w:pPr>
        <w:pStyle w:val="TextBody"/>
        <w:bidi w:val="0"/>
        <w:spacing w:lineRule="auto" w:line="288" w:before="0" w:after="60"/>
        <w:ind w:left="0" w:right="0" w:hanging="180"/>
        <w:jc w:val="both"/>
        <w:rPr/>
      </w:pPr>
      <w:r>
        <w:rPr>
          <w:color w:val="000000"/>
        </w:rPr>
        <w:t>•</w:t>
      </w:r>
      <w:r>
        <w:rPr>
          <w:rFonts w:ascii="Arial;sans-serif" w:hAnsi="Arial;sans-serif"/>
          <w:b w:val="false"/>
          <w:color w:val="000000"/>
          <w:sz w:val="14"/>
        </w:rPr>
        <w:t>The Company cost of health and welfare benefit continuation for 2 years.</w:t>
      </w:r>
    </w:p>
    <w:p>
      <w:pPr>
        <w:pStyle w:val="TextBody"/>
        <w:bidi w:val="0"/>
        <w:spacing w:lineRule="auto" w:line="288" w:before="0" w:after="60"/>
        <w:ind w:left="0" w:right="0" w:hanging="180"/>
        <w:jc w:val="both"/>
        <w:rPr/>
      </w:pPr>
      <w:r>
        <w:rPr>
          <w:color w:val="000000"/>
        </w:rPr>
        <w:t>•</w:t>
      </w:r>
      <w:r>
        <w:rPr>
          <w:rFonts w:ascii="Arial;sans-serif" w:hAnsi="Arial;sans-serif"/>
          <w:b w:val="false"/>
          <w:color w:val="000000"/>
          <w:sz w:val="14"/>
        </w:rPr>
        <w:t>The value of perquisites (annual physical, financial planning, and tax preparation) on the same basis as the executive was receiving in the year preceding termination for 2 years.</w:t>
      </w:r>
    </w:p>
    <w:p>
      <w:pPr>
        <w:pStyle w:val="TextBody"/>
        <w:bidi w:val="0"/>
        <w:spacing w:lineRule="auto" w:line="288" w:before="0" w:after="60"/>
        <w:ind w:left="0" w:right="0" w:hanging="360"/>
        <w:jc w:val="both"/>
        <w:rPr>
          <w:rFonts w:ascii="Arial;sans-serif" w:hAnsi="Arial;sans-serif"/>
          <w:b w:val="false"/>
          <w:color w:val="000000"/>
          <w:sz w:val="14"/>
        </w:rPr>
      </w:pPr>
      <w:r>
        <w:rPr>
          <w:rFonts w:ascii="Arial;sans-serif" w:hAnsi="Arial;sans-serif"/>
          <w:b w:val="false"/>
          <w:color w:val="000000"/>
          <w:sz w:val="14"/>
        </w:rPr>
        <w:t>(10)Sum of other compensation for Mr. Lowe includes:</w:t>
      </w:r>
    </w:p>
    <w:p>
      <w:pPr>
        <w:pStyle w:val="TextBody"/>
        <w:bidi w:val="0"/>
        <w:spacing w:lineRule="auto" w:line="288" w:before="0" w:after="60"/>
        <w:ind w:left="0" w:right="0" w:hanging="180"/>
        <w:jc w:val="both"/>
        <w:rPr/>
      </w:pPr>
      <w:r>
        <w:rPr>
          <w:color w:val="000000"/>
        </w:rPr>
        <w:t>•</w:t>
      </w:r>
      <w:r>
        <w:rPr>
          <w:rFonts w:ascii="Arial;sans-serif" w:hAnsi="Arial;sans-serif"/>
          <w:b w:val="false"/>
          <w:color w:val="000000"/>
          <w:sz w:val="14"/>
        </w:rPr>
        <w:t>Payout in lieu of unused vacation accrued through December 2023 as a result of a change in paid time-off policies affecting all relevant employees, which change was adopted in December 2022.</w:t>
      </w:r>
    </w:p>
    <w:p>
      <w:pPr>
        <w:pStyle w:val="TextBody"/>
        <w:bidi w:val="0"/>
        <w:spacing w:lineRule="auto" w:line="288" w:before="0" w:after="60"/>
        <w:ind w:left="0" w:right="0" w:hanging="180"/>
        <w:jc w:val="both"/>
        <w:rPr/>
      </w:pPr>
      <w:r>
        <w:rPr>
          <w:color w:val="000000"/>
        </w:rPr>
        <w:t>•</w:t>
      </w:r>
      <w:r>
        <w:rPr>
          <w:rFonts w:ascii="Arial;sans-serif" w:hAnsi="Arial;sans-serif"/>
          <w:b w:val="false"/>
          <w:color w:val="000000"/>
          <w:sz w:val="14"/>
        </w:rPr>
        <w:t>Maximum outplacement benefit for involuntary termination of $50,000.</w:t>
      </w:r>
    </w:p>
    <w:p>
      <w:pPr>
        <w:pStyle w:val="TextBody"/>
        <w:bidi w:val="0"/>
        <w:spacing w:lineRule="auto" w:line="288" w:before="0" w:after="60"/>
        <w:ind w:left="0" w:right="0" w:hanging="180"/>
        <w:jc w:val="both"/>
        <w:rPr/>
      </w:pPr>
      <w:r>
        <w:rPr>
          <w:color w:val="000000"/>
        </w:rPr>
        <w:t>•</w:t>
      </w:r>
      <w:r>
        <w:rPr>
          <w:rFonts w:ascii="Arial;sans-serif" w:hAnsi="Arial;sans-serif"/>
          <w:b w:val="false"/>
          <w:color w:val="000000"/>
          <w:sz w:val="14"/>
        </w:rPr>
        <w:t>The Company will reimburse premiums paid over benefit continuation period. Value shown represents group term life imputed income in year preceding termination.</w:t>
      </w:r>
    </w:p>
    <w:p>
      <w:pPr>
        <w:pStyle w:val="TextBody"/>
        <w:bidi w:val="0"/>
        <w:spacing w:lineRule="auto" w:line="288" w:before="0" w:after="60"/>
        <w:ind w:left="0" w:right="0" w:hanging="180"/>
        <w:jc w:val="both"/>
        <w:rPr/>
      </w:pPr>
      <w:r>
        <w:rPr>
          <w:color w:val="000000"/>
        </w:rPr>
        <w:t>•</w:t>
      </w:r>
      <w:r>
        <w:rPr>
          <w:rFonts w:ascii="Arial;sans-serif" w:hAnsi="Arial;sans-serif"/>
          <w:b w:val="false"/>
          <w:color w:val="000000"/>
          <w:sz w:val="14"/>
        </w:rPr>
        <w:t>The full cost of health and welfare and vision benefit continuation for 3 years.</w:t>
      </w:r>
    </w:p>
    <w:p>
      <w:pPr>
        <w:pStyle w:val="TextBody"/>
        <w:bidi w:val="0"/>
        <w:spacing w:lineRule="auto" w:line="288" w:before="0" w:after="60"/>
        <w:ind w:left="0" w:right="0" w:hanging="180"/>
        <w:jc w:val="both"/>
        <w:rPr/>
      </w:pPr>
      <w:r>
        <w:rPr>
          <w:color w:val="000000"/>
        </w:rPr>
        <w:t>•</w:t>
      </w:r>
      <w:r>
        <w:rPr>
          <w:rFonts w:ascii="Arial;sans-serif" w:hAnsi="Arial;sans-serif"/>
          <w:b w:val="false"/>
          <w:color w:val="000000"/>
          <w:sz w:val="14"/>
        </w:rPr>
        <w:t>The value of perquisites (annual physical, financial planning, and tax preparation) on the same basis as the executive was receiving in the year preceding termination for 3 years.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739140"/>
                <wp:effectExtent l="0" t="0" r="0" b="0"/>
                <wp:wrapNone/>
                <wp:docPr id="177" name="Frame54"/>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292" w:type="dxa"/>
                              <w:jc w:val="left"/>
                              <w:tblInd w:w="0" w:type="dxa"/>
                              <w:tblLayout w:type="fixed"/>
                              <w:tblCellMar>
                                <w:top w:w="28" w:type="dxa"/>
                                <w:left w:w="28" w:type="dxa"/>
                                <w:bottom w:w="28" w:type="dxa"/>
                                <w:right w:w="28" w:type="dxa"/>
                              </w:tblCellMar>
                            </w:tblPr>
                            <w:tblGrid>
                              <w:gridCol w:w="124"/>
                              <w:gridCol w:w="109"/>
                              <w:gridCol w:w="109"/>
                              <w:gridCol w:w="704"/>
                              <w:gridCol w:w="704"/>
                              <w:gridCol w:w="706"/>
                              <w:gridCol w:w="244"/>
                              <w:gridCol w:w="244"/>
                              <w:gridCol w:w="34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6"/>
                                    </w:rPr>
                                  </w:pPr>
                                  <w:r>
                                    <w:rPr>
                                      <w:rFonts w:ascii="Arial;sans-serif" w:hAnsi="Arial;sans-serif"/>
                                      <w:b/>
                                      <w:color w:val="000000"/>
                                      <w:sz w:val="16"/>
                                    </w:rPr>
                                    <w:t>48</w:t>
                                  </w:r>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2024 PROXY STATEMENT</w:t>
                                  </w:r>
                                </w:p>
                              </w:tc>
                              <w:tc>
                                <w:tcPr>
                                  <w:tcW w:w="83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178" name="Image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 name="Image77" descr=""/>
                                                <pic:cNvPicPr>
                                                  <a:picLocks noChangeAspect="1" noChangeArrowheads="1"/>
                                                </pic:cNvPicPr>
                                              </pic:nvPicPr>
                                              <pic:blipFill>
                                                <a:blip r:embed="rId125"/>
                                                <a:stretch>
                                                  <a:fillRect/>
                                                </a:stretch>
                                              </pic:blipFill>
                                              <pic:spPr bwMode="auto">
                                                <a:xfrm>
                                                  <a:off x="0" y="0"/>
                                                  <a:ext cx="447675" cy="161925"/>
                                                </a:xfrm>
                                                <a:prstGeom prst="rect">
                                                  <a:avLst/>
                                                </a:prstGeom>
                                              </pic:spPr>
                                            </pic:pic>
                                          </a:graphicData>
                                        </a:graphic>
                                      </wp:inline>
                                    </w:drawing>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292" w:type="dxa"/>
                        <w:jc w:val="left"/>
                        <w:tblInd w:w="0" w:type="dxa"/>
                        <w:tblLayout w:type="fixed"/>
                        <w:tblCellMar>
                          <w:top w:w="28" w:type="dxa"/>
                          <w:left w:w="28" w:type="dxa"/>
                          <w:bottom w:w="28" w:type="dxa"/>
                          <w:right w:w="28" w:type="dxa"/>
                        </w:tblCellMar>
                      </w:tblPr>
                      <w:tblGrid>
                        <w:gridCol w:w="124"/>
                        <w:gridCol w:w="109"/>
                        <w:gridCol w:w="109"/>
                        <w:gridCol w:w="704"/>
                        <w:gridCol w:w="704"/>
                        <w:gridCol w:w="706"/>
                        <w:gridCol w:w="244"/>
                        <w:gridCol w:w="244"/>
                        <w:gridCol w:w="34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6"/>
                              </w:rPr>
                            </w:pPr>
                            <w:r>
                              <w:rPr>
                                <w:rFonts w:ascii="Arial;sans-serif" w:hAnsi="Arial;sans-serif"/>
                                <w:b/>
                                <w:color w:val="000000"/>
                                <w:sz w:val="16"/>
                              </w:rPr>
                              <w:t>48</w:t>
                            </w:r>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2024 PROXY STATEMENT</w:t>
                            </w:r>
                          </w:p>
                        </w:tc>
                        <w:tc>
                          <w:tcPr>
                            <w:tcW w:w="83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179" name="Image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 name="Image77" descr=""/>
                                          <pic:cNvPicPr>
                                            <a:picLocks noChangeAspect="1" noChangeArrowheads="1"/>
                                          </pic:cNvPicPr>
                                        </pic:nvPicPr>
                                        <pic:blipFill>
                                          <a:blip r:embed="rId126"/>
                                          <a:stretch>
                                            <a:fillRect/>
                                          </a:stretch>
                                        </pic:blipFill>
                                        <pic:spPr bwMode="auto">
                                          <a:xfrm>
                                            <a:off x="0" y="0"/>
                                            <a:ext cx="447675" cy="161925"/>
                                          </a:xfrm>
                                          <a:prstGeom prst="rect">
                                            <a:avLst/>
                                          </a:prstGeom>
                                        </pic:spPr>
                                      </pic:pic>
                                    </a:graphicData>
                                  </a:graphic>
                                </wp:inline>
                              </w:drawing>
                            </w:r>
                          </w:p>
                        </w:tc>
                      </w:tr>
                    </w:tbl>
                    <w:p>
                      <w:pPr>
                        <w:pStyle w:val="TextBody"/>
                        <w:bidi w:val="0"/>
                        <w:spacing w:before="0" w:after="283"/>
                        <w:jc w:val="left"/>
                        <w:rPr/>
                      </w:pPr>
                      <w:r>
                        <w:rPr/>
                      </w:r>
                    </w:p>
                  </w:txbxContent>
                </v:textbox>
                <w10:wrap type="none"/>
              </v:rect>
            </w:pict>
          </mc:Fallback>
        </mc:AlternateContent>
      </w:r>
    </w:p>
    <w:tbl>
      <w:tblPr>
        <w:tblW w:w="2459" w:type="dxa"/>
        <w:jc w:val="left"/>
        <w:tblInd w:w="0" w:type="dxa"/>
        <w:tblLayout w:type="fixed"/>
        <w:tblCellMar>
          <w:top w:w="28" w:type="dxa"/>
          <w:left w:w="28" w:type="dxa"/>
          <w:bottom w:w="28" w:type="dxa"/>
          <w:right w:w="28" w:type="dxa"/>
        </w:tblCellMar>
      </w:tblPr>
      <w:tblGrid>
        <w:gridCol w:w="786"/>
        <w:gridCol w:w="691"/>
        <w:gridCol w:w="982"/>
      </w:tblGrid>
      <w:tr>
        <w:trPr/>
        <w:tc>
          <w:tcPr>
            <w:tcW w:w="78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r>
      <w:tr>
        <w:trPr/>
        <w:tc>
          <w:tcPr>
            <w:tcW w:w="2459" w:type="dxa"/>
            <w:gridSpan w:val="3"/>
            <w:tcBorders>
              <w:bottom w:val="single" w:sz="4" w:space="0" w:color="004C97"/>
            </w:tcBorders>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4C97"/>
                <w:sz w:val="16"/>
              </w:rPr>
            </w:pPr>
            <w:r>
              <w:rPr>
                <w:rFonts w:ascii="Arial;sans-serif" w:hAnsi="Arial;sans-serif"/>
                <w:b w:val="false"/>
                <w:color w:val="004C97"/>
                <w:sz w:val="16"/>
              </w:rPr>
              <w:t>EXECUTIVE COMPENSATION</w:t>
            </w:r>
          </w:p>
        </w:tc>
      </w:tr>
    </w:tbl>
    <w:p>
      <w:pPr>
        <w:pStyle w:val="TextBody"/>
        <w:bidi w:val="0"/>
        <w:spacing w:lineRule="auto" w:line="288" w:before="0" w:after="60"/>
        <w:ind w:left="0" w:right="0" w:hanging="360"/>
        <w:jc w:val="both"/>
        <w:rPr>
          <w:rFonts w:ascii="Arial;sans-serif" w:hAnsi="Arial;sans-serif"/>
          <w:b w:val="false"/>
          <w:color w:val="000000"/>
          <w:sz w:val="14"/>
        </w:rPr>
      </w:pPr>
      <w:r>
        <w:rPr>
          <w:rFonts w:ascii="Arial;sans-serif" w:hAnsi="Arial;sans-serif"/>
          <w:b w:val="false"/>
          <w:color w:val="000000"/>
          <w:sz w:val="14"/>
        </w:rPr>
        <w:t>(11)One times current base salary.</w:t>
      </w:r>
    </w:p>
    <w:p>
      <w:pPr>
        <w:pStyle w:val="TextBody"/>
        <w:bidi w:val="0"/>
        <w:spacing w:lineRule="auto" w:line="288" w:before="0" w:after="60"/>
        <w:ind w:left="0" w:right="0" w:hanging="360"/>
        <w:jc w:val="both"/>
        <w:rPr>
          <w:rFonts w:ascii="Arial;sans-serif" w:hAnsi="Arial;sans-serif"/>
          <w:b w:val="false"/>
          <w:color w:val="000000"/>
          <w:sz w:val="14"/>
        </w:rPr>
      </w:pPr>
      <w:r>
        <w:rPr>
          <w:rFonts w:ascii="Arial;sans-serif" w:hAnsi="Arial;sans-serif"/>
          <w:b w:val="false"/>
          <w:color w:val="000000"/>
          <w:sz w:val="14"/>
        </w:rPr>
        <w:t>(12)One times annual bonus, which is equal to the highest of actual bonus for year preceding termination or current year target bonus plus the amount, if any, that the bonus that would have been paid to the executive for the bonus plan year in which such termination of employment occurs, based on the performance level actually attained, exceeds the amount payable under the highest of prior actual or current target bonus.</w:t>
      </w:r>
    </w:p>
    <w:p>
      <w:pPr>
        <w:pStyle w:val="TextBody"/>
        <w:bidi w:val="0"/>
        <w:spacing w:lineRule="auto" w:line="288" w:before="0" w:after="60"/>
        <w:ind w:left="0" w:right="0" w:hanging="360"/>
        <w:jc w:val="both"/>
        <w:rPr>
          <w:rFonts w:ascii="Arial;sans-serif" w:hAnsi="Arial;sans-serif"/>
          <w:b w:val="false"/>
          <w:color w:val="000000"/>
          <w:sz w:val="14"/>
        </w:rPr>
      </w:pPr>
      <w:r>
        <w:rPr>
          <w:rFonts w:ascii="Arial;sans-serif" w:hAnsi="Arial;sans-serif"/>
          <w:b w:val="false"/>
          <w:color w:val="000000"/>
          <w:sz w:val="14"/>
        </w:rPr>
        <w:t>(13)Sum of other compensation for Mr. Carano, Mr. Data, Mr. Swann, and Mr. McClenaghan includes:</w:t>
      </w:r>
    </w:p>
    <w:p>
      <w:pPr>
        <w:pStyle w:val="TextBody"/>
        <w:bidi w:val="0"/>
        <w:spacing w:lineRule="auto" w:line="288" w:before="0" w:after="60"/>
        <w:ind w:left="0" w:right="0" w:hanging="180"/>
        <w:jc w:val="both"/>
        <w:rPr/>
      </w:pPr>
      <w:r>
        <w:rPr>
          <w:color w:val="000000"/>
        </w:rPr>
        <w:t>•</w:t>
      </w:r>
      <w:r>
        <w:rPr>
          <w:rFonts w:ascii="Arial;sans-serif" w:hAnsi="Arial;sans-serif"/>
          <w:b w:val="false"/>
          <w:color w:val="000000"/>
          <w:sz w:val="14"/>
        </w:rPr>
        <w:t xml:space="preserve">Payout in lieu of unused vacation accrued through December 2023 as a result of a change in paid time-off policies affecting all relevant employees, which change was adopted in December 2022. </w:t>
      </w:r>
    </w:p>
    <w:p>
      <w:pPr>
        <w:pStyle w:val="TextBody"/>
        <w:bidi w:val="0"/>
        <w:spacing w:lineRule="auto" w:line="288" w:before="0" w:after="60"/>
        <w:ind w:left="0" w:right="0" w:hanging="180"/>
        <w:jc w:val="both"/>
        <w:rPr/>
      </w:pPr>
      <w:r>
        <w:rPr>
          <w:color w:val="000000"/>
        </w:rPr>
        <w:t>•</w:t>
      </w:r>
      <w:r>
        <w:rPr>
          <w:rFonts w:ascii="Arial;sans-serif" w:hAnsi="Arial;sans-serif"/>
          <w:b w:val="false"/>
          <w:color w:val="000000"/>
          <w:sz w:val="14"/>
        </w:rPr>
        <w:t>Maximum outplacement benefit for involuntary termination of $35,000.</w:t>
      </w:r>
    </w:p>
    <w:p>
      <w:pPr>
        <w:pStyle w:val="TextBody"/>
        <w:bidi w:val="0"/>
        <w:spacing w:lineRule="auto" w:line="288" w:before="0" w:after="60"/>
        <w:ind w:left="0" w:right="0" w:hanging="180"/>
        <w:jc w:val="both"/>
        <w:rPr/>
      </w:pPr>
      <w:r>
        <w:rPr>
          <w:color w:val="000000"/>
        </w:rPr>
        <w:t>•</w:t>
      </w:r>
      <w:r>
        <w:rPr>
          <w:rFonts w:ascii="Arial;sans-serif" w:hAnsi="Arial;sans-serif"/>
          <w:b w:val="false"/>
          <w:color w:val="000000"/>
          <w:sz w:val="14"/>
        </w:rPr>
        <w:t>The Company will reimburse premiums paid over benefit continuation period. Value shown represents group term life imputed income in year preceding termination.</w:t>
      </w:r>
    </w:p>
    <w:p>
      <w:pPr>
        <w:pStyle w:val="TextBody"/>
        <w:bidi w:val="0"/>
        <w:spacing w:lineRule="auto" w:line="288" w:before="0" w:after="60"/>
        <w:ind w:left="0" w:right="0" w:hanging="180"/>
        <w:jc w:val="both"/>
        <w:rPr/>
      </w:pPr>
      <w:r>
        <w:rPr>
          <w:color w:val="000000"/>
        </w:rPr>
        <w:t>•</w:t>
      </w:r>
      <w:r>
        <w:rPr>
          <w:rFonts w:ascii="Arial;sans-serif" w:hAnsi="Arial;sans-serif"/>
          <w:b w:val="false"/>
          <w:color w:val="000000"/>
          <w:sz w:val="14"/>
        </w:rPr>
        <w:t>The Company cost of health and welfare benefit continuation for 1 year.</w:t>
      </w:r>
    </w:p>
    <w:p>
      <w:pPr>
        <w:pStyle w:val="TextBody"/>
        <w:bidi w:val="0"/>
        <w:spacing w:lineRule="auto" w:line="288" w:before="0" w:after="60"/>
        <w:ind w:left="0" w:right="0" w:hanging="180"/>
        <w:jc w:val="both"/>
        <w:rPr/>
      </w:pPr>
      <w:r>
        <w:rPr>
          <w:color w:val="000000"/>
        </w:rPr>
        <w:t>•</w:t>
      </w:r>
      <w:r>
        <w:rPr>
          <w:rFonts w:ascii="Arial;sans-serif" w:hAnsi="Arial;sans-serif"/>
          <w:b w:val="false"/>
          <w:color w:val="000000"/>
          <w:sz w:val="14"/>
        </w:rPr>
        <w:t>The value of perquisites (annual physical, financial planning, and tax preparation) on the same basis as the executive was receiving in the year preceding termination for 1 year.</w:t>
      </w:r>
    </w:p>
    <w:p>
      <w:pPr>
        <w:pStyle w:val="TextBody"/>
        <w:bidi w:val="0"/>
        <w:spacing w:lineRule="auto" w:line="288" w:before="0" w:after="60"/>
        <w:ind w:left="0" w:right="0" w:hanging="360"/>
        <w:jc w:val="both"/>
        <w:rPr>
          <w:rFonts w:ascii="Arial;sans-serif" w:hAnsi="Arial;sans-serif"/>
          <w:b w:val="false"/>
          <w:color w:val="000000"/>
          <w:sz w:val="14"/>
        </w:rPr>
      </w:pPr>
      <w:r>
        <w:rPr>
          <w:rFonts w:ascii="Arial;sans-serif" w:hAnsi="Arial;sans-serif"/>
          <w:b w:val="false"/>
          <w:color w:val="000000"/>
          <w:sz w:val="14"/>
        </w:rPr>
        <w:t>(14)Sum of other compensation for Mr. Carano, Mr. Data, Mr. Swann, and Mr. McClenaghan includes:</w:t>
      </w:r>
    </w:p>
    <w:p>
      <w:pPr>
        <w:pStyle w:val="TextBody"/>
        <w:bidi w:val="0"/>
        <w:spacing w:lineRule="auto" w:line="288" w:before="0" w:after="60"/>
        <w:ind w:left="0" w:right="0" w:hanging="180"/>
        <w:jc w:val="both"/>
        <w:rPr/>
      </w:pPr>
      <w:r>
        <w:rPr>
          <w:color w:val="000000"/>
        </w:rPr>
        <w:t>•</w:t>
      </w:r>
      <w:r>
        <w:rPr>
          <w:rFonts w:ascii="Arial;sans-serif" w:hAnsi="Arial;sans-serif"/>
          <w:b w:val="false"/>
          <w:color w:val="000000"/>
          <w:sz w:val="14"/>
        </w:rPr>
        <w:t>Payout in lieu of unused vacation accrued through December 2023 as a result of a change in paid time-off policies affecting all relevant employees, which change was adopted in December 2022.</w:t>
      </w:r>
    </w:p>
    <w:p>
      <w:pPr>
        <w:pStyle w:val="TextBody"/>
        <w:bidi w:val="0"/>
        <w:spacing w:lineRule="auto" w:line="288" w:before="0" w:after="60"/>
        <w:ind w:left="0" w:right="0" w:hanging="180"/>
        <w:jc w:val="both"/>
        <w:rPr/>
      </w:pPr>
      <w:r>
        <w:rPr>
          <w:color w:val="000000"/>
        </w:rPr>
        <w:t>•</w:t>
      </w:r>
      <w:r>
        <w:rPr>
          <w:rFonts w:ascii="Arial;sans-serif" w:hAnsi="Arial;sans-serif"/>
          <w:b w:val="false"/>
          <w:color w:val="000000"/>
          <w:sz w:val="14"/>
        </w:rPr>
        <w:t>Maximum outplacement benefit for involuntary termination of $35,000.</w:t>
      </w:r>
    </w:p>
    <w:p>
      <w:pPr>
        <w:pStyle w:val="TextBody"/>
        <w:bidi w:val="0"/>
        <w:spacing w:lineRule="auto" w:line="288" w:before="0" w:after="60"/>
        <w:ind w:left="0" w:right="0" w:hanging="180"/>
        <w:jc w:val="both"/>
        <w:rPr/>
      </w:pPr>
      <w:r>
        <w:rPr>
          <w:color w:val="000000"/>
        </w:rPr>
        <w:t>•</w:t>
      </w:r>
      <w:r>
        <w:rPr>
          <w:rFonts w:ascii="Arial;sans-serif" w:hAnsi="Arial;sans-serif"/>
          <w:b w:val="false"/>
          <w:color w:val="000000"/>
          <w:sz w:val="14"/>
        </w:rPr>
        <w:t>The Company will reimburse premiums paid over benefit continuation period. Value shown represents group term life imputed income in year preceding termination.</w:t>
      </w:r>
    </w:p>
    <w:p>
      <w:pPr>
        <w:pStyle w:val="TextBody"/>
        <w:bidi w:val="0"/>
        <w:spacing w:lineRule="auto" w:line="288" w:before="0" w:after="60"/>
        <w:ind w:left="0" w:right="0" w:hanging="180"/>
        <w:jc w:val="both"/>
        <w:rPr/>
      </w:pPr>
      <w:r>
        <w:rPr>
          <w:color w:val="000000"/>
        </w:rPr>
        <w:t>•</w:t>
      </w:r>
      <w:r>
        <w:rPr>
          <w:rFonts w:ascii="Arial;sans-serif" w:hAnsi="Arial;sans-serif"/>
          <w:b w:val="false"/>
          <w:color w:val="000000"/>
          <w:sz w:val="14"/>
        </w:rPr>
        <w:t>The full cost of health and welfare and vision benefit continuation for 2 years.</w:t>
      </w:r>
    </w:p>
    <w:p>
      <w:pPr>
        <w:pStyle w:val="TextBody"/>
        <w:bidi w:val="0"/>
        <w:spacing w:lineRule="auto" w:line="288" w:before="0" w:after="360"/>
        <w:ind w:left="0" w:right="0" w:hanging="180"/>
        <w:jc w:val="both"/>
        <w:rPr/>
      </w:pPr>
      <w:r>
        <w:rPr>
          <w:color w:val="000000"/>
        </w:rPr>
        <w:t>•</w:t>
      </w:r>
      <w:r>
        <w:rPr>
          <w:rFonts w:ascii="Arial;sans-serif" w:hAnsi="Arial;sans-serif"/>
          <w:b w:val="false"/>
          <w:color w:val="000000"/>
          <w:sz w:val="14"/>
        </w:rPr>
        <w:t>The value of perquisites (annual physical, financial planning, and tax preparation) on the same basis as the executive was receiving in the year preceding termination for 2 years.</w:t>
      </w:r>
    </w:p>
    <w:p>
      <w:pPr>
        <w:pStyle w:val="TextBody"/>
        <w:bidi w:val="0"/>
        <w:spacing w:lineRule="auto" w:line="288" w:before="360" w:after="283"/>
        <w:jc w:val="left"/>
        <w:rPr>
          <w:rFonts w:ascii="Arial;sans-serif" w:hAnsi="Arial;sans-serif"/>
          <w:b/>
          <w:color w:val="000000"/>
          <w:sz w:val="32"/>
        </w:rPr>
      </w:pPr>
      <w:bookmarkStart w:id="20" w:name="i52e69073c4b44be18b26bb8ffcaf1259_294484"/>
      <w:bookmarkEnd w:id="20"/>
      <w:r>
        <w:rPr>
          <w:rFonts w:ascii="Arial;sans-serif" w:hAnsi="Arial;sans-serif"/>
          <w:b/>
          <w:color w:val="000000"/>
          <w:sz w:val="32"/>
        </w:rPr>
        <w:t>CEO Pay Ratio</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 xml:space="preserve">SEC rules require that we present a ratio of the total compensation of our CEO for 2023 to the total compensation received for 2023 by an identified median-compensated employee. These rules do not prescribe a particular method for identifying the median-compensated employee and permit companies to use reasonable methods for determining the median-compensated employee for the basis of presenting this ratio. </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The 2023 annual total compensation for the identified median-compensated employee was $59,873 and the annual total compensation of our CEO was $7,658,614. Based on this information, for 2023 the ratio of the annual total compensation of our CEO to that of the identified median-compensated employee was 127.9 to 1.</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To identify the median-compensated employee in 2023, we conducted a full analysis of our total employee population as of December 31, 2023, without the use of statistical sampling. We determined our median-compensated employee using “total compensation” paid during the full year 2023. “Total compensation” for this purpose consisted of gross wages which included base wages, overtime, shift differential, incentives, paid time off, and perquisites, as applicable. We did not annualize gross wages for employees who were not employed for the full year in 2023. For those employees located outside of the US, currencies were converted to US Dollars using the posted Bloomberg market rates as of December 21, 2023. In determining the pay ratio for 2024, we calculated the total compensation of the median-compensated employee using the same method used in calculating the total compensation of our CEO, as reported in the Summary Compensation Table on page 38.</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This pay ratio is a reasonable estimate calculated in a manner consistent with the applicable SEC rules using the data and method summarized above. As noted above, SEC rules for identifying the median-compensated employee allow companies to adopt a variety of methods to apply certain exclusions, and to make reasonable estimates and assumptions that reflect their compensation practices. As such, the median employee compensation amount and CEO pay ratio reported by other companies may not be comparable to the amount and ratio reported above.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739140"/>
                <wp:effectExtent l="0" t="0" r="0" b="0"/>
                <wp:wrapNone/>
                <wp:docPr id="180" name="Frame55"/>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292" w:type="dxa"/>
                              <w:jc w:val="right"/>
                              <w:tblInd w:w="0" w:type="dxa"/>
                              <w:tblLayout w:type="fixed"/>
                              <w:tblCellMar>
                                <w:top w:w="28" w:type="dxa"/>
                                <w:left w:w="28" w:type="dxa"/>
                                <w:bottom w:w="28" w:type="dxa"/>
                                <w:right w:w="28" w:type="dxa"/>
                              </w:tblCellMar>
                            </w:tblPr>
                            <w:tblGrid>
                              <w:gridCol w:w="292"/>
                              <w:gridCol w:w="256"/>
                              <w:gridCol w:w="258"/>
                              <w:gridCol w:w="704"/>
                              <w:gridCol w:w="704"/>
                              <w:gridCol w:w="706"/>
                              <w:gridCol w:w="109"/>
                              <w:gridCol w:w="109"/>
                              <w:gridCol w:w="154"/>
                            </w:tblGrid>
                            <w:tr>
                              <w:trPr/>
                              <w:tc>
                                <w:tcPr>
                                  <w:tcW w:w="29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0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181" name="Image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 name="Image78" descr=""/>
                                                <pic:cNvPicPr>
                                                  <a:picLocks noChangeAspect="1" noChangeArrowheads="1"/>
                                                </pic:cNvPicPr>
                                              </pic:nvPicPr>
                                              <pic:blipFill>
                                                <a:blip r:embed="rId127"/>
                                                <a:stretch>
                                                  <a:fillRect/>
                                                </a:stretch>
                                              </pic:blipFill>
                                              <pic:spPr bwMode="auto">
                                                <a:xfrm>
                                                  <a:off x="0" y="0"/>
                                                  <a:ext cx="447675" cy="161925"/>
                                                </a:xfrm>
                                                <a:prstGeom prst="rect">
                                                  <a:avLst/>
                                                </a:prstGeom>
                                              </pic:spPr>
                                            </pic:pic>
                                          </a:graphicData>
                                        </a:graphic>
                                      </wp:inline>
                                    </w:drawing>
                                  </w:r>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2024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000000"/>
                                      <w:sz w:val="16"/>
                                    </w:rPr>
                                  </w:pPr>
                                  <w:r>
                                    <w:rPr>
                                      <w:rFonts w:ascii="Arial;sans-serif" w:hAnsi="Arial;sans-serif"/>
                                      <w:b/>
                                      <w:color w:val="000000"/>
                                      <w:sz w:val="16"/>
                                    </w:rPr>
                                    <w:t>49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292" w:type="dxa"/>
                        <w:jc w:val="right"/>
                        <w:tblInd w:w="0" w:type="dxa"/>
                        <w:tblLayout w:type="fixed"/>
                        <w:tblCellMar>
                          <w:top w:w="28" w:type="dxa"/>
                          <w:left w:w="28" w:type="dxa"/>
                          <w:bottom w:w="28" w:type="dxa"/>
                          <w:right w:w="28" w:type="dxa"/>
                        </w:tblCellMar>
                      </w:tblPr>
                      <w:tblGrid>
                        <w:gridCol w:w="292"/>
                        <w:gridCol w:w="256"/>
                        <w:gridCol w:w="258"/>
                        <w:gridCol w:w="704"/>
                        <w:gridCol w:w="704"/>
                        <w:gridCol w:w="706"/>
                        <w:gridCol w:w="109"/>
                        <w:gridCol w:w="109"/>
                        <w:gridCol w:w="154"/>
                      </w:tblGrid>
                      <w:tr>
                        <w:trPr/>
                        <w:tc>
                          <w:tcPr>
                            <w:tcW w:w="29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0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182" name="Image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 name="Image78" descr=""/>
                                          <pic:cNvPicPr>
                                            <a:picLocks noChangeAspect="1" noChangeArrowheads="1"/>
                                          </pic:cNvPicPr>
                                        </pic:nvPicPr>
                                        <pic:blipFill>
                                          <a:blip r:embed="rId128"/>
                                          <a:stretch>
                                            <a:fillRect/>
                                          </a:stretch>
                                        </pic:blipFill>
                                        <pic:spPr bwMode="auto">
                                          <a:xfrm>
                                            <a:off x="0" y="0"/>
                                            <a:ext cx="447675" cy="161925"/>
                                          </a:xfrm>
                                          <a:prstGeom prst="rect">
                                            <a:avLst/>
                                          </a:prstGeom>
                                        </pic:spPr>
                                      </pic:pic>
                                    </a:graphicData>
                                  </a:graphic>
                                </wp:inline>
                              </w:drawing>
                            </w:r>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2024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000000"/>
                                <w:sz w:val="16"/>
                              </w:rPr>
                            </w:pPr>
                            <w:r>
                              <w:rPr>
                                <w:rFonts w:ascii="Arial;sans-serif" w:hAnsi="Arial;sans-serif"/>
                                <w:b/>
                                <w:color w:val="000000"/>
                                <w:sz w:val="16"/>
                              </w:rPr>
                              <w:t>49</w:t>
                            </w:r>
                          </w:p>
                        </w:tc>
                      </w:tr>
                    </w:tbl>
                    <w:p>
                      <w:pPr>
                        <w:pStyle w:val="TextBody"/>
                        <w:bidi w:val="0"/>
                        <w:spacing w:before="0" w:after="283"/>
                        <w:jc w:val="left"/>
                        <w:rPr/>
                      </w:pPr>
                      <w:r>
                        <w:rPr/>
                      </w:r>
                    </w:p>
                  </w:txbxContent>
                </v:textbox>
                <w10:wrap type="none"/>
              </v:rect>
            </w:pict>
          </mc:Fallback>
        </mc:AlternateContent>
      </w:r>
    </w:p>
    <w:tbl>
      <w:tblPr>
        <w:tblW w:w="2459" w:type="dxa"/>
        <w:jc w:val="right"/>
        <w:tblInd w:w="0" w:type="dxa"/>
        <w:tblLayout w:type="fixed"/>
        <w:tblCellMar>
          <w:top w:w="28" w:type="dxa"/>
          <w:left w:w="28" w:type="dxa"/>
          <w:bottom w:w="28" w:type="dxa"/>
          <w:right w:w="28" w:type="dxa"/>
        </w:tblCellMar>
      </w:tblPr>
      <w:tblGrid>
        <w:gridCol w:w="786"/>
        <w:gridCol w:w="691"/>
        <w:gridCol w:w="982"/>
      </w:tblGrid>
      <w:tr>
        <w:trPr/>
        <w:tc>
          <w:tcPr>
            <w:tcW w:w="78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r>
      <w:tr>
        <w:trPr/>
        <w:tc>
          <w:tcPr>
            <w:tcW w:w="2459" w:type="dxa"/>
            <w:gridSpan w:val="3"/>
            <w:tcBorders>
              <w:bottom w:val="single" w:sz="4" w:space="0" w:color="004C97"/>
            </w:tcBorders>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4C97"/>
                <w:sz w:val="16"/>
              </w:rPr>
            </w:pPr>
            <w:r>
              <w:rPr>
                <w:rFonts w:ascii="Arial;sans-serif" w:hAnsi="Arial;sans-serif"/>
                <w:b w:val="false"/>
                <w:color w:val="004C97"/>
                <w:sz w:val="16"/>
              </w:rPr>
              <w:t>EXECUTIVE COMPENSATION</w:t>
            </w:r>
          </w:p>
        </w:tc>
      </w:tr>
    </w:tbl>
    <w:p>
      <w:pPr>
        <w:pStyle w:val="TextBody"/>
        <w:bidi w:val="0"/>
        <w:spacing w:lineRule="auto" w:line="288" w:before="360" w:after="283"/>
        <w:jc w:val="left"/>
        <w:rPr>
          <w:rFonts w:ascii="Arial;sans-serif" w:hAnsi="Arial;sans-serif"/>
          <w:b/>
          <w:color w:val="000000"/>
          <w:sz w:val="32"/>
        </w:rPr>
      </w:pPr>
      <w:bookmarkStart w:id="21" w:name="i52e69073c4b44be18b26bb8ffcaf1259_294485"/>
      <w:bookmarkEnd w:id="21"/>
      <w:r>
        <w:rPr>
          <w:rFonts w:ascii="Arial;sans-serif" w:hAnsi="Arial;sans-serif"/>
          <w:b/>
          <w:color w:val="000000"/>
          <w:sz w:val="32"/>
        </w:rPr>
        <w:t>Pay Versus Performance</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In accordance with rules adopted by the Securities and Exchange Commission (“SEC”) pursuant to the Dodd-Frank Wall Street Reform and Consumer Protection Act of 2010, we provide the following disclosure regarding executive “Compensation Actually Paid” calculated in a manner prescribed by applicable SEC Rules and certain Company performance for the fiscal years listed below. As identified in the footnotes to the table, the determination of Compensation Actually Paid includes adjustments to reflect, among other things, period-to-period changes in the value of unvested equity awards. Accordingly, such amounts do not reflect the value of compensation actually delivered to, or received by, our executive officers in the period reported in the table, as the amount of actual compensation received by any executive officers depends on whether the executive officer satisfies the conditions for vesting of any such award, the extent to which performance conditions for performance-based awards are satisfied, and the value of our common stock on the date such awards vest (or, with respect to options, on the date that vested options are exercised). You should refer to “Compensation Discussion &amp; Analysis” for a complete description of how executive compensation relates to Company performance and how the Compensation Committee makes its decisions.</w:t>
      </w:r>
    </w:p>
    <w:tbl>
      <w:tblPr>
        <w:tblW w:w="10205" w:type="dxa"/>
        <w:jc w:val="left"/>
        <w:tblInd w:w="0" w:type="dxa"/>
        <w:tblLayout w:type="fixed"/>
        <w:tblCellMar>
          <w:top w:w="28" w:type="dxa"/>
          <w:left w:w="28" w:type="dxa"/>
          <w:bottom w:w="28" w:type="dxa"/>
          <w:right w:w="28" w:type="dxa"/>
        </w:tblCellMar>
      </w:tblPr>
      <w:tblGrid>
        <w:gridCol w:w="173"/>
        <w:gridCol w:w="152"/>
        <w:gridCol w:w="156"/>
        <w:gridCol w:w="465"/>
        <w:gridCol w:w="465"/>
        <w:gridCol w:w="466"/>
        <w:gridCol w:w="457"/>
        <w:gridCol w:w="457"/>
        <w:gridCol w:w="458"/>
        <w:gridCol w:w="493"/>
        <w:gridCol w:w="493"/>
        <w:gridCol w:w="494"/>
        <w:gridCol w:w="485"/>
        <w:gridCol w:w="485"/>
        <w:gridCol w:w="487"/>
        <w:gridCol w:w="421"/>
        <w:gridCol w:w="421"/>
        <w:gridCol w:w="422"/>
        <w:gridCol w:w="352"/>
        <w:gridCol w:w="352"/>
        <w:gridCol w:w="247"/>
        <w:gridCol w:w="266"/>
        <w:gridCol w:w="266"/>
        <w:gridCol w:w="267"/>
        <w:gridCol w:w="291"/>
        <w:gridCol w:w="291"/>
        <w:gridCol w:w="423"/>
      </w:tblGrid>
      <w:tr>
        <w:trPr/>
        <w:tc>
          <w:tcPr>
            <w:tcW w:w="173"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r>
      <w:tr>
        <w:trPr/>
        <w:tc>
          <w:tcPr>
            <w:tcW w:w="481" w:type="dxa"/>
            <w:gridSpan w:val="3"/>
            <w:vMerge w:val="restart"/>
            <w:tcBorders>
              <w:top w:val="single" w:sz="4" w:space="0" w:color="000000"/>
              <w:left w:val="single" w:sz="4" w:space="0" w:color="000000"/>
              <w:right w:val="single" w:sz="4" w:space="0" w:color="000000"/>
            </w:tcBorders>
            <w:shd w:fill="004C97" w:val="clear"/>
            <w:tcMar>
              <w:top w:w="30" w:type="dxa"/>
              <w:bottom w:w="0" w:type="dxa"/>
            </w:tcMar>
            <w:vAlign w:val="center"/>
          </w:tcPr>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Year</w:t>
            </w:r>
          </w:p>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(a)</w:t>
            </w:r>
          </w:p>
        </w:tc>
        <w:tc>
          <w:tcPr>
            <w:tcW w:w="1396" w:type="dxa"/>
            <w:gridSpan w:val="3"/>
            <w:vMerge w:val="restart"/>
            <w:tcBorders>
              <w:top w:val="single" w:sz="4" w:space="0" w:color="000000"/>
              <w:left w:val="single" w:sz="4" w:space="0" w:color="000000"/>
              <w:right w:val="single" w:sz="4" w:space="0" w:color="000000"/>
            </w:tcBorders>
            <w:shd w:fill="004C97" w:val="clear"/>
            <w:tcMar>
              <w:top w:w="30" w:type="dxa"/>
              <w:bottom w:w="0" w:type="dxa"/>
            </w:tcMar>
            <w:vAlign w:val="center"/>
          </w:tcPr>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Summary Compensation Table Total for PEO</w:t>
            </w:r>
          </w:p>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(b)</w:t>
            </w:r>
          </w:p>
        </w:tc>
        <w:tc>
          <w:tcPr>
            <w:tcW w:w="1372" w:type="dxa"/>
            <w:gridSpan w:val="3"/>
            <w:vMerge w:val="restart"/>
            <w:tcBorders>
              <w:top w:val="single" w:sz="4" w:space="0" w:color="000000"/>
              <w:left w:val="single" w:sz="4" w:space="0" w:color="000000"/>
              <w:right w:val="single" w:sz="4" w:space="0" w:color="000000"/>
            </w:tcBorders>
            <w:shd w:fill="004C97" w:val="clear"/>
            <w:tcMar>
              <w:top w:w="30" w:type="dxa"/>
              <w:bottom w:w="0" w:type="dxa"/>
            </w:tcMar>
            <w:vAlign w:val="center"/>
          </w:tcPr>
          <w:p>
            <w:pPr>
              <w:pStyle w:val="TableContents"/>
              <w:bidi w:val="0"/>
              <w:spacing w:lineRule="auto" w:line="288" w:before="0" w:after="0"/>
              <w:jc w:val="center"/>
              <w:rPr/>
            </w:pPr>
            <w:r>
              <w:rPr>
                <w:rFonts w:ascii="Arial;sans-serif" w:hAnsi="Arial;sans-serif"/>
                <w:b/>
                <w:color w:val="FFFFFF"/>
                <w:sz w:val="16"/>
              </w:rPr>
              <w:t>Compensation Actually Paid to PEO</w:t>
            </w:r>
            <w:r>
              <w:rPr>
                <w:rFonts w:ascii="Arial;sans-serif" w:hAnsi="Arial;sans-serif"/>
                <w:b/>
                <w:color w:val="FFFFFF"/>
                <w:sz w:val="10"/>
              </w:rPr>
              <w:t>(1)(2)</w:t>
            </w:r>
          </w:p>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(c)</w:t>
            </w:r>
          </w:p>
        </w:tc>
        <w:tc>
          <w:tcPr>
            <w:tcW w:w="1480" w:type="dxa"/>
            <w:gridSpan w:val="3"/>
            <w:vMerge w:val="restart"/>
            <w:tcBorders>
              <w:top w:val="single" w:sz="4" w:space="0" w:color="000000"/>
              <w:left w:val="single" w:sz="4" w:space="0" w:color="000000"/>
              <w:right w:val="single" w:sz="4" w:space="0" w:color="000000"/>
            </w:tcBorders>
            <w:shd w:fill="004C97" w:val="clear"/>
            <w:tcMar>
              <w:top w:w="30" w:type="dxa"/>
              <w:bottom w:w="0" w:type="dxa"/>
            </w:tcMar>
            <w:vAlign w:val="center"/>
          </w:tcPr>
          <w:p>
            <w:pPr>
              <w:pStyle w:val="TableContents"/>
              <w:bidi w:val="0"/>
              <w:spacing w:lineRule="auto" w:line="288" w:before="0" w:after="0"/>
              <w:jc w:val="center"/>
              <w:rPr/>
            </w:pPr>
            <w:r>
              <w:rPr>
                <w:rFonts w:ascii="Arial;sans-serif" w:hAnsi="Arial;sans-serif"/>
                <w:b/>
                <w:color w:val="FFFFFF"/>
                <w:sz w:val="16"/>
              </w:rPr>
              <w:t>Average Summary Compensation Table Total for Non-PEO NEOs</w:t>
            </w:r>
            <w:r>
              <w:rPr>
                <w:rFonts w:ascii="Arial;sans-serif" w:hAnsi="Arial;sans-serif"/>
                <w:b/>
                <w:color w:val="FFFFFF"/>
                <w:sz w:val="10"/>
              </w:rPr>
              <w:t>(3)</w:t>
            </w:r>
          </w:p>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(d)</w:t>
            </w:r>
          </w:p>
        </w:tc>
        <w:tc>
          <w:tcPr>
            <w:tcW w:w="1457" w:type="dxa"/>
            <w:gridSpan w:val="3"/>
            <w:vMerge w:val="restart"/>
            <w:tcBorders>
              <w:top w:val="single" w:sz="4" w:space="0" w:color="000000"/>
              <w:left w:val="single" w:sz="4" w:space="0" w:color="000000"/>
            </w:tcBorders>
            <w:shd w:fill="004C97" w:val="clear"/>
            <w:tcMar>
              <w:top w:w="30" w:type="dxa"/>
              <w:bottom w:w="0" w:type="dxa"/>
              <w:right w:w="0" w:type="dxa"/>
            </w:tcMar>
            <w:vAlign w:val="center"/>
          </w:tcPr>
          <w:p>
            <w:pPr>
              <w:pStyle w:val="TableContents"/>
              <w:bidi w:val="0"/>
              <w:spacing w:lineRule="auto" w:line="288" w:before="0" w:after="0"/>
              <w:jc w:val="center"/>
              <w:rPr/>
            </w:pPr>
            <w:r>
              <w:rPr>
                <w:rFonts w:ascii="Arial;sans-serif" w:hAnsi="Arial;sans-serif"/>
                <w:b/>
                <w:color w:val="FFFFFF"/>
                <w:sz w:val="16"/>
              </w:rPr>
              <w:t>Average Compensation Actually Paid to Non-PEO NEOs</w:t>
            </w:r>
            <w:r>
              <w:rPr>
                <w:rFonts w:ascii="Arial;sans-serif" w:hAnsi="Arial;sans-serif"/>
                <w:b/>
                <w:color w:val="FFFFFF"/>
                <w:sz w:val="10"/>
              </w:rPr>
              <w:t>(1)(2)(3)</w:t>
            </w:r>
          </w:p>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(e)</w:t>
            </w:r>
          </w:p>
        </w:tc>
        <w:tc>
          <w:tcPr>
            <w:tcW w:w="2215" w:type="dxa"/>
            <w:gridSpan w:val="6"/>
            <w:tcBorders>
              <w:top w:val="single" w:sz="4" w:space="0" w:color="000000"/>
              <w:left w:val="single" w:sz="4" w:space="0" w:color="000000"/>
            </w:tcBorders>
            <w:shd w:fill="004C97" w:val="clear"/>
            <w:tcMar>
              <w:top w:w="30" w:type="dxa"/>
              <w:bottom w:w="0" w:type="dxa"/>
              <w:right w:w="0" w:type="dxa"/>
            </w:tcMar>
            <w:vAlign w:val="center"/>
          </w:tcPr>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Value of Initial Fixed $100</w:t>
            </w:r>
          </w:p>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Investment Based On:</w:t>
            </w:r>
          </w:p>
        </w:tc>
        <w:tc>
          <w:tcPr>
            <w:tcW w:w="799" w:type="dxa"/>
            <w:gridSpan w:val="3"/>
            <w:vMerge w:val="restart"/>
            <w:tcBorders>
              <w:top w:val="single" w:sz="4" w:space="0" w:color="000000"/>
              <w:left w:val="single" w:sz="4" w:space="0" w:color="000000"/>
              <w:right w:val="single" w:sz="4" w:space="0" w:color="000000"/>
            </w:tcBorders>
            <w:shd w:fill="004C97" w:val="clear"/>
            <w:tcMar>
              <w:top w:w="30" w:type="dxa"/>
              <w:bottom w:w="0" w:type="dxa"/>
            </w:tcMar>
            <w:vAlign w:val="center"/>
          </w:tcPr>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Net Income (in millions)</w:t>
            </w:r>
          </w:p>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(h)</w:t>
            </w:r>
          </w:p>
        </w:tc>
        <w:tc>
          <w:tcPr>
            <w:tcW w:w="1005" w:type="dxa"/>
            <w:gridSpan w:val="3"/>
            <w:vMerge w:val="restart"/>
            <w:tcBorders>
              <w:top w:val="single" w:sz="4" w:space="0" w:color="000000"/>
              <w:left w:val="single" w:sz="4" w:space="0" w:color="000000"/>
              <w:right w:val="single" w:sz="4" w:space="0" w:color="000000"/>
            </w:tcBorders>
            <w:shd w:fill="004C97" w:val="clear"/>
            <w:tcMar>
              <w:top w:w="30" w:type="dxa"/>
              <w:bottom w:w="0" w:type="dxa"/>
            </w:tcMar>
            <w:vAlign w:val="center"/>
          </w:tcPr>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Adj. Operating Income</w:t>
            </w:r>
          </w:p>
          <w:p>
            <w:pPr>
              <w:pStyle w:val="TableContents"/>
              <w:bidi w:val="0"/>
              <w:spacing w:lineRule="auto" w:line="288" w:before="0" w:after="0"/>
              <w:jc w:val="center"/>
              <w:rPr/>
            </w:pPr>
            <w:r>
              <w:rPr>
                <w:rFonts w:ascii="Arial;sans-serif" w:hAnsi="Arial;sans-serif"/>
                <w:b/>
                <w:color w:val="FFFFFF"/>
                <w:sz w:val="16"/>
              </w:rPr>
              <w:t>(in millions)</w:t>
            </w:r>
            <w:r>
              <w:rPr>
                <w:rFonts w:ascii="Arial;sans-serif" w:hAnsi="Arial;sans-serif"/>
                <w:b/>
                <w:color w:val="FFFFFF"/>
                <w:sz w:val="10"/>
              </w:rPr>
              <w:t>(5)</w:t>
            </w:r>
          </w:p>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(h)</w:t>
            </w:r>
          </w:p>
        </w:tc>
      </w:tr>
      <w:tr>
        <w:trPr/>
        <w:tc>
          <w:tcPr>
            <w:tcW w:w="481" w:type="dxa"/>
            <w:gridSpan w:val="3"/>
            <w:vMerge w:val="continue"/>
            <w:tcBorders>
              <w:top w:val="single" w:sz="4" w:space="0" w:color="000000"/>
              <w:left w:val="single" w:sz="4" w:space="0" w:color="000000"/>
              <w:right w:val="single" w:sz="4" w:space="0" w:color="000000"/>
            </w:tcBorders>
            <w:shd w:fill="004C97" w:val="clear"/>
            <w:tcMar>
              <w:top w:w="30" w:type="dxa"/>
              <w:bottom w:w="0" w:type="dxa"/>
            </w:tcMar>
            <w:vAlign w:val="center"/>
          </w:tcPr>
          <w:p>
            <w:pPr>
              <w:pStyle w:val="Normal"/>
              <w:bidi w:val="0"/>
              <w:jc w:val="left"/>
              <w:rPr/>
            </w:pPr>
            <w:r>
              <w:rPr/>
            </w:r>
          </w:p>
        </w:tc>
        <w:tc>
          <w:tcPr>
            <w:tcW w:w="1396" w:type="dxa"/>
            <w:gridSpan w:val="3"/>
            <w:vMerge w:val="continue"/>
            <w:tcBorders>
              <w:top w:val="single" w:sz="4" w:space="0" w:color="000000"/>
              <w:left w:val="single" w:sz="4" w:space="0" w:color="000000"/>
              <w:right w:val="single" w:sz="4" w:space="0" w:color="000000"/>
            </w:tcBorders>
            <w:shd w:fill="004C97" w:val="clear"/>
            <w:tcMar>
              <w:top w:w="30" w:type="dxa"/>
              <w:bottom w:w="0" w:type="dxa"/>
            </w:tcMar>
            <w:vAlign w:val="center"/>
          </w:tcPr>
          <w:p>
            <w:pPr>
              <w:pStyle w:val="Normal"/>
              <w:bidi w:val="0"/>
              <w:jc w:val="left"/>
              <w:rPr/>
            </w:pPr>
            <w:r>
              <w:rPr/>
            </w:r>
          </w:p>
        </w:tc>
        <w:tc>
          <w:tcPr>
            <w:tcW w:w="1372" w:type="dxa"/>
            <w:gridSpan w:val="3"/>
            <w:vMerge w:val="continue"/>
            <w:tcBorders>
              <w:top w:val="single" w:sz="4" w:space="0" w:color="000000"/>
              <w:left w:val="single" w:sz="4" w:space="0" w:color="000000"/>
              <w:right w:val="single" w:sz="4" w:space="0" w:color="000000"/>
            </w:tcBorders>
            <w:shd w:fill="004C97" w:val="clear"/>
            <w:tcMar>
              <w:top w:w="30" w:type="dxa"/>
              <w:bottom w:w="0" w:type="dxa"/>
            </w:tcMar>
            <w:vAlign w:val="center"/>
          </w:tcPr>
          <w:p>
            <w:pPr>
              <w:pStyle w:val="Normal"/>
              <w:bidi w:val="0"/>
              <w:jc w:val="left"/>
              <w:rPr/>
            </w:pPr>
            <w:r>
              <w:rPr/>
            </w:r>
          </w:p>
        </w:tc>
        <w:tc>
          <w:tcPr>
            <w:tcW w:w="1480" w:type="dxa"/>
            <w:gridSpan w:val="3"/>
            <w:vMerge w:val="continue"/>
            <w:tcBorders>
              <w:top w:val="single" w:sz="4" w:space="0" w:color="000000"/>
              <w:left w:val="single" w:sz="4" w:space="0" w:color="000000"/>
              <w:right w:val="single" w:sz="4" w:space="0" w:color="000000"/>
            </w:tcBorders>
            <w:shd w:fill="004C97" w:val="clear"/>
            <w:tcMar>
              <w:top w:w="30" w:type="dxa"/>
              <w:bottom w:w="0" w:type="dxa"/>
            </w:tcMar>
            <w:vAlign w:val="center"/>
          </w:tcPr>
          <w:p>
            <w:pPr>
              <w:pStyle w:val="Normal"/>
              <w:bidi w:val="0"/>
              <w:jc w:val="left"/>
              <w:rPr/>
            </w:pPr>
            <w:r>
              <w:rPr/>
            </w:r>
          </w:p>
        </w:tc>
        <w:tc>
          <w:tcPr>
            <w:tcW w:w="1457" w:type="dxa"/>
            <w:gridSpan w:val="3"/>
            <w:vMerge w:val="continue"/>
            <w:tcBorders>
              <w:top w:val="single" w:sz="4" w:space="0" w:color="000000"/>
              <w:left w:val="single" w:sz="4" w:space="0" w:color="000000"/>
            </w:tcBorders>
            <w:shd w:fill="004C97" w:val="clear"/>
            <w:tcMar>
              <w:top w:w="30" w:type="dxa"/>
              <w:bottom w:w="0" w:type="dxa"/>
              <w:right w:w="0" w:type="dxa"/>
            </w:tcMar>
            <w:vAlign w:val="center"/>
          </w:tcPr>
          <w:p>
            <w:pPr>
              <w:pStyle w:val="Normal"/>
              <w:bidi w:val="0"/>
              <w:jc w:val="left"/>
              <w:rPr/>
            </w:pPr>
            <w:r>
              <w:rPr/>
            </w:r>
          </w:p>
        </w:tc>
        <w:tc>
          <w:tcPr>
            <w:tcW w:w="1264" w:type="dxa"/>
            <w:gridSpan w:val="3"/>
            <w:tcBorders>
              <w:top w:val="single" w:sz="4" w:space="0" w:color="000000"/>
              <w:left w:val="single" w:sz="4" w:space="0" w:color="000000"/>
            </w:tcBorders>
            <w:shd w:fill="004C97" w:val="clear"/>
            <w:tcMar>
              <w:top w:w="30" w:type="dxa"/>
              <w:bottom w:w="0" w:type="dxa"/>
              <w:right w:w="0" w:type="dxa"/>
            </w:tcMar>
            <w:vAlign w:val="center"/>
          </w:tcPr>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SPX Technologies, Inc.</w:t>
            </w:r>
          </w:p>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(f)</w:t>
            </w:r>
          </w:p>
        </w:tc>
        <w:tc>
          <w:tcPr>
            <w:tcW w:w="951" w:type="dxa"/>
            <w:gridSpan w:val="3"/>
            <w:tcBorders>
              <w:top w:val="single" w:sz="4" w:space="0" w:color="000000"/>
              <w:left w:val="single" w:sz="4" w:space="0" w:color="000000"/>
              <w:right w:val="single" w:sz="4" w:space="0" w:color="000000"/>
            </w:tcBorders>
            <w:shd w:fill="004C97" w:val="clear"/>
            <w:tcMar>
              <w:top w:w="30" w:type="dxa"/>
              <w:bottom w:w="0" w:type="dxa"/>
            </w:tcMar>
            <w:vAlign w:val="center"/>
          </w:tcPr>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S&amp;P 1500</w:t>
            </w:r>
          </w:p>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Industrials</w:t>
            </w:r>
          </w:p>
          <w:p>
            <w:pPr>
              <w:pStyle w:val="TableContents"/>
              <w:bidi w:val="0"/>
              <w:spacing w:lineRule="auto" w:line="288" w:before="0" w:after="0"/>
              <w:jc w:val="center"/>
              <w:rPr/>
            </w:pPr>
            <w:r>
              <w:rPr>
                <w:rFonts w:ascii="Arial;sans-serif" w:hAnsi="Arial;sans-serif"/>
                <w:b/>
                <w:color w:val="FFFFFF"/>
                <w:sz w:val="16"/>
              </w:rPr>
              <w:t>(Sector)</w:t>
            </w:r>
            <w:r>
              <w:rPr>
                <w:rFonts w:ascii="Arial;sans-serif" w:hAnsi="Arial;sans-serif"/>
                <w:b/>
                <w:color w:val="FFFFFF"/>
                <w:sz w:val="10"/>
              </w:rPr>
              <w:t>(4)</w:t>
            </w:r>
          </w:p>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(g)</w:t>
            </w:r>
          </w:p>
        </w:tc>
        <w:tc>
          <w:tcPr>
            <w:tcW w:w="799" w:type="dxa"/>
            <w:gridSpan w:val="3"/>
            <w:vMerge w:val="continue"/>
            <w:tcBorders>
              <w:top w:val="single" w:sz="4" w:space="0" w:color="000000"/>
              <w:left w:val="single" w:sz="4" w:space="0" w:color="000000"/>
              <w:right w:val="single" w:sz="4" w:space="0" w:color="000000"/>
            </w:tcBorders>
            <w:shd w:fill="004C97" w:val="clear"/>
            <w:tcMar>
              <w:top w:w="30" w:type="dxa"/>
              <w:bottom w:w="0" w:type="dxa"/>
            </w:tcMar>
            <w:vAlign w:val="center"/>
          </w:tcPr>
          <w:p>
            <w:pPr>
              <w:pStyle w:val="Normal"/>
              <w:bidi w:val="0"/>
              <w:jc w:val="left"/>
              <w:rPr/>
            </w:pPr>
            <w:r>
              <w:rPr/>
            </w:r>
          </w:p>
        </w:tc>
        <w:tc>
          <w:tcPr>
            <w:tcW w:w="1005" w:type="dxa"/>
            <w:gridSpan w:val="3"/>
            <w:vMerge w:val="continue"/>
            <w:tcBorders>
              <w:top w:val="single" w:sz="4" w:space="0" w:color="000000"/>
              <w:left w:val="single" w:sz="4" w:space="0" w:color="000000"/>
              <w:right w:val="single" w:sz="4" w:space="0" w:color="000000"/>
            </w:tcBorders>
            <w:shd w:fill="004C97" w:val="clear"/>
            <w:tcMar>
              <w:top w:w="30" w:type="dxa"/>
              <w:bottom w:w="0" w:type="dxa"/>
            </w:tcMar>
            <w:vAlign w:val="center"/>
          </w:tcPr>
          <w:p>
            <w:pPr>
              <w:pStyle w:val="Normal"/>
              <w:bidi w:val="0"/>
              <w:jc w:val="left"/>
              <w:rPr/>
            </w:pPr>
            <w:r>
              <w:rPr/>
            </w:r>
          </w:p>
        </w:tc>
      </w:tr>
      <w:tr>
        <w:trPr/>
        <w:tc>
          <w:tcPr>
            <w:tcW w:w="481" w:type="dxa"/>
            <w:gridSpan w:val="3"/>
            <w:tcBorders>
              <w:top w:val="single" w:sz="4" w:space="0" w:color="000000"/>
              <w:left w:val="single" w:sz="4" w:space="0" w:color="000000"/>
            </w:tcBorders>
            <w:shd w:fill="D9D9D9"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2023</w:t>
            </w:r>
          </w:p>
        </w:tc>
        <w:tc>
          <w:tcPr>
            <w:tcW w:w="1396" w:type="dxa"/>
            <w:gridSpan w:val="3"/>
            <w:tcBorders>
              <w:top w:val="single" w:sz="4" w:space="0" w:color="000000"/>
              <w:left w:val="single" w:sz="4" w:space="0" w:color="000000"/>
            </w:tcBorders>
            <w:shd w:fill="D9D9D9"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$7,658,614</w:t>
            </w:r>
          </w:p>
        </w:tc>
        <w:tc>
          <w:tcPr>
            <w:tcW w:w="1372" w:type="dxa"/>
            <w:gridSpan w:val="3"/>
            <w:tcBorders>
              <w:top w:val="single" w:sz="4" w:space="0" w:color="000000"/>
              <w:left w:val="single" w:sz="4" w:space="0" w:color="000000"/>
            </w:tcBorders>
            <w:shd w:fill="D9D9D9"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$17,411,369</w:t>
            </w:r>
          </w:p>
        </w:tc>
        <w:tc>
          <w:tcPr>
            <w:tcW w:w="1480" w:type="dxa"/>
            <w:gridSpan w:val="3"/>
            <w:tcBorders>
              <w:top w:val="single" w:sz="4" w:space="0" w:color="000000"/>
              <w:left w:val="single" w:sz="4" w:space="0" w:color="000000"/>
            </w:tcBorders>
            <w:shd w:fill="D9D9D9"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$1,831,612</w:t>
            </w:r>
          </w:p>
        </w:tc>
        <w:tc>
          <w:tcPr>
            <w:tcW w:w="1457" w:type="dxa"/>
            <w:gridSpan w:val="3"/>
            <w:tcBorders>
              <w:top w:val="single" w:sz="4" w:space="0" w:color="000000"/>
              <w:left w:val="single" w:sz="4" w:space="0" w:color="000000"/>
            </w:tcBorders>
            <w:shd w:fill="D9D9D9"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$2,960,366</w:t>
            </w:r>
          </w:p>
        </w:tc>
        <w:tc>
          <w:tcPr>
            <w:tcW w:w="1264" w:type="dxa"/>
            <w:gridSpan w:val="3"/>
            <w:tcBorders>
              <w:top w:val="single" w:sz="4" w:space="0" w:color="000000"/>
              <w:left w:val="single" w:sz="4" w:space="0" w:color="000000"/>
            </w:tcBorders>
            <w:shd w:fill="D9D9D9"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$199</w:t>
            </w:r>
          </w:p>
        </w:tc>
        <w:tc>
          <w:tcPr>
            <w:tcW w:w="951" w:type="dxa"/>
            <w:gridSpan w:val="3"/>
            <w:tcBorders>
              <w:top w:val="single" w:sz="4" w:space="0" w:color="000000"/>
              <w:left w:val="single" w:sz="4" w:space="0" w:color="000000"/>
            </w:tcBorders>
            <w:shd w:fill="D9D9D9"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$154</w:t>
            </w:r>
          </w:p>
        </w:tc>
        <w:tc>
          <w:tcPr>
            <w:tcW w:w="799" w:type="dxa"/>
            <w:gridSpan w:val="3"/>
            <w:tcBorders>
              <w:top w:val="single" w:sz="4" w:space="0" w:color="000000"/>
              <w:left w:val="single" w:sz="4" w:space="0" w:color="000000"/>
            </w:tcBorders>
            <w:shd w:fill="D9D9D9"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$90</w:t>
            </w:r>
          </w:p>
        </w:tc>
        <w:tc>
          <w:tcPr>
            <w:tcW w:w="1005" w:type="dxa"/>
            <w:gridSpan w:val="3"/>
            <w:tcBorders>
              <w:top w:val="single" w:sz="4" w:space="0" w:color="000000"/>
              <w:left w:val="single" w:sz="4" w:space="0" w:color="000000"/>
              <w:right w:val="single" w:sz="4" w:space="0" w:color="000000"/>
            </w:tcBorders>
            <w:shd w:fill="D9D9D9" w:val="clear"/>
            <w:tcMar>
              <w:top w:w="30" w:type="dxa"/>
              <w:bottom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$271</w:t>
            </w:r>
          </w:p>
        </w:tc>
      </w:tr>
      <w:tr>
        <w:trPr/>
        <w:tc>
          <w:tcPr>
            <w:tcW w:w="481"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2022</w:t>
            </w:r>
          </w:p>
        </w:tc>
        <w:tc>
          <w:tcPr>
            <w:tcW w:w="1396"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$6,584,075</w:t>
            </w:r>
          </w:p>
        </w:tc>
        <w:tc>
          <w:tcPr>
            <w:tcW w:w="1372"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$9,382,695</w:t>
            </w:r>
          </w:p>
        </w:tc>
        <w:tc>
          <w:tcPr>
            <w:tcW w:w="1480"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$1,455,245</w:t>
            </w:r>
          </w:p>
        </w:tc>
        <w:tc>
          <w:tcPr>
            <w:tcW w:w="1457"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$1,358,069</w:t>
            </w:r>
          </w:p>
        </w:tc>
        <w:tc>
          <w:tcPr>
            <w:tcW w:w="1264"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$129</w:t>
            </w:r>
          </w:p>
        </w:tc>
        <w:tc>
          <w:tcPr>
            <w:tcW w:w="951"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$128</w:t>
            </w:r>
          </w:p>
        </w:tc>
        <w:tc>
          <w:tcPr>
            <w:tcW w:w="799"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w:t>
            </w:r>
          </w:p>
        </w:tc>
        <w:tc>
          <w:tcPr>
            <w:tcW w:w="1005" w:type="dxa"/>
            <w:gridSpan w:val="3"/>
            <w:tcBorders>
              <w:top w:val="single" w:sz="4" w:space="0" w:color="000000"/>
              <w:left w:val="single" w:sz="4" w:space="0" w:color="000000"/>
              <w:right w:val="single" w:sz="4" w:space="0" w:color="000000"/>
            </w:tcBorders>
            <w:shd w:fill="FFFFFF" w:val="clear"/>
            <w:tcMar>
              <w:top w:w="30" w:type="dxa"/>
              <w:bottom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$194</w:t>
            </w:r>
          </w:p>
        </w:tc>
      </w:tr>
      <w:tr>
        <w:trPr/>
        <w:tc>
          <w:tcPr>
            <w:tcW w:w="481" w:type="dxa"/>
            <w:gridSpan w:val="3"/>
            <w:tcBorders>
              <w:top w:val="single" w:sz="4" w:space="0" w:color="000000"/>
              <w:left w:val="single" w:sz="4" w:space="0" w:color="000000"/>
            </w:tcBorders>
            <w:shd w:fill="D9D9D9"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2021</w:t>
            </w:r>
          </w:p>
        </w:tc>
        <w:tc>
          <w:tcPr>
            <w:tcW w:w="1396" w:type="dxa"/>
            <w:gridSpan w:val="3"/>
            <w:tcBorders>
              <w:top w:val="single" w:sz="4" w:space="0" w:color="000000"/>
              <w:left w:val="single" w:sz="4" w:space="0" w:color="000000"/>
            </w:tcBorders>
            <w:shd w:fill="D9D9D9"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$6,517,485</w:t>
            </w:r>
          </w:p>
        </w:tc>
        <w:tc>
          <w:tcPr>
            <w:tcW w:w="1372" w:type="dxa"/>
            <w:gridSpan w:val="3"/>
            <w:tcBorders>
              <w:top w:val="single" w:sz="4" w:space="0" w:color="000000"/>
              <w:left w:val="single" w:sz="4" w:space="0" w:color="000000"/>
            </w:tcBorders>
            <w:shd w:fill="D9D9D9"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$6,074,728</w:t>
            </w:r>
          </w:p>
        </w:tc>
        <w:tc>
          <w:tcPr>
            <w:tcW w:w="1480" w:type="dxa"/>
            <w:gridSpan w:val="3"/>
            <w:tcBorders>
              <w:top w:val="single" w:sz="4" w:space="0" w:color="000000"/>
              <w:left w:val="single" w:sz="4" w:space="0" w:color="000000"/>
            </w:tcBorders>
            <w:shd w:fill="D9D9D9"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$1,808,368</w:t>
            </w:r>
          </w:p>
        </w:tc>
        <w:tc>
          <w:tcPr>
            <w:tcW w:w="1457" w:type="dxa"/>
            <w:gridSpan w:val="3"/>
            <w:tcBorders>
              <w:top w:val="single" w:sz="4" w:space="0" w:color="000000"/>
              <w:left w:val="single" w:sz="4" w:space="0" w:color="000000"/>
            </w:tcBorders>
            <w:shd w:fill="D9D9D9"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$1,622,435</w:t>
            </w:r>
          </w:p>
        </w:tc>
        <w:tc>
          <w:tcPr>
            <w:tcW w:w="1264" w:type="dxa"/>
            <w:gridSpan w:val="3"/>
            <w:tcBorders>
              <w:top w:val="single" w:sz="4" w:space="0" w:color="000000"/>
              <w:left w:val="single" w:sz="4" w:space="0" w:color="000000"/>
            </w:tcBorders>
            <w:shd w:fill="D9D9D9"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$117</w:t>
            </w:r>
          </w:p>
        </w:tc>
        <w:tc>
          <w:tcPr>
            <w:tcW w:w="951" w:type="dxa"/>
            <w:gridSpan w:val="3"/>
            <w:tcBorders>
              <w:top w:val="single" w:sz="4" w:space="0" w:color="000000"/>
              <w:left w:val="single" w:sz="4" w:space="0" w:color="000000"/>
            </w:tcBorders>
            <w:shd w:fill="D9D9D9"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$136</w:t>
            </w:r>
          </w:p>
        </w:tc>
        <w:tc>
          <w:tcPr>
            <w:tcW w:w="799" w:type="dxa"/>
            <w:gridSpan w:val="3"/>
            <w:tcBorders>
              <w:top w:val="single" w:sz="4" w:space="0" w:color="000000"/>
              <w:left w:val="single" w:sz="4" w:space="0" w:color="000000"/>
            </w:tcBorders>
            <w:shd w:fill="D9D9D9"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$425</w:t>
            </w:r>
          </w:p>
        </w:tc>
        <w:tc>
          <w:tcPr>
            <w:tcW w:w="1005" w:type="dxa"/>
            <w:gridSpan w:val="3"/>
            <w:tcBorders>
              <w:top w:val="single" w:sz="4" w:space="0" w:color="000000"/>
              <w:left w:val="single" w:sz="4" w:space="0" w:color="000000"/>
              <w:right w:val="single" w:sz="4" w:space="0" w:color="000000"/>
            </w:tcBorders>
            <w:shd w:fill="D9D9D9" w:val="clear"/>
            <w:tcMar>
              <w:top w:w="30" w:type="dxa"/>
              <w:bottom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$143</w:t>
            </w:r>
          </w:p>
        </w:tc>
      </w:tr>
      <w:tr>
        <w:trPr/>
        <w:tc>
          <w:tcPr>
            <w:tcW w:w="481" w:type="dxa"/>
            <w:gridSpan w:val="3"/>
            <w:tcBorders>
              <w:top w:val="single" w:sz="4" w:space="0" w:color="000000"/>
              <w:left w:val="single" w:sz="4" w:space="0" w:color="000000"/>
              <w:bottom w:val="single" w:sz="4" w:space="0" w:color="000000"/>
            </w:tcBorders>
            <w:shd w:fill="FFFFFF" w:val="clear"/>
            <w:tcMar>
              <w:top w:w="30" w:type="dxa"/>
              <w:bottom w:w="3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2020</w:t>
            </w:r>
          </w:p>
        </w:tc>
        <w:tc>
          <w:tcPr>
            <w:tcW w:w="1396" w:type="dxa"/>
            <w:gridSpan w:val="3"/>
            <w:tcBorders>
              <w:top w:val="single" w:sz="4" w:space="0" w:color="000000"/>
              <w:left w:val="single" w:sz="4" w:space="0" w:color="000000"/>
              <w:bottom w:val="single" w:sz="4" w:space="0" w:color="000000"/>
            </w:tcBorders>
            <w:shd w:fill="FFFFFF" w:val="clear"/>
            <w:tcMar>
              <w:top w:w="30" w:type="dxa"/>
              <w:bottom w:w="3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$6,117,525</w:t>
            </w:r>
          </w:p>
        </w:tc>
        <w:tc>
          <w:tcPr>
            <w:tcW w:w="1372" w:type="dxa"/>
            <w:gridSpan w:val="3"/>
            <w:tcBorders>
              <w:top w:val="single" w:sz="4" w:space="0" w:color="000000"/>
              <w:left w:val="single" w:sz="4" w:space="0" w:color="000000"/>
              <w:bottom w:val="single" w:sz="4" w:space="0" w:color="000000"/>
            </w:tcBorders>
            <w:shd w:fill="FFFFFF" w:val="clear"/>
            <w:tcMar>
              <w:top w:w="30" w:type="dxa"/>
              <w:bottom w:w="3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$6,888,767</w:t>
            </w:r>
          </w:p>
        </w:tc>
        <w:tc>
          <w:tcPr>
            <w:tcW w:w="1480" w:type="dxa"/>
            <w:gridSpan w:val="3"/>
            <w:tcBorders>
              <w:top w:val="single" w:sz="4" w:space="0" w:color="000000"/>
              <w:left w:val="single" w:sz="4" w:space="0" w:color="000000"/>
              <w:bottom w:val="single" w:sz="4" w:space="0" w:color="000000"/>
            </w:tcBorders>
            <w:shd w:fill="FFFFFF" w:val="clear"/>
            <w:tcMar>
              <w:top w:w="30" w:type="dxa"/>
              <w:bottom w:w="3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$1,530,729</w:t>
            </w:r>
          </w:p>
        </w:tc>
        <w:tc>
          <w:tcPr>
            <w:tcW w:w="1457" w:type="dxa"/>
            <w:gridSpan w:val="3"/>
            <w:tcBorders>
              <w:top w:val="single" w:sz="4" w:space="0" w:color="000000"/>
              <w:left w:val="single" w:sz="4" w:space="0" w:color="000000"/>
              <w:bottom w:val="single" w:sz="4" w:space="0" w:color="000000"/>
            </w:tcBorders>
            <w:shd w:fill="FFFFFF" w:val="clear"/>
            <w:tcMar>
              <w:top w:w="30" w:type="dxa"/>
              <w:bottom w:w="3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$1,680,617</w:t>
            </w:r>
          </w:p>
        </w:tc>
        <w:tc>
          <w:tcPr>
            <w:tcW w:w="1264" w:type="dxa"/>
            <w:gridSpan w:val="3"/>
            <w:tcBorders>
              <w:top w:val="single" w:sz="4" w:space="0" w:color="000000"/>
              <w:left w:val="single" w:sz="4" w:space="0" w:color="000000"/>
              <w:bottom w:val="single" w:sz="4" w:space="0" w:color="000000"/>
            </w:tcBorders>
            <w:shd w:fill="FFFFFF" w:val="clear"/>
            <w:tcMar>
              <w:top w:w="30" w:type="dxa"/>
              <w:bottom w:w="3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$107</w:t>
            </w:r>
          </w:p>
        </w:tc>
        <w:tc>
          <w:tcPr>
            <w:tcW w:w="951" w:type="dxa"/>
            <w:gridSpan w:val="3"/>
            <w:tcBorders>
              <w:top w:val="single" w:sz="4" w:space="0" w:color="000000"/>
              <w:left w:val="single" w:sz="4" w:space="0" w:color="000000"/>
              <w:bottom w:val="single" w:sz="4" w:space="0" w:color="000000"/>
            </w:tcBorders>
            <w:shd w:fill="FFFFFF" w:val="clear"/>
            <w:tcMar>
              <w:top w:w="30" w:type="dxa"/>
              <w:bottom w:w="3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$112</w:t>
            </w:r>
          </w:p>
        </w:tc>
        <w:tc>
          <w:tcPr>
            <w:tcW w:w="799" w:type="dxa"/>
            <w:gridSpan w:val="3"/>
            <w:tcBorders>
              <w:top w:val="single" w:sz="4" w:space="0" w:color="000000"/>
              <w:left w:val="single" w:sz="4" w:space="0" w:color="000000"/>
              <w:bottom w:val="single" w:sz="4" w:space="0" w:color="000000"/>
            </w:tcBorders>
            <w:shd w:fill="FFFFFF" w:val="clear"/>
            <w:tcMar>
              <w:top w:w="30" w:type="dxa"/>
              <w:bottom w:w="3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$99</w:t>
            </w:r>
          </w:p>
        </w:tc>
        <w:tc>
          <w:tcPr>
            <w:tcW w:w="1005" w:type="dxa"/>
            <w:gridSpan w:val="3"/>
            <w:tcBorders>
              <w:top w:val="single" w:sz="4" w:space="0" w:color="000000"/>
              <w:left w:val="single" w:sz="4" w:space="0" w:color="000000"/>
              <w:bottom w:val="single" w:sz="4" w:space="0" w:color="000000"/>
              <w:right w:val="single" w:sz="4" w:space="0" w:color="000000"/>
            </w:tcBorders>
            <w:shd w:fill="FFFFFF" w:val="clear"/>
            <w:tcMar>
              <w:top w:w="30" w:type="dxa"/>
              <w:bottom w:w="3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$183</w:t>
            </w:r>
          </w:p>
        </w:tc>
      </w:tr>
    </w:tbl>
    <w:p>
      <w:pPr>
        <w:pStyle w:val="TextBody"/>
        <w:bidi w:val="0"/>
        <w:spacing w:lineRule="auto" w:line="288" w:before="0" w:after="60"/>
        <w:ind w:left="0" w:right="0" w:hanging="360"/>
        <w:jc w:val="both"/>
        <w:rPr>
          <w:rFonts w:ascii="Arial;sans-serif" w:hAnsi="Arial;sans-serif"/>
          <w:b w:val="false"/>
          <w:color w:val="000000"/>
          <w:sz w:val="14"/>
        </w:rPr>
      </w:pPr>
      <w:r>
        <w:rPr>
          <w:rFonts w:ascii="Arial;sans-serif" w:hAnsi="Arial;sans-serif"/>
          <w:b w:val="false"/>
          <w:color w:val="000000"/>
          <w:sz w:val="14"/>
        </w:rPr>
        <w:t>(1)Deductions from, and additions to, total compensation in the Summary Compensation Table by year to calculate Compensation Actually Paid include: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739140"/>
                <wp:effectExtent l="0" t="0" r="0" b="0"/>
                <wp:wrapNone/>
                <wp:docPr id="183" name="Frame56"/>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292" w:type="dxa"/>
                              <w:jc w:val="left"/>
                              <w:tblInd w:w="0" w:type="dxa"/>
                              <w:tblLayout w:type="fixed"/>
                              <w:tblCellMar>
                                <w:top w:w="28" w:type="dxa"/>
                                <w:left w:w="28" w:type="dxa"/>
                                <w:bottom w:w="28" w:type="dxa"/>
                                <w:right w:w="28" w:type="dxa"/>
                              </w:tblCellMar>
                            </w:tblPr>
                            <w:tblGrid>
                              <w:gridCol w:w="124"/>
                              <w:gridCol w:w="109"/>
                              <w:gridCol w:w="109"/>
                              <w:gridCol w:w="704"/>
                              <w:gridCol w:w="704"/>
                              <w:gridCol w:w="706"/>
                              <w:gridCol w:w="244"/>
                              <w:gridCol w:w="244"/>
                              <w:gridCol w:w="34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6"/>
                                    </w:rPr>
                                  </w:pPr>
                                  <w:r>
                                    <w:rPr>
                                      <w:rFonts w:ascii="Arial;sans-serif" w:hAnsi="Arial;sans-serif"/>
                                      <w:b/>
                                      <w:color w:val="000000"/>
                                      <w:sz w:val="16"/>
                                    </w:rPr>
                                    <w:t>50</w:t>
                                  </w:r>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2024 PROXY STATEMENT</w:t>
                                  </w:r>
                                </w:p>
                              </w:tc>
                              <w:tc>
                                <w:tcPr>
                                  <w:tcW w:w="83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184" name="Image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 name="Image79" descr=""/>
                                                <pic:cNvPicPr>
                                                  <a:picLocks noChangeAspect="1" noChangeArrowheads="1"/>
                                                </pic:cNvPicPr>
                                              </pic:nvPicPr>
                                              <pic:blipFill>
                                                <a:blip r:embed="rId129"/>
                                                <a:stretch>
                                                  <a:fillRect/>
                                                </a:stretch>
                                              </pic:blipFill>
                                              <pic:spPr bwMode="auto">
                                                <a:xfrm>
                                                  <a:off x="0" y="0"/>
                                                  <a:ext cx="447675" cy="161925"/>
                                                </a:xfrm>
                                                <a:prstGeom prst="rect">
                                                  <a:avLst/>
                                                </a:prstGeom>
                                              </pic:spPr>
                                            </pic:pic>
                                          </a:graphicData>
                                        </a:graphic>
                                      </wp:inline>
                                    </w:drawing>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292" w:type="dxa"/>
                        <w:jc w:val="left"/>
                        <w:tblInd w:w="0" w:type="dxa"/>
                        <w:tblLayout w:type="fixed"/>
                        <w:tblCellMar>
                          <w:top w:w="28" w:type="dxa"/>
                          <w:left w:w="28" w:type="dxa"/>
                          <w:bottom w:w="28" w:type="dxa"/>
                          <w:right w:w="28" w:type="dxa"/>
                        </w:tblCellMar>
                      </w:tblPr>
                      <w:tblGrid>
                        <w:gridCol w:w="124"/>
                        <w:gridCol w:w="109"/>
                        <w:gridCol w:w="109"/>
                        <w:gridCol w:w="704"/>
                        <w:gridCol w:w="704"/>
                        <w:gridCol w:w="706"/>
                        <w:gridCol w:w="244"/>
                        <w:gridCol w:w="244"/>
                        <w:gridCol w:w="34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6"/>
                              </w:rPr>
                            </w:pPr>
                            <w:r>
                              <w:rPr>
                                <w:rFonts w:ascii="Arial;sans-serif" w:hAnsi="Arial;sans-serif"/>
                                <w:b/>
                                <w:color w:val="000000"/>
                                <w:sz w:val="16"/>
                              </w:rPr>
                              <w:t>50</w:t>
                            </w:r>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2024 PROXY STATEMENT</w:t>
                            </w:r>
                          </w:p>
                        </w:tc>
                        <w:tc>
                          <w:tcPr>
                            <w:tcW w:w="83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185" name="Image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 name="Image79" descr=""/>
                                          <pic:cNvPicPr>
                                            <a:picLocks noChangeAspect="1" noChangeArrowheads="1"/>
                                          </pic:cNvPicPr>
                                        </pic:nvPicPr>
                                        <pic:blipFill>
                                          <a:blip r:embed="rId130"/>
                                          <a:stretch>
                                            <a:fillRect/>
                                          </a:stretch>
                                        </pic:blipFill>
                                        <pic:spPr bwMode="auto">
                                          <a:xfrm>
                                            <a:off x="0" y="0"/>
                                            <a:ext cx="447675" cy="161925"/>
                                          </a:xfrm>
                                          <a:prstGeom prst="rect">
                                            <a:avLst/>
                                          </a:prstGeom>
                                        </pic:spPr>
                                      </pic:pic>
                                    </a:graphicData>
                                  </a:graphic>
                                </wp:inline>
                              </w:drawing>
                            </w:r>
                          </w:p>
                        </w:tc>
                      </w:tr>
                    </w:tbl>
                    <w:p>
                      <w:pPr>
                        <w:pStyle w:val="TextBody"/>
                        <w:bidi w:val="0"/>
                        <w:spacing w:before="0" w:after="283"/>
                        <w:jc w:val="left"/>
                        <w:rPr/>
                      </w:pPr>
                      <w:r>
                        <w:rPr/>
                      </w:r>
                    </w:p>
                  </w:txbxContent>
                </v:textbox>
                <w10:wrap type="none"/>
              </v:rect>
            </w:pict>
          </mc:Fallback>
        </mc:AlternateContent>
      </w:r>
    </w:p>
    <w:tbl>
      <w:tblPr>
        <w:tblW w:w="2459" w:type="dxa"/>
        <w:jc w:val="left"/>
        <w:tblInd w:w="0" w:type="dxa"/>
        <w:tblLayout w:type="fixed"/>
        <w:tblCellMar>
          <w:top w:w="28" w:type="dxa"/>
          <w:left w:w="28" w:type="dxa"/>
          <w:bottom w:w="28" w:type="dxa"/>
          <w:right w:w="28" w:type="dxa"/>
        </w:tblCellMar>
      </w:tblPr>
      <w:tblGrid>
        <w:gridCol w:w="786"/>
        <w:gridCol w:w="691"/>
        <w:gridCol w:w="982"/>
      </w:tblGrid>
      <w:tr>
        <w:trPr/>
        <w:tc>
          <w:tcPr>
            <w:tcW w:w="78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r>
      <w:tr>
        <w:trPr/>
        <w:tc>
          <w:tcPr>
            <w:tcW w:w="2459" w:type="dxa"/>
            <w:gridSpan w:val="3"/>
            <w:tcBorders>
              <w:bottom w:val="single" w:sz="4" w:space="0" w:color="004C97"/>
            </w:tcBorders>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4C97"/>
                <w:sz w:val="16"/>
              </w:rPr>
            </w:pPr>
            <w:r>
              <w:rPr>
                <w:rFonts w:ascii="Arial;sans-serif" w:hAnsi="Arial;sans-serif"/>
                <w:b w:val="false"/>
                <w:color w:val="004C97"/>
                <w:sz w:val="16"/>
              </w:rPr>
              <w:t>EXECUTIVE COMPENSATION</w:t>
            </w:r>
          </w:p>
        </w:tc>
      </w:tr>
    </w:tbl>
    <w:tbl>
      <w:tblPr>
        <w:tblW w:w="10205" w:type="dxa"/>
        <w:jc w:val="left"/>
        <w:tblInd w:w="0" w:type="dxa"/>
        <w:tblLayout w:type="fixed"/>
        <w:tblCellMar>
          <w:top w:w="28" w:type="dxa"/>
          <w:left w:w="28" w:type="dxa"/>
          <w:bottom w:w="28" w:type="dxa"/>
          <w:right w:w="28" w:type="dxa"/>
        </w:tblCellMar>
      </w:tblPr>
      <w:tblGrid>
        <w:gridCol w:w="1001"/>
        <w:gridCol w:w="870"/>
        <w:gridCol w:w="872"/>
        <w:gridCol w:w="292"/>
        <w:gridCol w:w="292"/>
        <w:gridCol w:w="290"/>
        <w:gridCol w:w="264"/>
        <w:gridCol w:w="264"/>
        <w:gridCol w:w="268"/>
        <w:gridCol w:w="281"/>
        <w:gridCol w:w="281"/>
        <w:gridCol w:w="289"/>
        <w:gridCol w:w="399"/>
        <w:gridCol w:w="312"/>
        <w:gridCol w:w="313"/>
        <w:gridCol w:w="281"/>
        <w:gridCol w:w="281"/>
        <w:gridCol w:w="289"/>
        <w:gridCol w:w="399"/>
        <w:gridCol w:w="312"/>
        <w:gridCol w:w="313"/>
        <w:gridCol w:w="281"/>
        <w:gridCol w:w="281"/>
        <w:gridCol w:w="289"/>
        <w:gridCol w:w="399"/>
        <w:gridCol w:w="312"/>
        <w:gridCol w:w="313"/>
        <w:gridCol w:w="167"/>
      </w:tblGrid>
      <w:tr>
        <w:trPr/>
        <w:tc>
          <w:tcPr>
            <w:tcW w:w="1001"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2743" w:type="dxa"/>
            <w:gridSpan w:val="3"/>
            <w:vMerge w:val="restart"/>
            <w:tcBorders>
              <w:top w:val="single" w:sz="4" w:space="0" w:color="000000"/>
              <w:left w:val="single" w:sz="4" w:space="0" w:color="000000"/>
            </w:tcBorders>
            <w:shd w:fill="004C97" w:val="clear"/>
            <w:tcMar>
              <w:bottom w:w="0" w:type="dxa"/>
              <w:right w:w="0" w:type="dxa"/>
            </w:tcMar>
            <w:vAlign w:val="center"/>
          </w:tcPr>
          <w:p>
            <w:pPr>
              <w:pStyle w:val="TableContents"/>
              <w:bidi w:val="0"/>
              <w:spacing w:before="0" w:after="283"/>
              <w:jc w:val="left"/>
              <w:rPr>
                <w:sz w:val="4"/>
                <w:szCs w:val="4"/>
              </w:rPr>
            </w:pPr>
            <w:r>
              <w:rPr>
                <w:sz w:val="4"/>
                <w:szCs w:val="4"/>
              </w:rPr>
            </w:r>
          </w:p>
        </w:tc>
        <w:tc>
          <w:tcPr>
            <w:tcW w:w="1670" w:type="dxa"/>
            <w:gridSpan w:val="6"/>
            <w:tcBorders>
              <w:top w:val="single" w:sz="4" w:space="0" w:color="000000"/>
              <w:left w:val="single" w:sz="4" w:space="0" w:color="000000"/>
            </w:tcBorders>
            <w:shd w:fill="004C97" w:val="clear"/>
            <w:tcMar>
              <w:top w:w="30" w:type="dxa"/>
              <w:bottom w:w="0" w:type="dxa"/>
              <w:right w:w="0" w:type="dxa"/>
            </w:tcMar>
            <w:vAlign w:val="center"/>
          </w:tcPr>
          <w:p>
            <w:pPr>
              <w:pStyle w:val="TableContents"/>
              <w:bidi w:val="0"/>
              <w:spacing w:lineRule="auto" w:line="288" w:before="0" w:after="0"/>
              <w:jc w:val="center"/>
              <w:rPr>
                <w:rFonts w:ascii="Arial;sans-serif" w:hAnsi="Arial;sans-serif"/>
                <w:b/>
                <w:color w:val="FFFFFF"/>
                <w:sz w:val="14"/>
              </w:rPr>
            </w:pPr>
            <w:r>
              <w:rPr>
                <w:rFonts w:ascii="Arial;sans-serif" w:hAnsi="Arial;sans-serif"/>
                <w:b/>
                <w:color w:val="FFFFFF"/>
                <w:sz w:val="14"/>
              </w:rPr>
              <w:t>2023</w:t>
            </w:r>
          </w:p>
        </w:tc>
        <w:tc>
          <w:tcPr>
            <w:tcW w:w="1875" w:type="dxa"/>
            <w:gridSpan w:val="6"/>
            <w:tcBorders>
              <w:top w:val="single" w:sz="4" w:space="0" w:color="000000"/>
              <w:left w:val="single" w:sz="4" w:space="0" w:color="000000"/>
            </w:tcBorders>
            <w:shd w:fill="004C97" w:val="clear"/>
            <w:tcMar>
              <w:top w:w="30" w:type="dxa"/>
              <w:bottom w:w="0" w:type="dxa"/>
              <w:right w:w="0" w:type="dxa"/>
            </w:tcMar>
            <w:vAlign w:val="center"/>
          </w:tcPr>
          <w:p>
            <w:pPr>
              <w:pStyle w:val="TableContents"/>
              <w:bidi w:val="0"/>
              <w:spacing w:lineRule="auto" w:line="288" w:before="0" w:after="0"/>
              <w:jc w:val="center"/>
              <w:rPr>
                <w:rFonts w:ascii="Arial;sans-serif" w:hAnsi="Arial;sans-serif"/>
                <w:b/>
                <w:color w:val="FFFFFF"/>
                <w:sz w:val="14"/>
              </w:rPr>
            </w:pPr>
            <w:r>
              <w:rPr>
                <w:rFonts w:ascii="Arial;sans-serif" w:hAnsi="Arial;sans-serif"/>
                <w:b/>
                <w:color w:val="FFFFFF"/>
                <w:sz w:val="14"/>
              </w:rPr>
              <w:t>2022</w:t>
            </w:r>
          </w:p>
        </w:tc>
        <w:tc>
          <w:tcPr>
            <w:tcW w:w="1875" w:type="dxa"/>
            <w:gridSpan w:val="6"/>
            <w:tcBorders>
              <w:top w:val="single" w:sz="4" w:space="0" w:color="000000"/>
              <w:left w:val="single" w:sz="4" w:space="0" w:color="000000"/>
            </w:tcBorders>
            <w:shd w:fill="004C97" w:val="clear"/>
            <w:tcMar>
              <w:top w:w="30" w:type="dxa"/>
              <w:bottom w:w="0" w:type="dxa"/>
              <w:right w:w="0" w:type="dxa"/>
            </w:tcMar>
            <w:vAlign w:val="center"/>
          </w:tcPr>
          <w:p>
            <w:pPr>
              <w:pStyle w:val="TableContents"/>
              <w:bidi w:val="0"/>
              <w:spacing w:lineRule="auto" w:line="288" w:before="0" w:after="0"/>
              <w:jc w:val="center"/>
              <w:rPr>
                <w:rFonts w:ascii="Arial;sans-serif" w:hAnsi="Arial;sans-serif"/>
                <w:b/>
                <w:color w:val="FFFFFF"/>
                <w:sz w:val="14"/>
              </w:rPr>
            </w:pPr>
            <w:r>
              <w:rPr>
                <w:rFonts w:ascii="Arial;sans-serif" w:hAnsi="Arial;sans-serif"/>
                <w:b/>
                <w:color w:val="FFFFFF"/>
                <w:sz w:val="14"/>
              </w:rPr>
              <w:t>2021</w:t>
            </w:r>
          </w:p>
        </w:tc>
        <w:tc>
          <w:tcPr>
            <w:tcW w:w="1875" w:type="dxa"/>
            <w:gridSpan w:val="6"/>
            <w:tcBorders>
              <w:top w:val="single" w:sz="4" w:space="0" w:color="000000"/>
              <w:left w:val="single" w:sz="4" w:space="0" w:color="000000"/>
              <w:right w:val="single" w:sz="4" w:space="0" w:color="000000"/>
            </w:tcBorders>
            <w:shd w:fill="004C97" w:val="clear"/>
            <w:tcMar>
              <w:top w:w="30" w:type="dxa"/>
              <w:bottom w:w="0" w:type="dxa"/>
            </w:tcMar>
            <w:vAlign w:val="center"/>
          </w:tcPr>
          <w:p>
            <w:pPr>
              <w:pStyle w:val="TableContents"/>
              <w:bidi w:val="0"/>
              <w:spacing w:lineRule="auto" w:line="288" w:before="0" w:after="0"/>
              <w:jc w:val="center"/>
              <w:rPr>
                <w:rFonts w:ascii="Arial;sans-serif" w:hAnsi="Arial;sans-serif"/>
                <w:b/>
                <w:color w:val="FFFFFF"/>
                <w:sz w:val="14"/>
              </w:rPr>
            </w:pPr>
            <w:r>
              <w:rPr>
                <w:rFonts w:ascii="Arial;sans-serif" w:hAnsi="Arial;sans-serif"/>
                <w:b/>
                <w:color w:val="FFFFFF"/>
                <w:sz w:val="14"/>
              </w:rPr>
              <w:t>2020</w:t>
            </w:r>
          </w:p>
        </w:tc>
        <w:tc>
          <w:tcPr>
            <w:tcW w:w="167" w:type="dxa"/>
            <w:tcBorders/>
            <w:vAlign w:val="center"/>
          </w:tcPr>
          <w:p>
            <w:pPr>
              <w:pStyle w:val="TableContents"/>
              <w:bidi w:val="0"/>
              <w:spacing w:before="0" w:after="283"/>
              <w:jc w:val="left"/>
              <w:rPr>
                <w:sz w:val="4"/>
                <w:szCs w:val="4"/>
              </w:rPr>
            </w:pPr>
            <w:r>
              <w:rPr>
                <w:sz w:val="4"/>
                <w:szCs w:val="4"/>
              </w:rPr>
            </w:r>
          </w:p>
        </w:tc>
      </w:tr>
      <w:tr>
        <w:trPr/>
        <w:tc>
          <w:tcPr>
            <w:tcW w:w="2743" w:type="dxa"/>
            <w:gridSpan w:val="3"/>
            <w:vMerge w:val="continue"/>
            <w:tcBorders>
              <w:top w:val="single" w:sz="4" w:space="0" w:color="000000"/>
              <w:left w:val="single" w:sz="4" w:space="0" w:color="000000"/>
            </w:tcBorders>
            <w:shd w:fill="004C97" w:val="clear"/>
            <w:tcMar>
              <w:bottom w:w="0" w:type="dxa"/>
              <w:right w:w="0" w:type="dxa"/>
            </w:tcMar>
            <w:vAlign w:val="center"/>
          </w:tcPr>
          <w:p>
            <w:pPr>
              <w:pStyle w:val="Normal"/>
              <w:bidi w:val="0"/>
              <w:jc w:val="left"/>
              <w:rPr/>
            </w:pPr>
            <w:r>
              <w:rPr/>
            </w:r>
          </w:p>
        </w:tc>
        <w:tc>
          <w:tcPr>
            <w:tcW w:w="874" w:type="dxa"/>
            <w:gridSpan w:val="3"/>
            <w:tcBorders>
              <w:top w:val="single" w:sz="4" w:space="0" w:color="000000"/>
              <w:left w:val="single" w:sz="4" w:space="0" w:color="000000"/>
            </w:tcBorders>
            <w:shd w:fill="004C97" w:val="clear"/>
            <w:tcMar>
              <w:top w:w="30" w:type="dxa"/>
              <w:bottom w:w="0" w:type="dxa"/>
              <w:right w:w="0" w:type="dxa"/>
            </w:tcMar>
            <w:vAlign w:val="center"/>
          </w:tcPr>
          <w:p>
            <w:pPr>
              <w:pStyle w:val="TableContents"/>
              <w:bidi w:val="0"/>
              <w:spacing w:lineRule="auto" w:line="288" w:before="0" w:after="0"/>
              <w:jc w:val="center"/>
              <w:rPr>
                <w:rFonts w:ascii="Arial;sans-serif" w:hAnsi="Arial;sans-serif"/>
                <w:b/>
                <w:color w:val="FFFFFF"/>
                <w:sz w:val="14"/>
              </w:rPr>
            </w:pPr>
            <w:r>
              <w:rPr>
                <w:rFonts w:ascii="Arial;sans-serif" w:hAnsi="Arial;sans-serif"/>
                <w:b/>
                <w:color w:val="FFFFFF"/>
                <w:sz w:val="14"/>
              </w:rPr>
              <w:t>PEO</w:t>
            </w:r>
          </w:p>
        </w:tc>
        <w:tc>
          <w:tcPr>
            <w:tcW w:w="796" w:type="dxa"/>
            <w:gridSpan w:val="3"/>
            <w:tcBorders>
              <w:top w:val="single" w:sz="4" w:space="0" w:color="000000"/>
              <w:left w:val="single" w:sz="4" w:space="0" w:color="000000"/>
            </w:tcBorders>
            <w:shd w:fill="004C97" w:val="clear"/>
            <w:tcMar>
              <w:top w:w="30" w:type="dxa"/>
              <w:bottom w:w="0" w:type="dxa"/>
              <w:right w:w="0" w:type="dxa"/>
            </w:tcMar>
            <w:vAlign w:val="center"/>
          </w:tcPr>
          <w:p>
            <w:pPr>
              <w:pStyle w:val="TableContents"/>
              <w:bidi w:val="0"/>
              <w:spacing w:lineRule="auto" w:line="288" w:before="0" w:after="0"/>
              <w:jc w:val="center"/>
              <w:rPr>
                <w:rFonts w:ascii="Arial;sans-serif" w:hAnsi="Arial;sans-serif"/>
                <w:b/>
                <w:color w:val="FFFFFF"/>
                <w:sz w:val="14"/>
              </w:rPr>
            </w:pPr>
            <w:r>
              <w:rPr>
                <w:rFonts w:ascii="Arial;sans-serif" w:hAnsi="Arial;sans-serif"/>
                <w:b/>
                <w:color w:val="FFFFFF"/>
                <w:sz w:val="14"/>
              </w:rPr>
              <w:t xml:space="preserve">Average </w:t>
            </w:r>
          </w:p>
          <w:p>
            <w:pPr>
              <w:pStyle w:val="TableContents"/>
              <w:bidi w:val="0"/>
              <w:spacing w:lineRule="auto" w:line="288" w:before="0" w:after="0"/>
              <w:jc w:val="center"/>
              <w:rPr>
                <w:rFonts w:ascii="Arial;sans-serif" w:hAnsi="Arial;sans-serif"/>
                <w:b/>
                <w:color w:val="FFFFFF"/>
                <w:sz w:val="14"/>
              </w:rPr>
            </w:pPr>
            <w:r>
              <w:rPr>
                <w:rFonts w:ascii="Arial;sans-serif" w:hAnsi="Arial;sans-serif"/>
                <w:b/>
                <w:color w:val="FFFFFF"/>
                <w:sz w:val="14"/>
              </w:rPr>
              <w:t xml:space="preserve">Non-PEO </w:t>
            </w:r>
          </w:p>
          <w:p>
            <w:pPr>
              <w:pStyle w:val="TableContents"/>
              <w:bidi w:val="0"/>
              <w:spacing w:lineRule="auto" w:line="288" w:before="0" w:after="0"/>
              <w:jc w:val="center"/>
              <w:rPr>
                <w:rFonts w:ascii="Arial;sans-serif" w:hAnsi="Arial;sans-serif"/>
                <w:b/>
                <w:color w:val="FFFFFF"/>
                <w:sz w:val="14"/>
              </w:rPr>
            </w:pPr>
            <w:r>
              <w:rPr>
                <w:rFonts w:ascii="Arial;sans-serif" w:hAnsi="Arial;sans-serif"/>
                <w:b/>
                <w:color w:val="FFFFFF"/>
                <w:sz w:val="14"/>
              </w:rPr>
              <w:t>NEOs</w:t>
            </w:r>
          </w:p>
        </w:tc>
        <w:tc>
          <w:tcPr>
            <w:tcW w:w="851" w:type="dxa"/>
            <w:gridSpan w:val="3"/>
            <w:tcBorders>
              <w:top w:val="single" w:sz="4" w:space="0" w:color="000000"/>
              <w:left w:val="single" w:sz="4" w:space="0" w:color="000000"/>
            </w:tcBorders>
            <w:shd w:fill="004C97" w:val="clear"/>
            <w:tcMar>
              <w:top w:w="30" w:type="dxa"/>
              <w:bottom w:w="0" w:type="dxa"/>
              <w:right w:w="0" w:type="dxa"/>
            </w:tcMar>
            <w:vAlign w:val="center"/>
          </w:tcPr>
          <w:p>
            <w:pPr>
              <w:pStyle w:val="TableContents"/>
              <w:bidi w:val="0"/>
              <w:spacing w:lineRule="auto" w:line="288" w:before="0" w:after="0"/>
              <w:jc w:val="center"/>
              <w:rPr>
                <w:rFonts w:ascii="Arial;sans-serif" w:hAnsi="Arial;sans-serif"/>
                <w:b/>
                <w:color w:val="FFFFFF"/>
                <w:sz w:val="14"/>
              </w:rPr>
            </w:pPr>
            <w:r>
              <w:rPr>
                <w:rFonts w:ascii="Arial;sans-serif" w:hAnsi="Arial;sans-serif"/>
                <w:b/>
                <w:color w:val="FFFFFF"/>
                <w:sz w:val="14"/>
              </w:rPr>
              <w:t>PEO</w:t>
            </w:r>
          </w:p>
        </w:tc>
        <w:tc>
          <w:tcPr>
            <w:tcW w:w="1024" w:type="dxa"/>
            <w:gridSpan w:val="3"/>
            <w:tcBorders>
              <w:top w:val="single" w:sz="4" w:space="0" w:color="000000"/>
              <w:left w:val="single" w:sz="4" w:space="0" w:color="000000"/>
            </w:tcBorders>
            <w:shd w:fill="004C97" w:val="clear"/>
            <w:tcMar>
              <w:top w:w="30" w:type="dxa"/>
              <w:bottom w:w="0" w:type="dxa"/>
              <w:right w:w="0" w:type="dxa"/>
            </w:tcMar>
            <w:vAlign w:val="center"/>
          </w:tcPr>
          <w:p>
            <w:pPr>
              <w:pStyle w:val="TableContents"/>
              <w:bidi w:val="0"/>
              <w:spacing w:lineRule="auto" w:line="288" w:before="0" w:after="0"/>
              <w:jc w:val="center"/>
              <w:rPr>
                <w:rFonts w:ascii="Arial;sans-serif" w:hAnsi="Arial;sans-serif"/>
                <w:b/>
                <w:color w:val="FFFFFF"/>
                <w:sz w:val="14"/>
              </w:rPr>
            </w:pPr>
            <w:r>
              <w:rPr>
                <w:rFonts w:ascii="Arial;sans-serif" w:hAnsi="Arial;sans-serif"/>
                <w:b/>
                <w:color w:val="FFFFFF"/>
                <w:sz w:val="14"/>
              </w:rPr>
              <w:t>Average Non-PEO NEOs</w:t>
            </w:r>
          </w:p>
        </w:tc>
        <w:tc>
          <w:tcPr>
            <w:tcW w:w="851" w:type="dxa"/>
            <w:gridSpan w:val="3"/>
            <w:tcBorders>
              <w:top w:val="single" w:sz="4" w:space="0" w:color="000000"/>
              <w:left w:val="single" w:sz="4" w:space="0" w:color="000000"/>
            </w:tcBorders>
            <w:shd w:fill="004C97" w:val="clear"/>
            <w:tcMar>
              <w:top w:w="30" w:type="dxa"/>
              <w:bottom w:w="0" w:type="dxa"/>
              <w:right w:w="0" w:type="dxa"/>
            </w:tcMar>
            <w:vAlign w:val="center"/>
          </w:tcPr>
          <w:p>
            <w:pPr>
              <w:pStyle w:val="TableContents"/>
              <w:bidi w:val="0"/>
              <w:spacing w:lineRule="auto" w:line="288" w:before="0" w:after="0"/>
              <w:jc w:val="center"/>
              <w:rPr>
                <w:rFonts w:ascii="Arial;sans-serif" w:hAnsi="Arial;sans-serif"/>
                <w:b/>
                <w:color w:val="FFFFFF"/>
                <w:sz w:val="14"/>
              </w:rPr>
            </w:pPr>
            <w:r>
              <w:rPr>
                <w:rFonts w:ascii="Arial;sans-serif" w:hAnsi="Arial;sans-serif"/>
                <w:b/>
                <w:color w:val="FFFFFF"/>
                <w:sz w:val="14"/>
              </w:rPr>
              <w:t>PEO</w:t>
            </w:r>
          </w:p>
        </w:tc>
        <w:tc>
          <w:tcPr>
            <w:tcW w:w="1024" w:type="dxa"/>
            <w:gridSpan w:val="3"/>
            <w:tcBorders>
              <w:top w:val="single" w:sz="4" w:space="0" w:color="000000"/>
              <w:left w:val="single" w:sz="4" w:space="0" w:color="000000"/>
            </w:tcBorders>
            <w:shd w:fill="004C97" w:val="clear"/>
            <w:tcMar>
              <w:top w:w="30" w:type="dxa"/>
              <w:bottom w:w="0" w:type="dxa"/>
              <w:right w:w="0" w:type="dxa"/>
            </w:tcMar>
            <w:vAlign w:val="center"/>
          </w:tcPr>
          <w:p>
            <w:pPr>
              <w:pStyle w:val="TableContents"/>
              <w:bidi w:val="0"/>
              <w:spacing w:lineRule="auto" w:line="288" w:before="0" w:after="0"/>
              <w:jc w:val="center"/>
              <w:rPr>
                <w:rFonts w:ascii="Arial;sans-serif" w:hAnsi="Arial;sans-serif"/>
                <w:b/>
                <w:color w:val="FFFFFF"/>
                <w:sz w:val="14"/>
              </w:rPr>
            </w:pPr>
            <w:r>
              <w:rPr>
                <w:rFonts w:ascii="Arial;sans-serif" w:hAnsi="Arial;sans-serif"/>
                <w:b/>
                <w:color w:val="FFFFFF"/>
                <w:sz w:val="14"/>
              </w:rPr>
              <w:t>Average Non-PEO NEOs</w:t>
            </w:r>
          </w:p>
        </w:tc>
        <w:tc>
          <w:tcPr>
            <w:tcW w:w="851" w:type="dxa"/>
            <w:gridSpan w:val="3"/>
            <w:tcBorders>
              <w:top w:val="single" w:sz="4" w:space="0" w:color="000000"/>
              <w:left w:val="single" w:sz="4" w:space="0" w:color="000000"/>
            </w:tcBorders>
            <w:shd w:fill="004C97" w:val="clear"/>
            <w:tcMar>
              <w:top w:w="30" w:type="dxa"/>
              <w:bottom w:w="0" w:type="dxa"/>
              <w:right w:w="0" w:type="dxa"/>
            </w:tcMar>
            <w:vAlign w:val="center"/>
          </w:tcPr>
          <w:p>
            <w:pPr>
              <w:pStyle w:val="TableContents"/>
              <w:bidi w:val="0"/>
              <w:spacing w:lineRule="auto" w:line="288" w:before="0" w:after="0"/>
              <w:jc w:val="center"/>
              <w:rPr>
                <w:rFonts w:ascii="Arial;sans-serif" w:hAnsi="Arial;sans-serif"/>
                <w:b/>
                <w:color w:val="FFFFFF"/>
                <w:sz w:val="14"/>
              </w:rPr>
            </w:pPr>
            <w:r>
              <w:rPr>
                <w:rFonts w:ascii="Arial;sans-serif" w:hAnsi="Arial;sans-serif"/>
                <w:b/>
                <w:color w:val="FFFFFF"/>
                <w:sz w:val="14"/>
              </w:rPr>
              <w:t>PEO</w:t>
            </w:r>
          </w:p>
        </w:tc>
        <w:tc>
          <w:tcPr>
            <w:tcW w:w="1024" w:type="dxa"/>
            <w:gridSpan w:val="3"/>
            <w:tcBorders>
              <w:top w:val="single" w:sz="4" w:space="0" w:color="000000"/>
              <w:left w:val="single" w:sz="4" w:space="0" w:color="000000"/>
              <w:right w:val="single" w:sz="4" w:space="0" w:color="000000"/>
            </w:tcBorders>
            <w:shd w:fill="004C97" w:val="clear"/>
            <w:tcMar>
              <w:top w:w="30" w:type="dxa"/>
              <w:bottom w:w="0" w:type="dxa"/>
            </w:tcMar>
            <w:vAlign w:val="center"/>
          </w:tcPr>
          <w:p>
            <w:pPr>
              <w:pStyle w:val="TableContents"/>
              <w:bidi w:val="0"/>
              <w:spacing w:lineRule="auto" w:line="288" w:before="0" w:after="0"/>
              <w:jc w:val="center"/>
              <w:rPr>
                <w:rFonts w:ascii="Arial;sans-serif" w:hAnsi="Arial;sans-serif"/>
                <w:b/>
                <w:color w:val="FFFFFF"/>
                <w:sz w:val="14"/>
              </w:rPr>
            </w:pPr>
            <w:r>
              <w:rPr>
                <w:rFonts w:ascii="Arial;sans-serif" w:hAnsi="Arial;sans-serif"/>
                <w:b/>
                <w:color w:val="FFFFFF"/>
                <w:sz w:val="14"/>
              </w:rPr>
              <w:t>Average Non-PEO NEOs</w:t>
            </w:r>
          </w:p>
        </w:tc>
        <w:tc>
          <w:tcPr>
            <w:tcW w:w="167" w:type="dxa"/>
            <w:tcBorders/>
            <w:vAlign w:val="center"/>
          </w:tcPr>
          <w:p>
            <w:pPr>
              <w:pStyle w:val="TableContents"/>
              <w:bidi w:val="0"/>
              <w:spacing w:before="0" w:after="283"/>
              <w:jc w:val="left"/>
              <w:rPr>
                <w:sz w:val="4"/>
                <w:szCs w:val="4"/>
              </w:rPr>
            </w:pPr>
            <w:r>
              <w:rPr>
                <w:sz w:val="4"/>
                <w:szCs w:val="4"/>
              </w:rPr>
            </w:r>
          </w:p>
        </w:tc>
      </w:tr>
      <w:tr>
        <w:trPr/>
        <w:tc>
          <w:tcPr>
            <w:tcW w:w="2743" w:type="dxa"/>
            <w:gridSpan w:val="3"/>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0"/>
              <w:jc w:val="left"/>
              <w:rPr>
                <w:rFonts w:ascii="Arial;sans-serif" w:hAnsi="Arial;sans-serif"/>
                <w:b/>
                <w:color w:val="000000"/>
                <w:sz w:val="14"/>
              </w:rPr>
            </w:pPr>
            <w:r>
              <w:rPr>
                <w:rFonts w:ascii="Arial;sans-serif" w:hAnsi="Arial;sans-serif"/>
                <w:b/>
                <w:color w:val="000000"/>
                <w:sz w:val="14"/>
              </w:rPr>
              <w:t>Total Compensation from Summary Compensation Table</w:t>
            </w:r>
          </w:p>
        </w:tc>
        <w:tc>
          <w:tcPr>
            <w:tcW w:w="874" w:type="dxa"/>
            <w:gridSpan w:val="3"/>
            <w:tcBorders>
              <w:top w:val="single" w:sz="4" w:space="0" w:color="000000"/>
              <w:left w:val="single" w:sz="4" w:space="0" w:color="000000"/>
              <w:bottom w:val="single" w:sz="4" w:space="0" w:color="000000"/>
            </w:tcBorders>
            <w:shd w:fill="E6E7E8" w:val="clear"/>
            <w:tcMar>
              <w:top w:w="30" w:type="dxa"/>
              <w:bottom w:w="3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$7,658,614</w:t>
            </w:r>
          </w:p>
        </w:tc>
        <w:tc>
          <w:tcPr>
            <w:tcW w:w="796" w:type="dxa"/>
            <w:gridSpan w:val="3"/>
            <w:tcBorders>
              <w:top w:val="single" w:sz="4" w:space="0" w:color="000000"/>
              <w:left w:val="single" w:sz="4" w:space="0" w:color="000000"/>
              <w:bottom w:val="single" w:sz="4" w:space="0" w:color="000000"/>
            </w:tcBorders>
            <w:shd w:fill="E6E7E8" w:val="clear"/>
            <w:tcMar>
              <w:top w:w="30" w:type="dxa"/>
              <w:bottom w:w="3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$1,831,612</w:t>
            </w:r>
          </w:p>
        </w:tc>
        <w:tc>
          <w:tcPr>
            <w:tcW w:w="851" w:type="dxa"/>
            <w:gridSpan w:val="3"/>
            <w:tcBorders>
              <w:top w:val="single" w:sz="4" w:space="0" w:color="000000"/>
              <w:left w:val="single" w:sz="4" w:space="0" w:color="000000"/>
              <w:bottom w:val="single" w:sz="4" w:space="0" w:color="000000"/>
            </w:tcBorders>
            <w:shd w:fill="E6E7E8" w:val="clear"/>
            <w:tcMar>
              <w:top w:w="30" w:type="dxa"/>
              <w:bottom w:w="3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$6,584,075</w:t>
            </w:r>
          </w:p>
        </w:tc>
        <w:tc>
          <w:tcPr>
            <w:tcW w:w="1024" w:type="dxa"/>
            <w:gridSpan w:val="3"/>
            <w:tcBorders>
              <w:top w:val="single" w:sz="4" w:space="0" w:color="000000"/>
              <w:left w:val="single" w:sz="4" w:space="0" w:color="000000"/>
              <w:bottom w:val="single" w:sz="4" w:space="0" w:color="000000"/>
            </w:tcBorders>
            <w:shd w:fill="E6E7E8" w:val="clear"/>
            <w:tcMar>
              <w:top w:w="30" w:type="dxa"/>
              <w:bottom w:w="3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$1,455,245</w:t>
            </w:r>
          </w:p>
        </w:tc>
        <w:tc>
          <w:tcPr>
            <w:tcW w:w="851" w:type="dxa"/>
            <w:gridSpan w:val="3"/>
            <w:tcBorders>
              <w:top w:val="single" w:sz="4" w:space="0" w:color="000000"/>
              <w:left w:val="single" w:sz="4" w:space="0" w:color="000000"/>
              <w:bottom w:val="single" w:sz="4" w:space="0" w:color="000000"/>
            </w:tcBorders>
            <w:shd w:fill="E6E7E8" w:val="clear"/>
            <w:tcMar>
              <w:top w:w="30" w:type="dxa"/>
              <w:bottom w:w="3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$6,517,485</w:t>
            </w:r>
          </w:p>
        </w:tc>
        <w:tc>
          <w:tcPr>
            <w:tcW w:w="1024" w:type="dxa"/>
            <w:gridSpan w:val="3"/>
            <w:tcBorders>
              <w:top w:val="single" w:sz="4" w:space="0" w:color="000000"/>
              <w:left w:val="single" w:sz="4" w:space="0" w:color="000000"/>
              <w:bottom w:val="single" w:sz="4" w:space="0" w:color="000000"/>
            </w:tcBorders>
            <w:shd w:fill="E6E7E8" w:val="clear"/>
            <w:tcMar>
              <w:top w:w="30" w:type="dxa"/>
              <w:bottom w:w="3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$1,808,368</w:t>
            </w:r>
          </w:p>
        </w:tc>
        <w:tc>
          <w:tcPr>
            <w:tcW w:w="851" w:type="dxa"/>
            <w:gridSpan w:val="3"/>
            <w:tcBorders>
              <w:top w:val="single" w:sz="4" w:space="0" w:color="000000"/>
              <w:left w:val="single" w:sz="4" w:space="0" w:color="000000"/>
              <w:bottom w:val="single" w:sz="4" w:space="0" w:color="000000"/>
            </w:tcBorders>
            <w:shd w:fill="E6E7E8" w:val="clear"/>
            <w:tcMar>
              <w:top w:w="30" w:type="dxa"/>
              <w:bottom w:w="3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$6,117,525</w:t>
            </w:r>
          </w:p>
        </w:tc>
        <w:tc>
          <w:tcPr>
            <w:tcW w:w="1024" w:type="dxa"/>
            <w:gridSpan w:val="3"/>
            <w:tcBorders>
              <w:top w:val="single" w:sz="4" w:space="0" w:color="000000"/>
              <w:left w:val="single" w:sz="4" w:space="0" w:color="000000"/>
              <w:bottom w:val="single" w:sz="4" w:space="0" w:color="000000"/>
              <w:right w:val="single" w:sz="4" w:space="0" w:color="000000"/>
            </w:tcBorders>
            <w:shd w:fill="E6E7E8" w:val="clear"/>
            <w:tcMar>
              <w:top w:w="30" w:type="dxa"/>
              <w:bottom w:w="3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$1,530,729</w:t>
            </w:r>
          </w:p>
        </w:tc>
        <w:tc>
          <w:tcPr>
            <w:tcW w:w="167" w:type="dxa"/>
            <w:tcBorders/>
            <w:vAlign w:val="center"/>
          </w:tcPr>
          <w:p>
            <w:pPr>
              <w:pStyle w:val="TableContents"/>
              <w:bidi w:val="0"/>
              <w:spacing w:before="0" w:after="283"/>
              <w:jc w:val="left"/>
              <w:rPr>
                <w:sz w:val="4"/>
                <w:szCs w:val="4"/>
              </w:rPr>
            </w:pPr>
            <w:r>
              <w:rPr>
                <w:sz w:val="4"/>
                <w:szCs w:val="4"/>
              </w:rPr>
            </w:r>
          </w:p>
        </w:tc>
      </w:tr>
      <w:tr>
        <w:trPr/>
        <w:tc>
          <w:tcPr>
            <w:tcW w:w="10038" w:type="dxa"/>
            <w:gridSpan w:val="27"/>
            <w:tcBorders>
              <w:top w:val="single" w:sz="4" w:space="0" w:color="000000"/>
              <w:left w:val="single" w:sz="4" w:space="0" w:color="000000"/>
              <w:right w:val="single" w:sz="4" w:space="0" w:color="000000"/>
            </w:tcBorders>
            <w:shd w:fill="FFFFFF" w:val="clear"/>
            <w:tcMar>
              <w:top w:w="30" w:type="dxa"/>
              <w:bottom w:w="0" w:type="dxa"/>
            </w:tcMar>
            <w:vAlign w:val="center"/>
          </w:tcPr>
          <w:p>
            <w:pPr>
              <w:pStyle w:val="TableContents"/>
              <w:bidi w:val="0"/>
              <w:spacing w:lineRule="auto" w:line="288" w:before="0" w:after="0"/>
              <w:jc w:val="both"/>
              <w:rPr>
                <w:rFonts w:ascii="Arial;sans-serif" w:hAnsi="Arial;sans-serif"/>
                <w:b/>
                <w:color w:val="000000"/>
                <w:sz w:val="14"/>
              </w:rPr>
            </w:pPr>
            <w:r>
              <w:rPr>
                <w:rFonts w:ascii="Arial;sans-serif" w:hAnsi="Arial;sans-serif"/>
                <w:b/>
                <w:color w:val="000000"/>
                <w:sz w:val="14"/>
              </w:rPr>
              <w:t>Adjustments for Pension</w:t>
            </w:r>
          </w:p>
        </w:tc>
        <w:tc>
          <w:tcPr>
            <w:tcW w:w="167" w:type="dxa"/>
            <w:tcBorders/>
            <w:vAlign w:val="center"/>
          </w:tcPr>
          <w:p>
            <w:pPr>
              <w:pStyle w:val="TableContents"/>
              <w:bidi w:val="0"/>
              <w:spacing w:before="0" w:after="283"/>
              <w:jc w:val="left"/>
              <w:rPr>
                <w:sz w:val="4"/>
                <w:szCs w:val="4"/>
              </w:rPr>
            </w:pPr>
            <w:r>
              <w:rPr>
                <w:sz w:val="4"/>
                <w:szCs w:val="4"/>
              </w:rPr>
            </w:r>
          </w:p>
        </w:tc>
      </w:tr>
      <w:tr>
        <w:trPr/>
        <w:tc>
          <w:tcPr>
            <w:tcW w:w="2743" w:type="dxa"/>
            <w:gridSpan w:val="3"/>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0"/>
              <w:jc w:val="left"/>
              <w:rPr>
                <w:rFonts w:ascii="Arial;sans-serif" w:hAnsi="Arial;sans-serif"/>
                <w:b/>
                <w:color w:val="000000"/>
                <w:sz w:val="14"/>
              </w:rPr>
            </w:pPr>
            <w:r>
              <w:rPr>
                <w:rFonts w:ascii="Arial;sans-serif" w:hAnsi="Arial;sans-serif"/>
                <w:b/>
                <w:color w:val="000000"/>
                <w:sz w:val="14"/>
              </w:rPr>
              <w:t>Adjustment for Summary Compensation Table Pension</w:t>
            </w:r>
          </w:p>
        </w:tc>
        <w:tc>
          <w:tcPr>
            <w:tcW w:w="874" w:type="dxa"/>
            <w:gridSpan w:val="3"/>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$0</w:t>
            </w:r>
          </w:p>
        </w:tc>
        <w:tc>
          <w:tcPr>
            <w:tcW w:w="796" w:type="dxa"/>
            <w:gridSpan w:val="3"/>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$0</w:t>
            </w:r>
          </w:p>
        </w:tc>
        <w:tc>
          <w:tcPr>
            <w:tcW w:w="851" w:type="dxa"/>
            <w:gridSpan w:val="3"/>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$0</w:t>
            </w:r>
          </w:p>
        </w:tc>
        <w:tc>
          <w:tcPr>
            <w:tcW w:w="1024" w:type="dxa"/>
            <w:gridSpan w:val="3"/>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$0</w:t>
            </w:r>
          </w:p>
        </w:tc>
        <w:tc>
          <w:tcPr>
            <w:tcW w:w="851" w:type="dxa"/>
            <w:gridSpan w:val="3"/>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$0</w:t>
            </w:r>
          </w:p>
        </w:tc>
        <w:tc>
          <w:tcPr>
            <w:tcW w:w="1024" w:type="dxa"/>
            <w:gridSpan w:val="3"/>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$0</w:t>
            </w:r>
          </w:p>
        </w:tc>
        <w:tc>
          <w:tcPr>
            <w:tcW w:w="851" w:type="dxa"/>
            <w:gridSpan w:val="3"/>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$0</w:t>
            </w:r>
          </w:p>
        </w:tc>
        <w:tc>
          <w:tcPr>
            <w:tcW w:w="1024" w:type="dxa"/>
            <w:gridSpan w:val="3"/>
            <w:tcBorders>
              <w:top w:val="single" w:sz="4" w:space="0" w:color="000000"/>
              <w:left w:val="single" w:sz="4" w:space="0" w:color="000000"/>
              <w:right w:val="single" w:sz="4" w:space="0" w:color="000000"/>
            </w:tcBorders>
            <w:shd w:fill="E6E7E8" w:val="clear"/>
            <w:tcMar>
              <w:top w:w="30" w:type="dxa"/>
              <w:bottom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$0</w:t>
            </w:r>
          </w:p>
        </w:tc>
        <w:tc>
          <w:tcPr>
            <w:tcW w:w="167" w:type="dxa"/>
            <w:tcBorders/>
            <w:vAlign w:val="center"/>
          </w:tcPr>
          <w:p>
            <w:pPr>
              <w:pStyle w:val="TableContents"/>
              <w:bidi w:val="0"/>
              <w:spacing w:before="0" w:after="283"/>
              <w:jc w:val="left"/>
              <w:rPr>
                <w:sz w:val="4"/>
                <w:szCs w:val="4"/>
              </w:rPr>
            </w:pPr>
            <w:r>
              <w:rPr>
                <w:sz w:val="4"/>
                <w:szCs w:val="4"/>
              </w:rPr>
            </w:r>
          </w:p>
        </w:tc>
      </w:tr>
      <w:tr>
        <w:trPr/>
        <w:tc>
          <w:tcPr>
            <w:tcW w:w="2743"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0"/>
              <w:jc w:val="left"/>
              <w:rPr>
                <w:rFonts w:ascii="Arial;sans-serif" w:hAnsi="Arial;sans-serif"/>
                <w:b/>
                <w:color w:val="000000"/>
                <w:sz w:val="14"/>
              </w:rPr>
            </w:pPr>
            <w:r>
              <w:rPr>
                <w:rFonts w:ascii="Arial;sans-serif" w:hAnsi="Arial;sans-serif"/>
                <w:b/>
                <w:color w:val="000000"/>
                <w:sz w:val="14"/>
              </w:rPr>
              <w:t>Amount added for current year service cost</w:t>
            </w:r>
          </w:p>
        </w:tc>
        <w:tc>
          <w:tcPr>
            <w:tcW w:w="874"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$0</w:t>
            </w:r>
          </w:p>
        </w:tc>
        <w:tc>
          <w:tcPr>
            <w:tcW w:w="796"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$0</w:t>
            </w:r>
          </w:p>
        </w:tc>
        <w:tc>
          <w:tcPr>
            <w:tcW w:w="851"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$0</w:t>
            </w:r>
          </w:p>
        </w:tc>
        <w:tc>
          <w:tcPr>
            <w:tcW w:w="1024"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$0</w:t>
            </w:r>
          </w:p>
        </w:tc>
        <w:tc>
          <w:tcPr>
            <w:tcW w:w="851"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$0</w:t>
            </w:r>
          </w:p>
        </w:tc>
        <w:tc>
          <w:tcPr>
            <w:tcW w:w="1024"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$0</w:t>
            </w:r>
          </w:p>
        </w:tc>
        <w:tc>
          <w:tcPr>
            <w:tcW w:w="851"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$0</w:t>
            </w:r>
          </w:p>
        </w:tc>
        <w:tc>
          <w:tcPr>
            <w:tcW w:w="1024" w:type="dxa"/>
            <w:gridSpan w:val="3"/>
            <w:tcBorders>
              <w:top w:val="single" w:sz="4" w:space="0" w:color="000000"/>
              <w:left w:val="single" w:sz="4" w:space="0" w:color="000000"/>
              <w:right w:val="single" w:sz="4" w:space="0" w:color="000000"/>
            </w:tcBorders>
            <w:shd w:fill="FFFFFF" w:val="clear"/>
            <w:tcMar>
              <w:top w:w="30" w:type="dxa"/>
              <w:bottom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$0</w:t>
            </w:r>
          </w:p>
        </w:tc>
        <w:tc>
          <w:tcPr>
            <w:tcW w:w="167" w:type="dxa"/>
            <w:tcBorders/>
            <w:vAlign w:val="center"/>
          </w:tcPr>
          <w:p>
            <w:pPr>
              <w:pStyle w:val="TableContents"/>
              <w:bidi w:val="0"/>
              <w:spacing w:before="0" w:after="283"/>
              <w:jc w:val="left"/>
              <w:rPr>
                <w:sz w:val="4"/>
                <w:szCs w:val="4"/>
              </w:rPr>
            </w:pPr>
            <w:r>
              <w:rPr>
                <w:sz w:val="4"/>
                <w:szCs w:val="4"/>
              </w:rPr>
            </w:r>
          </w:p>
        </w:tc>
      </w:tr>
      <w:tr>
        <w:trPr/>
        <w:tc>
          <w:tcPr>
            <w:tcW w:w="2743" w:type="dxa"/>
            <w:gridSpan w:val="3"/>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0"/>
              <w:jc w:val="left"/>
              <w:rPr>
                <w:rFonts w:ascii="Arial;sans-serif" w:hAnsi="Arial;sans-serif"/>
                <w:b/>
                <w:color w:val="000000"/>
                <w:sz w:val="14"/>
              </w:rPr>
            </w:pPr>
            <w:r>
              <w:rPr>
                <w:rFonts w:ascii="Arial;sans-serif" w:hAnsi="Arial;sans-serif"/>
                <w:b/>
                <w:color w:val="000000"/>
                <w:sz w:val="14"/>
              </w:rPr>
              <w:t>Amount added for prior service cost impacting current year</w:t>
            </w:r>
          </w:p>
        </w:tc>
        <w:tc>
          <w:tcPr>
            <w:tcW w:w="874" w:type="dxa"/>
            <w:gridSpan w:val="3"/>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$0</w:t>
            </w:r>
          </w:p>
        </w:tc>
        <w:tc>
          <w:tcPr>
            <w:tcW w:w="796" w:type="dxa"/>
            <w:gridSpan w:val="3"/>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$0</w:t>
            </w:r>
          </w:p>
        </w:tc>
        <w:tc>
          <w:tcPr>
            <w:tcW w:w="851" w:type="dxa"/>
            <w:gridSpan w:val="3"/>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$0</w:t>
            </w:r>
          </w:p>
        </w:tc>
        <w:tc>
          <w:tcPr>
            <w:tcW w:w="1024" w:type="dxa"/>
            <w:gridSpan w:val="3"/>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$0</w:t>
            </w:r>
          </w:p>
        </w:tc>
        <w:tc>
          <w:tcPr>
            <w:tcW w:w="851" w:type="dxa"/>
            <w:gridSpan w:val="3"/>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$0</w:t>
            </w:r>
          </w:p>
        </w:tc>
        <w:tc>
          <w:tcPr>
            <w:tcW w:w="1024" w:type="dxa"/>
            <w:gridSpan w:val="3"/>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$0</w:t>
            </w:r>
          </w:p>
        </w:tc>
        <w:tc>
          <w:tcPr>
            <w:tcW w:w="851" w:type="dxa"/>
            <w:gridSpan w:val="3"/>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$0</w:t>
            </w:r>
          </w:p>
        </w:tc>
        <w:tc>
          <w:tcPr>
            <w:tcW w:w="1024" w:type="dxa"/>
            <w:gridSpan w:val="3"/>
            <w:tcBorders>
              <w:top w:val="single" w:sz="4" w:space="0" w:color="000000"/>
              <w:left w:val="single" w:sz="4" w:space="0" w:color="000000"/>
              <w:right w:val="single" w:sz="4" w:space="0" w:color="000000"/>
            </w:tcBorders>
            <w:shd w:fill="E6E7E8" w:val="clear"/>
            <w:tcMar>
              <w:top w:w="30" w:type="dxa"/>
              <w:bottom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$0</w:t>
            </w:r>
          </w:p>
        </w:tc>
        <w:tc>
          <w:tcPr>
            <w:tcW w:w="167" w:type="dxa"/>
            <w:tcBorders/>
            <w:vAlign w:val="center"/>
          </w:tcPr>
          <w:p>
            <w:pPr>
              <w:pStyle w:val="TableContents"/>
              <w:bidi w:val="0"/>
              <w:spacing w:before="0" w:after="283"/>
              <w:jc w:val="left"/>
              <w:rPr>
                <w:sz w:val="4"/>
                <w:szCs w:val="4"/>
              </w:rPr>
            </w:pPr>
            <w:r>
              <w:rPr>
                <w:sz w:val="4"/>
                <w:szCs w:val="4"/>
              </w:rPr>
            </w:r>
          </w:p>
        </w:tc>
      </w:tr>
      <w:tr>
        <w:trPr/>
        <w:tc>
          <w:tcPr>
            <w:tcW w:w="2743"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0"/>
              <w:jc w:val="left"/>
              <w:rPr>
                <w:rFonts w:ascii="Arial;sans-serif" w:hAnsi="Arial;sans-serif"/>
                <w:b/>
                <w:color w:val="000000"/>
                <w:sz w:val="14"/>
              </w:rPr>
            </w:pPr>
            <w:r>
              <w:rPr>
                <w:rFonts w:ascii="Arial;sans-serif" w:hAnsi="Arial;sans-serif"/>
                <w:b/>
                <w:color w:val="000000"/>
                <w:sz w:val="14"/>
              </w:rPr>
              <w:t>Total Adjustments for Pension</w:t>
            </w:r>
          </w:p>
        </w:tc>
        <w:tc>
          <w:tcPr>
            <w:tcW w:w="874" w:type="dxa"/>
            <w:gridSpan w:val="3"/>
            <w:tcBorders>
              <w:top w:val="single" w:sz="4" w:space="0" w:color="000000"/>
              <w:left w:val="single" w:sz="4" w:space="0" w:color="000000"/>
              <w:bottom w:val="single" w:sz="4" w:space="0" w:color="000000"/>
            </w:tcBorders>
            <w:shd w:fill="FFFFFF" w:val="clear"/>
            <w:tcMar>
              <w:top w:w="30" w:type="dxa"/>
              <w:bottom w:w="3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$0</w:t>
            </w:r>
          </w:p>
        </w:tc>
        <w:tc>
          <w:tcPr>
            <w:tcW w:w="796" w:type="dxa"/>
            <w:gridSpan w:val="3"/>
            <w:tcBorders>
              <w:top w:val="single" w:sz="4" w:space="0" w:color="000000"/>
              <w:left w:val="single" w:sz="4" w:space="0" w:color="000000"/>
              <w:bottom w:val="single" w:sz="4" w:space="0" w:color="000000"/>
            </w:tcBorders>
            <w:shd w:fill="FFFFFF" w:val="clear"/>
            <w:tcMar>
              <w:top w:w="30" w:type="dxa"/>
              <w:bottom w:w="3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$0</w:t>
            </w:r>
          </w:p>
        </w:tc>
        <w:tc>
          <w:tcPr>
            <w:tcW w:w="851" w:type="dxa"/>
            <w:gridSpan w:val="3"/>
            <w:tcBorders>
              <w:top w:val="single" w:sz="4" w:space="0" w:color="000000"/>
              <w:left w:val="single" w:sz="4" w:space="0" w:color="000000"/>
              <w:bottom w:val="single" w:sz="4" w:space="0" w:color="000000"/>
            </w:tcBorders>
            <w:shd w:fill="FFFFFF" w:val="clear"/>
            <w:tcMar>
              <w:top w:w="30" w:type="dxa"/>
              <w:bottom w:w="3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$0</w:t>
            </w:r>
          </w:p>
        </w:tc>
        <w:tc>
          <w:tcPr>
            <w:tcW w:w="1024" w:type="dxa"/>
            <w:gridSpan w:val="3"/>
            <w:tcBorders>
              <w:top w:val="single" w:sz="4" w:space="0" w:color="000000"/>
              <w:left w:val="single" w:sz="4" w:space="0" w:color="000000"/>
              <w:bottom w:val="single" w:sz="4" w:space="0" w:color="000000"/>
            </w:tcBorders>
            <w:shd w:fill="FFFFFF" w:val="clear"/>
            <w:tcMar>
              <w:top w:w="30" w:type="dxa"/>
              <w:bottom w:w="3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$0</w:t>
            </w:r>
          </w:p>
        </w:tc>
        <w:tc>
          <w:tcPr>
            <w:tcW w:w="851" w:type="dxa"/>
            <w:gridSpan w:val="3"/>
            <w:tcBorders>
              <w:top w:val="single" w:sz="4" w:space="0" w:color="000000"/>
              <w:left w:val="single" w:sz="4" w:space="0" w:color="000000"/>
              <w:bottom w:val="single" w:sz="4" w:space="0" w:color="000000"/>
            </w:tcBorders>
            <w:shd w:fill="FFFFFF" w:val="clear"/>
            <w:tcMar>
              <w:top w:w="30" w:type="dxa"/>
              <w:bottom w:w="3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$0</w:t>
            </w:r>
          </w:p>
        </w:tc>
        <w:tc>
          <w:tcPr>
            <w:tcW w:w="1024" w:type="dxa"/>
            <w:gridSpan w:val="3"/>
            <w:tcBorders>
              <w:top w:val="single" w:sz="4" w:space="0" w:color="000000"/>
              <w:left w:val="single" w:sz="4" w:space="0" w:color="000000"/>
              <w:bottom w:val="single" w:sz="4" w:space="0" w:color="000000"/>
            </w:tcBorders>
            <w:shd w:fill="FFFFFF" w:val="clear"/>
            <w:tcMar>
              <w:top w:w="30" w:type="dxa"/>
              <w:bottom w:w="3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$0</w:t>
            </w:r>
          </w:p>
        </w:tc>
        <w:tc>
          <w:tcPr>
            <w:tcW w:w="851" w:type="dxa"/>
            <w:gridSpan w:val="3"/>
            <w:tcBorders>
              <w:top w:val="single" w:sz="4" w:space="0" w:color="000000"/>
              <w:left w:val="single" w:sz="4" w:space="0" w:color="000000"/>
              <w:bottom w:val="single" w:sz="4" w:space="0" w:color="000000"/>
            </w:tcBorders>
            <w:shd w:fill="FFFFFF" w:val="clear"/>
            <w:tcMar>
              <w:top w:w="30" w:type="dxa"/>
              <w:bottom w:w="3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$0</w:t>
            </w:r>
          </w:p>
        </w:tc>
        <w:tc>
          <w:tcPr>
            <w:tcW w:w="1024" w:type="dxa"/>
            <w:gridSpan w:val="3"/>
            <w:tcBorders>
              <w:top w:val="single" w:sz="4" w:space="0" w:color="000000"/>
              <w:left w:val="single" w:sz="4" w:space="0" w:color="000000"/>
              <w:bottom w:val="single" w:sz="4" w:space="0" w:color="000000"/>
              <w:right w:val="single" w:sz="4" w:space="0" w:color="000000"/>
            </w:tcBorders>
            <w:shd w:fill="FFFFFF" w:val="clear"/>
            <w:tcMar>
              <w:top w:w="30" w:type="dxa"/>
              <w:bottom w:w="3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$0</w:t>
            </w:r>
          </w:p>
        </w:tc>
        <w:tc>
          <w:tcPr>
            <w:tcW w:w="167" w:type="dxa"/>
            <w:tcBorders/>
            <w:vAlign w:val="center"/>
          </w:tcPr>
          <w:p>
            <w:pPr>
              <w:pStyle w:val="TableContents"/>
              <w:bidi w:val="0"/>
              <w:spacing w:before="0" w:after="283"/>
              <w:jc w:val="left"/>
              <w:rPr>
                <w:sz w:val="4"/>
                <w:szCs w:val="4"/>
              </w:rPr>
            </w:pPr>
            <w:r>
              <w:rPr>
                <w:sz w:val="4"/>
                <w:szCs w:val="4"/>
              </w:rPr>
            </w:r>
          </w:p>
        </w:tc>
      </w:tr>
      <w:tr>
        <w:trPr/>
        <w:tc>
          <w:tcPr>
            <w:tcW w:w="10038" w:type="dxa"/>
            <w:gridSpan w:val="27"/>
            <w:tcBorders>
              <w:top w:val="single" w:sz="4" w:space="0" w:color="000000"/>
              <w:left w:val="single" w:sz="4" w:space="0" w:color="000000"/>
              <w:right w:val="single" w:sz="4" w:space="0" w:color="000000"/>
            </w:tcBorders>
            <w:shd w:fill="E6E7E8" w:val="clear"/>
            <w:tcMar>
              <w:top w:w="30" w:type="dxa"/>
              <w:bottom w:w="0" w:type="dxa"/>
            </w:tcMar>
            <w:vAlign w:val="center"/>
          </w:tcPr>
          <w:p>
            <w:pPr>
              <w:pStyle w:val="TableContents"/>
              <w:bidi w:val="0"/>
              <w:spacing w:lineRule="auto" w:line="288" w:before="0" w:after="0"/>
              <w:jc w:val="left"/>
              <w:rPr>
                <w:rFonts w:ascii="Arial;sans-serif" w:hAnsi="Arial;sans-serif"/>
                <w:b/>
                <w:color w:val="000000"/>
                <w:sz w:val="14"/>
              </w:rPr>
            </w:pPr>
            <w:r>
              <w:rPr>
                <w:rFonts w:ascii="Arial;sans-serif" w:hAnsi="Arial;sans-serif"/>
                <w:b/>
                <w:color w:val="000000"/>
                <w:sz w:val="14"/>
              </w:rPr>
              <w:t>Adjustments for Equity Awards</w:t>
            </w:r>
          </w:p>
        </w:tc>
        <w:tc>
          <w:tcPr>
            <w:tcW w:w="167" w:type="dxa"/>
            <w:tcBorders/>
            <w:vAlign w:val="center"/>
          </w:tcPr>
          <w:p>
            <w:pPr>
              <w:pStyle w:val="TableContents"/>
              <w:bidi w:val="0"/>
              <w:spacing w:before="0" w:after="283"/>
              <w:jc w:val="left"/>
              <w:rPr>
                <w:sz w:val="4"/>
                <w:szCs w:val="4"/>
              </w:rPr>
            </w:pPr>
            <w:r>
              <w:rPr>
                <w:sz w:val="4"/>
                <w:szCs w:val="4"/>
              </w:rPr>
            </w:r>
          </w:p>
        </w:tc>
      </w:tr>
      <w:tr>
        <w:trPr/>
        <w:tc>
          <w:tcPr>
            <w:tcW w:w="2743"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4"/>
              </w:rPr>
            </w:pPr>
            <w:r>
              <w:rPr>
                <w:rFonts w:ascii="Arial;sans-serif" w:hAnsi="Arial;sans-serif"/>
                <w:b w:val="false"/>
                <w:color w:val="000000"/>
                <w:sz w:val="14"/>
              </w:rPr>
              <w:t>Adjustment for grant date values in the Summary Compensation Table</w:t>
            </w:r>
          </w:p>
        </w:tc>
        <w:tc>
          <w:tcPr>
            <w:tcW w:w="874"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$(4,227,636)</w:t>
            </w:r>
          </w:p>
        </w:tc>
        <w:tc>
          <w:tcPr>
            <w:tcW w:w="796"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$(648,663)</w:t>
            </w:r>
          </w:p>
        </w:tc>
        <w:tc>
          <w:tcPr>
            <w:tcW w:w="851"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$(3,891,715)</w:t>
            </w:r>
          </w:p>
        </w:tc>
        <w:tc>
          <w:tcPr>
            <w:tcW w:w="1024"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$(665,163)</w:t>
            </w:r>
          </w:p>
        </w:tc>
        <w:tc>
          <w:tcPr>
            <w:tcW w:w="851"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$(4,332,553)</w:t>
            </w:r>
          </w:p>
        </w:tc>
        <w:tc>
          <w:tcPr>
            <w:tcW w:w="1024"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$(736,534)</w:t>
            </w:r>
          </w:p>
        </w:tc>
        <w:tc>
          <w:tcPr>
            <w:tcW w:w="851"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$(3,793,348)</w:t>
            </w:r>
          </w:p>
        </w:tc>
        <w:tc>
          <w:tcPr>
            <w:tcW w:w="1024" w:type="dxa"/>
            <w:gridSpan w:val="3"/>
            <w:tcBorders>
              <w:top w:val="single" w:sz="4" w:space="0" w:color="000000"/>
              <w:left w:val="single" w:sz="4" w:space="0" w:color="000000"/>
              <w:right w:val="single" w:sz="4" w:space="0" w:color="000000"/>
            </w:tcBorders>
            <w:shd w:fill="FFFFFF" w:val="clear"/>
            <w:tcMar>
              <w:top w:w="30" w:type="dxa"/>
              <w:bottom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$(658,566)</w:t>
            </w:r>
          </w:p>
        </w:tc>
        <w:tc>
          <w:tcPr>
            <w:tcW w:w="167" w:type="dxa"/>
            <w:tcBorders/>
            <w:vAlign w:val="center"/>
          </w:tcPr>
          <w:p>
            <w:pPr>
              <w:pStyle w:val="TableContents"/>
              <w:bidi w:val="0"/>
              <w:spacing w:before="0" w:after="283"/>
              <w:jc w:val="left"/>
              <w:rPr>
                <w:sz w:val="4"/>
                <w:szCs w:val="4"/>
              </w:rPr>
            </w:pPr>
            <w:r>
              <w:rPr>
                <w:sz w:val="4"/>
                <w:szCs w:val="4"/>
              </w:rPr>
            </w:r>
          </w:p>
        </w:tc>
      </w:tr>
      <w:tr>
        <w:trPr/>
        <w:tc>
          <w:tcPr>
            <w:tcW w:w="2743" w:type="dxa"/>
            <w:gridSpan w:val="3"/>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4"/>
              </w:rPr>
            </w:pPr>
            <w:r>
              <w:rPr>
                <w:rFonts w:ascii="Arial;sans-serif" w:hAnsi="Arial;sans-serif"/>
                <w:b w:val="false"/>
                <w:color w:val="000000"/>
                <w:sz w:val="14"/>
              </w:rPr>
              <w:t>Year-end fair value of unvested awards granted in the current year</w:t>
            </w:r>
          </w:p>
        </w:tc>
        <w:tc>
          <w:tcPr>
            <w:tcW w:w="874" w:type="dxa"/>
            <w:gridSpan w:val="3"/>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$6,666,643</w:t>
            </w:r>
          </w:p>
        </w:tc>
        <w:tc>
          <w:tcPr>
            <w:tcW w:w="796" w:type="dxa"/>
            <w:gridSpan w:val="3"/>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$1,010,323</w:t>
            </w:r>
          </w:p>
        </w:tc>
        <w:tc>
          <w:tcPr>
            <w:tcW w:w="851" w:type="dxa"/>
            <w:gridSpan w:val="3"/>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$6,166,741</w:t>
            </w:r>
          </w:p>
        </w:tc>
        <w:tc>
          <w:tcPr>
            <w:tcW w:w="1024" w:type="dxa"/>
            <w:gridSpan w:val="3"/>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$706,347</w:t>
            </w:r>
          </w:p>
        </w:tc>
        <w:tc>
          <w:tcPr>
            <w:tcW w:w="851" w:type="dxa"/>
            <w:gridSpan w:val="3"/>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$4,007,180</w:t>
            </w:r>
          </w:p>
        </w:tc>
        <w:tc>
          <w:tcPr>
            <w:tcW w:w="1024" w:type="dxa"/>
            <w:gridSpan w:val="3"/>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$581,044</w:t>
            </w:r>
          </w:p>
        </w:tc>
        <w:tc>
          <w:tcPr>
            <w:tcW w:w="851" w:type="dxa"/>
            <w:gridSpan w:val="3"/>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$4,353,984</w:t>
            </w:r>
          </w:p>
        </w:tc>
        <w:tc>
          <w:tcPr>
            <w:tcW w:w="1024" w:type="dxa"/>
            <w:gridSpan w:val="3"/>
            <w:tcBorders>
              <w:top w:val="single" w:sz="4" w:space="0" w:color="000000"/>
              <w:left w:val="single" w:sz="4" w:space="0" w:color="000000"/>
              <w:right w:val="single" w:sz="4" w:space="0" w:color="000000"/>
            </w:tcBorders>
            <w:shd w:fill="E6E7E8" w:val="clear"/>
            <w:tcMar>
              <w:top w:w="30" w:type="dxa"/>
              <w:bottom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$771,638</w:t>
            </w:r>
          </w:p>
        </w:tc>
        <w:tc>
          <w:tcPr>
            <w:tcW w:w="167" w:type="dxa"/>
            <w:tcBorders/>
            <w:vAlign w:val="center"/>
          </w:tcPr>
          <w:p>
            <w:pPr>
              <w:pStyle w:val="TableContents"/>
              <w:bidi w:val="0"/>
              <w:spacing w:before="0" w:after="283"/>
              <w:jc w:val="left"/>
              <w:rPr>
                <w:sz w:val="4"/>
                <w:szCs w:val="4"/>
              </w:rPr>
            </w:pPr>
            <w:r>
              <w:rPr>
                <w:sz w:val="4"/>
                <w:szCs w:val="4"/>
              </w:rPr>
            </w:r>
          </w:p>
        </w:tc>
      </w:tr>
      <w:tr>
        <w:trPr/>
        <w:tc>
          <w:tcPr>
            <w:tcW w:w="2743"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4"/>
              </w:rPr>
            </w:pPr>
            <w:r>
              <w:rPr>
                <w:rFonts w:ascii="Arial;sans-serif" w:hAnsi="Arial;sans-serif"/>
                <w:b w:val="false"/>
                <w:color w:val="000000"/>
                <w:sz w:val="14"/>
              </w:rPr>
              <w:t>Year-over-year difference of year-end fair values for unvested awards granted in prior years</w:t>
            </w:r>
          </w:p>
        </w:tc>
        <w:tc>
          <w:tcPr>
            <w:tcW w:w="874"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$6,617,856</w:t>
            </w:r>
          </w:p>
        </w:tc>
        <w:tc>
          <w:tcPr>
            <w:tcW w:w="796"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$672,711</w:t>
            </w:r>
          </w:p>
        </w:tc>
        <w:tc>
          <w:tcPr>
            <w:tcW w:w="851"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$1,504,739</w:t>
            </w:r>
          </w:p>
        </w:tc>
        <w:tc>
          <w:tcPr>
            <w:tcW w:w="1024"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$152,179</w:t>
            </w:r>
          </w:p>
        </w:tc>
        <w:tc>
          <w:tcPr>
            <w:tcW w:w="851"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$(266,937)</w:t>
            </w:r>
          </w:p>
        </w:tc>
        <w:tc>
          <w:tcPr>
            <w:tcW w:w="1024"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$(16,655)</w:t>
            </w:r>
          </w:p>
        </w:tc>
        <w:tc>
          <w:tcPr>
            <w:tcW w:w="851"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$664,368</w:t>
            </w:r>
          </w:p>
        </w:tc>
        <w:tc>
          <w:tcPr>
            <w:tcW w:w="1024" w:type="dxa"/>
            <w:gridSpan w:val="3"/>
            <w:tcBorders>
              <w:top w:val="single" w:sz="4" w:space="0" w:color="000000"/>
              <w:left w:val="single" w:sz="4" w:space="0" w:color="000000"/>
              <w:right w:val="single" w:sz="4" w:space="0" w:color="000000"/>
            </w:tcBorders>
            <w:shd w:fill="FFFFFF" w:val="clear"/>
            <w:tcMar>
              <w:top w:w="30" w:type="dxa"/>
              <w:bottom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$99,208</w:t>
            </w:r>
          </w:p>
        </w:tc>
        <w:tc>
          <w:tcPr>
            <w:tcW w:w="167" w:type="dxa"/>
            <w:tcBorders/>
            <w:vAlign w:val="center"/>
          </w:tcPr>
          <w:p>
            <w:pPr>
              <w:pStyle w:val="TableContents"/>
              <w:bidi w:val="0"/>
              <w:spacing w:before="0" w:after="283"/>
              <w:jc w:val="left"/>
              <w:rPr>
                <w:sz w:val="4"/>
                <w:szCs w:val="4"/>
              </w:rPr>
            </w:pPr>
            <w:r>
              <w:rPr>
                <w:sz w:val="4"/>
                <w:szCs w:val="4"/>
              </w:rPr>
            </w:r>
          </w:p>
        </w:tc>
      </w:tr>
      <w:tr>
        <w:trPr/>
        <w:tc>
          <w:tcPr>
            <w:tcW w:w="2743" w:type="dxa"/>
            <w:gridSpan w:val="3"/>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4"/>
              </w:rPr>
            </w:pPr>
            <w:r>
              <w:rPr>
                <w:rFonts w:ascii="Arial;sans-serif" w:hAnsi="Arial;sans-serif"/>
                <w:b w:val="false"/>
                <w:color w:val="000000"/>
                <w:sz w:val="14"/>
              </w:rPr>
              <w:t>Fair values at vest date for awards granted and vested in current year</w:t>
            </w:r>
          </w:p>
        </w:tc>
        <w:tc>
          <w:tcPr>
            <w:tcW w:w="874" w:type="dxa"/>
            <w:gridSpan w:val="3"/>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$0</w:t>
            </w:r>
          </w:p>
        </w:tc>
        <w:tc>
          <w:tcPr>
            <w:tcW w:w="796" w:type="dxa"/>
            <w:gridSpan w:val="3"/>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$0</w:t>
            </w:r>
          </w:p>
        </w:tc>
        <w:tc>
          <w:tcPr>
            <w:tcW w:w="851" w:type="dxa"/>
            <w:gridSpan w:val="3"/>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$0</w:t>
            </w:r>
          </w:p>
        </w:tc>
        <w:tc>
          <w:tcPr>
            <w:tcW w:w="1024" w:type="dxa"/>
            <w:gridSpan w:val="3"/>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$0</w:t>
            </w:r>
          </w:p>
        </w:tc>
        <w:tc>
          <w:tcPr>
            <w:tcW w:w="851" w:type="dxa"/>
            <w:gridSpan w:val="3"/>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$0</w:t>
            </w:r>
          </w:p>
        </w:tc>
        <w:tc>
          <w:tcPr>
            <w:tcW w:w="1024" w:type="dxa"/>
            <w:gridSpan w:val="3"/>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$15,204</w:t>
            </w:r>
          </w:p>
        </w:tc>
        <w:tc>
          <w:tcPr>
            <w:tcW w:w="851" w:type="dxa"/>
            <w:gridSpan w:val="3"/>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$0</w:t>
            </w:r>
          </w:p>
        </w:tc>
        <w:tc>
          <w:tcPr>
            <w:tcW w:w="1024" w:type="dxa"/>
            <w:gridSpan w:val="3"/>
            <w:tcBorders>
              <w:top w:val="single" w:sz="4" w:space="0" w:color="000000"/>
              <w:left w:val="single" w:sz="4" w:space="0" w:color="000000"/>
              <w:right w:val="single" w:sz="4" w:space="0" w:color="000000"/>
            </w:tcBorders>
            <w:shd w:fill="E6E7E8" w:val="clear"/>
            <w:tcMar>
              <w:top w:w="30" w:type="dxa"/>
              <w:bottom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$0</w:t>
            </w:r>
          </w:p>
        </w:tc>
        <w:tc>
          <w:tcPr>
            <w:tcW w:w="167" w:type="dxa"/>
            <w:tcBorders/>
            <w:vAlign w:val="center"/>
          </w:tcPr>
          <w:p>
            <w:pPr>
              <w:pStyle w:val="TableContents"/>
              <w:bidi w:val="0"/>
              <w:spacing w:before="0" w:after="283"/>
              <w:jc w:val="left"/>
              <w:rPr>
                <w:sz w:val="4"/>
                <w:szCs w:val="4"/>
              </w:rPr>
            </w:pPr>
            <w:r>
              <w:rPr>
                <w:sz w:val="4"/>
                <w:szCs w:val="4"/>
              </w:rPr>
            </w:r>
          </w:p>
        </w:tc>
      </w:tr>
      <w:tr>
        <w:trPr/>
        <w:tc>
          <w:tcPr>
            <w:tcW w:w="2743"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4"/>
              </w:rPr>
            </w:pPr>
            <w:r>
              <w:rPr>
                <w:rFonts w:ascii="Arial;sans-serif" w:hAnsi="Arial;sans-serif"/>
                <w:b w:val="false"/>
                <w:color w:val="000000"/>
                <w:sz w:val="14"/>
              </w:rPr>
              <w:t>Difference in fair values between prior year-end fair values and vest date fair values for awards granted in prior years</w:t>
            </w:r>
          </w:p>
        </w:tc>
        <w:tc>
          <w:tcPr>
            <w:tcW w:w="874"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$695,892</w:t>
            </w:r>
          </w:p>
        </w:tc>
        <w:tc>
          <w:tcPr>
            <w:tcW w:w="796"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$94,384</w:t>
            </w:r>
          </w:p>
        </w:tc>
        <w:tc>
          <w:tcPr>
            <w:tcW w:w="851"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$(981,146)</w:t>
            </w:r>
          </w:p>
        </w:tc>
        <w:tc>
          <w:tcPr>
            <w:tcW w:w="1024"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$(97,875)</w:t>
            </w:r>
          </w:p>
        </w:tc>
        <w:tc>
          <w:tcPr>
            <w:tcW w:w="851"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$149,554</w:t>
            </w:r>
          </w:p>
        </w:tc>
        <w:tc>
          <w:tcPr>
            <w:tcW w:w="1024"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$16,606</w:t>
            </w:r>
          </w:p>
        </w:tc>
        <w:tc>
          <w:tcPr>
            <w:tcW w:w="851"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$(453,762)</w:t>
            </w:r>
          </w:p>
        </w:tc>
        <w:tc>
          <w:tcPr>
            <w:tcW w:w="1024" w:type="dxa"/>
            <w:gridSpan w:val="3"/>
            <w:tcBorders>
              <w:top w:val="single" w:sz="4" w:space="0" w:color="000000"/>
              <w:left w:val="single" w:sz="4" w:space="0" w:color="000000"/>
              <w:right w:val="single" w:sz="4" w:space="0" w:color="000000"/>
            </w:tcBorders>
            <w:shd w:fill="FFFFFF" w:val="clear"/>
            <w:tcMar>
              <w:top w:w="30" w:type="dxa"/>
              <w:bottom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$(62,391)</w:t>
            </w:r>
          </w:p>
        </w:tc>
        <w:tc>
          <w:tcPr>
            <w:tcW w:w="167" w:type="dxa"/>
            <w:tcBorders/>
            <w:vAlign w:val="center"/>
          </w:tcPr>
          <w:p>
            <w:pPr>
              <w:pStyle w:val="TableContents"/>
              <w:bidi w:val="0"/>
              <w:spacing w:before="0" w:after="283"/>
              <w:jc w:val="left"/>
              <w:rPr>
                <w:sz w:val="4"/>
                <w:szCs w:val="4"/>
              </w:rPr>
            </w:pPr>
            <w:r>
              <w:rPr>
                <w:sz w:val="4"/>
                <w:szCs w:val="4"/>
              </w:rPr>
            </w:r>
          </w:p>
        </w:tc>
      </w:tr>
      <w:tr>
        <w:trPr/>
        <w:tc>
          <w:tcPr>
            <w:tcW w:w="2743" w:type="dxa"/>
            <w:gridSpan w:val="3"/>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4"/>
              </w:rPr>
            </w:pPr>
            <w:r>
              <w:rPr>
                <w:rFonts w:ascii="Arial;sans-serif" w:hAnsi="Arial;sans-serif"/>
                <w:b w:val="false"/>
                <w:color w:val="000000"/>
                <w:sz w:val="14"/>
              </w:rPr>
              <w:t>Forfeitures during current year equal to prior year-end fair value</w:t>
            </w:r>
          </w:p>
        </w:tc>
        <w:tc>
          <w:tcPr>
            <w:tcW w:w="874" w:type="dxa"/>
            <w:gridSpan w:val="3"/>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$0</w:t>
            </w:r>
          </w:p>
        </w:tc>
        <w:tc>
          <w:tcPr>
            <w:tcW w:w="796" w:type="dxa"/>
            <w:gridSpan w:val="3"/>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$0</w:t>
            </w:r>
          </w:p>
        </w:tc>
        <w:tc>
          <w:tcPr>
            <w:tcW w:w="851" w:type="dxa"/>
            <w:gridSpan w:val="3"/>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$0</w:t>
            </w:r>
          </w:p>
        </w:tc>
        <w:tc>
          <w:tcPr>
            <w:tcW w:w="1024" w:type="dxa"/>
            <w:gridSpan w:val="3"/>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$(192,664)</w:t>
            </w:r>
          </w:p>
        </w:tc>
        <w:tc>
          <w:tcPr>
            <w:tcW w:w="851" w:type="dxa"/>
            <w:gridSpan w:val="3"/>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$0</w:t>
            </w:r>
          </w:p>
        </w:tc>
        <w:tc>
          <w:tcPr>
            <w:tcW w:w="1024" w:type="dxa"/>
            <w:gridSpan w:val="3"/>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$(45,598)</w:t>
            </w:r>
          </w:p>
        </w:tc>
        <w:tc>
          <w:tcPr>
            <w:tcW w:w="851" w:type="dxa"/>
            <w:gridSpan w:val="3"/>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$0</w:t>
            </w:r>
          </w:p>
        </w:tc>
        <w:tc>
          <w:tcPr>
            <w:tcW w:w="1024" w:type="dxa"/>
            <w:gridSpan w:val="3"/>
            <w:tcBorders>
              <w:top w:val="single" w:sz="4" w:space="0" w:color="000000"/>
              <w:left w:val="single" w:sz="4" w:space="0" w:color="000000"/>
              <w:right w:val="single" w:sz="4" w:space="0" w:color="000000"/>
            </w:tcBorders>
            <w:shd w:fill="E6E7E8" w:val="clear"/>
            <w:tcMar>
              <w:top w:w="30" w:type="dxa"/>
              <w:bottom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$0</w:t>
            </w:r>
          </w:p>
        </w:tc>
        <w:tc>
          <w:tcPr>
            <w:tcW w:w="167" w:type="dxa"/>
            <w:tcBorders/>
            <w:vAlign w:val="center"/>
          </w:tcPr>
          <w:p>
            <w:pPr>
              <w:pStyle w:val="TableContents"/>
              <w:bidi w:val="0"/>
              <w:spacing w:before="0" w:after="283"/>
              <w:jc w:val="left"/>
              <w:rPr>
                <w:sz w:val="4"/>
                <w:szCs w:val="4"/>
              </w:rPr>
            </w:pPr>
            <w:r>
              <w:rPr>
                <w:sz w:val="4"/>
                <w:szCs w:val="4"/>
              </w:rPr>
            </w:r>
          </w:p>
        </w:tc>
      </w:tr>
      <w:tr>
        <w:trPr/>
        <w:tc>
          <w:tcPr>
            <w:tcW w:w="2743"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4"/>
              </w:rPr>
            </w:pPr>
            <w:r>
              <w:rPr>
                <w:rFonts w:ascii="Arial;sans-serif" w:hAnsi="Arial;sans-serif"/>
                <w:b w:val="false"/>
                <w:color w:val="000000"/>
                <w:sz w:val="14"/>
              </w:rPr>
              <w:t>Dividends or dividend equivalents not otherwise included in the total compensation</w:t>
            </w:r>
          </w:p>
        </w:tc>
        <w:tc>
          <w:tcPr>
            <w:tcW w:w="874"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$0</w:t>
            </w:r>
          </w:p>
        </w:tc>
        <w:tc>
          <w:tcPr>
            <w:tcW w:w="796"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$0</w:t>
            </w:r>
          </w:p>
        </w:tc>
        <w:tc>
          <w:tcPr>
            <w:tcW w:w="851"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$0</w:t>
            </w:r>
          </w:p>
        </w:tc>
        <w:tc>
          <w:tcPr>
            <w:tcW w:w="1024"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$0</w:t>
            </w:r>
          </w:p>
        </w:tc>
        <w:tc>
          <w:tcPr>
            <w:tcW w:w="851"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$0</w:t>
            </w:r>
          </w:p>
        </w:tc>
        <w:tc>
          <w:tcPr>
            <w:tcW w:w="1024"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$0</w:t>
            </w:r>
          </w:p>
        </w:tc>
        <w:tc>
          <w:tcPr>
            <w:tcW w:w="851"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$0</w:t>
            </w:r>
          </w:p>
        </w:tc>
        <w:tc>
          <w:tcPr>
            <w:tcW w:w="1024" w:type="dxa"/>
            <w:gridSpan w:val="3"/>
            <w:tcBorders>
              <w:top w:val="single" w:sz="4" w:space="0" w:color="000000"/>
              <w:left w:val="single" w:sz="4" w:space="0" w:color="000000"/>
              <w:right w:val="single" w:sz="4" w:space="0" w:color="000000"/>
            </w:tcBorders>
            <w:shd w:fill="FFFFFF" w:val="clear"/>
            <w:tcMar>
              <w:top w:w="30" w:type="dxa"/>
              <w:bottom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$0</w:t>
            </w:r>
          </w:p>
        </w:tc>
        <w:tc>
          <w:tcPr>
            <w:tcW w:w="167" w:type="dxa"/>
            <w:tcBorders/>
            <w:vAlign w:val="center"/>
          </w:tcPr>
          <w:p>
            <w:pPr>
              <w:pStyle w:val="TableContents"/>
              <w:bidi w:val="0"/>
              <w:spacing w:before="0" w:after="283"/>
              <w:jc w:val="left"/>
              <w:rPr>
                <w:sz w:val="4"/>
                <w:szCs w:val="4"/>
              </w:rPr>
            </w:pPr>
            <w:r>
              <w:rPr>
                <w:sz w:val="4"/>
                <w:szCs w:val="4"/>
              </w:rPr>
            </w:r>
          </w:p>
        </w:tc>
      </w:tr>
      <w:tr>
        <w:trPr/>
        <w:tc>
          <w:tcPr>
            <w:tcW w:w="2743" w:type="dxa"/>
            <w:gridSpan w:val="3"/>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0"/>
              <w:jc w:val="left"/>
              <w:rPr>
                <w:rFonts w:ascii="Arial;sans-serif" w:hAnsi="Arial;sans-serif"/>
                <w:b/>
                <w:color w:val="000000"/>
                <w:sz w:val="14"/>
              </w:rPr>
            </w:pPr>
            <w:r>
              <w:rPr>
                <w:rFonts w:ascii="Arial;sans-serif" w:hAnsi="Arial;sans-serif"/>
                <w:b/>
                <w:color w:val="000000"/>
                <w:sz w:val="14"/>
              </w:rPr>
              <w:t>Total Adjustments for Equity Awards</w:t>
            </w:r>
          </w:p>
        </w:tc>
        <w:tc>
          <w:tcPr>
            <w:tcW w:w="874" w:type="dxa"/>
            <w:gridSpan w:val="3"/>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$9,752,755</w:t>
            </w:r>
          </w:p>
        </w:tc>
        <w:tc>
          <w:tcPr>
            <w:tcW w:w="796" w:type="dxa"/>
            <w:gridSpan w:val="3"/>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$1,128,755</w:t>
            </w:r>
          </w:p>
        </w:tc>
        <w:tc>
          <w:tcPr>
            <w:tcW w:w="851" w:type="dxa"/>
            <w:gridSpan w:val="3"/>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$2,798,620</w:t>
            </w:r>
          </w:p>
        </w:tc>
        <w:tc>
          <w:tcPr>
            <w:tcW w:w="1024" w:type="dxa"/>
            <w:gridSpan w:val="3"/>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$(97,176)</w:t>
            </w:r>
          </w:p>
        </w:tc>
        <w:tc>
          <w:tcPr>
            <w:tcW w:w="851" w:type="dxa"/>
            <w:gridSpan w:val="3"/>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$(442,757)</w:t>
            </w:r>
          </w:p>
        </w:tc>
        <w:tc>
          <w:tcPr>
            <w:tcW w:w="1024" w:type="dxa"/>
            <w:gridSpan w:val="3"/>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$(185,932)</w:t>
            </w:r>
          </w:p>
        </w:tc>
        <w:tc>
          <w:tcPr>
            <w:tcW w:w="851" w:type="dxa"/>
            <w:gridSpan w:val="3"/>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$771,242</w:t>
            </w:r>
          </w:p>
        </w:tc>
        <w:tc>
          <w:tcPr>
            <w:tcW w:w="1024" w:type="dxa"/>
            <w:gridSpan w:val="3"/>
            <w:tcBorders>
              <w:top w:val="single" w:sz="4" w:space="0" w:color="000000"/>
              <w:left w:val="single" w:sz="4" w:space="0" w:color="000000"/>
              <w:right w:val="single" w:sz="4" w:space="0" w:color="000000"/>
            </w:tcBorders>
            <w:shd w:fill="E6E7E8" w:val="clear"/>
            <w:tcMar>
              <w:top w:w="30" w:type="dxa"/>
              <w:bottom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$149,888</w:t>
            </w:r>
          </w:p>
        </w:tc>
        <w:tc>
          <w:tcPr>
            <w:tcW w:w="167" w:type="dxa"/>
            <w:tcBorders/>
            <w:vAlign w:val="center"/>
          </w:tcPr>
          <w:p>
            <w:pPr>
              <w:pStyle w:val="TableContents"/>
              <w:bidi w:val="0"/>
              <w:spacing w:before="0" w:after="283"/>
              <w:jc w:val="left"/>
              <w:rPr>
                <w:sz w:val="4"/>
                <w:szCs w:val="4"/>
              </w:rPr>
            </w:pPr>
            <w:r>
              <w:rPr>
                <w:sz w:val="4"/>
                <w:szCs w:val="4"/>
              </w:rPr>
            </w:r>
          </w:p>
        </w:tc>
      </w:tr>
      <w:tr>
        <w:trPr/>
        <w:tc>
          <w:tcPr>
            <w:tcW w:w="2743" w:type="dxa"/>
            <w:gridSpan w:val="3"/>
            <w:tcBorders>
              <w:top w:val="single" w:sz="4" w:space="0" w:color="000000"/>
              <w:left w:val="single" w:sz="4" w:space="0" w:color="000000"/>
              <w:bottom w:val="single" w:sz="4" w:space="0" w:color="000000"/>
            </w:tcBorders>
            <w:shd w:fill="FFFFFF" w:val="clear"/>
            <w:tcMar>
              <w:top w:w="30" w:type="dxa"/>
              <w:bottom w:w="30" w:type="dxa"/>
              <w:right w:w="0" w:type="dxa"/>
            </w:tcMar>
            <w:vAlign w:val="center"/>
          </w:tcPr>
          <w:p>
            <w:pPr>
              <w:pStyle w:val="TableContents"/>
              <w:bidi w:val="0"/>
              <w:spacing w:lineRule="auto" w:line="288" w:before="0" w:after="0"/>
              <w:jc w:val="left"/>
              <w:rPr>
                <w:rFonts w:ascii="Arial;sans-serif" w:hAnsi="Arial;sans-serif"/>
                <w:b/>
                <w:color w:val="000000"/>
                <w:sz w:val="14"/>
              </w:rPr>
            </w:pPr>
            <w:r>
              <w:rPr>
                <w:rFonts w:ascii="Arial;sans-serif" w:hAnsi="Arial;sans-serif"/>
                <w:b/>
                <w:color w:val="000000"/>
                <w:sz w:val="14"/>
              </w:rPr>
              <w:t>Compensation Actually Paid (as calculated)</w:t>
            </w:r>
          </w:p>
        </w:tc>
        <w:tc>
          <w:tcPr>
            <w:tcW w:w="874" w:type="dxa"/>
            <w:gridSpan w:val="3"/>
            <w:tcBorders>
              <w:top w:val="single" w:sz="4" w:space="0" w:color="000000"/>
              <w:left w:val="single" w:sz="4" w:space="0" w:color="000000"/>
              <w:bottom w:val="single" w:sz="4" w:space="0" w:color="000000"/>
            </w:tcBorders>
            <w:shd w:fill="FFFFFF" w:val="clear"/>
            <w:tcMar>
              <w:top w:w="30" w:type="dxa"/>
              <w:bottom w:w="3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$17,411,369</w:t>
            </w:r>
          </w:p>
        </w:tc>
        <w:tc>
          <w:tcPr>
            <w:tcW w:w="796" w:type="dxa"/>
            <w:gridSpan w:val="3"/>
            <w:tcBorders>
              <w:top w:val="single" w:sz="4" w:space="0" w:color="000000"/>
              <w:left w:val="single" w:sz="4" w:space="0" w:color="000000"/>
              <w:bottom w:val="single" w:sz="4" w:space="0" w:color="000000"/>
            </w:tcBorders>
            <w:shd w:fill="FFFFFF" w:val="clear"/>
            <w:tcMar>
              <w:top w:w="30" w:type="dxa"/>
              <w:bottom w:w="3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$2,960,366</w:t>
            </w:r>
          </w:p>
        </w:tc>
        <w:tc>
          <w:tcPr>
            <w:tcW w:w="851" w:type="dxa"/>
            <w:gridSpan w:val="3"/>
            <w:tcBorders>
              <w:top w:val="single" w:sz="4" w:space="0" w:color="000000"/>
              <w:left w:val="single" w:sz="4" w:space="0" w:color="000000"/>
              <w:bottom w:val="single" w:sz="4" w:space="0" w:color="000000"/>
            </w:tcBorders>
            <w:shd w:fill="FFFFFF" w:val="clear"/>
            <w:tcMar>
              <w:top w:w="30" w:type="dxa"/>
              <w:bottom w:w="3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$9,382,695</w:t>
            </w:r>
          </w:p>
        </w:tc>
        <w:tc>
          <w:tcPr>
            <w:tcW w:w="1024" w:type="dxa"/>
            <w:gridSpan w:val="3"/>
            <w:tcBorders>
              <w:top w:val="single" w:sz="4" w:space="0" w:color="000000"/>
              <w:left w:val="single" w:sz="4" w:space="0" w:color="000000"/>
              <w:bottom w:val="single" w:sz="4" w:space="0" w:color="000000"/>
            </w:tcBorders>
            <w:shd w:fill="FFFFFF" w:val="clear"/>
            <w:tcMar>
              <w:top w:w="30" w:type="dxa"/>
              <w:bottom w:w="3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$1,358,069</w:t>
            </w:r>
          </w:p>
        </w:tc>
        <w:tc>
          <w:tcPr>
            <w:tcW w:w="851" w:type="dxa"/>
            <w:gridSpan w:val="3"/>
            <w:tcBorders>
              <w:top w:val="single" w:sz="4" w:space="0" w:color="000000"/>
              <w:left w:val="single" w:sz="4" w:space="0" w:color="000000"/>
              <w:bottom w:val="single" w:sz="4" w:space="0" w:color="000000"/>
            </w:tcBorders>
            <w:shd w:fill="FFFFFF" w:val="clear"/>
            <w:tcMar>
              <w:top w:w="30" w:type="dxa"/>
              <w:bottom w:w="3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$6,074,728</w:t>
            </w:r>
          </w:p>
        </w:tc>
        <w:tc>
          <w:tcPr>
            <w:tcW w:w="1024" w:type="dxa"/>
            <w:gridSpan w:val="3"/>
            <w:tcBorders>
              <w:top w:val="single" w:sz="4" w:space="0" w:color="000000"/>
              <w:left w:val="single" w:sz="4" w:space="0" w:color="000000"/>
              <w:bottom w:val="single" w:sz="4" w:space="0" w:color="000000"/>
            </w:tcBorders>
            <w:shd w:fill="FFFFFF" w:val="clear"/>
            <w:tcMar>
              <w:top w:w="30" w:type="dxa"/>
              <w:bottom w:w="3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$1,622,435</w:t>
            </w:r>
          </w:p>
        </w:tc>
        <w:tc>
          <w:tcPr>
            <w:tcW w:w="851" w:type="dxa"/>
            <w:gridSpan w:val="3"/>
            <w:tcBorders>
              <w:top w:val="single" w:sz="4" w:space="0" w:color="000000"/>
              <w:left w:val="single" w:sz="4" w:space="0" w:color="000000"/>
              <w:bottom w:val="single" w:sz="4" w:space="0" w:color="000000"/>
            </w:tcBorders>
            <w:shd w:fill="FFFFFF" w:val="clear"/>
            <w:tcMar>
              <w:top w:w="30" w:type="dxa"/>
              <w:bottom w:w="3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$6,888,767</w:t>
            </w:r>
          </w:p>
        </w:tc>
        <w:tc>
          <w:tcPr>
            <w:tcW w:w="1024" w:type="dxa"/>
            <w:gridSpan w:val="3"/>
            <w:tcBorders>
              <w:top w:val="single" w:sz="4" w:space="0" w:color="000000"/>
              <w:left w:val="single" w:sz="4" w:space="0" w:color="000000"/>
              <w:bottom w:val="single" w:sz="4" w:space="0" w:color="000000"/>
              <w:right w:val="single" w:sz="4" w:space="0" w:color="000000"/>
            </w:tcBorders>
            <w:shd w:fill="FFFFFF" w:val="clear"/>
            <w:tcMar>
              <w:top w:w="30" w:type="dxa"/>
              <w:bottom w:w="3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$1,680,617</w:t>
            </w:r>
          </w:p>
        </w:tc>
        <w:tc>
          <w:tcPr>
            <w:tcW w:w="167"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hanging="360"/>
        <w:jc w:val="both"/>
        <w:rPr>
          <w:rFonts w:ascii="Arial;sans-serif" w:hAnsi="Arial;sans-serif"/>
          <w:b w:val="false"/>
          <w:color w:val="000000"/>
          <w:sz w:val="14"/>
        </w:rPr>
      </w:pPr>
      <w:r>
        <w:rPr>
          <w:rFonts w:ascii="Arial;sans-serif" w:hAnsi="Arial;sans-serif"/>
          <w:b w:val="false"/>
          <w:color w:val="000000"/>
          <w:sz w:val="14"/>
        </w:rPr>
        <w:t>(2)Equity valuations assumptions for calculating Compensation Actually Paid are not materially different from grant date valuation assumptions.</w:t>
      </w:r>
    </w:p>
    <w:p>
      <w:pPr>
        <w:pStyle w:val="TextBody"/>
        <w:bidi w:val="0"/>
        <w:spacing w:lineRule="auto" w:line="288" w:before="0" w:after="60"/>
        <w:ind w:left="0" w:right="0" w:hanging="360"/>
        <w:jc w:val="both"/>
        <w:rPr>
          <w:rFonts w:ascii="Arial;sans-serif" w:hAnsi="Arial;sans-serif"/>
          <w:b w:val="false"/>
          <w:color w:val="000000"/>
          <w:sz w:val="14"/>
        </w:rPr>
      </w:pPr>
      <w:r>
        <w:rPr>
          <w:rFonts w:ascii="Arial;sans-serif" w:hAnsi="Arial;sans-serif"/>
          <w:b w:val="false"/>
          <w:color w:val="000000"/>
          <w:sz w:val="14"/>
        </w:rPr>
        <w:t>(3)Non-CEO NEOs reflected the average Summary Compensation Table total compensation and average Compensation Actually Paid for the following executives by year</w:t>
      </w:r>
    </w:p>
    <w:p>
      <w:pPr>
        <w:pStyle w:val="TextBody"/>
        <w:bidi w:val="0"/>
        <w:spacing w:lineRule="auto" w:line="288" w:before="0" w:after="60"/>
        <w:ind w:left="0" w:right="0" w:hanging="180"/>
        <w:jc w:val="both"/>
        <w:rPr/>
      </w:pPr>
      <w:r>
        <w:rPr>
          <w:color w:val="000000"/>
        </w:rPr>
        <w:t>•</w:t>
      </w:r>
      <w:r>
        <w:rPr>
          <w:rFonts w:ascii="Arial;sans-serif" w:hAnsi="Arial;sans-serif"/>
          <w:b w:val="false"/>
          <w:color w:val="000000"/>
          <w:sz w:val="14"/>
        </w:rPr>
        <w:t>2023: Michael Reilly, Randall Data, John Swann, Sean McClenaghan, Mark Carano</w:t>
      </w:r>
    </w:p>
    <w:p>
      <w:pPr>
        <w:pStyle w:val="TextBody"/>
        <w:bidi w:val="0"/>
        <w:spacing w:lineRule="auto" w:line="288" w:before="0" w:after="60"/>
        <w:ind w:left="0" w:right="0" w:hanging="180"/>
        <w:jc w:val="both"/>
        <w:rPr/>
      </w:pPr>
      <w:r>
        <w:rPr>
          <w:color w:val="000000"/>
        </w:rPr>
        <w:t>•</w:t>
      </w:r>
      <w:r>
        <w:rPr>
          <w:rFonts w:ascii="Arial;sans-serif" w:hAnsi="Arial;sans-serif"/>
          <w:b w:val="false"/>
          <w:color w:val="000000"/>
          <w:sz w:val="14"/>
        </w:rPr>
        <w:t>2022: Michael Reilly, Randall Data, John Swann, Sean McClenaghan, James Harris</w:t>
      </w:r>
    </w:p>
    <w:p>
      <w:pPr>
        <w:pStyle w:val="TextBody"/>
        <w:bidi w:val="0"/>
        <w:spacing w:lineRule="auto" w:line="288" w:before="0" w:after="60"/>
        <w:ind w:left="0" w:right="0" w:hanging="180"/>
        <w:jc w:val="both"/>
        <w:rPr/>
      </w:pPr>
      <w:r>
        <w:rPr>
          <w:color w:val="000000"/>
        </w:rPr>
        <w:t>•</w:t>
      </w:r>
      <w:r>
        <w:rPr>
          <w:rFonts w:ascii="Arial;sans-serif" w:hAnsi="Arial;sans-serif"/>
          <w:b w:val="false"/>
          <w:color w:val="000000"/>
          <w:sz w:val="14"/>
        </w:rPr>
        <w:t>2021: Randall Data, John Swann, James Harris, Brian Mason, John Nurkin</w:t>
      </w:r>
    </w:p>
    <w:p>
      <w:pPr>
        <w:pStyle w:val="TextBody"/>
        <w:bidi w:val="0"/>
        <w:spacing w:lineRule="auto" w:line="288" w:before="0" w:after="60"/>
        <w:ind w:left="0" w:right="0" w:hanging="180"/>
        <w:jc w:val="both"/>
        <w:rPr/>
      </w:pPr>
      <w:r>
        <w:rPr>
          <w:color w:val="000000"/>
        </w:rPr>
        <w:t>•</w:t>
      </w:r>
      <w:r>
        <w:rPr>
          <w:rFonts w:ascii="Arial;sans-serif" w:hAnsi="Arial;sans-serif"/>
          <w:b w:val="false"/>
          <w:color w:val="000000"/>
          <w:sz w:val="14"/>
        </w:rPr>
        <w:t>2020: Randall Data, John Swann, James Harris, Brian Mason, Scott Sproule</w:t>
      </w:r>
    </w:p>
    <w:p>
      <w:pPr>
        <w:pStyle w:val="TextBody"/>
        <w:bidi w:val="0"/>
        <w:spacing w:lineRule="auto" w:line="288" w:before="0" w:after="60"/>
        <w:ind w:left="0" w:right="0" w:hanging="360"/>
        <w:jc w:val="both"/>
        <w:rPr>
          <w:rFonts w:ascii="Arial;sans-serif" w:hAnsi="Arial;sans-serif"/>
          <w:b w:val="false"/>
          <w:color w:val="000000"/>
          <w:sz w:val="14"/>
        </w:rPr>
      </w:pPr>
      <w:r>
        <w:rPr>
          <w:rFonts w:ascii="Arial;sans-serif" w:hAnsi="Arial;sans-serif"/>
          <w:b w:val="false"/>
          <w:color w:val="000000"/>
          <w:sz w:val="14"/>
        </w:rPr>
        <w:t>(4)The peer group comprises the component companies of the S&amp;P 1500 Industrials Index. In the 2023 proxy statement, the peer TSR values were presented incorrectly. Peer TSR values were derived using the S&amp;P 1500 Industrials price return index, instead of a dividend adjusted gross return value. The 2020, 2021 and 2022 values are restated above using the correct TSR calculation methodology. In last year’s proxy statement, peer TSR was presented as $110, 132 and $122 for 2020, 2021 and 2022.</w:t>
      </w:r>
    </w:p>
    <w:p>
      <w:pPr>
        <w:pStyle w:val="TextBody"/>
        <w:bidi w:val="0"/>
        <w:spacing w:lineRule="auto" w:line="288" w:before="0" w:after="180"/>
        <w:ind w:left="0" w:right="0" w:hanging="360"/>
        <w:jc w:val="both"/>
        <w:rPr>
          <w:rFonts w:ascii="Arial;sans-serif" w:hAnsi="Arial;sans-serif"/>
          <w:b w:val="false"/>
          <w:color w:val="000000"/>
          <w:sz w:val="14"/>
        </w:rPr>
      </w:pPr>
      <w:r>
        <w:rPr>
          <w:rFonts w:ascii="Arial;sans-serif" w:hAnsi="Arial;sans-serif"/>
          <w:b w:val="false"/>
          <w:color w:val="000000"/>
          <w:sz w:val="14"/>
        </w:rPr>
        <w:t>(5)Please refer to Appendix E in this proxy statement for a reconciliation of GAAP to non-GAAP Adjusted Operating Income.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739140"/>
                <wp:effectExtent l="0" t="0" r="0" b="0"/>
                <wp:wrapNone/>
                <wp:docPr id="186" name="Frame57"/>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292" w:type="dxa"/>
                              <w:jc w:val="right"/>
                              <w:tblInd w:w="0" w:type="dxa"/>
                              <w:tblLayout w:type="fixed"/>
                              <w:tblCellMar>
                                <w:top w:w="28" w:type="dxa"/>
                                <w:left w:w="28" w:type="dxa"/>
                                <w:bottom w:w="28" w:type="dxa"/>
                                <w:right w:w="28" w:type="dxa"/>
                              </w:tblCellMar>
                            </w:tblPr>
                            <w:tblGrid>
                              <w:gridCol w:w="292"/>
                              <w:gridCol w:w="256"/>
                              <w:gridCol w:w="258"/>
                              <w:gridCol w:w="704"/>
                              <w:gridCol w:w="704"/>
                              <w:gridCol w:w="706"/>
                              <w:gridCol w:w="109"/>
                              <w:gridCol w:w="109"/>
                              <w:gridCol w:w="154"/>
                            </w:tblGrid>
                            <w:tr>
                              <w:trPr/>
                              <w:tc>
                                <w:tcPr>
                                  <w:tcW w:w="29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0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187" name="Image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 name="Image80" descr=""/>
                                                <pic:cNvPicPr>
                                                  <a:picLocks noChangeAspect="1" noChangeArrowheads="1"/>
                                                </pic:cNvPicPr>
                                              </pic:nvPicPr>
                                              <pic:blipFill>
                                                <a:blip r:embed="rId131"/>
                                                <a:stretch>
                                                  <a:fillRect/>
                                                </a:stretch>
                                              </pic:blipFill>
                                              <pic:spPr bwMode="auto">
                                                <a:xfrm>
                                                  <a:off x="0" y="0"/>
                                                  <a:ext cx="447675" cy="161925"/>
                                                </a:xfrm>
                                                <a:prstGeom prst="rect">
                                                  <a:avLst/>
                                                </a:prstGeom>
                                              </pic:spPr>
                                            </pic:pic>
                                          </a:graphicData>
                                        </a:graphic>
                                      </wp:inline>
                                    </w:drawing>
                                  </w:r>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2024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000000"/>
                                      <w:sz w:val="16"/>
                                    </w:rPr>
                                  </w:pPr>
                                  <w:r>
                                    <w:rPr>
                                      <w:rFonts w:ascii="Arial;sans-serif" w:hAnsi="Arial;sans-serif"/>
                                      <w:b/>
                                      <w:color w:val="000000"/>
                                      <w:sz w:val="16"/>
                                    </w:rPr>
                                    <w:t>51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292" w:type="dxa"/>
                        <w:jc w:val="right"/>
                        <w:tblInd w:w="0" w:type="dxa"/>
                        <w:tblLayout w:type="fixed"/>
                        <w:tblCellMar>
                          <w:top w:w="28" w:type="dxa"/>
                          <w:left w:w="28" w:type="dxa"/>
                          <w:bottom w:w="28" w:type="dxa"/>
                          <w:right w:w="28" w:type="dxa"/>
                        </w:tblCellMar>
                      </w:tblPr>
                      <w:tblGrid>
                        <w:gridCol w:w="292"/>
                        <w:gridCol w:w="256"/>
                        <w:gridCol w:w="258"/>
                        <w:gridCol w:w="704"/>
                        <w:gridCol w:w="704"/>
                        <w:gridCol w:w="706"/>
                        <w:gridCol w:w="109"/>
                        <w:gridCol w:w="109"/>
                        <w:gridCol w:w="154"/>
                      </w:tblGrid>
                      <w:tr>
                        <w:trPr/>
                        <w:tc>
                          <w:tcPr>
                            <w:tcW w:w="29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0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188" name="Image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 name="Image80" descr=""/>
                                          <pic:cNvPicPr>
                                            <a:picLocks noChangeAspect="1" noChangeArrowheads="1"/>
                                          </pic:cNvPicPr>
                                        </pic:nvPicPr>
                                        <pic:blipFill>
                                          <a:blip r:embed="rId132"/>
                                          <a:stretch>
                                            <a:fillRect/>
                                          </a:stretch>
                                        </pic:blipFill>
                                        <pic:spPr bwMode="auto">
                                          <a:xfrm>
                                            <a:off x="0" y="0"/>
                                            <a:ext cx="447675" cy="161925"/>
                                          </a:xfrm>
                                          <a:prstGeom prst="rect">
                                            <a:avLst/>
                                          </a:prstGeom>
                                        </pic:spPr>
                                      </pic:pic>
                                    </a:graphicData>
                                  </a:graphic>
                                </wp:inline>
                              </w:drawing>
                            </w:r>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2024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000000"/>
                                <w:sz w:val="16"/>
                              </w:rPr>
                            </w:pPr>
                            <w:r>
                              <w:rPr>
                                <w:rFonts w:ascii="Arial;sans-serif" w:hAnsi="Arial;sans-serif"/>
                                <w:b/>
                                <w:color w:val="000000"/>
                                <w:sz w:val="16"/>
                              </w:rPr>
                              <w:t>51</w:t>
                            </w:r>
                          </w:p>
                        </w:tc>
                      </w:tr>
                    </w:tbl>
                    <w:p>
                      <w:pPr>
                        <w:pStyle w:val="TextBody"/>
                        <w:bidi w:val="0"/>
                        <w:spacing w:before="0" w:after="283"/>
                        <w:jc w:val="left"/>
                        <w:rPr/>
                      </w:pPr>
                      <w:r>
                        <w:rPr/>
                      </w:r>
                    </w:p>
                  </w:txbxContent>
                </v:textbox>
                <w10:wrap type="none"/>
              </v:rect>
            </w:pict>
          </mc:Fallback>
        </mc:AlternateContent>
      </w:r>
    </w:p>
    <w:tbl>
      <w:tblPr>
        <w:tblW w:w="2459" w:type="dxa"/>
        <w:jc w:val="right"/>
        <w:tblInd w:w="0" w:type="dxa"/>
        <w:tblLayout w:type="fixed"/>
        <w:tblCellMar>
          <w:top w:w="28" w:type="dxa"/>
          <w:left w:w="28" w:type="dxa"/>
          <w:bottom w:w="28" w:type="dxa"/>
          <w:right w:w="28" w:type="dxa"/>
        </w:tblCellMar>
      </w:tblPr>
      <w:tblGrid>
        <w:gridCol w:w="786"/>
        <w:gridCol w:w="691"/>
        <w:gridCol w:w="982"/>
      </w:tblGrid>
      <w:tr>
        <w:trPr/>
        <w:tc>
          <w:tcPr>
            <w:tcW w:w="78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r>
      <w:tr>
        <w:trPr/>
        <w:tc>
          <w:tcPr>
            <w:tcW w:w="2459" w:type="dxa"/>
            <w:gridSpan w:val="3"/>
            <w:tcBorders>
              <w:bottom w:val="single" w:sz="4" w:space="0" w:color="004C97"/>
            </w:tcBorders>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4C97"/>
                <w:sz w:val="16"/>
              </w:rPr>
            </w:pPr>
            <w:r>
              <w:rPr>
                <w:rFonts w:ascii="Arial;sans-serif" w:hAnsi="Arial;sans-serif"/>
                <w:b w:val="false"/>
                <w:color w:val="004C97"/>
                <w:sz w:val="16"/>
              </w:rPr>
              <w:t>EXECUTIVE COMPENSATION</w:t>
            </w:r>
          </w:p>
        </w:tc>
      </w:tr>
    </w:tbl>
    <w:p>
      <w:pPr>
        <w:pStyle w:val="TextBody"/>
        <w:bidi w:val="0"/>
        <w:spacing w:lineRule="auto" w:line="288" w:before="0" w:after="60"/>
        <w:jc w:val="left"/>
        <w:rPr>
          <w:rFonts w:ascii="Arial;sans-serif" w:hAnsi="Arial;sans-serif"/>
          <w:b/>
          <w:color w:val="000000"/>
          <w:sz w:val="22"/>
        </w:rPr>
      </w:pPr>
      <w:r>
        <w:rPr>
          <w:rFonts w:ascii="Arial;sans-serif" w:hAnsi="Arial;sans-serif"/>
          <w:b/>
          <w:color w:val="000000"/>
          <w:sz w:val="22"/>
        </w:rPr>
        <w:t>TABULAR LIST OF FINANCIAL PERFORMANCE MEASURES</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In our assessment, the most important financial performance measures used to link Compensation Actually Paid of our NEOs in 2023 to our performance were:</w:t>
      </w:r>
    </w:p>
    <w:p>
      <w:pPr>
        <w:pStyle w:val="TextBody"/>
        <w:bidi w:val="0"/>
        <w:spacing w:lineRule="auto" w:line="288" w:before="0" w:after="180"/>
        <w:ind w:left="0" w:right="0" w:hanging="216"/>
        <w:jc w:val="both"/>
        <w:rPr/>
      </w:pPr>
      <w:r>
        <w:rPr>
          <w:color w:val="000000"/>
        </w:rPr>
        <w:t>•</w:t>
      </w:r>
      <w:r>
        <w:rPr>
          <w:rFonts w:ascii="Arial;sans-serif" w:hAnsi="Arial;sans-serif"/>
          <w:b w:val="false"/>
          <w:color w:val="000000"/>
          <w:sz w:val="18"/>
        </w:rPr>
        <w:t>adjusted operating income,</w:t>
      </w:r>
    </w:p>
    <w:p>
      <w:pPr>
        <w:pStyle w:val="TextBody"/>
        <w:bidi w:val="0"/>
        <w:spacing w:lineRule="auto" w:line="288" w:before="0" w:after="180"/>
        <w:ind w:left="0" w:right="0" w:hanging="216"/>
        <w:jc w:val="both"/>
        <w:rPr/>
      </w:pPr>
      <w:r>
        <w:rPr>
          <w:color w:val="000000"/>
        </w:rPr>
        <w:t>•</w:t>
      </w:r>
      <w:r>
        <w:rPr>
          <w:rFonts w:ascii="Arial;sans-serif" w:hAnsi="Arial;sans-serif"/>
          <w:b w:val="false"/>
          <w:color w:val="000000"/>
          <w:sz w:val="18"/>
        </w:rPr>
        <w:t>adjusted free cash flow,</w:t>
      </w:r>
    </w:p>
    <w:p>
      <w:pPr>
        <w:pStyle w:val="TextBody"/>
        <w:bidi w:val="0"/>
        <w:spacing w:lineRule="auto" w:line="288" w:before="0" w:after="180"/>
        <w:ind w:left="0" w:right="0" w:hanging="216"/>
        <w:jc w:val="both"/>
        <w:rPr/>
      </w:pPr>
      <w:r>
        <w:rPr>
          <w:color w:val="000000"/>
        </w:rPr>
        <w:t>•</w:t>
      </w:r>
      <w:r>
        <w:rPr>
          <w:rFonts w:ascii="Arial;sans-serif" w:hAnsi="Arial;sans-serif"/>
          <w:b w:val="false"/>
          <w:color w:val="000000"/>
          <w:sz w:val="18"/>
        </w:rPr>
        <w:t>revenue, and</w:t>
      </w:r>
    </w:p>
    <w:p>
      <w:pPr>
        <w:pStyle w:val="TextBody"/>
        <w:bidi w:val="0"/>
        <w:spacing w:lineRule="auto" w:line="288" w:before="0" w:after="360"/>
        <w:ind w:left="0" w:right="0" w:hanging="216"/>
        <w:jc w:val="both"/>
        <w:rPr/>
      </w:pPr>
      <w:r>
        <w:rPr>
          <w:color w:val="000000"/>
        </w:rPr>
        <w:t>•</w:t>
      </w:r>
      <w:r>
        <w:rPr>
          <w:rFonts w:ascii="Arial;sans-serif" w:hAnsi="Arial;sans-serif"/>
          <w:b w:val="false"/>
          <w:color w:val="000000"/>
          <w:sz w:val="18"/>
        </w:rPr>
        <w:t>relative total shareholder return.</w:t>
      </w:r>
    </w:p>
    <w:p>
      <w:pPr>
        <w:pStyle w:val="TextBody"/>
        <w:bidi w:val="0"/>
        <w:spacing w:lineRule="auto" w:line="288" w:before="0" w:after="60"/>
        <w:jc w:val="left"/>
        <w:rPr>
          <w:rFonts w:ascii="Arial;sans-serif" w:hAnsi="Arial;sans-serif"/>
          <w:b/>
          <w:color w:val="000000"/>
          <w:sz w:val="22"/>
        </w:rPr>
      </w:pPr>
      <w:r>
        <w:rPr>
          <w:rFonts w:ascii="Arial;sans-serif" w:hAnsi="Arial;sans-serif"/>
          <w:b/>
          <w:color w:val="000000"/>
          <w:sz w:val="22"/>
        </w:rPr>
        <w:t>PAY VERSUS PERFORMANCE: GRAPHICAL DESCRIPTION</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The illustrations below provide a graphical description of Compensation Actually Paid and the following measures:</w:t>
      </w:r>
    </w:p>
    <w:p>
      <w:pPr>
        <w:pStyle w:val="TextBody"/>
        <w:bidi w:val="0"/>
        <w:spacing w:lineRule="auto" w:line="288" w:before="0" w:after="180"/>
        <w:ind w:left="0" w:right="0" w:hanging="216"/>
        <w:jc w:val="both"/>
        <w:rPr/>
      </w:pPr>
      <w:r>
        <w:rPr>
          <w:color w:val="000000"/>
        </w:rPr>
        <w:t>•</w:t>
      </w:r>
      <w:r>
        <w:rPr>
          <w:rFonts w:ascii="Arial;sans-serif" w:hAnsi="Arial;sans-serif"/>
          <w:b w:val="false"/>
          <w:color w:val="000000"/>
          <w:sz w:val="18"/>
        </w:rPr>
        <w:t>the Company’s cumulative TSR and the Peer Group’s cumulative TSR;</w:t>
      </w:r>
    </w:p>
    <w:p>
      <w:pPr>
        <w:pStyle w:val="TextBody"/>
        <w:bidi w:val="0"/>
        <w:spacing w:lineRule="auto" w:line="288" w:before="0" w:after="180"/>
        <w:ind w:left="0" w:right="0" w:hanging="216"/>
        <w:jc w:val="both"/>
        <w:rPr/>
      </w:pPr>
      <w:r>
        <w:rPr>
          <w:color w:val="000000"/>
        </w:rPr>
        <w:t>•</w:t>
      </w:r>
      <w:r>
        <w:rPr>
          <w:rFonts w:ascii="Arial;sans-serif" w:hAnsi="Arial;sans-serif"/>
          <w:b w:val="false"/>
          <w:color w:val="000000"/>
          <w:sz w:val="18"/>
        </w:rPr>
        <w:t>the Company’s net income; and</w:t>
      </w:r>
    </w:p>
    <w:p>
      <w:pPr>
        <w:pStyle w:val="TextBody"/>
        <w:bidi w:val="0"/>
        <w:spacing w:lineRule="auto" w:line="288" w:before="0" w:after="600"/>
        <w:ind w:left="0" w:right="0" w:hanging="216"/>
        <w:jc w:val="both"/>
        <w:rPr/>
      </w:pPr>
      <w:r>
        <w:rPr>
          <w:color w:val="000000"/>
        </w:rPr>
        <w:t>•</w:t>
      </w:r>
      <w:r>
        <w:rPr>
          <w:rFonts w:ascii="Arial;sans-serif" w:hAnsi="Arial;sans-serif"/>
          <w:b w:val="false"/>
          <w:color w:val="000000"/>
          <w:sz w:val="18"/>
        </w:rPr>
        <w:t>the Company selected measure, which for SPX is adjusted operating income.</w:t>
      </w:r>
    </w:p>
    <w:p>
      <w:pPr>
        <w:pStyle w:val="TextBody"/>
        <w:bidi w:val="0"/>
        <w:spacing w:lineRule="auto" w:line="288" w:before="0" w:after="120"/>
        <w:jc w:val="center"/>
        <w:rPr>
          <w:rFonts w:ascii="Arial;sans-serif" w:hAnsi="Arial;sans-serif"/>
          <w:b/>
          <w:color w:val="004C97"/>
          <w:sz w:val="20"/>
        </w:rPr>
      </w:pPr>
      <w:r>
        <w:rPr>
          <w:rFonts w:ascii="Arial;sans-serif" w:hAnsi="Arial;sans-serif"/>
          <w:b/>
          <w:color w:val="004C97"/>
          <w:sz w:val="20"/>
        </w:rPr>
        <w:t>Compensation Actually Paid and Cumulative TSR / Cumulative TSR of Peer</w:t>
      </w:r>
    </w:p>
    <w:p>
      <w:pPr>
        <w:pStyle w:val="TextBody"/>
        <w:bidi w:val="0"/>
        <w:spacing w:lineRule="auto" w:line="288" w:before="0" w:after="180"/>
        <w:jc w:val="center"/>
        <w:rPr>
          <w:rFonts w:ascii="Arial;sans-serif" w:hAnsi="Arial;sans-serif"/>
          <w:b/>
          <w:color w:val="000000"/>
          <w:sz w:val="18"/>
        </w:rPr>
      </w:pPr>
      <w:r>
        <w:rPr>
          <w:rFonts w:ascii="Arial;sans-serif" w:hAnsi="Arial;sans-serif"/>
          <w:b/>
          <w:color w:val="000000"/>
          <w:sz w:val="18"/>
        </w:rPr>
        <w:t>PEO and Avg. Other NEO CAP vs. SPX and Peer TSR</w:t>
      </w:r>
    </w:p>
    <w:p>
      <w:pPr>
        <w:pStyle w:val="TextBody"/>
        <w:bidi w:val="0"/>
        <w:spacing w:before="0" w:after="180"/>
        <w:jc w:val="both"/>
        <w:rPr/>
      </w:pPr>
      <w:r>
        <w:rPr/>
      </w:r>
    </w:p>
    <w:p>
      <w:pPr>
        <w:pStyle w:val="TextBody"/>
        <w:bidi w:val="0"/>
        <w:spacing w:before="0" w:after="600"/>
        <w:jc w:val="center"/>
        <w:rPr/>
      </w:pPr>
      <w:r>
        <w:rPr/>
        <w:drawing>
          <wp:inline distT="0" distB="0" distL="0" distR="0">
            <wp:extent cx="5715000" cy="2333625"/>
            <wp:effectExtent l="0" t="0" r="0" b="0"/>
            <wp:docPr id="189" name="Image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 name="Image81" descr=""/>
                    <pic:cNvPicPr>
                      <a:picLocks noChangeAspect="1" noChangeArrowheads="1"/>
                    </pic:cNvPicPr>
                  </pic:nvPicPr>
                  <pic:blipFill>
                    <a:blip r:embed="rId133"/>
                    <a:stretch>
                      <a:fillRect/>
                    </a:stretch>
                  </pic:blipFill>
                  <pic:spPr bwMode="auto">
                    <a:xfrm>
                      <a:off x="0" y="0"/>
                      <a:ext cx="5715000" cy="2333625"/>
                    </a:xfrm>
                    <a:prstGeom prst="rect">
                      <a:avLst/>
                    </a:prstGeom>
                  </pic:spPr>
                </pic:pic>
              </a:graphicData>
            </a:graphic>
          </wp:inline>
        </w:drawing>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739140"/>
                <wp:effectExtent l="0" t="0" r="0" b="0"/>
                <wp:wrapNone/>
                <wp:docPr id="190" name="Frame58"/>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292" w:type="dxa"/>
                              <w:jc w:val="left"/>
                              <w:tblInd w:w="0" w:type="dxa"/>
                              <w:tblLayout w:type="fixed"/>
                              <w:tblCellMar>
                                <w:top w:w="28" w:type="dxa"/>
                                <w:left w:w="28" w:type="dxa"/>
                                <w:bottom w:w="28" w:type="dxa"/>
                                <w:right w:w="28" w:type="dxa"/>
                              </w:tblCellMar>
                            </w:tblPr>
                            <w:tblGrid>
                              <w:gridCol w:w="124"/>
                              <w:gridCol w:w="109"/>
                              <w:gridCol w:w="109"/>
                              <w:gridCol w:w="704"/>
                              <w:gridCol w:w="704"/>
                              <w:gridCol w:w="706"/>
                              <w:gridCol w:w="244"/>
                              <w:gridCol w:w="244"/>
                              <w:gridCol w:w="34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6"/>
                                    </w:rPr>
                                  </w:pPr>
                                  <w:r>
                                    <w:rPr>
                                      <w:rFonts w:ascii="Arial;sans-serif" w:hAnsi="Arial;sans-serif"/>
                                      <w:b/>
                                      <w:color w:val="000000"/>
                                      <w:sz w:val="16"/>
                                    </w:rPr>
                                    <w:t>52</w:t>
                                  </w:r>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2024 PROXY STATEMENT</w:t>
                                  </w:r>
                                </w:p>
                              </w:tc>
                              <w:tc>
                                <w:tcPr>
                                  <w:tcW w:w="83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191" name="Image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 name="Image82" descr=""/>
                                                <pic:cNvPicPr>
                                                  <a:picLocks noChangeAspect="1" noChangeArrowheads="1"/>
                                                </pic:cNvPicPr>
                                              </pic:nvPicPr>
                                              <pic:blipFill>
                                                <a:blip r:embed="rId134"/>
                                                <a:stretch>
                                                  <a:fillRect/>
                                                </a:stretch>
                                              </pic:blipFill>
                                              <pic:spPr bwMode="auto">
                                                <a:xfrm>
                                                  <a:off x="0" y="0"/>
                                                  <a:ext cx="447675" cy="161925"/>
                                                </a:xfrm>
                                                <a:prstGeom prst="rect">
                                                  <a:avLst/>
                                                </a:prstGeom>
                                              </pic:spPr>
                                            </pic:pic>
                                          </a:graphicData>
                                        </a:graphic>
                                      </wp:inline>
                                    </w:drawing>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292" w:type="dxa"/>
                        <w:jc w:val="left"/>
                        <w:tblInd w:w="0" w:type="dxa"/>
                        <w:tblLayout w:type="fixed"/>
                        <w:tblCellMar>
                          <w:top w:w="28" w:type="dxa"/>
                          <w:left w:w="28" w:type="dxa"/>
                          <w:bottom w:w="28" w:type="dxa"/>
                          <w:right w:w="28" w:type="dxa"/>
                        </w:tblCellMar>
                      </w:tblPr>
                      <w:tblGrid>
                        <w:gridCol w:w="124"/>
                        <w:gridCol w:w="109"/>
                        <w:gridCol w:w="109"/>
                        <w:gridCol w:w="704"/>
                        <w:gridCol w:w="704"/>
                        <w:gridCol w:w="706"/>
                        <w:gridCol w:w="244"/>
                        <w:gridCol w:w="244"/>
                        <w:gridCol w:w="34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6"/>
                              </w:rPr>
                            </w:pPr>
                            <w:r>
                              <w:rPr>
                                <w:rFonts w:ascii="Arial;sans-serif" w:hAnsi="Arial;sans-serif"/>
                                <w:b/>
                                <w:color w:val="000000"/>
                                <w:sz w:val="16"/>
                              </w:rPr>
                              <w:t>52</w:t>
                            </w:r>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2024 PROXY STATEMENT</w:t>
                            </w:r>
                          </w:p>
                        </w:tc>
                        <w:tc>
                          <w:tcPr>
                            <w:tcW w:w="83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192" name="Image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 name="Image82" descr=""/>
                                          <pic:cNvPicPr>
                                            <a:picLocks noChangeAspect="1" noChangeArrowheads="1"/>
                                          </pic:cNvPicPr>
                                        </pic:nvPicPr>
                                        <pic:blipFill>
                                          <a:blip r:embed="rId135"/>
                                          <a:stretch>
                                            <a:fillRect/>
                                          </a:stretch>
                                        </pic:blipFill>
                                        <pic:spPr bwMode="auto">
                                          <a:xfrm>
                                            <a:off x="0" y="0"/>
                                            <a:ext cx="447675" cy="161925"/>
                                          </a:xfrm>
                                          <a:prstGeom prst="rect">
                                            <a:avLst/>
                                          </a:prstGeom>
                                        </pic:spPr>
                                      </pic:pic>
                                    </a:graphicData>
                                  </a:graphic>
                                </wp:inline>
                              </w:drawing>
                            </w:r>
                          </w:p>
                        </w:tc>
                      </w:tr>
                    </w:tbl>
                    <w:p>
                      <w:pPr>
                        <w:pStyle w:val="TextBody"/>
                        <w:bidi w:val="0"/>
                        <w:spacing w:before="0" w:after="283"/>
                        <w:jc w:val="left"/>
                        <w:rPr/>
                      </w:pPr>
                      <w:r>
                        <w:rPr/>
                      </w:r>
                    </w:p>
                  </w:txbxContent>
                </v:textbox>
                <w10:wrap type="none"/>
              </v:rect>
            </w:pict>
          </mc:Fallback>
        </mc:AlternateContent>
      </w:r>
    </w:p>
    <w:tbl>
      <w:tblPr>
        <w:tblW w:w="2459" w:type="dxa"/>
        <w:jc w:val="left"/>
        <w:tblInd w:w="0" w:type="dxa"/>
        <w:tblLayout w:type="fixed"/>
        <w:tblCellMar>
          <w:top w:w="28" w:type="dxa"/>
          <w:left w:w="28" w:type="dxa"/>
          <w:bottom w:w="28" w:type="dxa"/>
          <w:right w:w="28" w:type="dxa"/>
        </w:tblCellMar>
      </w:tblPr>
      <w:tblGrid>
        <w:gridCol w:w="786"/>
        <w:gridCol w:w="691"/>
        <w:gridCol w:w="982"/>
      </w:tblGrid>
      <w:tr>
        <w:trPr/>
        <w:tc>
          <w:tcPr>
            <w:tcW w:w="78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r>
      <w:tr>
        <w:trPr/>
        <w:tc>
          <w:tcPr>
            <w:tcW w:w="2459" w:type="dxa"/>
            <w:gridSpan w:val="3"/>
            <w:tcBorders>
              <w:bottom w:val="single" w:sz="4" w:space="0" w:color="004C97"/>
            </w:tcBorders>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4C97"/>
                <w:sz w:val="16"/>
              </w:rPr>
            </w:pPr>
            <w:r>
              <w:rPr>
                <w:rFonts w:ascii="Arial;sans-serif" w:hAnsi="Arial;sans-serif"/>
                <w:b w:val="false"/>
                <w:color w:val="004C97"/>
                <w:sz w:val="16"/>
              </w:rPr>
              <w:t>EXECUTIVE COMPENSATION</w:t>
            </w:r>
          </w:p>
        </w:tc>
      </w:tr>
    </w:tbl>
    <w:p>
      <w:pPr>
        <w:pStyle w:val="TextBody"/>
        <w:bidi w:val="0"/>
        <w:spacing w:lineRule="auto" w:line="288" w:before="0" w:after="120"/>
        <w:jc w:val="center"/>
        <w:rPr>
          <w:rFonts w:ascii="Arial;sans-serif" w:hAnsi="Arial;sans-serif"/>
          <w:b/>
          <w:color w:val="004C97"/>
          <w:sz w:val="20"/>
        </w:rPr>
      </w:pPr>
      <w:r>
        <w:rPr>
          <w:rFonts w:ascii="Arial;sans-serif" w:hAnsi="Arial;sans-serif"/>
          <w:b/>
          <w:color w:val="004C97"/>
          <w:sz w:val="20"/>
        </w:rPr>
        <w:t>Compensation Actually Paid and Net Income</w:t>
      </w:r>
    </w:p>
    <w:p>
      <w:pPr>
        <w:pStyle w:val="TextBody"/>
        <w:bidi w:val="0"/>
        <w:spacing w:lineRule="auto" w:line="288" w:before="0" w:after="180"/>
        <w:jc w:val="center"/>
        <w:rPr>
          <w:rFonts w:ascii="Arial;sans-serif" w:hAnsi="Arial;sans-serif"/>
          <w:b/>
          <w:color w:val="000000"/>
          <w:sz w:val="18"/>
        </w:rPr>
      </w:pPr>
      <w:r>
        <w:rPr>
          <w:rFonts w:ascii="Arial;sans-serif" w:hAnsi="Arial;sans-serif"/>
          <w:b/>
          <w:color w:val="000000"/>
          <w:sz w:val="18"/>
        </w:rPr>
        <w:t>PEO and Avg. Other NEO CAP vs. Net Income</w:t>
      </w:r>
    </w:p>
    <w:p>
      <w:pPr>
        <w:pStyle w:val="TextBody"/>
        <w:bidi w:val="0"/>
        <w:spacing w:before="0" w:after="600"/>
        <w:jc w:val="center"/>
        <w:rPr/>
      </w:pPr>
      <w:r>
        <w:rPr/>
        <w:drawing>
          <wp:inline distT="0" distB="0" distL="0" distR="0">
            <wp:extent cx="5715000" cy="2333625"/>
            <wp:effectExtent l="0" t="0" r="0" b="0"/>
            <wp:docPr id="193" name="Image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 name="Image83" descr=""/>
                    <pic:cNvPicPr>
                      <a:picLocks noChangeAspect="1" noChangeArrowheads="1"/>
                    </pic:cNvPicPr>
                  </pic:nvPicPr>
                  <pic:blipFill>
                    <a:blip r:embed="rId136"/>
                    <a:stretch>
                      <a:fillRect/>
                    </a:stretch>
                  </pic:blipFill>
                  <pic:spPr bwMode="auto">
                    <a:xfrm>
                      <a:off x="0" y="0"/>
                      <a:ext cx="5715000" cy="2333625"/>
                    </a:xfrm>
                    <a:prstGeom prst="rect">
                      <a:avLst/>
                    </a:prstGeom>
                  </pic:spPr>
                </pic:pic>
              </a:graphicData>
            </a:graphic>
          </wp:inline>
        </w:drawing>
      </w:r>
    </w:p>
    <w:p>
      <w:pPr>
        <w:pStyle w:val="TextBody"/>
        <w:bidi w:val="0"/>
        <w:spacing w:lineRule="auto" w:line="288" w:before="0" w:after="120"/>
        <w:jc w:val="center"/>
        <w:rPr>
          <w:rFonts w:ascii="Arial;sans-serif" w:hAnsi="Arial;sans-serif"/>
          <w:b/>
          <w:color w:val="004C97"/>
          <w:sz w:val="20"/>
        </w:rPr>
      </w:pPr>
      <w:r>
        <w:rPr>
          <w:rFonts w:ascii="Arial;sans-serif" w:hAnsi="Arial;sans-serif"/>
          <w:b/>
          <w:color w:val="004C97"/>
          <w:sz w:val="20"/>
        </w:rPr>
        <w:t>Compensation Actually Paid and Adjusted Operating Income</w:t>
      </w:r>
    </w:p>
    <w:p>
      <w:pPr>
        <w:pStyle w:val="TextBody"/>
        <w:bidi w:val="0"/>
        <w:spacing w:lineRule="auto" w:line="288" w:before="0" w:after="180"/>
        <w:jc w:val="center"/>
        <w:rPr>
          <w:rFonts w:ascii="Arial;sans-serif" w:hAnsi="Arial;sans-serif"/>
          <w:b/>
          <w:color w:val="000000"/>
          <w:sz w:val="18"/>
        </w:rPr>
      </w:pPr>
      <w:r>
        <w:rPr>
          <w:rFonts w:ascii="Arial;sans-serif" w:hAnsi="Arial;sans-serif"/>
          <w:b/>
          <w:color w:val="000000"/>
          <w:sz w:val="18"/>
        </w:rPr>
        <w:t>PEO and Avg. Non-PEO NEO CAP vs. Adj. Operating Income</w:t>
      </w:r>
    </w:p>
    <w:p>
      <w:pPr>
        <w:pStyle w:val="TextBody"/>
        <w:bidi w:val="0"/>
        <w:spacing w:before="0" w:after="600"/>
        <w:jc w:val="center"/>
        <w:rPr/>
      </w:pPr>
      <w:r>
        <w:rPr/>
        <w:drawing>
          <wp:inline distT="0" distB="0" distL="0" distR="0">
            <wp:extent cx="5715000" cy="2552700"/>
            <wp:effectExtent l="0" t="0" r="0" b="0"/>
            <wp:docPr id="194" name="Image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 name="Image84" descr=""/>
                    <pic:cNvPicPr>
                      <a:picLocks noChangeAspect="1" noChangeArrowheads="1"/>
                    </pic:cNvPicPr>
                  </pic:nvPicPr>
                  <pic:blipFill>
                    <a:blip r:embed="rId137"/>
                    <a:stretch>
                      <a:fillRect/>
                    </a:stretch>
                  </pic:blipFill>
                  <pic:spPr bwMode="auto">
                    <a:xfrm>
                      <a:off x="0" y="0"/>
                      <a:ext cx="5715000" cy="2552700"/>
                    </a:xfrm>
                    <a:prstGeom prst="rect">
                      <a:avLst/>
                    </a:prstGeom>
                  </pic:spPr>
                </pic:pic>
              </a:graphicData>
            </a:graphic>
          </wp:inline>
        </w:drawing>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739140"/>
                <wp:effectExtent l="0" t="0" r="0" b="0"/>
                <wp:wrapNone/>
                <wp:docPr id="195" name="Frame59"/>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292" w:type="dxa"/>
                              <w:jc w:val="right"/>
                              <w:tblInd w:w="0" w:type="dxa"/>
                              <w:tblLayout w:type="fixed"/>
                              <w:tblCellMar>
                                <w:top w:w="28" w:type="dxa"/>
                                <w:left w:w="28" w:type="dxa"/>
                                <w:bottom w:w="28" w:type="dxa"/>
                                <w:right w:w="28" w:type="dxa"/>
                              </w:tblCellMar>
                            </w:tblPr>
                            <w:tblGrid>
                              <w:gridCol w:w="292"/>
                              <w:gridCol w:w="256"/>
                              <w:gridCol w:w="258"/>
                              <w:gridCol w:w="704"/>
                              <w:gridCol w:w="704"/>
                              <w:gridCol w:w="706"/>
                              <w:gridCol w:w="109"/>
                              <w:gridCol w:w="109"/>
                              <w:gridCol w:w="154"/>
                            </w:tblGrid>
                            <w:tr>
                              <w:trPr/>
                              <w:tc>
                                <w:tcPr>
                                  <w:tcW w:w="29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0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196" name="Image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 name="Image85" descr=""/>
                                                <pic:cNvPicPr>
                                                  <a:picLocks noChangeAspect="1" noChangeArrowheads="1"/>
                                                </pic:cNvPicPr>
                                              </pic:nvPicPr>
                                              <pic:blipFill>
                                                <a:blip r:embed="rId138"/>
                                                <a:stretch>
                                                  <a:fillRect/>
                                                </a:stretch>
                                              </pic:blipFill>
                                              <pic:spPr bwMode="auto">
                                                <a:xfrm>
                                                  <a:off x="0" y="0"/>
                                                  <a:ext cx="447675" cy="161925"/>
                                                </a:xfrm>
                                                <a:prstGeom prst="rect">
                                                  <a:avLst/>
                                                </a:prstGeom>
                                              </pic:spPr>
                                            </pic:pic>
                                          </a:graphicData>
                                        </a:graphic>
                                      </wp:inline>
                                    </w:drawing>
                                  </w:r>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2024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000000"/>
                                      <w:sz w:val="16"/>
                                    </w:rPr>
                                  </w:pPr>
                                  <w:r>
                                    <w:rPr>
                                      <w:rFonts w:ascii="Arial;sans-serif" w:hAnsi="Arial;sans-serif"/>
                                      <w:b/>
                                      <w:color w:val="000000"/>
                                      <w:sz w:val="16"/>
                                    </w:rPr>
                                    <w:t>53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292" w:type="dxa"/>
                        <w:jc w:val="right"/>
                        <w:tblInd w:w="0" w:type="dxa"/>
                        <w:tblLayout w:type="fixed"/>
                        <w:tblCellMar>
                          <w:top w:w="28" w:type="dxa"/>
                          <w:left w:w="28" w:type="dxa"/>
                          <w:bottom w:w="28" w:type="dxa"/>
                          <w:right w:w="28" w:type="dxa"/>
                        </w:tblCellMar>
                      </w:tblPr>
                      <w:tblGrid>
                        <w:gridCol w:w="292"/>
                        <w:gridCol w:w="256"/>
                        <w:gridCol w:w="258"/>
                        <w:gridCol w:w="704"/>
                        <w:gridCol w:w="704"/>
                        <w:gridCol w:w="706"/>
                        <w:gridCol w:w="109"/>
                        <w:gridCol w:w="109"/>
                        <w:gridCol w:w="154"/>
                      </w:tblGrid>
                      <w:tr>
                        <w:trPr/>
                        <w:tc>
                          <w:tcPr>
                            <w:tcW w:w="29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0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197" name="Image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 name="Image85" descr=""/>
                                          <pic:cNvPicPr>
                                            <a:picLocks noChangeAspect="1" noChangeArrowheads="1"/>
                                          </pic:cNvPicPr>
                                        </pic:nvPicPr>
                                        <pic:blipFill>
                                          <a:blip r:embed="rId139"/>
                                          <a:stretch>
                                            <a:fillRect/>
                                          </a:stretch>
                                        </pic:blipFill>
                                        <pic:spPr bwMode="auto">
                                          <a:xfrm>
                                            <a:off x="0" y="0"/>
                                            <a:ext cx="447675" cy="161925"/>
                                          </a:xfrm>
                                          <a:prstGeom prst="rect">
                                            <a:avLst/>
                                          </a:prstGeom>
                                        </pic:spPr>
                                      </pic:pic>
                                    </a:graphicData>
                                  </a:graphic>
                                </wp:inline>
                              </w:drawing>
                            </w:r>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2024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000000"/>
                                <w:sz w:val="16"/>
                              </w:rPr>
                            </w:pPr>
                            <w:r>
                              <w:rPr>
                                <w:rFonts w:ascii="Arial;sans-serif" w:hAnsi="Arial;sans-serif"/>
                                <w:b/>
                                <w:color w:val="000000"/>
                                <w:sz w:val="16"/>
                              </w:rPr>
                              <w:t>53</w:t>
                            </w:r>
                          </w:p>
                        </w:tc>
                      </w:tr>
                    </w:tbl>
                    <w:p>
                      <w:pPr>
                        <w:pStyle w:val="TextBody"/>
                        <w:bidi w:val="0"/>
                        <w:spacing w:before="0" w:after="283"/>
                        <w:jc w:val="left"/>
                        <w:rPr/>
                      </w:pPr>
                      <w:r>
                        <w:rPr/>
                      </w:r>
                    </w:p>
                  </w:txbxContent>
                </v:textbox>
                <w10:wrap type="none"/>
              </v:rect>
            </w:pict>
          </mc:Fallback>
        </mc:AlternateContent>
      </w:r>
    </w:p>
    <w:tbl>
      <w:tblPr>
        <w:tblW w:w="2459" w:type="dxa"/>
        <w:jc w:val="right"/>
        <w:tblInd w:w="0" w:type="dxa"/>
        <w:tblLayout w:type="fixed"/>
        <w:tblCellMar>
          <w:top w:w="28" w:type="dxa"/>
          <w:left w:w="28" w:type="dxa"/>
          <w:bottom w:w="28" w:type="dxa"/>
          <w:right w:w="28" w:type="dxa"/>
        </w:tblCellMar>
      </w:tblPr>
      <w:tblGrid>
        <w:gridCol w:w="786"/>
        <w:gridCol w:w="691"/>
        <w:gridCol w:w="982"/>
      </w:tblGrid>
      <w:tr>
        <w:trPr/>
        <w:tc>
          <w:tcPr>
            <w:tcW w:w="78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r>
      <w:tr>
        <w:trPr/>
        <w:tc>
          <w:tcPr>
            <w:tcW w:w="2459" w:type="dxa"/>
            <w:gridSpan w:val="3"/>
            <w:tcBorders>
              <w:bottom w:val="single" w:sz="4" w:space="0" w:color="004C97"/>
            </w:tcBorders>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4C97"/>
                <w:sz w:val="16"/>
              </w:rPr>
            </w:pPr>
            <w:r>
              <w:rPr>
                <w:rFonts w:ascii="Arial;sans-serif" w:hAnsi="Arial;sans-serif"/>
                <w:b w:val="false"/>
                <w:color w:val="004C97"/>
                <w:sz w:val="16"/>
              </w:rPr>
              <w:t>EXECUTIVE COMPENSATION</w:t>
            </w:r>
          </w:p>
        </w:tc>
      </w:tr>
    </w:tbl>
    <w:p>
      <w:pPr>
        <w:pStyle w:val="TextBody"/>
        <w:bidi w:val="0"/>
        <w:spacing w:lineRule="auto" w:line="288" w:before="1080" w:after="283"/>
        <w:jc w:val="left"/>
        <w:rPr>
          <w:rFonts w:ascii="Arial;sans-serif" w:hAnsi="Arial;sans-serif"/>
          <w:b/>
          <w:color w:val="000000"/>
          <w:sz w:val="32"/>
        </w:rPr>
      </w:pPr>
      <w:bookmarkStart w:id="22" w:name="i52e69073c4b44be18b26bb8ffcaf1259_294486"/>
      <w:bookmarkEnd w:id="22"/>
      <w:r>
        <w:rPr>
          <w:rFonts w:ascii="Arial;sans-serif" w:hAnsi="Arial;sans-serif"/>
          <w:b/>
          <w:color w:val="000000"/>
          <w:sz w:val="32"/>
        </w:rPr>
        <w:t>Equity Compensation Plan Information</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The following table provides information, as of December 31, 2023, about SPX common stock that may be issued upon the exercise of options and rights under all our existing equity compensation plans, each of which was approved by our stockholders. This plans includes the 2019 Stock Compensation.</w:t>
      </w:r>
    </w:p>
    <w:tbl>
      <w:tblPr>
        <w:tblW w:w="10205" w:type="dxa"/>
        <w:jc w:val="left"/>
        <w:tblInd w:w="0" w:type="dxa"/>
        <w:tblLayout w:type="fixed"/>
        <w:tblCellMar>
          <w:top w:w="28" w:type="dxa"/>
          <w:left w:w="28" w:type="dxa"/>
          <w:bottom w:w="28" w:type="dxa"/>
          <w:right w:w="28" w:type="dxa"/>
        </w:tblCellMar>
      </w:tblPr>
      <w:tblGrid>
        <w:gridCol w:w="806"/>
        <w:gridCol w:w="712"/>
        <w:gridCol w:w="676"/>
        <w:gridCol w:w="728"/>
        <w:gridCol w:w="728"/>
        <w:gridCol w:w="730"/>
        <w:gridCol w:w="542"/>
        <w:gridCol w:w="542"/>
        <w:gridCol w:w="543"/>
        <w:gridCol w:w="1228"/>
        <w:gridCol w:w="1228"/>
        <w:gridCol w:w="1742"/>
      </w:tblGrid>
      <w:tr>
        <w:trPr/>
        <w:tc>
          <w:tcPr>
            <w:tcW w:w="806"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1742" w:type="dxa"/>
            <w:tcBorders/>
            <w:vAlign w:val="center"/>
          </w:tcPr>
          <w:p>
            <w:pPr>
              <w:pStyle w:val="TableContents"/>
              <w:bidi w:val="0"/>
              <w:spacing w:before="0" w:after="283"/>
              <w:jc w:val="left"/>
              <w:rPr>
                <w:sz w:val="4"/>
                <w:szCs w:val="4"/>
              </w:rPr>
            </w:pPr>
            <w:r>
              <w:rPr>
                <w:sz w:val="4"/>
                <w:szCs w:val="4"/>
              </w:rPr>
            </w:r>
          </w:p>
        </w:tc>
      </w:tr>
      <w:tr>
        <w:trPr/>
        <w:tc>
          <w:tcPr>
            <w:tcW w:w="2194" w:type="dxa"/>
            <w:gridSpan w:val="3"/>
            <w:tcBorders>
              <w:top w:val="single" w:sz="4" w:space="0" w:color="000000"/>
              <w:left w:val="single" w:sz="4" w:space="0" w:color="000000"/>
            </w:tcBorders>
            <w:shd w:fill="004C97"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6"/>
              </w:rPr>
            </w:pPr>
            <w:r>
              <w:rPr>
                <w:rFonts w:ascii="Arial;sans-serif" w:hAnsi="Arial;sans-serif"/>
                <w:b/>
                <w:color w:val="FFFFFF"/>
                <w:sz w:val="16"/>
              </w:rPr>
              <w:t>Plan Category</w:t>
            </w:r>
          </w:p>
        </w:tc>
        <w:tc>
          <w:tcPr>
            <w:tcW w:w="2186" w:type="dxa"/>
            <w:gridSpan w:val="3"/>
            <w:tcBorders>
              <w:top w:val="single" w:sz="4" w:space="0" w:color="000000"/>
              <w:left w:val="single" w:sz="4" w:space="0" w:color="000000"/>
            </w:tcBorders>
            <w:shd w:fill="004C97" w:val="clear"/>
            <w:tcMar>
              <w:top w:w="30" w:type="dxa"/>
              <w:bottom w:w="0" w:type="dxa"/>
              <w:right w:w="0" w:type="dxa"/>
            </w:tcMar>
            <w:vAlign w:val="center"/>
          </w:tcPr>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Number of Securities to Be Issued Upon Exercise of</w:t>
            </w:r>
          </w:p>
          <w:p>
            <w:pPr>
              <w:pStyle w:val="TableContents"/>
              <w:bidi w:val="0"/>
              <w:spacing w:lineRule="auto" w:line="288" w:before="0" w:after="0"/>
              <w:jc w:val="center"/>
              <w:rPr/>
            </w:pPr>
            <w:r>
              <w:rPr>
                <w:rFonts w:ascii="Arial;sans-serif" w:hAnsi="Arial;sans-serif"/>
                <w:b/>
                <w:color w:val="FFFFFF"/>
                <w:sz w:val="16"/>
              </w:rPr>
              <w:t>Outstanding Options, Warrants, and Rights (a)</w:t>
            </w:r>
            <w:r>
              <w:rPr>
                <w:rFonts w:ascii="Arial;sans-serif" w:hAnsi="Arial;sans-serif"/>
                <w:b/>
                <w:color w:val="FFFFFF"/>
                <w:sz w:val="10"/>
              </w:rPr>
              <w:t>(1)</w:t>
            </w:r>
          </w:p>
        </w:tc>
        <w:tc>
          <w:tcPr>
            <w:tcW w:w="1627" w:type="dxa"/>
            <w:gridSpan w:val="3"/>
            <w:tcBorders>
              <w:top w:val="single" w:sz="4" w:space="0" w:color="000000"/>
              <w:left w:val="single" w:sz="4" w:space="0" w:color="000000"/>
            </w:tcBorders>
            <w:shd w:fill="004C97" w:val="clear"/>
            <w:tcMar>
              <w:top w:w="30" w:type="dxa"/>
              <w:bottom w:w="0" w:type="dxa"/>
              <w:right w:w="0" w:type="dxa"/>
            </w:tcMar>
            <w:vAlign w:val="center"/>
          </w:tcPr>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Weighted-Average</w:t>
            </w:r>
          </w:p>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Exercise</w:t>
            </w:r>
          </w:p>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Price of Outstanding</w:t>
            </w:r>
          </w:p>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Options, Warrants,</w:t>
            </w:r>
          </w:p>
          <w:p>
            <w:pPr>
              <w:pStyle w:val="TableContents"/>
              <w:bidi w:val="0"/>
              <w:spacing w:lineRule="auto" w:line="288" w:before="0" w:after="0"/>
              <w:jc w:val="center"/>
              <w:rPr/>
            </w:pPr>
            <w:r>
              <w:rPr>
                <w:rFonts w:ascii="Arial;sans-serif" w:hAnsi="Arial;sans-serif"/>
                <w:b/>
                <w:color w:val="FFFFFF"/>
                <w:sz w:val="16"/>
              </w:rPr>
              <w:t>and Rights (b)</w:t>
            </w:r>
            <w:r>
              <w:rPr>
                <w:rFonts w:ascii="Arial;sans-serif" w:hAnsi="Arial;sans-serif"/>
                <w:b/>
                <w:color w:val="FFFFFF"/>
                <w:sz w:val="10"/>
              </w:rPr>
              <w:t>(2)</w:t>
            </w:r>
          </w:p>
        </w:tc>
        <w:tc>
          <w:tcPr>
            <w:tcW w:w="4198" w:type="dxa"/>
            <w:gridSpan w:val="3"/>
            <w:tcBorders>
              <w:top w:val="single" w:sz="4" w:space="0" w:color="000000"/>
              <w:left w:val="single" w:sz="4" w:space="0" w:color="000000"/>
              <w:right w:val="single" w:sz="4" w:space="0" w:color="000000"/>
            </w:tcBorders>
            <w:shd w:fill="004C97" w:val="clear"/>
            <w:tcMar>
              <w:top w:w="30" w:type="dxa"/>
              <w:bottom w:w="0" w:type="dxa"/>
            </w:tcMar>
            <w:vAlign w:val="center"/>
          </w:tcPr>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Number of Securities Remaining Available for Future Issuance Under Equity Compensation Plans (Excluding Securities</w:t>
            </w:r>
          </w:p>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Reflected in Column (a))</w:t>
            </w:r>
          </w:p>
        </w:tc>
      </w:tr>
      <w:tr>
        <w:trPr/>
        <w:tc>
          <w:tcPr>
            <w:tcW w:w="2194" w:type="dxa"/>
            <w:gridSpan w:val="3"/>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Equity Compensation Plans Approved By Stockholders</w:t>
            </w:r>
          </w:p>
        </w:tc>
        <w:tc>
          <w:tcPr>
            <w:tcW w:w="2186" w:type="dxa"/>
            <w:gridSpan w:val="3"/>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1,730,741</w:t>
            </w:r>
          </w:p>
        </w:tc>
        <w:tc>
          <w:tcPr>
            <w:tcW w:w="1627" w:type="dxa"/>
            <w:gridSpan w:val="3"/>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30.70</w:t>
            </w:r>
          </w:p>
        </w:tc>
        <w:tc>
          <w:tcPr>
            <w:tcW w:w="4198" w:type="dxa"/>
            <w:gridSpan w:val="3"/>
            <w:tcBorders>
              <w:top w:val="single" w:sz="4" w:space="0" w:color="000000"/>
              <w:left w:val="single" w:sz="4" w:space="0" w:color="000000"/>
              <w:right w:val="single" w:sz="4" w:space="0" w:color="000000"/>
            </w:tcBorders>
            <w:shd w:fill="E6E7E8" w:val="clear"/>
            <w:tcMar>
              <w:top w:w="30" w:type="dxa"/>
              <w:bottom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3,596,925</w:t>
            </w:r>
          </w:p>
        </w:tc>
      </w:tr>
      <w:tr>
        <w:trPr/>
        <w:tc>
          <w:tcPr>
            <w:tcW w:w="2194" w:type="dxa"/>
            <w:gridSpan w:val="3"/>
            <w:tcBorders>
              <w:top w:val="single" w:sz="4" w:space="0" w:color="000000"/>
              <w:left w:val="single" w:sz="4" w:space="0" w:color="000000"/>
              <w:bottom w:val="single" w:sz="4" w:space="0" w:color="000000"/>
            </w:tcBorders>
            <w:shd w:fill="FFFFFF" w:val="clear"/>
            <w:tcMar>
              <w:top w:w="30" w:type="dxa"/>
              <w:bottom w:w="3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Total</w:t>
            </w:r>
          </w:p>
        </w:tc>
        <w:tc>
          <w:tcPr>
            <w:tcW w:w="2186" w:type="dxa"/>
            <w:gridSpan w:val="3"/>
            <w:tcBorders>
              <w:top w:val="single" w:sz="4" w:space="0" w:color="000000"/>
              <w:left w:val="single" w:sz="4" w:space="0" w:color="000000"/>
              <w:bottom w:val="single" w:sz="4" w:space="0" w:color="000000"/>
            </w:tcBorders>
            <w:shd w:fill="FFFFFF" w:val="clear"/>
            <w:tcMar>
              <w:top w:w="3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1,730,741</w:t>
            </w:r>
          </w:p>
        </w:tc>
        <w:tc>
          <w:tcPr>
            <w:tcW w:w="1627" w:type="dxa"/>
            <w:gridSpan w:val="3"/>
            <w:tcBorders>
              <w:top w:val="single" w:sz="4" w:space="0" w:color="000000"/>
              <w:left w:val="single" w:sz="4" w:space="0" w:color="000000"/>
              <w:bottom w:val="single" w:sz="4" w:space="0" w:color="000000"/>
            </w:tcBorders>
            <w:shd w:fill="FFFFFF" w:val="clear"/>
            <w:tcMar>
              <w:top w:w="3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30.70</w:t>
            </w:r>
          </w:p>
        </w:tc>
        <w:tc>
          <w:tcPr>
            <w:tcW w:w="4198" w:type="dxa"/>
            <w:gridSpan w:val="3"/>
            <w:tcBorders>
              <w:top w:val="single" w:sz="4" w:space="0" w:color="000000"/>
              <w:left w:val="single" w:sz="4" w:space="0" w:color="000000"/>
              <w:bottom w:val="single" w:sz="4" w:space="0" w:color="000000"/>
              <w:right w:val="single" w:sz="4" w:space="0" w:color="000000"/>
            </w:tcBorders>
            <w:shd w:fill="FFFFFF" w:val="clear"/>
            <w:tcMar>
              <w:top w:w="30" w:type="dxa"/>
              <w:bottom w:w="3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3,596,925</w:t>
            </w:r>
          </w:p>
        </w:tc>
      </w:tr>
    </w:tbl>
    <w:p>
      <w:pPr>
        <w:pStyle w:val="TextBody"/>
        <w:bidi w:val="0"/>
        <w:spacing w:lineRule="auto" w:line="288" w:before="0" w:after="60"/>
        <w:ind w:left="0" w:right="0" w:hanging="360"/>
        <w:jc w:val="both"/>
        <w:rPr>
          <w:rFonts w:ascii="Arial;sans-serif" w:hAnsi="Arial;sans-serif"/>
          <w:b w:val="false"/>
          <w:color w:val="000000"/>
          <w:sz w:val="14"/>
        </w:rPr>
      </w:pPr>
      <w:r>
        <w:rPr>
          <w:rFonts w:ascii="Arial;sans-serif" w:hAnsi="Arial;sans-serif"/>
          <w:b w:val="false"/>
          <w:color w:val="000000"/>
          <w:sz w:val="14"/>
        </w:rPr>
        <w:t>(1)Comprised of 1,221,172 shares issuable upon the exercise of outstanding Options and 509,569 shares issuable pursuant to RSUs and PSUs (at maximum performance levels).</w:t>
      </w:r>
    </w:p>
    <w:p>
      <w:pPr>
        <w:pStyle w:val="TextBody"/>
        <w:bidi w:val="0"/>
        <w:spacing w:lineRule="auto" w:line="288" w:before="0" w:after="60"/>
        <w:ind w:left="0" w:right="0" w:hanging="360"/>
        <w:jc w:val="both"/>
        <w:rPr>
          <w:rFonts w:ascii="Arial;sans-serif" w:hAnsi="Arial;sans-serif"/>
          <w:b w:val="false"/>
          <w:color w:val="000000"/>
          <w:sz w:val="14"/>
        </w:rPr>
      </w:pPr>
      <w:r>
        <w:rPr>
          <w:rFonts w:ascii="Arial;sans-serif" w:hAnsi="Arial;sans-serif"/>
          <w:b w:val="false"/>
          <w:color w:val="000000"/>
          <w:sz w:val="14"/>
        </w:rPr>
        <w:t>(2)Excludes RSUs and PSUs.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739140"/>
                <wp:effectExtent l="0" t="0" r="0" b="0"/>
                <wp:wrapNone/>
                <wp:docPr id="198" name="Frame60"/>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292" w:type="dxa"/>
                              <w:jc w:val="left"/>
                              <w:tblInd w:w="0" w:type="dxa"/>
                              <w:tblLayout w:type="fixed"/>
                              <w:tblCellMar>
                                <w:top w:w="28" w:type="dxa"/>
                                <w:left w:w="28" w:type="dxa"/>
                                <w:bottom w:w="28" w:type="dxa"/>
                                <w:right w:w="28" w:type="dxa"/>
                              </w:tblCellMar>
                            </w:tblPr>
                            <w:tblGrid>
                              <w:gridCol w:w="124"/>
                              <w:gridCol w:w="109"/>
                              <w:gridCol w:w="109"/>
                              <w:gridCol w:w="704"/>
                              <w:gridCol w:w="704"/>
                              <w:gridCol w:w="706"/>
                              <w:gridCol w:w="244"/>
                              <w:gridCol w:w="244"/>
                              <w:gridCol w:w="34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6"/>
                                    </w:rPr>
                                  </w:pPr>
                                  <w:r>
                                    <w:rPr>
                                      <w:rFonts w:ascii="Arial;sans-serif" w:hAnsi="Arial;sans-serif"/>
                                      <w:b/>
                                      <w:color w:val="000000"/>
                                      <w:sz w:val="16"/>
                                    </w:rPr>
                                    <w:t>54</w:t>
                                  </w:r>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2024 PROXY STATEMENT</w:t>
                                  </w:r>
                                </w:p>
                              </w:tc>
                              <w:tc>
                                <w:tcPr>
                                  <w:tcW w:w="83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199" name="Image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 name="Image86" descr=""/>
                                                <pic:cNvPicPr>
                                                  <a:picLocks noChangeAspect="1" noChangeArrowheads="1"/>
                                                </pic:cNvPicPr>
                                              </pic:nvPicPr>
                                              <pic:blipFill>
                                                <a:blip r:embed="rId140"/>
                                                <a:stretch>
                                                  <a:fillRect/>
                                                </a:stretch>
                                              </pic:blipFill>
                                              <pic:spPr bwMode="auto">
                                                <a:xfrm>
                                                  <a:off x="0" y="0"/>
                                                  <a:ext cx="447675" cy="161925"/>
                                                </a:xfrm>
                                                <a:prstGeom prst="rect">
                                                  <a:avLst/>
                                                </a:prstGeom>
                                              </pic:spPr>
                                            </pic:pic>
                                          </a:graphicData>
                                        </a:graphic>
                                      </wp:inline>
                                    </w:drawing>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292" w:type="dxa"/>
                        <w:jc w:val="left"/>
                        <w:tblInd w:w="0" w:type="dxa"/>
                        <w:tblLayout w:type="fixed"/>
                        <w:tblCellMar>
                          <w:top w:w="28" w:type="dxa"/>
                          <w:left w:w="28" w:type="dxa"/>
                          <w:bottom w:w="28" w:type="dxa"/>
                          <w:right w:w="28" w:type="dxa"/>
                        </w:tblCellMar>
                      </w:tblPr>
                      <w:tblGrid>
                        <w:gridCol w:w="124"/>
                        <w:gridCol w:w="109"/>
                        <w:gridCol w:w="109"/>
                        <w:gridCol w:w="704"/>
                        <w:gridCol w:w="704"/>
                        <w:gridCol w:w="706"/>
                        <w:gridCol w:w="244"/>
                        <w:gridCol w:w="244"/>
                        <w:gridCol w:w="34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6"/>
                              </w:rPr>
                            </w:pPr>
                            <w:r>
                              <w:rPr>
                                <w:rFonts w:ascii="Arial;sans-serif" w:hAnsi="Arial;sans-serif"/>
                                <w:b/>
                                <w:color w:val="000000"/>
                                <w:sz w:val="16"/>
                              </w:rPr>
                              <w:t>54</w:t>
                            </w:r>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2024 PROXY STATEMENT</w:t>
                            </w:r>
                          </w:p>
                        </w:tc>
                        <w:tc>
                          <w:tcPr>
                            <w:tcW w:w="83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200" name="Image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 name="Image86" descr=""/>
                                          <pic:cNvPicPr>
                                            <a:picLocks noChangeAspect="1" noChangeArrowheads="1"/>
                                          </pic:cNvPicPr>
                                        </pic:nvPicPr>
                                        <pic:blipFill>
                                          <a:blip r:embed="rId141"/>
                                          <a:stretch>
                                            <a:fillRect/>
                                          </a:stretch>
                                        </pic:blipFill>
                                        <pic:spPr bwMode="auto">
                                          <a:xfrm>
                                            <a:off x="0" y="0"/>
                                            <a:ext cx="447675" cy="161925"/>
                                          </a:xfrm>
                                          <a:prstGeom prst="rect">
                                            <a:avLst/>
                                          </a:prstGeom>
                                        </pic:spPr>
                                      </pic:pic>
                                    </a:graphicData>
                                  </a:graphic>
                                </wp:inline>
                              </w:drawing>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312" w:before="0" w:after="240"/>
        <w:jc w:val="left"/>
        <w:rPr>
          <w:rFonts w:ascii="Arial;sans-serif" w:hAnsi="Arial;sans-serif"/>
          <w:b/>
          <w:color w:val="004C97"/>
          <w:sz w:val="42"/>
        </w:rPr>
      </w:pPr>
      <w:r>
        <w:rPr>
          <w:rFonts w:ascii="Arial;sans-serif" w:hAnsi="Arial;sans-serif"/>
          <w:b/>
          <w:color w:val="004C97"/>
          <w:sz w:val="42"/>
        </w:rPr>
        <w:t>PROPOSAL 2: APPROVAL OF NAMED EXECUTIVE OFFICERS’ COMPENSATION, ON A NON-BINDING ADVISORY BASIS (“SAY-ON-PAY”)</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We are asking our stockholders to cast an advisory vote at our Annual Meeting to approve the compensation of our NEOs, as disclosed in this Proxy Statement.</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Although the vote is non-binding, the Committee and the Board value your opinion and will consider the outcome of the vote in revising our compensation philosophy and making future compensation decisions.</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We intend to seek approval of our executive compensation on an annual basis.</w:t>
      </w:r>
    </w:p>
    <w:p>
      <w:pPr>
        <w:pStyle w:val="TextBody"/>
        <w:bidi w:val="0"/>
        <w:spacing w:lineRule="auto" w:line="288" w:before="0" w:after="60"/>
        <w:jc w:val="both"/>
        <w:rPr>
          <w:rFonts w:ascii="Arial;sans-serif" w:hAnsi="Arial;sans-serif"/>
          <w:b/>
          <w:color w:val="000000"/>
          <w:sz w:val="22"/>
        </w:rPr>
      </w:pPr>
      <w:r>
        <w:rPr>
          <w:rFonts w:ascii="Arial;sans-serif" w:hAnsi="Arial;sans-serif"/>
          <w:b/>
          <w:color w:val="000000"/>
          <w:sz w:val="22"/>
        </w:rPr>
        <w:t>WHY YOU SHOULD APPROVE OUR NEO COMPENSATION</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During 2023, we continued to focus on our commitment to having an executive compensation program that is aligned with stockholder interests and our goal of sustaining our meaningful pay-for-performance culture.</w:t>
      </w:r>
    </w:p>
    <w:p>
      <w:pPr>
        <w:pStyle w:val="TextBody"/>
        <w:bidi w:val="0"/>
        <w:spacing w:lineRule="auto" w:line="288" w:before="0" w:after="360"/>
        <w:jc w:val="both"/>
        <w:rPr>
          <w:rFonts w:ascii="Arial;sans-serif" w:hAnsi="Arial;sans-serif"/>
          <w:b w:val="false"/>
          <w:color w:val="000000"/>
          <w:sz w:val="18"/>
        </w:rPr>
      </w:pPr>
      <w:r>
        <w:rPr>
          <w:rFonts w:ascii="Arial;sans-serif" w:hAnsi="Arial;sans-serif"/>
          <w:b w:val="false"/>
          <w:color w:val="000000"/>
          <w:sz w:val="18"/>
        </w:rPr>
        <w:t>Our executive compensation and executive compensation program are more fully described in the “Compensation Discussion and Analysis,” beginning on page 23, and in the “Summary Compensation Table” and subsequent tables, beginning on page 38.</w:t>
      </w:r>
    </w:p>
    <w:p>
      <w:pPr>
        <w:pStyle w:val="TextBody"/>
        <w:bidi w:val="0"/>
        <w:spacing w:lineRule="auto" w:line="288" w:before="0" w:after="60"/>
        <w:jc w:val="both"/>
        <w:rPr>
          <w:rFonts w:ascii="Arial;sans-serif" w:hAnsi="Arial;sans-serif"/>
          <w:b/>
          <w:color w:val="000000"/>
          <w:sz w:val="22"/>
        </w:rPr>
      </w:pPr>
      <w:r>
        <w:rPr>
          <w:rFonts w:ascii="Arial;sans-serif" w:hAnsi="Arial;sans-serif"/>
          <w:b/>
          <w:color w:val="000000"/>
          <w:sz w:val="22"/>
        </w:rPr>
        <w:t>OVERVIEW</w:t>
      </w:r>
    </w:p>
    <w:p>
      <w:pPr>
        <w:pStyle w:val="TextBody"/>
        <w:bidi w:val="0"/>
        <w:spacing w:lineRule="auto" w:line="288" w:before="0" w:after="240"/>
        <w:jc w:val="left"/>
        <w:rPr>
          <w:rFonts w:ascii="Arial;sans-serif" w:hAnsi="Arial;sans-serif"/>
          <w:b/>
          <w:color w:val="004C97"/>
          <w:sz w:val="20"/>
        </w:rPr>
      </w:pPr>
      <w:r>
        <w:rPr>
          <w:rFonts w:ascii="Arial;sans-serif" w:hAnsi="Arial;sans-serif"/>
          <w:b/>
          <w:color w:val="004C97"/>
          <w:sz w:val="20"/>
        </w:rPr>
        <w:t>Key Components of Our Compensation Program</w:t>
      </w:r>
    </w:p>
    <w:tbl>
      <w:tblPr>
        <w:tblW w:w="10205" w:type="dxa"/>
        <w:jc w:val="left"/>
        <w:tblInd w:w="0" w:type="dxa"/>
        <w:tblLayout w:type="fixed"/>
        <w:tblCellMar>
          <w:top w:w="28" w:type="dxa"/>
          <w:left w:w="28" w:type="dxa"/>
          <w:bottom w:w="28" w:type="dxa"/>
          <w:right w:w="28" w:type="dxa"/>
        </w:tblCellMar>
      </w:tblPr>
      <w:tblGrid>
        <w:gridCol w:w="1995"/>
        <w:gridCol w:w="1757"/>
        <w:gridCol w:w="1762"/>
        <w:gridCol w:w="109"/>
        <w:gridCol w:w="109"/>
        <w:gridCol w:w="109"/>
        <w:gridCol w:w="1292"/>
        <w:gridCol w:w="1268"/>
        <w:gridCol w:w="1804"/>
      </w:tblGrid>
      <w:tr>
        <w:trPr/>
        <w:tc>
          <w:tcPr>
            <w:tcW w:w="1995" w:type="dxa"/>
            <w:tcBorders/>
            <w:vAlign w:val="center"/>
          </w:tcPr>
          <w:p>
            <w:pPr>
              <w:pStyle w:val="TableContents"/>
              <w:bidi w:val="0"/>
              <w:spacing w:before="0" w:after="283"/>
              <w:jc w:val="left"/>
              <w:rPr>
                <w:sz w:val="4"/>
                <w:szCs w:val="4"/>
              </w:rPr>
            </w:pPr>
            <w:r>
              <w:rPr>
                <w:sz w:val="4"/>
                <w:szCs w:val="4"/>
              </w:rPr>
            </w:r>
          </w:p>
        </w:tc>
        <w:tc>
          <w:tcPr>
            <w:tcW w:w="1757" w:type="dxa"/>
            <w:tcBorders/>
            <w:vAlign w:val="center"/>
          </w:tcPr>
          <w:p>
            <w:pPr>
              <w:pStyle w:val="TableContents"/>
              <w:bidi w:val="0"/>
              <w:spacing w:before="0" w:after="283"/>
              <w:jc w:val="left"/>
              <w:rPr>
                <w:sz w:val="4"/>
                <w:szCs w:val="4"/>
              </w:rPr>
            </w:pPr>
            <w:r>
              <w:rPr>
                <w:sz w:val="4"/>
                <w:szCs w:val="4"/>
              </w:rPr>
            </w:r>
          </w:p>
        </w:tc>
        <w:tc>
          <w:tcPr>
            <w:tcW w:w="17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2" w:type="dxa"/>
            <w:tcBorders/>
            <w:vAlign w:val="center"/>
          </w:tcPr>
          <w:p>
            <w:pPr>
              <w:pStyle w:val="TableContents"/>
              <w:bidi w:val="0"/>
              <w:spacing w:before="0" w:after="283"/>
              <w:jc w:val="left"/>
              <w:rPr>
                <w:sz w:val="4"/>
                <w:szCs w:val="4"/>
              </w:rPr>
            </w:pPr>
            <w:r>
              <w:rPr>
                <w:sz w:val="4"/>
                <w:szCs w:val="4"/>
              </w:rPr>
            </w:r>
          </w:p>
        </w:tc>
        <w:tc>
          <w:tcPr>
            <w:tcW w:w="1268" w:type="dxa"/>
            <w:tcBorders/>
            <w:vAlign w:val="center"/>
          </w:tcPr>
          <w:p>
            <w:pPr>
              <w:pStyle w:val="TableContents"/>
              <w:bidi w:val="0"/>
              <w:spacing w:before="0" w:after="283"/>
              <w:jc w:val="left"/>
              <w:rPr>
                <w:sz w:val="4"/>
                <w:szCs w:val="4"/>
              </w:rPr>
            </w:pPr>
            <w:r>
              <w:rPr>
                <w:sz w:val="4"/>
                <w:szCs w:val="4"/>
              </w:rPr>
            </w:r>
          </w:p>
        </w:tc>
        <w:tc>
          <w:tcPr>
            <w:tcW w:w="1804" w:type="dxa"/>
            <w:tcBorders/>
            <w:vAlign w:val="center"/>
          </w:tcPr>
          <w:p>
            <w:pPr>
              <w:pStyle w:val="TableContents"/>
              <w:bidi w:val="0"/>
              <w:spacing w:before="0" w:after="283"/>
              <w:jc w:val="left"/>
              <w:rPr>
                <w:sz w:val="4"/>
                <w:szCs w:val="4"/>
              </w:rPr>
            </w:pPr>
            <w:r>
              <w:rPr>
                <w:sz w:val="4"/>
                <w:szCs w:val="4"/>
              </w:rPr>
            </w:r>
          </w:p>
        </w:tc>
      </w:tr>
      <w:tr>
        <w:trPr/>
        <w:tc>
          <w:tcPr>
            <w:tcW w:w="551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4"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Arial;sans-serif" w:hAnsi="Arial;sans-serif"/>
                <w:b/>
                <w:color w:val="000000"/>
                <w:sz w:val="20"/>
              </w:rPr>
            </w:pPr>
            <w:r>
              <w:rPr>
                <w:rFonts w:ascii="Arial;sans-serif" w:hAnsi="Arial;sans-serif"/>
                <w:b/>
                <w:color w:val="000000"/>
                <w:sz w:val="20"/>
              </w:rPr>
              <w:t>Base Salary</w:t>
            </w:r>
          </w:p>
          <w:p>
            <w:pPr>
              <w:pStyle w:val="TableContents"/>
              <w:bidi w:val="0"/>
              <w:spacing w:lineRule="auto" w:line="288" w:before="0" w:after="0"/>
              <w:jc w:val="both"/>
              <w:rPr>
                <w:rFonts w:ascii="Arial;sans-serif" w:hAnsi="Arial;sans-serif"/>
                <w:b w:val="false"/>
                <w:color w:val="004C97"/>
                <w:sz w:val="20"/>
              </w:rPr>
            </w:pPr>
            <w:r>
              <w:rPr>
                <w:rFonts w:ascii="Arial;sans-serif" w:hAnsi="Arial;sans-serif"/>
                <w:b w:val="false"/>
                <w:color w:val="004C97"/>
                <w:sz w:val="20"/>
              </w:rPr>
              <w:t>We target base salary for NEOs in line with the market median and our peer companies for established performers.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4"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Arial;sans-serif" w:hAnsi="Arial;sans-serif"/>
                <w:b/>
                <w:color w:val="000000"/>
                <w:sz w:val="20"/>
              </w:rPr>
            </w:pPr>
            <w:r>
              <w:rPr>
                <w:rFonts w:ascii="Arial;sans-serif" w:hAnsi="Arial;sans-serif"/>
                <w:b/>
                <w:color w:val="000000"/>
                <w:sz w:val="20"/>
              </w:rPr>
              <w:t>Change in Control Provisions</w:t>
            </w:r>
          </w:p>
          <w:p>
            <w:pPr>
              <w:pStyle w:val="TableContents"/>
              <w:bidi w:val="0"/>
              <w:spacing w:lineRule="auto" w:line="288" w:before="0" w:after="180"/>
              <w:jc w:val="both"/>
              <w:rPr>
                <w:rFonts w:ascii="Arial;sans-serif" w:hAnsi="Arial;sans-serif"/>
                <w:b w:val="false"/>
                <w:color w:val="004C97"/>
                <w:sz w:val="20"/>
              </w:rPr>
            </w:pPr>
            <w:r>
              <w:rPr>
                <w:rFonts w:ascii="Arial;sans-serif" w:hAnsi="Arial;sans-serif"/>
                <w:b w:val="false"/>
                <w:color w:val="004C97"/>
                <w:sz w:val="20"/>
              </w:rPr>
              <w:t>We have double trigger provisions in the event of a change in control.</w:t>
            </w:r>
          </w:p>
        </w:tc>
      </w:tr>
      <w:tr>
        <w:trPr/>
        <w:tc>
          <w:tcPr>
            <w:tcW w:w="551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4"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Arial;sans-serif" w:hAnsi="Arial;sans-serif"/>
                <w:b/>
                <w:color w:val="000000"/>
                <w:sz w:val="20"/>
              </w:rPr>
            </w:pPr>
            <w:r>
              <w:rPr>
                <w:rFonts w:ascii="Arial;sans-serif" w:hAnsi="Arial;sans-serif"/>
                <w:b/>
                <w:color w:val="000000"/>
                <w:sz w:val="20"/>
              </w:rPr>
              <w:t>Annual Incentive</w:t>
            </w:r>
          </w:p>
          <w:p>
            <w:pPr>
              <w:pStyle w:val="TableContents"/>
              <w:bidi w:val="0"/>
              <w:spacing w:lineRule="auto" w:line="288" w:before="0" w:after="180"/>
              <w:jc w:val="both"/>
              <w:rPr>
                <w:rFonts w:ascii="Arial;sans-serif" w:hAnsi="Arial;sans-serif"/>
                <w:b w:val="false"/>
                <w:color w:val="004C97"/>
                <w:sz w:val="20"/>
              </w:rPr>
            </w:pPr>
            <w:r>
              <w:rPr>
                <w:rFonts w:ascii="Arial;sans-serif" w:hAnsi="Arial;sans-serif"/>
                <w:b w:val="false"/>
                <w:color w:val="004C97"/>
                <w:sz w:val="20"/>
              </w:rPr>
              <w:t>We focus annual bonus pay based on operating income, cash flow, and revenue goals.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4"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Arial;sans-serif" w:hAnsi="Arial;sans-serif"/>
                <w:b/>
                <w:color w:val="000000"/>
                <w:sz w:val="20"/>
              </w:rPr>
            </w:pPr>
            <w:r>
              <w:rPr>
                <w:rFonts w:ascii="Arial;sans-serif" w:hAnsi="Arial;sans-serif"/>
                <w:b/>
                <w:color w:val="000000"/>
                <w:sz w:val="20"/>
              </w:rPr>
              <w:t>No Pledging or Hedging</w:t>
            </w:r>
          </w:p>
          <w:p>
            <w:pPr>
              <w:pStyle w:val="TableContents"/>
              <w:bidi w:val="0"/>
              <w:spacing w:lineRule="auto" w:line="288" w:before="0" w:after="180"/>
              <w:jc w:val="both"/>
              <w:rPr>
                <w:rFonts w:ascii="Arial;sans-serif" w:hAnsi="Arial;sans-serif"/>
                <w:b w:val="false"/>
                <w:color w:val="004C97"/>
                <w:sz w:val="20"/>
              </w:rPr>
            </w:pPr>
            <w:r>
              <w:rPr>
                <w:rFonts w:ascii="Arial;sans-serif" w:hAnsi="Arial;sans-serif"/>
                <w:b w:val="false"/>
                <w:color w:val="004C97"/>
                <w:sz w:val="20"/>
              </w:rPr>
              <w:t>We do not permit officer or director hedging or pledging of our common stock.</w:t>
            </w:r>
          </w:p>
        </w:tc>
      </w:tr>
      <w:tr>
        <w:trPr/>
        <w:tc>
          <w:tcPr>
            <w:tcW w:w="551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4"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Arial;sans-serif" w:hAnsi="Arial;sans-serif"/>
                <w:b/>
                <w:color w:val="000000"/>
                <w:sz w:val="20"/>
              </w:rPr>
            </w:pPr>
            <w:r>
              <w:rPr>
                <w:rFonts w:ascii="Arial;sans-serif" w:hAnsi="Arial;sans-serif"/>
                <w:b/>
                <w:color w:val="000000"/>
                <w:sz w:val="20"/>
              </w:rPr>
              <w:t>Long-term Incentives</w:t>
            </w:r>
          </w:p>
          <w:p>
            <w:pPr>
              <w:pStyle w:val="TableContents"/>
              <w:bidi w:val="0"/>
              <w:spacing w:lineRule="auto" w:line="288" w:before="0" w:after="180"/>
              <w:jc w:val="both"/>
              <w:rPr>
                <w:rFonts w:ascii="Arial;sans-serif" w:hAnsi="Arial;sans-serif"/>
                <w:b w:val="false"/>
                <w:color w:val="004C97"/>
                <w:sz w:val="20"/>
              </w:rPr>
            </w:pPr>
            <w:r>
              <w:rPr>
                <w:rFonts w:ascii="Arial;sans-serif" w:hAnsi="Arial;sans-serif"/>
                <w:b w:val="false"/>
                <w:color w:val="004C97"/>
                <w:sz w:val="20"/>
              </w:rPr>
              <w:t>We target long-term pay based 50% performance stock units, 25% on stock options, and 25% on restricted stock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4"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Arial;sans-serif" w:hAnsi="Arial;sans-serif"/>
                <w:b/>
                <w:color w:val="000000"/>
                <w:sz w:val="20"/>
              </w:rPr>
            </w:pPr>
            <w:r>
              <w:rPr>
                <w:rFonts w:ascii="Arial;sans-serif" w:hAnsi="Arial;sans-serif"/>
                <w:b/>
                <w:color w:val="000000"/>
                <w:sz w:val="20"/>
              </w:rPr>
              <w:t>Benefits and Perquisites</w:t>
            </w:r>
          </w:p>
          <w:p>
            <w:pPr>
              <w:pStyle w:val="TableContents"/>
              <w:bidi w:val="0"/>
              <w:spacing w:lineRule="auto" w:line="288" w:before="0" w:after="180"/>
              <w:jc w:val="both"/>
              <w:rPr>
                <w:rFonts w:ascii="Arial;sans-serif" w:hAnsi="Arial;sans-serif"/>
                <w:b w:val="false"/>
                <w:color w:val="004C97"/>
                <w:sz w:val="20"/>
              </w:rPr>
            </w:pPr>
            <w:r>
              <w:rPr>
                <w:rFonts w:ascii="Arial;sans-serif" w:hAnsi="Arial;sans-serif"/>
                <w:b w:val="false"/>
                <w:color w:val="004C97"/>
                <w:sz w:val="20"/>
              </w:rPr>
              <w:t>We have no NEO participation in defined benefit pension plans or retiree medical benefits.</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313"/>
        <w:gridCol w:w="313"/>
        <w:gridCol w:w="315"/>
        <w:gridCol w:w="2848"/>
        <w:gridCol w:w="2848"/>
        <w:gridCol w:w="2853"/>
        <w:gridCol w:w="109"/>
        <w:gridCol w:w="109"/>
        <w:gridCol w:w="15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2848" w:type="dxa"/>
            <w:tcBorders/>
            <w:vAlign w:val="center"/>
          </w:tcPr>
          <w:p>
            <w:pPr>
              <w:pStyle w:val="TableContents"/>
              <w:bidi w:val="0"/>
              <w:spacing w:before="0" w:after="283"/>
              <w:jc w:val="left"/>
              <w:rPr>
                <w:sz w:val="4"/>
                <w:szCs w:val="4"/>
              </w:rPr>
            </w:pPr>
            <w:r>
              <w:rPr>
                <w:sz w:val="4"/>
                <w:szCs w:val="4"/>
              </w:rPr>
            </w:r>
          </w:p>
        </w:tc>
        <w:tc>
          <w:tcPr>
            <w:tcW w:w="2848" w:type="dxa"/>
            <w:tcBorders/>
            <w:vAlign w:val="center"/>
          </w:tcPr>
          <w:p>
            <w:pPr>
              <w:pStyle w:val="TableContents"/>
              <w:bidi w:val="0"/>
              <w:spacing w:before="0" w:after="283"/>
              <w:jc w:val="left"/>
              <w:rPr>
                <w:sz w:val="4"/>
                <w:szCs w:val="4"/>
              </w:rPr>
            </w:pPr>
            <w:r>
              <w:rPr>
                <w:sz w:val="4"/>
                <w:szCs w:val="4"/>
              </w:rPr>
            </w:r>
          </w:p>
        </w:tc>
        <w:tc>
          <w:tcPr>
            <w:tcW w:w="28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4C97"/>
              <w:left w:val="single" w:sz="8" w:space="0" w:color="004C97"/>
              <w:bottom w:val="single" w:sz="8" w:space="0" w:color="004C97"/>
            </w:tcBorders>
            <w:tcMar>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top w:val="single" w:sz="8" w:space="0" w:color="004C97"/>
              <w:bottom w:val="single" w:sz="8" w:space="0" w:color="004C97"/>
            </w:tcBorders>
            <w:tcMar>
              <w:left w:w="0" w:type="dxa"/>
              <w:right w:w="0" w:type="dxa"/>
            </w:tcMar>
            <w:vAlign w:val="center"/>
          </w:tcPr>
          <w:p>
            <w:pPr>
              <w:pStyle w:val="TableContents"/>
              <w:bidi w:val="0"/>
              <w:spacing w:before="0" w:after="0"/>
              <w:jc w:val="center"/>
              <w:rPr/>
            </w:pPr>
            <w:r>
              <w:rPr/>
              <w:drawing>
                <wp:inline distT="0" distB="0" distL="0" distR="0">
                  <wp:extent cx="542925" cy="542925"/>
                  <wp:effectExtent l="0" t="0" r="0" b="0"/>
                  <wp:docPr id="201" name="Image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 name="Image87" descr=""/>
                          <pic:cNvPicPr>
                            <a:picLocks noChangeAspect="1" noChangeArrowheads="1"/>
                          </pic:cNvPicPr>
                        </pic:nvPicPr>
                        <pic:blipFill>
                          <a:blip r:embed="rId142"/>
                          <a:stretch>
                            <a:fillRect/>
                          </a:stretch>
                        </pic:blipFill>
                        <pic:spPr bwMode="auto">
                          <a:xfrm>
                            <a:off x="0" y="0"/>
                            <a:ext cx="542925" cy="542925"/>
                          </a:xfrm>
                          <a:prstGeom prst="rect">
                            <a:avLst/>
                          </a:prstGeom>
                        </pic:spPr>
                      </pic:pic>
                    </a:graphicData>
                  </a:graphic>
                </wp:inline>
              </w:drawing>
            </w:r>
          </w:p>
        </w:tc>
        <w:tc>
          <w:tcPr>
            <w:tcW w:w="8549" w:type="dxa"/>
            <w:gridSpan w:val="3"/>
            <w:tcBorders>
              <w:top w:val="single" w:sz="8" w:space="0" w:color="004C97"/>
              <w:bottom w:val="single" w:sz="8" w:space="0" w:color="004C97"/>
            </w:tcBorders>
            <w:tcMar>
              <w:top w:w="30" w:type="dxa"/>
              <w:left w:w="0" w:type="dxa"/>
              <w:bottom w:w="30" w:type="dxa"/>
              <w:right w:w="0" w:type="dxa"/>
            </w:tcMar>
            <w:vAlign w:val="center"/>
          </w:tcPr>
          <w:p>
            <w:pPr>
              <w:pStyle w:val="TableContents"/>
              <w:bidi w:val="0"/>
              <w:spacing w:lineRule="auto" w:line="288" w:before="0" w:after="0"/>
              <w:jc w:val="left"/>
              <w:rPr/>
            </w:pPr>
            <w:r>
              <w:rPr>
                <w:rFonts w:ascii="Arial;sans-serif" w:hAnsi="Arial;sans-serif"/>
                <w:b w:val="false"/>
                <w:color w:val="004C97"/>
                <w:sz w:val="20"/>
              </w:rPr>
              <w:t xml:space="preserve">YOUR BOARD OF DIRECTORS UNANIMOUSLY RECOMMENDS A VOTE </w:t>
            </w:r>
            <w:r>
              <w:rPr>
                <w:color w:val="004C97"/>
              </w:rPr>
              <w:t>“</w:t>
            </w:r>
            <w:r>
              <w:rPr>
                <w:rFonts w:ascii="Arial;sans-serif" w:hAnsi="Arial;sans-serif"/>
                <w:b/>
                <w:color w:val="004C97"/>
                <w:sz w:val="20"/>
              </w:rPr>
              <w:t>FOR”</w:t>
            </w:r>
            <w:r>
              <w:rPr>
                <w:color w:val="004C97"/>
              </w:rPr>
              <w:t xml:space="preserve"> </w:t>
            </w:r>
            <w:r>
              <w:rPr>
                <w:rFonts w:ascii="Arial;sans-serif" w:hAnsi="Arial;sans-serif"/>
                <w:b w:val="false"/>
                <w:color w:val="004C97"/>
                <w:sz w:val="20"/>
              </w:rPr>
              <w:t>THE APPROVAL OF THE NAMED EXECUTIVE OFFICERS’ COMPENSATION, ON A NON-BINDING ADVISORY BASIS (“SAY-ON-PAY)</w:t>
            </w:r>
          </w:p>
        </w:tc>
        <w:tc>
          <w:tcPr>
            <w:tcW w:w="373" w:type="dxa"/>
            <w:gridSpan w:val="3"/>
            <w:tcBorders>
              <w:top w:val="single" w:sz="8" w:space="0" w:color="004C97"/>
              <w:bottom w:val="single" w:sz="8" w:space="0" w:color="004C97"/>
              <w:right w:val="single" w:sz="8" w:space="0" w:color="004C97"/>
            </w:tcBorders>
            <w:tcMar>
              <w:lef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739140"/>
                <wp:effectExtent l="0" t="0" r="0" b="0"/>
                <wp:wrapNone/>
                <wp:docPr id="202" name="Frame61"/>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292" w:type="dxa"/>
                              <w:jc w:val="right"/>
                              <w:tblInd w:w="0" w:type="dxa"/>
                              <w:tblLayout w:type="fixed"/>
                              <w:tblCellMar>
                                <w:top w:w="28" w:type="dxa"/>
                                <w:left w:w="28" w:type="dxa"/>
                                <w:bottom w:w="28" w:type="dxa"/>
                                <w:right w:w="28" w:type="dxa"/>
                              </w:tblCellMar>
                            </w:tblPr>
                            <w:tblGrid>
                              <w:gridCol w:w="292"/>
                              <w:gridCol w:w="256"/>
                              <w:gridCol w:w="258"/>
                              <w:gridCol w:w="704"/>
                              <w:gridCol w:w="704"/>
                              <w:gridCol w:w="706"/>
                              <w:gridCol w:w="109"/>
                              <w:gridCol w:w="109"/>
                              <w:gridCol w:w="154"/>
                            </w:tblGrid>
                            <w:tr>
                              <w:trPr/>
                              <w:tc>
                                <w:tcPr>
                                  <w:tcW w:w="29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0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203" name="Image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 name="Image88" descr=""/>
                                                <pic:cNvPicPr>
                                                  <a:picLocks noChangeAspect="1" noChangeArrowheads="1"/>
                                                </pic:cNvPicPr>
                                              </pic:nvPicPr>
                                              <pic:blipFill>
                                                <a:blip r:embed="rId143"/>
                                                <a:stretch>
                                                  <a:fillRect/>
                                                </a:stretch>
                                              </pic:blipFill>
                                              <pic:spPr bwMode="auto">
                                                <a:xfrm>
                                                  <a:off x="0" y="0"/>
                                                  <a:ext cx="447675" cy="161925"/>
                                                </a:xfrm>
                                                <a:prstGeom prst="rect">
                                                  <a:avLst/>
                                                </a:prstGeom>
                                              </pic:spPr>
                                            </pic:pic>
                                          </a:graphicData>
                                        </a:graphic>
                                      </wp:inline>
                                    </w:drawing>
                                  </w:r>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2024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000000"/>
                                      <w:sz w:val="16"/>
                                    </w:rPr>
                                  </w:pPr>
                                  <w:r>
                                    <w:rPr>
                                      <w:rFonts w:ascii="Arial;sans-serif" w:hAnsi="Arial;sans-serif"/>
                                      <w:b/>
                                      <w:color w:val="000000"/>
                                      <w:sz w:val="16"/>
                                    </w:rPr>
                                    <w:t>55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292" w:type="dxa"/>
                        <w:jc w:val="right"/>
                        <w:tblInd w:w="0" w:type="dxa"/>
                        <w:tblLayout w:type="fixed"/>
                        <w:tblCellMar>
                          <w:top w:w="28" w:type="dxa"/>
                          <w:left w:w="28" w:type="dxa"/>
                          <w:bottom w:w="28" w:type="dxa"/>
                          <w:right w:w="28" w:type="dxa"/>
                        </w:tblCellMar>
                      </w:tblPr>
                      <w:tblGrid>
                        <w:gridCol w:w="292"/>
                        <w:gridCol w:w="256"/>
                        <w:gridCol w:w="258"/>
                        <w:gridCol w:w="704"/>
                        <w:gridCol w:w="704"/>
                        <w:gridCol w:w="706"/>
                        <w:gridCol w:w="109"/>
                        <w:gridCol w:w="109"/>
                        <w:gridCol w:w="154"/>
                      </w:tblGrid>
                      <w:tr>
                        <w:trPr/>
                        <w:tc>
                          <w:tcPr>
                            <w:tcW w:w="29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0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204" name="Image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 name="Image88" descr=""/>
                                          <pic:cNvPicPr>
                                            <a:picLocks noChangeAspect="1" noChangeArrowheads="1"/>
                                          </pic:cNvPicPr>
                                        </pic:nvPicPr>
                                        <pic:blipFill>
                                          <a:blip r:embed="rId144"/>
                                          <a:stretch>
                                            <a:fillRect/>
                                          </a:stretch>
                                        </pic:blipFill>
                                        <pic:spPr bwMode="auto">
                                          <a:xfrm>
                                            <a:off x="0" y="0"/>
                                            <a:ext cx="447675" cy="161925"/>
                                          </a:xfrm>
                                          <a:prstGeom prst="rect">
                                            <a:avLst/>
                                          </a:prstGeom>
                                        </pic:spPr>
                                      </pic:pic>
                                    </a:graphicData>
                                  </a:graphic>
                                </wp:inline>
                              </w:drawing>
                            </w:r>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2024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000000"/>
                                <w:sz w:val="16"/>
                              </w:rPr>
                            </w:pPr>
                            <w:r>
                              <w:rPr>
                                <w:rFonts w:ascii="Arial;sans-serif" w:hAnsi="Arial;sans-serif"/>
                                <w:b/>
                                <w:color w:val="000000"/>
                                <w:sz w:val="16"/>
                              </w:rPr>
                              <w:t>55</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312" w:before="0" w:after="240"/>
        <w:jc w:val="left"/>
        <w:rPr>
          <w:rFonts w:ascii="Arial;sans-serif" w:hAnsi="Arial;sans-serif"/>
          <w:b/>
          <w:color w:val="004C97"/>
          <w:sz w:val="42"/>
        </w:rPr>
      </w:pPr>
      <w:r>
        <w:rPr>
          <w:rFonts w:ascii="Arial;sans-serif" w:hAnsi="Arial;sans-serif"/>
          <w:b/>
          <w:color w:val="004C97"/>
          <w:sz w:val="42"/>
        </w:rPr>
        <w:t>PROPOSAL 3: APPROVAL OF THE AMENDMENT TO OUR CERTIFICATE OF INCORPORATION TO PROVIDE FOR THE ANNUAL ELECTION OF THE BOARD OF DIRECTORS</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Our Board has voted unanimously to approve, and has recommended that our stockholders approve, an amendment to our Certificate of Incorporation to eliminate the classification of the Board of Directors into classes serving staggered, three-year terms and to provide for the annual election of the Board of Directors. We refer to this proposed amendment to our Certificate of Incorporation as the “Board Declassification Amendment.”</w:t>
      </w:r>
    </w:p>
    <w:p>
      <w:pPr>
        <w:pStyle w:val="TextBody"/>
        <w:bidi w:val="0"/>
        <w:spacing w:lineRule="auto" w:line="288" w:before="0" w:after="60"/>
        <w:jc w:val="both"/>
        <w:rPr>
          <w:rFonts w:ascii="Arial;sans-serif" w:hAnsi="Arial;sans-serif"/>
          <w:b/>
          <w:color w:val="000000"/>
          <w:sz w:val="22"/>
        </w:rPr>
      </w:pPr>
      <w:r>
        <w:rPr>
          <w:rFonts w:ascii="Arial;sans-serif" w:hAnsi="Arial;sans-serif"/>
          <w:b/>
          <w:color w:val="000000"/>
          <w:sz w:val="22"/>
        </w:rPr>
        <w:t>THE PROPOSED AMENDMENT</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 xml:space="preserve">Article EIGHTH of our Certificate of Incorporation currently requires that the directors are classified, with respect to the time they hold office, into three classes of approximately equal number, and serving a term of three years. The election of each class is staggered so that only one of the classes stands for re-election at each annual meeting of stockholders. </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The Board Declassification Amendment provides for a phased transition from the current classified Board of Directors. If Board Declassification Amendment is approved by our stockholders at the Annual Meeting and is effected, then each director will complete the term for which he or she has already been elected by the stockholders and the class of directors up for election at the Annual Meeting will be the last class of directors elected for three-year terms. At the 2025 annual meeting of stockholders, the successors of the class of directors whose terms expire at that meeting would be elected to hold office for a term expiring at the 2027 annual meeting of stockholders (a two-year term, rather than a three-year term). Commencing with the 2026 annual meeting of stockholders, directors then up for election at an annual meeting would be elected for one-year terms expiring at the next succeeding annual meeting. Accordingly, commencing with the 2027 annual meeting of stockholders, directors would no longer be divided into classes, with the terms of all directors, including directors elected at the Annual Meeting and at the 2025 and the 2026 annual meetings of stockholders, expiring at the 2027 annual meeting.</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Article EIGHTH of our Certificate of Incorporation currently provides that directors may be removed by the stockholders only for cause. Under Delaware law, such a provision is effective only if the Board of Directors is classified. Accordingly, the Board Declassification Amendment includes a conforming change to this provision to provide that the limitation that directors may be removed by the stockholders “only for cause” shall apply only for so long as the Board of Directors is divided into classes. Accordingly, if the Board Declassification Amendment is approved by the stockholders, this limitation would cease to apply commencing with the 2027 annual meeting of stockholders. The Board Declassification Amendment does not change the required stockholder vote necessary to remove directors, which would continue to be the affirmative vote of the holders of 80% of the combined voting power of the then outstanding shares of stock entitled to vote generally in the election of directors, voting together as a single class.</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Article III, Section 1 of the Company’s By-Laws provides for the classification of the Board of Directors into three classes, with directors serving staggered three-year terms. In general, our Certificate of Incorporation and By-Laws permit the By-Laws to be amended by the Board of Directors, with exceptions for certain specified provisions of the By-Laws, which may be amended only by the affirmative vote of the holders of at least 80% of the voting power of all the shares of the Company entitled to vote generally in the election of directors, voting together as a single class. Article EIGHTH of our Certificate of Incorporation provides that Article III, Section 1 of the By-Laws may be amended only by such a vote of the stockholders. Accordingly, and to permit the Board of Directors to make conforming amendments to this provision of the By-Laws following the effectiveness of the Board Declassification Amendment, the Board Declassification Amendment includes removing Article III, Section 1 from the list of provisions of the Company’s By-Laws that may be amended only by such a vote of the stockholders. If the Board Declassification Amendment is approved by the stockholders, the Board intends, following the effectiveness of the Board Declassification Amendment, to amend Article III, Section 1 of the By-Laws to conform that provision to the phased transition to annual elections of the Board of Directors included in the Board Declassification Amendment and following the 2027 annual meeting of stockholders to further provide for the election of the Board of Directors solely on an annual basis. If the Board Declassification Amendment is approved by the Stockholders at the Annual Meeting and is effected, the Board of Directors could effect other amendments to Article III, Section 1 of the Company’s By-Laws without supermajority stockholder approval.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739140"/>
                <wp:effectExtent l="0" t="0" r="0" b="0"/>
                <wp:wrapNone/>
                <wp:docPr id="205" name="Frame62"/>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292" w:type="dxa"/>
                              <w:jc w:val="left"/>
                              <w:tblInd w:w="0" w:type="dxa"/>
                              <w:tblLayout w:type="fixed"/>
                              <w:tblCellMar>
                                <w:top w:w="28" w:type="dxa"/>
                                <w:left w:w="28" w:type="dxa"/>
                                <w:bottom w:w="28" w:type="dxa"/>
                                <w:right w:w="28" w:type="dxa"/>
                              </w:tblCellMar>
                            </w:tblPr>
                            <w:tblGrid>
                              <w:gridCol w:w="124"/>
                              <w:gridCol w:w="109"/>
                              <w:gridCol w:w="109"/>
                              <w:gridCol w:w="704"/>
                              <w:gridCol w:w="704"/>
                              <w:gridCol w:w="706"/>
                              <w:gridCol w:w="244"/>
                              <w:gridCol w:w="244"/>
                              <w:gridCol w:w="34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6"/>
                                    </w:rPr>
                                  </w:pPr>
                                  <w:r>
                                    <w:rPr>
                                      <w:rFonts w:ascii="Arial;sans-serif" w:hAnsi="Arial;sans-serif"/>
                                      <w:b/>
                                      <w:color w:val="000000"/>
                                      <w:sz w:val="16"/>
                                    </w:rPr>
                                    <w:t>56</w:t>
                                  </w:r>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2024 PROXY STATEMENT</w:t>
                                  </w:r>
                                </w:p>
                              </w:tc>
                              <w:tc>
                                <w:tcPr>
                                  <w:tcW w:w="83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206" name="Image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 name="Image89" descr=""/>
                                                <pic:cNvPicPr>
                                                  <a:picLocks noChangeAspect="1" noChangeArrowheads="1"/>
                                                </pic:cNvPicPr>
                                              </pic:nvPicPr>
                                              <pic:blipFill>
                                                <a:blip r:embed="rId145"/>
                                                <a:stretch>
                                                  <a:fillRect/>
                                                </a:stretch>
                                              </pic:blipFill>
                                              <pic:spPr bwMode="auto">
                                                <a:xfrm>
                                                  <a:off x="0" y="0"/>
                                                  <a:ext cx="447675" cy="161925"/>
                                                </a:xfrm>
                                                <a:prstGeom prst="rect">
                                                  <a:avLst/>
                                                </a:prstGeom>
                                              </pic:spPr>
                                            </pic:pic>
                                          </a:graphicData>
                                        </a:graphic>
                                      </wp:inline>
                                    </w:drawing>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292" w:type="dxa"/>
                        <w:jc w:val="left"/>
                        <w:tblInd w:w="0" w:type="dxa"/>
                        <w:tblLayout w:type="fixed"/>
                        <w:tblCellMar>
                          <w:top w:w="28" w:type="dxa"/>
                          <w:left w:w="28" w:type="dxa"/>
                          <w:bottom w:w="28" w:type="dxa"/>
                          <w:right w:w="28" w:type="dxa"/>
                        </w:tblCellMar>
                      </w:tblPr>
                      <w:tblGrid>
                        <w:gridCol w:w="124"/>
                        <w:gridCol w:w="109"/>
                        <w:gridCol w:w="109"/>
                        <w:gridCol w:w="704"/>
                        <w:gridCol w:w="704"/>
                        <w:gridCol w:w="706"/>
                        <w:gridCol w:w="244"/>
                        <w:gridCol w:w="244"/>
                        <w:gridCol w:w="34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6"/>
                              </w:rPr>
                            </w:pPr>
                            <w:r>
                              <w:rPr>
                                <w:rFonts w:ascii="Arial;sans-serif" w:hAnsi="Arial;sans-serif"/>
                                <w:b/>
                                <w:color w:val="000000"/>
                                <w:sz w:val="16"/>
                              </w:rPr>
                              <w:t>56</w:t>
                            </w:r>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2024 PROXY STATEMENT</w:t>
                            </w:r>
                          </w:p>
                        </w:tc>
                        <w:tc>
                          <w:tcPr>
                            <w:tcW w:w="83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207" name="Image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 name="Image89" descr=""/>
                                          <pic:cNvPicPr>
                                            <a:picLocks noChangeAspect="1" noChangeArrowheads="1"/>
                                          </pic:cNvPicPr>
                                        </pic:nvPicPr>
                                        <pic:blipFill>
                                          <a:blip r:embed="rId146"/>
                                          <a:stretch>
                                            <a:fillRect/>
                                          </a:stretch>
                                        </pic:blipFill>
                                        <pic:spPr bwMode="auto">
                                          <a:xfrm>
                                            <a:off x="0" y="0"/>
                                            <a:ext cx="447675" cy="161925"/>
                                          </a:xfrm>
                                          <a:prstGeom prst="rect">
                                            <a:avLst/>
                                          </a:prstGeom>
                                        </pic:spPr>
                                      </pic:pic>
                                    </a:graphicData>
                                  </a:graphic>
                                </wp:inline>
                              </w:drawing>
                            </w:r>
                          </w:p>
                        </w:tc>
                      </w:tr>
                    </w:tbl>
                    <w:p>
                      <w:pPr>
                        <w:pStyle w:val="TextBody"/>
                        <w:bidi w:val="0"/>
                        <w:spacing w:before="0" w:after="283"/>
                        <w:jc w:val="left"/>
                        <w:rPr/>
                      </w:pPr>
                      <w:r>
                        <w:rPr/>
                      </w:r>
                    </w:p>
                  </w:txbxContent>
                </v:textbox>
                <w10:wrap type="none"/>
              </v:rect>
            </w:pict>
          </mc:Fallback>
        </mc:AlternateContent>
      </w:r>
    </w:p>
    <w:tbl>
      <w:tblPr>
        <w:tblW w:w="1664" w:type="dxa"/>
        <w:jc w:val="right"/>
        <w:tblInd w:w="0" w:type="dxa"/>
        <w:tblLayout w:type="fixed"/>
        <w:tblCellMar>
          <w:top w:w="28" w:type="dxa"/>
          <w:left w:w="28" w:type="dxa"/>
          <w:bottom w:w="28" w:type="dxa"/>
          <w:right w:w="28" w:type="dxa"/>
        </w:tblCellMar>
      </w:tblPr>
      <w:tblGrid>
        <w:gridCol w:w="532"/>
        <w:gridCol w:w="468"/>
        <w:gridCol w:w="664"/>
      </w:tblGrid>
      <w:tr>
        <w:trPr/>
        <w:tc>
          <w:tcPr>
            <w:tcW w:w="532"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r>
      <w:tr>
        <w:trPr/>
        <w:tc>
          <w:tcPr>
            <w:tcW w:w="1664" w:type="dxa"/>
            <w:gridSpan w:val="3"/>
            <w:tcBorders>
              <w:bottom w:val="single" w:sz="4" w:space="0" w:color="004C97"/>
            </w:tcBorders>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4C97"/>
                <w:sz w:val="16"/>
              </w:rPr>
            </w:pPr>
            <w:r>
              <w:rPr>
                <w:rFonts w:ascii="Arial;sans-serif" w:hAnsi="Arial;sans-serif"/>
                <w:b w:val="false"/>
                <w:color w:val="004C97"/>
                <w:sz w:val="16"/>
              </w:rPr>
              <w:t>PROPOSAL THREE</w:t>
            </w:r>
          </w:p>
        </w:tc>
      </w:tr>
    </w:tbl>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The text of the Board Declassification Amendment is attached as Appendix A to this proxy statement and is marked to show the proposed deletions (by strikethrough) and insertions (by underlining) necessary to effectuate the Board Declassification Amendment. The foregoing general description of the Board Declassification Amendment is qualified in its entirety by reference to Appendix A.</w:t>
      </w:r>
    </w:p>
    <w:p>
      <w:pPr>
        <w:pStyle w:val="TextBody"/>
        <w:bidi w:val="0"/>
        <w:spacing w:lineRule="auto" w:line="288" w:before="0" w:after="60"/>
        <w:jc w:val="both"/>
        <w:rPr>
          <w:rFonts w:ascii="Arial;sans-serif" w:hAnsi="Arial;sans-serif"/>
          <w:b/>
          <w:color w:val="000000"/>
          <w:sz w:val="22"/>
        </w:rPr>
      </w:pPr>
      <w:r>
        <w:rPr>
          <w:rFonts w:ascii="Arial;sans-serif" w:hAnsi="Arial;sans-serif"/>
          <w:b/>
          <w:color w:val="000000"/>
          <w:sz w:val="22"/>
        </w:rPr>
        <w:t>REASONS FOR THE AMENDMENT</w:t>
      </w:r>
    </w:p>
    <w:p>
      <w:pPr>
        <w:pStyle w:val="TextBody"/>
        <w:bidi w:val="0"/>
        <w:spacing w:lineRule="auto" w:line="288" w:before="0" w:after="120"/>
        <w:jc w:val="both"/>
        <w:rPr>
          <w:rFonts w:ascii="Arial;sans-serif" w:hAnsi="Arial;sans-serif"/>
          <w:b w:val="false"/>
          <w:color w:val="000000"/>
          <w:sz w:val="18"/>
        </w:rPr>
      </w:pPr>
      <w:r>
        <w:rPr>
          <w:rFonts w:ascii="Arial;sans-serif" w:hAnsi="Arial;sans-serif"/>
          <w:b w:val="false"/>
          <w:color w:val="000000"/>
          <w:sz w:val="18"/>
        </w:rPr>
        <w:t>In early 2023, as part of its consideration of our corporate governance practices, taking into account conversations with certain of our stockholders, the Board began evaluating an amendment to our Certificate of Incorporation to effect a phased de-classification of the Board of Directors. In the proxy statement for our 2023 annual meeting of stockholders, we noted that the Board was contemplating presenting such a proposal to the stockholders for approval at the 2024 Annual Meeting. The Board determined to propose the Board Declassification Amendment following consideration of a number of factors and the input of certain stockholders in favor of such an amendment to our Certificate of Incorporation. Factors considered by the Board include:</w:t>
      </w:r>
    </w:p>
    <w:p>
      <w:pPr>
        <w:pStyle w:val="TextBody"/>
        <w:bidi w:val="0"/>
        <w:spacing w:lineRule="auto" w:line="288" w:before="0" w:after="120"/>
        <w:ind w:left="0" w:right="0" w:hanging="216"/>
        <w:jc w:val="both"/>
        <w:rPr/>
      </w:pPr>
      <w:r>
        <w:rPr>
          <w:color w:val="000000"/>
        </w:rPr>
        <w:t>•</w:t>
      </w:r>
      <w:r>
        <w:rPr>
          <w:rFonts w:ascii="Arial;sans-serif" w:hAnsi="Arial;sans-serif"/>
          <w:b w:val="false"/>
          <w:color w:val="000000"/>
          <w:sz w:val="18"/>
        </w:rPr>
        <w:t>the view of stockholders who believe that classified boards reduce the accountability of directors to stockholders because stockholders are unable to evaluate and consider all directors for election on an annual basis;</w:t>
      </w:r>
    </w:p>
    <w:p>
      <w:pPr>
        <w:pStyle w:val="TextBody"/>
        <w:bidi w:val="0"/>
        <w:spacing w:lineRule="auto" w:line="288" w:before="0" w:after="120"/>
        <w:ind w:left="0" w:right="0" w:hanging="216"/>
        <w:jc w:val="both"/>
        <w:rPr/>
      </w:pPr>
      <w:r>
        <w:rPr>
          <w:color w:val="000000"/>
        </w:rPr>
        <w:t>•</w:t>
      </w:r>
      <w:r>
        <w:rPr>
          <w:rFonts w:ascii="Arial;sans-serif" w:hAnsi="Arial;sans-serif"/>
          <w:b w:val="false"/>
          <w:color w:val="000000"/>
          <w:sz w:val="18"/>
        </w:rPr>
        <w:t xml:space="preserve">the evolution of corporate governance practices since the Company's adoption of a classified board structure, with stockholders and other stakeholders now generally supporting annual election of directors; </w:t>
      </w:r>
    </w:p>
    <w:p>
      <w:pPr>
        <w:pStyle w:val="TextBody"/>
        <w:bidi w:val="0"/>
        <w:spacing w:lineRule="auto" w:line="288" w:before="0" w:after="120"/>
        <w:ind w:left="0" w:right="0" w:hanging="216"/>
        <w:jc w:val="both"/>
        <w:rPr/>
      </w:pPr>
      <w:r>
        <w:rPr>
          <w:color w:val="000000"/>
        </w:rPr>
        <w:t>•</w:t>
      </w:r>
      <w:r>
        <w:rPr>
          <w:rFonts w:ascii="Arial;sans-serif" w:hAnsi="Arial;sans-serif"/>
          <w:b w:val="false"/>
          <w:color w:val="000000"/>
          <w:sz w:val="18"/>
        </w:rPr>
        <w:t xml:space="preserve">the benefits of retaining a classified board structure, which may promote stockholder value by providing continuity and stability in the management of the business and affairs of the Company, as a majority of the Board of Directors always has prior experience as directors of the Company; and </w:t>
      </w:r>
    </w:p>
    <w:p>
      <w:pPr>
        <w:pStyle w:val="TextBody"/>
        <w:bidi w:val="0"/>
        <w:spacing w:lineRule="auto" w:line="288" w:before="0" w:after="180"/>
        <w:ind w:left="0" w:right="0" w:hanging="216"/>
        <w:jc w:val="both"/>
        <w:rPr/>
      </w:pPr>
      <w:r>
        <w:rPr>
          <w:color w:val="000000"/>
        </w:rPr>
        <w:t>•</w:t>
      </w:r>
      <w:r>
        <w:rPr>
          <w:rFonts w:ascii="Arial;sans-serif" w:hAnsi="Arial;sans-serif"/>
          <w:b w:val="false"/>
          <w:color w:val="000000"/>
          <w:sz w:val="18"/>
        </w:rPr>
        <w:t>that a classified board structure may enhance stockholder value by forcing an entity seeking control of the Company to initiate arm’s-length discussions with the Board of Directors (since the entire Board of Directors cannot be replaced in a single election) and whether the Company would have appropriate other safeguards to protect the interests of all stockholders and discourage a would-be acquirer from proceeding with a proposal that undervalues the Company or is opportunistic, which safeguards include other provisions of our Certificate of Incorporation and By-Laws, as well as certain provisions of Delaware law.</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 xml:space="preserve">After careful consideration of the issue, and upon the unanimous recommendation of the Governance &amp; Sustainability Committee, the Board has determined that it would be in the best interests of the Company and our stockholders to amend Article EIGHTH of our Certificate of Incorporation to eliminate classification of the Board, to provide for the annual election of the Board of Directors as set forth in the Board Declassification Amendment and to permit subsequent conforming amendments to the By-Laws without supermajority stockholder approval. </w:t>
      </w:r>
    </w:p>
    <w:p>
      <w:pPr>
        <w:pStyle w:val="TextBody"/>
        <w:bidi w:val="0"/>
        <w:spacing w:lineRule="auto" w:line="288" w:before="0" w:after="60"/>
        <w:jc w:val="both"/>
        <w:rPr>
          <w:rFonts w:ascii="Arial;sans-serif" w:hAnsi="Arial;sans-serif"/>
          <w:b/>
          <w:color w:val="000000"/>
          <w:sz w:val="22"/>
        </w:rPr>
      </w:pPr>
      <w:r>
        <w:rPr>
          <w:rFonts w:ascii="Arial;sans-serif" w:hAnsi="Arial;sans-serif"/>
          <w:b/>
          <w:color w:val="000000"/>
          <w:sz w:val="22"/>
        </w:rPr>
        <w:t>ADDITIONAL INFORMATION</w:t>
      </w:r>
    </w:p>
    <w:p>
      <w:pPr>
        <w:pStyle w:val="TextBody"/>
        <w:bidi w:val="0"/>
        <w:spacing w:lineRule="auto" w:line="288" w:before="0" w:after="140"/>
        <w:jc w:val="both"/>
        <w:rPr>
          <w:rFonts w:ascii="Arial;sans-serif" w:hAnsi="Arial;sans-serif"/>
          <w:b w:val="false"/>
          <w:color w:val="000000"/>
          <w:sz w:val="18"/>
        </w:rPr>
      </w:pPr>
      <w:r>
        <w:rPr>
          <w:rFonts w:ascii="Arial;sans-serif" w:hAnsi="Arial;sans-serif"/>
          <w:b w:val="false"/>
          <w:color w:val="000000"/>
          <w:sz w:val="18"/>
        </w:rPr>
        <w:t>Our Certificate of Incorporation provides that the affirmative vote of the holders of at least 80% of the voting power of all outstanding shares entitled to vote generally in the election of directors is required to approve the Board Declassification Amendment. If a stockholder abstains from voting or directs the stockholder's proxy to abstain from voting on the proposal to approve the Board Declassification Amendment, the abstention has the same effect as a vote against this proposal. Shares of voting stock of the Company resulting in broker non-votes, if any, also have the same effect as a vote against this proposal.</w:t>
      </w:r>
    </w:p>
    <w:p>
      <w:pPr>
        <w:pStyle w:val="TextBody"/>
        <w:bidi w:val="0"/>
        <w:spacing w:lineRule="auto" w:line="288" w:before="0" w:after="240"/>
        <w:jc w:val="both"/>
        <w:rPr>
          <w:rFonts w:ascii="Arial;sans-serif" w:hAnsi="Arial;sans-serif"/>
          <w:b w:val="false"/>
          <w:color w:val="000000"/>
          <w:sz w:val="18"/>
        </w:rPr>
      </w:pPr>
      <w:r>
        <w:rPr>
          <w:rFonts w:ascii="Arial;sans-serif" w:hAnsi="Arial;sans-serif"/>
          <w:b w:val="false"/>
          <w:color w:val="000000"/>
          <w:sz w:val="18"/>
        </w:rPr>
        <w:t xml:space="preserve">If our stockholders approve the Board Declassification Amendment, the changes to our Certificate of Incorporation described in this section will become legally effective upon the filing of a certificate of amendment reflecting the Board Declassification Amendment with the Secretary of State of the State of Delaware, which filing is expected to occur shortly following the Annual Meeting. If our stockholders do not approve the Board Declassification Amendment, the changes described in this section will not be made. In particular, the Board will remain classified, directors will remain removable by our stockholders only for cause, and the supermajority stockholder voting standard currently applicable to amendments to Article III, Section 1 of the Company’s By-Laws will remain effective. The approval of the Board Declassification Amendment is not conditioned upon approval by the stockholders of any of the other proposed amendments to our Certificate of Incorporation described in this proxy statement. If the Board Declassification Amendment is approved by the stockholders, the Company intends to effect this amendment even if the stockholders fail to approve the other proposed amendments to our Certificate of Incorporation described in this proxy statement.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313"/>
        <w:gridCol w:w="313"/>
        <w:gridCol w:w="315"/>
        <w:gridCol w:w="2848"/>
        <w:gridCol w:w="2848"/>
        <w:gridCol w:w="2852"/>
        <w:gridCol w:w="109"/>
        <w:gridCol w:w="109"/>
        <w:gridCol w:w="15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2848" w:type="dxa"/>
            <w:tcBorders/>
            <w:vAlign w:val="center"/>
          </w:tcPr>
          <w:p>
            <w:pPr>
              <w:pStyle w:val="TableContents"/>
              <w:bidi w:val="0"/>
              <w:spacing w:before="0" w:after="283"/>
              <w:jc w:val="left"/>
              <w:rPr>
                <w:sz w:val="4"/>
                <w:szCs w:val="4"/>
              </w:rPr>
            </w:pPr>
            <w:r>
              <w:rPr>
                <w:sz w:val="4"/>
                <w:szCs w:val="4"/>
              </w:rPr>
            </w:r>
          </w:p>
        </w:tc>
        <w:tc>
          <w:tcPr>
            <w:tcW w:w="2848" w:type="dxa"/>
            <w:tcBorders/>
            <w:vAlign w:val="center"/>
          </w:tcPr>
          <w:p>
            <w:pPr>
              <w:pStyle w:val="TableContents"/>
              <w:bidi w:val="0"/>
              <w:spacing w:before="0" w:after="283"/>
              <w:jc w:val="left"/>
              <w:rPr>
                <w:sz w:val="4"/>
                <w:szCs w:val="4"/>
              </w:rPr>
            </w:pPr>
            <w:r>
              <w:rPr>
                <w:sz w:val="4"/>
                <w:szCs w:val="4"/>
              </w:rPr>
            </w:r>
          </w:p>
        </w:tc>
        <w:tc>
          <w:tcPr>
            <w:tcW w:w="28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4C97"/>
              <w:left w:val="single" w:sz="8" w:space="0" w:color="004C97"/>
              <w:bottom w:val="single" w:sz="8" w:space="0" w:color="004C97"/>
            </w:tcBorders>
            <w:tcMar>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top w:val="single" w:sz="8" w:space="0" w:color="004C97"/>
              <w:bottom w:val="single" w:sz="8" w:space="0" w:color="004C97"/>
            </w:tcBorders>
            <w:tcMar>
              <w:left w:w="0" w:type="dxa"/>
              <w:right w:w="0" w:type="dxa"/>
            </w:tcMar>
            <w:vAlign w:val="center"/>
          </w:tcPr>
          <w:p>
            <w:pPr>
              <w:pStyle w:val="TableContents"/>
              <w:bidi w:val="0"/>
              <w:spacing w:before="0" w:after="0"/>
              <w:jc w:val="center"/>
              <w:rPr/>
            </w:pPr>
            <w:r>
              <w:rPr/>
              <w:drawing>
                <wp:inline distT="0" distB="0" distL="0" distR="0">
                  <wp:extent cx="542925" cy="542925"/>
                  <wp:effectExtent l="0" t="0" r="0" b="0"/>
                  <wp:docPr id="208" name="Image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 name="Image90" descr=""/>
                          <pic:cNvPicPr>
                            <a:picLocks noChangeAspect="1" noChangeArrowheads="1"/>
                          </pic:cNvPicPr>
                        </pic:nvPicPr>
                        <pic:blipFill>
                          <a:blip r:embed="rId147"/>
                          <a:stretch>
                            <a:fillRect/>
                          </a:stretch>
                        </pic:blipFill>
                        <pic:spPr bwMode="auto">
                          <a:xfrm>
                            <a:off x="0" y="0"/>
                            <a:ext cx="542925" cy="542925"/>
                          </a:xfrm>
                          <a:prstGeom prst="rect">
                            <a:avLst/>
                          </a:prstGeom>
                        </pic:spPr>
                      </pic:pic>
                    </a:graphicData>
                  </a:graphic>
                </wp:inline>
              </w:drawing>
            </w:r>
          </w:p>
        </w:tc>
        <w:tc>
          <w:tcPr>
            <w:tcW w:w="8548" w:type="dxa"/>
            <w:gridSpan w:val="3"/>
            <w:tcBorders>
              <w:top w:val="single" w:sz="8" w:space="0" w:color="004C97"/>
              <w:bottom w:val="single" w:sz="8" w:space="0" w:color="004C97"/>
            </w:tcBorders>
            <w:tcMar>
              <w:top w:w="30" w:type="dxa"/>
              <w:left w:w="0" w:type="dxa"/>
              <w:bottom w:w="30" w:type="dxa"/>
              <w:right w:w="0" w:type="dxa"/>
            </w:tcMar>
            <w:vAlign w:val="center"/>
          </w:tcPr>
          <w:p>
            <w:pPr>
              <w:pStyle w:val="TableContents"/>
              <w:bidi w:val="0"/>
              <w:spacing w:lineRule="auto" w:line="288" w:before="0" w:after="0"/>
              <w:jc w:val="left"/>
              <w:rPr/>
            </w:pPr>
            <w:r>
              <w:rPr>
                <w:rFonts w:ascii="Arial;sans-serif" w:hAnsi="Arial;sans-serif"/>
                <w:b w:val="false"/>
                <w:color w:val="004C97"/>
                <w:sz w:val="20"/>
              </w:rPr>
              <w:t xml:space="preserve">YOUR BOARD OF DIRECTORS UNANIMOUSLY RECOMMENDS A VOTE </w:t>
            </w:r>
            <w:r>
              <w:rPr>
                <w:color w:val="004C97"/>
              </w:rPr>
              <w:t>“</w:t>
            </w:r>
            <w:r>
              <w:rPr>
                <w:rFonts w:ascii="Arial;sans-serif" w:hAnsi="Arial;sans-serif"/>
                <w:b/>
                <w:color w:val="004C97"/>
                <w:sz w:val="20"/>
              </w:rPr>
              <w:t xml:space="preserve">FOR” </w:t>
            </w:r>
            <w:r>
              <w:rPr>
                <w:rFonts w:ascii="Arial;sans-serif" w:hAnsi="Arial;sans-serif"/>
                <w:b w:val="false"/>
                <w:color w:val="004C97"/>
                <w:sz w:val="20"/>
              </w:rPr>
              <w:t>APPROVAL OF THE BOARD DECLASSIFICATION AMENDMENT.</w:t>
            </w:r>
          </w:p>
        </w:tc>
        <w:tc>
          <w:tcPr>
            <w:tcW w:w="374" w:type="dxa"/>
            <w:gridSpan w:val="3"/>
            <w:tcBorders>
              <w:top w:val="single" w:sz="8" w:space="0" w:color="004C97"/>
              <w:bottom w:val="single" w:sz="8" w:space="0" w:color="004C97"/>
              <w:right w:val="single" w:sz="8" w:space="0" w:color="004C97"/>
            </w:tcBorders>
            <w:tcMar>
              <w:lef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739140"/>
                <wp:effectExtent l="0" t="0" r="0" b="0"/>
                <wp:wrapNone/>
                <wp:docPr id="209" name="Frame63"/>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292" w:type="dxa"/>
                              <w:jc w:val="right"/>
                              <w:tblInd w:w="0" w:type="dxa"/>
                              <w:tblLayout w:type="fixed"/>
                              <w:tblCellMar>
                                <w:top w:w="28" w:type="dxa"/>
                                <w:left w:w="28" w:type="dxa"/>
                                <w:bottom w:w="28" w:type="dxa"/>
                                <w:right w:w="28" w:type="dxa"/>
                              </w:tblCellMar>
                            </w:tblPr>
                            <w:tblGrid>
                              <w:gridCol w:w="292"/>
                              <w:gridCol w:w="256"/>
                              <w:gridCol w:w="258"/>
                              <w:gridCol w:w="704"/>
                              <w:gridCol w:w="704"/>
                              <w:gridCol w:w="706"/>
                              <w:gridCol w:w="109"/>
                              <w:gridCol w:w="109"/>
                              <w:gridCol w:w="154"/>
                            </w:tblGrid>
                            <w:tr>
                              <w:trPr/>
                              <w:tc>
                                <w:tcPr>
                                  <w:tcW w:w="29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0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210" name="Image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 name="Image91" descr=""/>
                                                <pic:cNvPicPr>
                                                  <a:picLocks noChangeAspect="1" noChangeArrowheads="1"/>
                                                </pic:cNvPicPr>
                                              </pic:nvPicPr>
                                              <pic:blipFill>
                                                <a:blip r:embed="rId148"/>
                                                <a:stretch>
                                                  <a:fillRect/>
                                                </a:stretch>
                                              </pic:blipFill>
                                              <pic:spPr bwMode="auto">
                                                <a:xfrm>
                                                  <a:off x="0" y="0"/>
                                                  <a:ext cx="447675" cy="161925"/>
                                                </a:xfrm>
                                                <a:prstGeom prst="rect">
                                                  <a:avLst/>
                                                </a:prstGeom>
                                              </pic:spPr>
                                            </pic:pic>
                                          </a:graphicData>
                                        </a:graphic>
                                      </wp:inline>
                                    </w:drawing>
                                  </w:r>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2024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000000"/>
                                      <w:sz w:val="16"/>
                                    </w:rPr>
                                  </w:pPr>
                                  <w:r>
                                    <w:rPr>
                                      <w:rFonts w:ascii="Arial;sans-serif" w:hAnsi="Arial;sans-serif"/>
                                      <w:b/>
                                      <w:color w:val="000000"/>
                                      <w:sz w:val="16"/>
                                    </w:rPr>
                                    <w:t>57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292" w:type="dxa"/>
                        <w:jc w:val="right"/>
                        <w:tblInd w:w="0" w:type="dxa"/>
                        <w:tblLayout w:type="fixed"/>
                        <w:tblCellMar>
                          <w:top w:w="28" w:type="dxa"/>
                          <w:left w:w="28" w:type="dxa"/>
                          <w:bottom w:w="28" w:type="dxa"/>
                          <w:right w:w="28" w:type="dxa"/>
                        </w:tblCellMar>
                      </w:tblPr>
                      <w:tblGrid>
                        <w:gridCol w:w="292"/>
                        <w:gridCol w:w="256"/>
                        <w:gridCol w:w="258"/>
                        <w:gridCol w:w="704"/>
                        <w:gridCol w:w="704"/>
                        <w:gridCol w:w="706"/>
                        <w:gridCol w:w="109"/>
                        <w:gridCol w:w="109"/>
                        <w:gridCol w:w="154"/>
                      </w:tblGrid>
                      <w:tr>
                        <w:trPr/>
                        <w:tc>
                          <w:tcPr>
                            <w:tcW w:w="29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0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211" name="Image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 name="Image91" descr=""/>
                                          <pic:cNvPicPr>
                                            <a:picLocks noChangeAspect="1" noChangeArrowheads="1"/>
                                          </pic:cNvPicPr>
                                        </pic:nvPicPr>
                                        <pic:blipFill>
                                          <a:blip r:embed="rId149"/>
                                          <a:stretch>
                                            <a:fillRect/>
                                          </a:stretch>
                                        </pic:blipFill>
                                        <pic:spPr bwMode="auto">
                                          <a:xfrm>
                                            <a:off x="0" y="0"/>
                                            <a:ext cx="447675" cy="161925"/>
                                          </a:xfrm>
                                          <a:prstGeom prst="rect">
                                            <a:avLst/>
                                          </a:prstGeom>
                                        </pic:spPr>
                                      </pic:pic>
                                    </a:graphicData>
                                  </a:graphic>
                                </wp:inline>
                              </w:drawing>
                            </w:r>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2024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000000"/>
                                <w:sz w:val="16"/>
                              </w:rPr>
                            </w:pPr>
                            <w:r>
                              <w:rPr>
                                <w:rFonts w:ascii="Arial;sans-serif" w:hAnsi="Arial;sans-serif"/>
                                <w:b/>
                                <w:color w:val="000000"/>
                                <w:sz w:val="16"/>
                              </w:rPr>
                              <w:t>57</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312" w:before="0" w:after="240"/>
        <w:jc w:val="left"/>
        <w:rPr>
          <w:rFonts w:ascii="Arial;sans-serif" w:hAnsi="Arial;sans-serif"/>
          <w:b/>
          <w:color w:val="004C97"/>
          <w:sz w:val="42"/>
        </w:rPr>
      </w:pPr>
      <w:r>
        <w:rPr>
          <w:rFonts w:ascii="Arial;sans-serif" w:hAnsi="Arial;sans-serif"/>
          <w:b/>
          <w:color w:val="004C97"/>
          <w:sz w:val="42"/>
        </w:rPr>
        <w:t>PROPOSAL 4: APPROVAL OF THE AMENDMENT TO OUR CERTIFICATE OF INCORPORATION TO PROVIDE FOR EXCULPATION OF CERTAIN OFFICERS AS PERMITTED BY RECENT AMENDMENTS TO DELAWARE LAW</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Our Board has voted unanimously to approve, and has recommended that our stockholders approve, an amendment to our Certificate of Incorporation to provide for exculpation of certain officers of the Company for monetary liability for breach of the fiduciary duty of care as permitted by recent amendments to Delaware law. We refer to this proposed amendment to our Certificate of Incorporation as the “Officer Exculpation Amendment.”</w:t>
      </w:r>
    </w:p>
    <w:p>
      <w:pPr>
        <w:pStyle w:val="TextBody"/>
        <w:bidi w:val="0"/>
        <w:spacing w:lineRule="auto" w:line="288" w:before="0" w:after="60"/>
        <w:jc w:val="both"/>
        <w:rPr>
          <w:rFonts w:ascii="Arial;sans-serif" w:hAnsi="Arial;sans-serif"/>
          <w:b/>
          <w:color w:val="000000"/>
          <w:sz w:val="22"/>
        </w:rPr>
      </w:pPr>
      <w:r>
        <w:rPr>
          <w:rFonts w:ascii="Arial;sans-serif" w:hAnsi="Arial;sans-serif"/>
          <w:b/>
          <w:color w:val="000000"/>
          <w:sz w:val="22"/>
        </w:rPr>
        <w:t>THE PROPOSED AMENDMENT</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Effective August 1, 2022, Section 102(b)(7) of the General Corporation Law of the State of Delaware (the “DGCL”) was amended to authorize corporations to adopt a provision in their certificate of incorporation to eliminate or limit monetary liability of certain corporate officers for breach of the fiduciary duty of care. Previously, the DGCL allowed exculpation of only directors for breach of the fiduciary duty of care. As amended, Section 102(b)(7) of the DGCL authorizes corporations to provide for exculpation of the following officers: (i) the corporation’s president, chief executive officer, chief operating officer, chief financial officer, chief legal officer, controller, treasurer or chief accounting officer, (ii) “named executive officers” identified in the corporation’s SEC filings, and (iii) other individuals who have agreed to be identified as officers of the corporation.</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 xml:space="preserve">Section 102(b)(7) of the DGCL permits, and the Officer Exculpation Amendment would permit, the exculpation of certain officers only in connection with direct claims brought by stockholders, including class actions, but would not eliminate officers’ monetary liability for breach of fiduciary duty claims brought by the Company itself or for derivative claims brought by stockholders in the name of the Company. In addition, as is currently the case with directors under our Certificate of Incorporation, the Officer Exculpation Amendment would not limit the liability of officers for any breach of the duty of loyalty to the Company or its stockholders, any acts or omissions not in good faith or which involve intentional misconduct or a knowing violation of the law and any transaction from which the officer derived an improper personal benefit. The protections afforded to officers under Section 102(b)(7) of the DGCL are limited to monetary damages only. Accordingly, claims against officers for equitable relief would be available under Section 102(b)(7) of the DGCL. </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Section (a) of Article THIRTEENTH of our Certificate of Incorporation currently provides for the exculpation of directors, but does not include a provision that allows for the exculpation of officers. At the Annual Meeting, the stockholders will be requested to approve the Officer Exculpation Amendment, which would amend Section (a) of Article THIRTEENTH of our Certificate of Incorporation by adding a provision to extend the exculpation provision to certain of our officers as permitted by the DGCL, as now in effect or as it may be subsequently amended. The Officer Exculpation Amendment further provides that any repeal or modification of Section (a) of Article THIRTEENTH by the stockholders of the Company would not adversely affect any right or protection of any such officer existing at the time of such repeal or modification.</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The text of the Officer Exculpation Amendment is attached as Appendix B to this proxy statement and is marked to show the proposed deletions (by strikethrough) and insertions (by underlining) necessary to effectuate the Officer Exculpation Amendment. The foregoing general description of the Officer Exculpation Amendment is qualified in its entirety by reference to Appendix B.</w:t>
      </w:r>
    </w:p>
    <w:p>
      <w:pPr>
        <w:pStyle w:val="TextBody"/>
        <w:bidi w:val="0"/>
        <w:spacing w:lineRule="auto" w:line="288" w:before="0" w:after="60"/>
        <w:jc w:val="both"/>
        <w:rPr>
          <w:rFonts w:ascii="Arial;sans-serif" w:hAnsi="Arial;sans-serif"/>
          <w:b/>
          <w:color w:val="000000"/>
          <w:sz w:val="22"/>
        </w:rPr>
      </w:pPr>
      <w:r>
        <w:rPr>
          <w:rFonts w:ascii="Arial;sans-serif" w:hAnsi="Arial;sans-serif"/>
          <w:b/>
          <w:color w:val="000000"/>
          <w:sz w:val="22"/>
        </w:rPr>
        <w:t>REASONS FOR THE AMENDMENT</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The Board believes it is important to provide protection from certain monetary liabilities and expenses that may discourage prospective or current officers from accepting or continuing service with the Company. As with directors, officers frequently must make decisions in response to time-sensitive opportunities and challenges, which can create substantial risk of investigations, claims, actions, suits or proceedings seeking to impose liability on the basis of hindsight. This is especially the case in the current litigious environment where stockholder plaintiffs have employed a tactic of bringing certain claims against officers, that would otherwise be exculpated if brought against directors, to avoid dismissal of such claims. The Officer Exculpation Amendment would align the protections for our officers with those protections currently afforded to our directors.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739140"/>
                <wp:effectExtent l="0" t="0" r="0" b="0"/>
                <wp:wrapNone/>
                <wp:docPr id="212" name="Frame64"/>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292" w:type="dxa"/>
                              <w:jc w:val="left"/>
                              <w:tblInd w:w="0" w:type="dxa"/>
                              <w:tblLayout w:type="fixed"/>
                              <w:tblCellMar>
                                <w:top w:w="28" w:type="dxa"/>
                                <w:left w:w="28" w:type="dxa"/>
                                <w:bottom w:w="28" w:type="dxa"/>
                                <w:right w:w="28" w:type="dxa"/>
                              </w:tblCellMar>
                            </w:tblPr>
                            <w:tblGrid>
                              <w:gridCol w:w="124"/>
                              <w:gridCol w:w="109"/>
                              <w:gridCol w:w="109"/>
                              <w:gridCol w:w="704"/>
                              <w:gridCol w:w="704"/>
                              <w:gridCol w:w="706"/>
                              <w:gridCol w:w="244"/>
                              <w:gridCol w:w="244"/>
                              <w:gridCol w:w="34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6"/>
                                    </w:rPr>
                                  </w:pPr>
                                  <w:r>
                                    <w:rPr>
                                      <w:rFonts w:ascii="Arial;sans-serif" w:hAnsi="Arial;sans-serif"/>
                                      <w:b/>
                                      <w:color w:val="000000"/>
                                      <w:sz w:val="16"/>
                                    </w:rPr>
                                    <w:t>58</w:t>
                                  </w:r>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2024 PROXY STATEMENT</w:t>
                                  </w:r>
                                </w:p>
                              </w:tc>
                              <w:tc>
                                <w:tcPr>
                                  <w:tcW w:w="83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213" name="Image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 name="Image92" descr=""/>
                                                <pic:cNvPicPr>
                                                  <a:picLocks noChangeAspect="1" noChangeArrowheads="1"/>
                                                </pic:cNvPicPr>
                                              </pic:nvPicPr>
                                              <pic:blipFill>
                                                <a:blip r:embed="rId150"/>
                                                <a:stretch>
                                                  <a:fillRect/>
                                                </a:stretch>
                                              </pic:blipFill>
                                              <pic:spPr bwMode="auto">
                                                <a:xfrm>
                                                  <a:off x="0" y="0"/>
                                                  <a:ext cx="447675" cy="161925"/>
                                                </a:xfrm>
                                                <a:prstGeom prst="rect">
                                                  <a:avLst/>
                                                </a:prstGeom>
                                              </pic:spPr>
                                            </pic:pic>
                                          </a:graphicData>
                                        </a:graphic>
                                      </wp:inline>
                                    </w:drawing>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292" w:type="dxa"/>
                        <w:jc w:val="left"/>
                        <w:tblInd w:w="0" w:type="dxa"/>
                        <w:tblLayout w:type="fixed"/>
                        <w:tblCellMar>
                          <w:top w:w="28" w:type="dxa"/>
                          <w:left w:w="28" w:type="dxa"/>
                          <w:bottom w:w="28" w:type="dxa"/>
                          <w:right w:w="28" w:type="dxa"/>
                        </w:tblCellMar>
                      </w:tblPr>
                      <w:tblGrid>
                        <w:gridCol w:w="124"/>
                        <w:gridCol w:w="109"/>
                        <w:gridCol w:w="109"/>
                        <w:gridCol w:w="704"/>
                        <w:gridCol w:w="704"/>
                        <w:gridCol w:w="706"/>
                        <w:gridCol w:w="244"/>
                        <w:gridCol w:w="244"/>
                        <w:gridCol w:w="34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6"/>
                              </w:rPr>
                            </w:pPr>
                            <w:r>
                              <w:rPr>
                                <w:rFonts w:ascii="Arial;sans-serif" w:hAnsi="Arial;sans-serif"/>
                                <w:b/>
                                <w:color w:val="000000"/>
                                <w:sz w:val="16"/>
                              </w:rPr>
                              <w:t>58</w:t>
                            </w:r>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2024 PROXY STATEMENT</w:t>
                            </w:r>
                          </w:p>
                        </w:tc>
                        <w:tc>
                          <w:tcPr>
                            <w:tcW w:w="83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214" name="Image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 name="Image92" descr=""/>
                                          <pic:cNvPicPr>
                                            <a:picLocks noChangeAspect="1" noChangeArrowheads="1"/>
                                          </pic:cNvPicPr>
                                        </pic:nvPicPr>
                                        <pic:blipFill>
                                          <a:blip r:embed="rId151"/>
                                          <a:stretch>
                                            <a:fillRect/>
                                          </a:stretch>
                                        </pic:blipFill>
                                        <pic:spPr bwMode="auto">
                                          <a:xfrm>
                                            <a:off x="0" y="0"/>
                                            <a:ext cx="447675" cy="161925"/>
                                          </a:xfrm>
                                          <a:prstGeom prst="rect">
                                            <a:avLst/>
                                          </a:prstGeom>
                                        </pic:spPr>
                                      </pic:pic>
                                    </a:graphicData>
                                  </a:graphic>
                                </wp:inline>
                              </w:drawing>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120"/>
        <w:jc w:val="right"/>
        <w:rPr>
          <w:rFonts w:ascii="Arial;sans-serif" w:hAnsi="Arial;sans-serif"/>
          <w:b w:val="false"/>
          <w:color w:val="004C97"/>
          <w:sz w:val="16"/>
        </w:rPr>
      </w:pPr>
      <w:r>
        <w:rPr>
          <w:rFonts w:ascii="Arial;sans-serif" w:hAnsi="Arial;sans-serif"/>
          <w:b w:val="false"/>
          <w:color w:val="004C97"/>
          <w:sz w:val="16"/>
        </w:rPr>
        <w:t>PROPOSAL 4: OFFICER EXCULPATION AMENDMENT</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70A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In addition, the Board believes the Officer Exculpation Amendment would better position the Company to attract top officer candidates. In the absence of this exculpatory protection, qualified individuals might be deterred from serving as officers of the Company due to exposure to personal liability and the risk that substantial expense will be incurred in defending lawsuits, regardless of merit. Numerous Delaware corporations have amended their certificates of incorporation to include similar officer exculpation provisions since the enactment of the amendments to Section 102(b)(7) of the DGCL, and we expect our peers that are Delaware corporations may adopt similar officer exculpation provisions. Failing to adopt the Officer Exculpation Amendment could impact our recruitment and retention of exceptional officer candidates who conclude that the potential exposure to liabilities, costs of defense and other risks of proceedings exceeds the benefits of serving as an officer of the Company.</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The Board also took into account the narrow class and type of claims from which such officers would be exculpated from liability pursuant to Section 102(b)(7) of the DGCL, the limited number of our officers that would be impacted, and the benefits the Board believes would accrue to the Company by providing exculpation in accordance with Section 102(b)(7) of the DGCL, including the ability to further enable our officers to best exercise their business judgment in furtherance of stockholder interests.</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 xml:space="preserve">After careful consideration of the issue, and upon the unanimous recommendation of the Governance &amp; Sustainability Committee, the Board has determined that it would be in the best interests of the Company and our stockholders to amend Section (a) of Article THIRTEENTH of our Certificate of Incorporation to provide for exculpation of certain officers of the Company as permitted by recent amendments to the DGCL as set forth in the Officer Exculpation Amendment. </w:t>
      </w:r>
    </w:p>
    <w:p>
      <w:pPr>
        <w:pStyle w:val="TextBody"/>
        <w:bidi w:val="0"/>
        <w:spacing w:lineRule="auto" w:line="288" w:before="0" w:after="60"/>
        <w:jc w:val="both"/>
        <w:rPr>
          <w:rFonts w:ascii="Arial;sans-serif" w:hAnsi="Arial;sans-serif"/>
          <w:b/>
          <w:color w:val="000000"/>
          <w:sz w:val="22"/>
        </w:rPr>
      </w:pPr>
      <w:r>
        <w:rPr>
          <w:rFonts w:ascii="Arial;sans-serif" w:hAnsi="Arial;sans-serif"/>
          <w:b/>
          <w:color w:val="000000"/>
          <w:sz w:val="22"/>
        </w:rPr>
        <w:t>ADDITIONAL INFORMATION</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Under the DGCL, the affirmative vote of the holders of a majority of the outstanding shares of our voting stock is required to approve the Officer Exculpation Amendment. If a stockholder abstains from voting or directs the stockholder's proxy to abstain from voting on the proposal to approve the Officer Exculpation Amendment, the abstention has the same effect as a vote against this proposal. Shares of voting stock of the Company resulting in broker non-votes, if any, also have the same effect as a vote against this proposal.</w:t>
      </w:r>
    </w:p>
    <w:p>
      <w:pPr>
        <w:pStyle w:val="TextBody"/>
        <w:bidi w:val="0"/>
        <w:spacing w:lineRule="auto" w:line="288" w:before="0" w:after="360"/>
        <w:jc w:val="both"/>
        <w:rPr>
          <w:rFonts w:ascii="Arial;sans-serif" w:hAnsi="Arial;sans-serif"/>
          <w:b w:val="false"/>
          <w:color w:val="000000"/>
          <w:sz w:val="18"/>
        </w:rPr>
      </w:pPr>
      <w:r>
        <w:rPr>
          <w:rFonts w:ascii="Arial;sans-serif" w:hAnsi="Arial;sans-serif"/>
          <w:b w:val="false"/>
          <w:color w:val="000000"/>
          <w:sz w:val="18"/>
        </w:rPr>
        <w:t xml:space="preserve">If our stockholders approve the Officer Exculpation Amendment, the changes described in this section will become legally effective upon the filing with the Secretary of State of the State of Delaware of a certificate of amendment reflecting the Officer Exculpation Amendment, which filing is expected to occur shortly following the Annual Meeting. If our stockholders do not approve the Officer Exculpation Amendment, the changes described in this section will not be made. The approval of the Officer Exculpation Amendment is not conditioned upon approval by the stockholders of any of the other proposed amendments to our Certificate of Incorporation described in this proxy statement. If the Officer Exculpation Amendment is approved by the stockholders, the Company intends to effect this amendment even if the stockholders fail to approve the other proposed amendments to our Certificate of Incorporation described in this proxy statement.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313"/>
        <w:gridCol w:w="313"/>
        <w:gridCol w:w="315"/>
        <w:gridCol w:w="2848"/>
        <w:gridCol w:w="2848"/>
        <w:gridCol w:w="2853"/>
        <w:gridCol w:w="109"/>
        <w:gridCol w:w="109"/>
        <w:gridCol w:w="15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2848" w:type="dxa"/>
            <w:tcBorders/>
            <w:vAlign w:val="center"/>
          </w:tcPr>
          <w:p>
            <w:pPr>
              <w:pStyle w:val="TableContents"/>
              <w:bidi w:val="0"/>
              <w:spacing w:before="0" w:after="283"/>
              <w:jc w:val="left"/>
              <w:rPr>
                <w:sz w:val="4"/>
                <w:szCs w:val="4"/>
              </w:rPr>
            </w:pPr>
            <w:r>
              <w:rPr>
                <w:sz w:val="4"/>
                <w:szCs w:val="4"/>
              </w:rPr>
            </w:r>
          </w:p>
        </w:tc>
        <w:tc>
          <w:tcPr>
            <w:tcW w:w="2848" w:type="dxa"/>
            <w:tcBorders/>
            <w:vAlign w:val="center"/>
          </w:tcPr>
          <w:p>
            <w:pPr>
              <w:pStyle w:val="TableContents"/>
              <w:bidi w:val="0"/>
              <w:spacing w:before="0" w:after="283"/>
              <w:jc w:val="left"/>
              <w:rPr>
                <w:sz w:val="4"/>
                <w:szCs w:val="4"/>
              </w:rPr>
            </w:pPr>
            <w:r>
              <w:rPr>
                <w:sz w:val="4"/>
                <w:szCs w:val="4"/>
              </w:rPr>
            </w:r>
          </w:p>
        </w:tc>
        <w:tc>
          <w:tcPr>
            <w:tcW w:w="28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4C97"/>
              <w:left w:val="single" w:sz="8" w:space="0" w:color="004C97"/>
              <w:bottom w:val="single" w:sz="8" w:space="0" w:color="004C97"/>
            </w:tcBorders>
            <w:tcMar>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top w:val="single" w:sz="8" w:space="0" w:color="004C97"/>
              <w:bottom w:val="single" w:sz="8" w:space="0" w:color="004C97"/>
            </w:tcBorders>
            <w:tcMar>
              <w:left w:w="0" w:type="dxa"/>
              <w:right w:w="0" w:type="dxa"/>
            </w:tcMar>
            <w:vAlign w:val="center"/>
          </w:tcPr>
          <w:p>
            <w:pPr>
              <w:pStyle w:val="TableContents"/>
              <w:bidi w:val="0"/>
              <w:spacing w:before="0" w:after="0"/>
              <w:jc w:val="center"/>
              <w:rPr/>
            </w:pPr>
            <w:r>
              <w:rPr/>
              <w:drawing>
                <wp:inline distT="0" distB="0" distL="0" distR="0">
                  <wp:extent cx="542925" cy="542925"/>
                  <wp:effectExtent l="0" t="0" r="0" b="0"/>
                  <wp:docPr id="215" name="Image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 name="Image93" descr=""/>
                          <pic:cNvPicPr>
                            <a:picLocks noChangeAspect="1" noChangeArrowheads="1"/>
                          </pic:cNvPicPr>
                        </pic:nvPicPr>
                        <pic:blipFill>
                          <a:blip r:embed="rId152"/>
                          <a:stretch>
                            <a:fillRect/>
                          </a:stretch>
                        </pic:blipFill>
                        <pic:spPr bwMode="auto">
                          <a:xfrm>
                            <a:off x="0" y="0"/>
                            <a:ext cx="542925" cy="542925"/>
                          </a:xfrm>
                          <a:prstGeom prst="rect">
                            <a:avLst/>
                          </a:prstGeom>
                        </pic:spPr>
                      </pic:pic>
                    </a:graphicData>
                  </a:graphic>
                </wp:inline>
              </w:drawing>
            </w:r>
          </w:p>
        </w:tc>
        <w:tc>
          <w:tcPr>
            <w:tcW w:w="8549" w:type="dxa"/>
            <w:gridSpan w:val="3"/>
            <w:tcBorders>
              <w:top w:val="single" w:sz="8" w:space="0" w:color="004C97"/>
              <w:bottom w:val="single" w:sz="8" w:space="0" w:color="004C97"/>
            </w:tcBorders>
            <w:tcMar>
              <w:top w:w="30" w:type="dxa"/>
              <w:left w:w="0" w:type="dxa"/>
              <w:bottom w:w="30" w:type="dxa"/>
              <w:right w:w="0" w:type="dxa"/>
            </w:tcMar>
            <w:vAlign w:val="center"/>
          </w:tcPr>
          <w:p>
            <w:pPr>
              <w:pStyle w:val="TableContents"/>
              <w:bidi w:val="0"/>
              <w:spacing w:lineRule="auto" w:line="288" w:before="0" w:after="0"/>
              <w:jc w:val="left"/>
              <w:rPr/>
            </w:pPr>
            <w:r>
              <w:rPr>
                <w:rFonts w:ascii="Arial;sans-serif" w:hAnsi="Arial;sans-serif"/>
                <w:b w:val="false"/>
                <w:color w:val="004C97"/>
                <w:sz w:val="20"/>
              </w:rPr>
              <w:t xml:space="preserve">YOUR BOARD OF DIRECTORS UNANIMOUSLY RECOMMENDS A VOTE </w:t>
            </w:r>
            <w:r>
              <w:rPr>
                <w:color w:val="004C97"/>
              </w:rPr>
              <w:t>“</w:t>
            </w:r>
            <w:r>
              <w:rPr>
                <w:rFonts w:ascii="Arial;sans-serif" w:hAnsi="Arial;sans-serif"/>
                <w:b/>
                <w:color w:val="004C97"/>
                <w:sz w:val="20"/>
              </w:rPr>
              <w:t>FOR”</w:t>
            </w:r>
            <w:r>
              <w:rPr>
                <w:color w:val="004C97"/>
              </w:rPr>
              <w:t xml:space="preserve"> </w:t>
            </w:r>
            <w:r>
              <w:rPr>
                <w:rFonts w:ascii="Arial;sans-serif" w:hAnsi="Arial;sans-serif"/>
                <w:b w:val="false"/>
                <w:color w:val="004C97"/>
                <w:sz w:val="20"/>
              </w:rPr>
              <w:t>APPROVAL OF THE OFFICER EXCULPATION AMENDMENT.</w:t>
            </w:r>
          </w:p>
        </w:tc>
        <w:tc>
          <w:tcPr>
            <w:tcW w:w="373" w:type="dxa"/>
            <w:gridSpan w:val="3"/>
            <w:tcBorders>
              <w:top w:val="single" w:sz="8" w:space="0" w:color="004C97"/>
              <w:bottom w:val="single" w:sz="8" w:space="0" w:color="004C97"/>
              <w:right w:val="single" w:sz="8" w:space="0" w:color="004C97"/>
            </w:tcBorders>
            <w:tcMar>
              <w:lef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739140"/>
                <wp:effectExtent l="0" t="0" r="0" b="0"/>
                <wp:wrapNone/>
                <wp:docPr id="216" name="Frame65"/>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292" w:type="dxa"/>
                              <w:jc w:val="right"/>
                              <w:tblInd w:w="0" w:type="dxa"/>
                              <w:tblLayout w:type="fixed"/>
                              <w:tblCellMar>
                                <w:top w:w="28" w:type="dxa"/>
                                <w:left w:w="28" w:type="dxa"/>
                                <w:bottom w:w="28" w:type="dxa"/>
                                <w:right w:w="28" w:type="dxa"/>
                              </w:tblCellMar>
                            </w:tblPr>
                            <w:tblGrid>
                              <w:gridCol w:w="292"/>
                              <w:gridCol w:w="256"/>
                              <w:gridCol w:w="258"/>
                              <w:gridCol w:w="704"/>
                              <w:gridCol w:w="704"/>
                              <w:gridCol w:w="706"/>
                              <w:gridCol w:w="109"/>
                              <w:gridCol w:w="109"/>
                              <w:gridCol w:w="154"/>
                            </w:tblGrid>
                            <w:tr>
                              <w:trPr/>
                              <w:tc>
                                <w:tcPr>
                                  <w:tcW w:w="29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0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217" name="Image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7" name="Image94" descr=""/>
                                                <pic:cNvPicPr>
                                                  <a:picLocks noChangeAspect="1" noChangeArrowheads="1"/>
                                                </pic:cNvPicPr>
                                              </pic:nvPicPr>
                                              <pic:blipFill>
                                                <a:blip r:embed="rId153"/>
                                                <a:stretch>
                                                  <a:fillRect/>
                                                </a:stretch>
                                              </pic:blipFill>
                                              <pic:spPr bwMode="auto">
                                                <a:xfrm>
                                                  <a:off x="0" y="0"/>
                                                  <a:ext cx="447675" cy="161925"/>
                                                </a:xfrm>
                                                <a:prstGeom prst="rect">
                                                  <a:avLst/>
                                                </a:prstGeom>
                                              </pic:spPr>
                                            </pic:pic>
                                          </a:graphicData>
                                        </a:graphic>
                                      </wp:inline>
                                    </w:drawing>
                                  </w:r>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2024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000000"/>
                                      <w:sz w:val="16"/>
                                    </w:rPr>
                                  </w:pPr>
                                  <w:r>
                                    <w:rPr>
                                      <w:rFonts w:ascii="Arial;sans-serif" w:hAnsi="Arial;sans-serif"/>
                                      <w:b/>
                                      <w:color w:val="000000"/>
                                      <w:sz w:val="16"/>
                                    </w:rPr>
                                    <w:t>59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292" w:type="dxa"/>
                        <w:jc w:val="right"/>
                        <w:tblInd w:w="0" w:type="dxa"/>
                        <w:tblLayout w:type="fixed"/>
                        <w:tblCellMar>
                          <w:top w:w="28" w:type="dxa"/>
                          <w:left w:w="28" w:type="dxa"/>
                          <w:bottom w:w="28" w:type="dxa"/>
                          <w:right w:w="28" w:type="dxa"/>
                        </w:tblCellMar>
                      </w:tblPr>
                      <w:tblGrid>
                        <w:gridCol w:w="292"/>
                        <w:gridCol w:w="256"/>
                        <w:gridCol w:w="258"/>
                        <w:gridCol w:w="704"/>
                        <w:gridCol w:w="704"/>
                        <w:gridCol w:w="706"/>
                        <w:gridCol w:w="109"/>
                        <w:gridCol w:w="109"/>
                        <w:gridCol w:w="154"/>
                      </w:tblGrid>
                      <w:tr>
                        <w:trPr/>
                        <w:tc>
                          <w:tcPr>
                            <w:tcW w:w="29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0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218" name="Image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8" name="Image94" descr=""/>
                                          <pic:cNvPicPr>
                                            <a:picLocks noChangeAspect="1" noChangeArrowheads="1"/>
                                          </pic:cNvPicPr>
                                        </pic:nvPicPr>
                                        <pic:blipFill>
                                          <a:blip r:embed="rId154"/>
                                          <a:stretch>
                                            <a:fillRect/>
                                          </a:stretch>
                                        </pic:blipFill>
                                        <pic:spPr bwMode="auto">
                                          <a:xfrm>
                                            <a:off x="0" y="0"/>
                                            <a:ext cx="447675" cy="161925"/>
                                          </a:xfrm>
                                          <a:prstGeom prst="rect">
                                            <a:avLst/>
                                          </a:prstGeom>
                                        </pic:spPr>
                                      </pic:pic>
                                    </a:graphicData>
                                  </a:graphic>
                                </wp:inline>
                              </w:drawing>
                            </w:r>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2024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000000"/>
                                <w:sz w:val="16"/>
                              </w:rPr>
                            </w:pPr>
                            <w:r>
                              <w:rPr>
                                <w:rFonts w:ascii="Arial;sans-serif" w:hAnsi="Arial;sans-serif"/>
                                <w:b/>
                                <w:color w:val="000000"/>
                                <w:sz w:val="16"/>
                              </w:rPr>
                              <w:t>59</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312" w:before="0" w:after="240"/>
        <w:jc w:val="left"/>
        <w:rPr>
          <w:rFonts w:ascii="Arial;sans-serif" w:hAnsi="Arial;sans-serif"/>
          <w:b/>
          <w:color w:val="004C97"/>
          <w:sz w:val="42"/>
        </w:rPr>
      </w:pPr>
      <w:r>
        <w:rPr>
          <w:rFonts w:ascii="Arial;sans-serif" w:hAnsi="Arial;sans-serif"/>
          <w:b/>
          <w:color w:val="004C97"/>
          <w:sz w:val="42"/>
        </w:rPr>
        <w:t>PROPOSAL 5: APPROVAL OF THE AMENDMENT TO OUR CERTIFICATE OF INCORPORATION TO ADD A DELAWARE FORUM SELECTION PROVISION FOR CERTAIN LEGAL ACTIONS</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Our Board has voted unanimously to approve, and has recommended that our stockholders approve, an amendment to our Certificate of Incorporation to add an article providing that, unless the Company consents in writing to the selection of an alternative forum, the Court of Chancery of the State of Delaware (or another state or federal court located within the State of Delaware if the Court of Chancery of the State of Delaware lacks jurisdiction) shall be the exclusive forum for certain legal actions. We refer to this proposed amendment to our Certificate of Incorporation as the “Delaware Forum Selection Amendment.”</w:t>
      </w:r>
    </w:p>
    <w:p>
      <w:pPr>
        <w:pStyle w:val="TextBody"/>
        <w:bidi w:val="0"/>
        <w:spacing w:lineRule="auto" w:line="288" w:before="0" w:after="60"/>
        <w:jc w:val="both"/>
        <w:rPr>
          <w:rFonts w:ascii="Arial;sans-serif" w:hAnsi="Arial;sans-serif"/>
          <w:b/>
          <w:color w:val="000000"/>
          <w:sz w:val="22"/>
        </w:rPr>
      </w:pPr>
      <w:r>
        <w:rPr>
          <w:rFonts w:ascii="Arial;sans-serif" w:hAnsi="Arial;sans-serif"/>
          <w:b/>
          <w:color w:val="000000"/>
          <w:sz w:val="22"/>
        </w:rPr>
        <w:t>THE PROPOSED AMENDMENT</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Our Certificate of Incorporation does not currently include a provision specifying the forum for any legal actions. The Delaware Forum Selection Amendment would provide that, unless the Company consents in writing to the selection of an alternative forum, the sole and exclusive forum for certain legal actions would be the Court of Chancery of the State of Delaware (the "Delaware Court of Chancery") or another state or federal court located within the State of Delaware if the Delaware Court of Chancery lacks jurisdiction. The following legal actions would be subject to the Delaware Forum Selection Amendment:</w:t>
      </w:r>
    </w:p>
    <w:p>
      <w:pPr>
        <w:pStyle w:val="TextBody"/>
        <w:bidi w:val="0"/>
        <w:spacing w:lineRule="auto" w:line="288" w:before="0" w:after="180"/>
        <w:ind w:left="0" w:right="0" w:hanging="216"/>
        <w:jc w:val="both"/>
        <w:rPr/>
      </w:pPr>
      <w:r>
        <w:rPr>
          <w:color w:val="000000"/>
        </w:rPr>
        <w:t>•</w:t>
      </w:r>
      <w:r>
        <w:rPr>
          <w:rFonts w:ascii="Arial;sans-serif" w:hAnsi="Arial;sans-serif"/>
          <w:b w:val="false"/>
          <w:color w:val="000000"/>
          <w:sz w:val="18"/>
        </w:rPr>
        <w:t>any derivative action or proceeding brought on behalf of the Company;</w:t>
      </w:r>
    </w:p>
    <w:p>
      <w:pPr>
        <w:pStyle w:val="TextBody"/>
        <w:bidi w:val="0"/>
        <w:spacing w:lineRule="auto" w:line="288" w:before="0" w:after="180"/>
        <w:ind w:left="0" w:right="0" w:hanging="216"/>
        <w:jc w:val="both"/>
        <w:rPr/>
      </w:pPr>
      <w:r>
        <w:rPr>
          <w:color w:val="000000"/>
        </w:rPr>
        <w:t>•</w:t>
      </w:r>
      <w:r>
        <w:rPr>
          <w:rFonts w:ascii="Arial;sans-serif" w:hAnsi="Arial;sans-serif"/>
          <w:b w:val="false"/>
          <w:color w:val="000000"/>
          <w:sz w:val="18"/>
        </w:rPr>
        <w:t>any action or proceeding asserting a claim of breach of a fiduciary duty owed by any current or former director, officer, other employee or agent, or stockholder of the Company to the Company or the Company’s stockholders, creditors or other constituents, including a claim alleging the aiding and abetting of such a breach of fiduciary duty;</w:t>
      </w:r>
    </w:p>
    <w:p>
      <w:pPr>
        <w:pStyle w:val="TextBody"/>
        <w:bidi w:val="0"/>
        <w:spacing w:lineRule="auto" w:line="288" w:before="0" w:after="180"/>
        <w:ind w:left="0" w:right="0" w:hanging="216"/>
        <w:jc w:val="both"/>
        <w:rPr/>
      </w:pPr>
      <w:r>
        <w:rPr>
          <w:color w:val="000000"/>
        </w:rPr>
        <w:t>•</w:t>
      </w:r>
      <w:r>
        <w:rPr>
          <w:rFonts w:ascii="Arial;sans-serif" w:hAnsi="Arial;sans-serif"/>
          <w:b w:val="false"/>
          <w:color w:val="000000"/>
          <w:sz w:val="18"/>
        </w:rPr>
        <w:t>any action or proceeding asserting a claim against the Company or any current or former director, officer or other employee or agent of the Company arising pursuant to, or seeking to enforce any right, obligation or remedy under, any provision of the DGCL, or our Certificate of Incorporation or By-Laws, as the foregoing may be amended from time to time;</w:t>
      </w:r>
    </w:p>
    <w:p>
      <w:pPr>
        <w:pStyle w:val="TextBody"/>
        <w:bidi w:val="0"/>
        <w:spacing w:lineRule="auto" w:line="288" w:before="0" w:after="180"/>
        <w:ind w:left="0" w:right="0" w:hanging="216"/>
        <w:jc w:val="both"/>
        <w:rPr/>
      </w:pPr>
      <w:r>
        <w:rPr>
          <w:color w:val="000000"/>
        </w:rPr>
        <w:t>•</w:t>
      </w:r>
      <w:r>
        <w:rPr>
          <w:rFonts w:ascii="Arial;sans-serif" w:hAnsi="Arial;sans-serif"/>
          <w:b w:val="false"/>
          <w:color w:val="000000"/>
          <w:sz w:val="18"/>
        </w:rPr>
        <w:t>any action or proceeding seeking to interpret, apply, enforce or determine the validity of any provision of our Certificate of Incorporation or By-Laws, as either may be amended from time to time;</w:t>
      </w:r>
    </w:p>
    <w:p>
      <w:pPr>
        <w:pStyle w:val="TextBody"/>
        <w:bidi w:val="0"/>
        <w:spacing w:lineRule="auto" w:line="288" w:before="0" w:after="180"/>
        <w:ind w:left="0" w:right="0" w:hanging="216"/>
        <w:jc w:val="both"/>
        <w:rPr/>
      </w:pPr>
      <w:r>
        <w:rPr>
          <w:color w:val="000000"/>
        </w:rPr>
        <w:t>•</w:t>
      </w:r>
      <w:r>
        <w:rPr>
          <w:rFonts w:ascii="Arial;sans-serif" w:hAnsi="Arial;sans-serif"/>
          <w:b w:val="false"/>
          <w:color w:val="000000"/>
          <w:sz w:val="18"/>
        </w:rPr>
        <w:t>any action or proceeding asserting a claim governed by the internal affairs doctrine of the State of Delaware;</w:t>
      </w:r>
    </w:p>
    <w:p>
      <w:pPr>
        <w:pStyle w:val="TextBody"/>
        <w:bidi w:val="0"/>
        <w:spacing w:lineRule="auto" w:line="288" w:before="0" w:after="180"/>
        <w:ind w:left="0" w:right="0" w:hanging="216"/>
        <w:jc w:val="both"/>
        <w:rPr/>
      </w:pPr>
      <w:r>
        <w:rPr>
          <w:color w:val="000000"/>
        </w:rPr>
        <w:t>•</w:t>
      </w:r>
      <w:r>
        <w:rPr>
          <w:rFonts w:ascii="Arial;sans-serif" w:hAnsi="Arial;sans-serif"/>
          <w:b w:val="false"/>
          <w:color w:val="000000"/>
          <w:sz w:val="18"/>
        </w:rPr>
        <w:t>any action asserting an “internal corporate claim” as that term is defined in Section 115 of the DGCL; and</w:t>
      </w:r>
    </w:p>
    <w:p>
      <w:pPr>
        <w:pStyle w:val="TextBody"/>
        <w:bidi w:val="0"/>
        <w:spacing w:lineRule="auto" w:line="288" w:before="0" w:after="180"/>
        <w:ind w:left="0" w:right="0" w:hanging="216"/>
        <w:jc w:val="both"/>
        <w:rPr/>
      </w:pPr>
      <w:r>
        <w:rPr>
          <w:color w:val="000000"/>
        </w:rPr>
        <w:t>•</w:t>
      </w:r>
      <w:r>
        <w:rPr>
          <w:rFonts w:ascii="Arial;sans-serif" w:hAnsi="Arial;sans-serif"/>
          <w:b w:val="false"/>
          <w:color w:val="000000"/>
          <w:sz w:val="18"/>
        </w:rPr>
        <w:t>any action or proceeding as to which the DGCL confers jurisdiction on the Delaware Court of Chancery.</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 xml:space="preserve">Such legal actions include claims that might be brought by stockholders as plaintiffs. The Delaware Forum Section Amendment provides that anyone who acquires or holds any interest in shares of capital stock of the Company will be deemed to consent to the terms of the Delaware Forum Selection Amendment. </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Section 27 of the Exchange Act creates exclusive federal jurisdiction over all suits brought to enforce any duty or liability created by the Exchange Act or the rules or regulations thereunder. Accordingly, the Delaware Court of Chancery and any other state court located in the State of Delaware would not have jurisdiction with respect to claims brought under the Exchange Act. It is uncertain whether the Delaware Forum Selection Amendment would limit the venue for a claim brought under the Exchange Act to a federal court located in the State of Delaware.</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The text of the Delaware Forum Selection Amendment, which would be added as a new article to our Certificate of Incorporation, is attached as Appendix C to this proxy statement. The foregoing general description of the Delaware Forum Selection Amendment is qualified in its entirety by reference to Appendix C.</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739140"/>
                <wp:effectExtent l="0" t="0" r="0" b="0"/>
                <wp:wrapNone/>
                <wp:docPr id="219" name="Frame66"/>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292" w:type="dxa"/>
                              <w:jc w:val="left"/>
                              <w:tblInd w:w="0" w:type="dxa"/>
                              <w:tblLayout w:type="fixed"/>
                              <w:tblCellMar>
                                <w:top w:w="28" w:type="dxa"/>
                                <w:left w:w="28" w:type="dxa"/>
                                <w:bottom w:w="28" w:type="dxa"/>
                                <w:right w:w="28" w:type="dxa"/>
                              </w:tblCellMar>
                            </w:tblPr>
                            <w:tblGrid>
                              <w:gridCol w:w="124"/>
                              <w:gridCol w:w="109"/>
                              <w:gridCol w:w="109"/>
                              <w:gridCol w:w="704"/>
                              <w:gridCol w:w="704"/>
                              <w:gridCol w:w="706"/>
                              <w:gridCol w:w="244"/>
                              <w:gridCol w:w="244"/>
                              <w:gridCol w:w="34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6"/>
                                    </w:rPr>
                                  </w:pPr>
                                  <w:r>
                                    <w:rPr>
                                      <w:rFonts w:ascii="Arial;sans-serif" w:hAnsi="Arial;sans-serif"/>
                                      <w:b/>
                                      <w:color w:val="000000"/>
                                      <w:sz w:val="16"/>
                                    </w:rPr>
                                    <w:t>60</w:t>
                                  </w:r>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2024 PROXY STATEMENT</w:t>
                                  </w:r>
                                </w:p>
                              </w:tc>
                              <w:tc>
                                <w:tcPr>
                                  <w:tcW w:w="83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220" name="Image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0" name="Image95" descr=""/>
                                                <pic:cNvPicPr>
                                                  <a:picLocks noChangeAspect="1" noChangeArrowheads="1"/>
                                                </pic:cNvPicPr>
                                              </pic:nvPicPr>
                                              <pic:blipFill>
                                                <a:blip r:embed="rId155"/>
                                                <a:stretch>
                                                  <a:fillRect/>
                                                </a:stretch>
                                              </pic:blipFill>
                                              <pic:spPr bwMode="auto">
                                                <a:xfrm>
                                                  <a:off x="0" y="0"/>
                                                  <a:ext cx="447675" cy="161925"/>
                                                </a:xfrm>
                                                <a:prstGeom prst="rect">
                                                  <a:avLst/>
                                                </a:prstGeom>
                                              </pic:spPr>
                                            </pic:pic>
                                          </a:graphicData>
                                        </a:graphic>
                                      </wp:inline>
                                    </w:drawing>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292" w:type="dxa"/>
                        <w:jc w:val="left"/>
                        <w:tblInd w:w="0" w:type="dxa"/>
                        <w:tblLayout w:type="fixed"/>
                        <w:tblCellMar>
                          <w:top w:w="28" w:type="dxa"/>
                          <w:left w:w="28" w:type="dxa"/>
                          <w:bottom w:w="28" w:type="dxa"/>
                          <w:right w:w="28" w:type="dxa"/>
                        </w:tblCellMar>
                      </w:tblPr>
                      <w:tblGrid>
                        <w:gridCol w:w="124"/>
                        <w:gridCol w:w="109"/>
                        <w:gridCol w:w="109"/>
                        <w:gridCol w:w="704"/>
                        <w:gridCol w:w="704"/>
                        <w:gridCol w:w="706"/>
                        <w:gridCol w:w="244"/>
                        <w:gridCol w:w="244"/>
                        <w:gridCol w:w="34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6"/>
                              </w:rPr>
                            </w:pPr>
                            <w:r>
                              <w:rPr>
                                <w:rFonts w:ascii="Arial;sans-serif" w:hAnsi="Arial;sans-serif"/>
                                <w:b/>
                                <w:color w:val="000000"/>
                                <w:sz w:val="16"/>
                              </w:rPr>
                              <w:t>60</w:t>
                            </w:r>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2024 PROXY STATEMENT</w:t>
                            </w:r>
                          </w:p>
                        </w:tc>
                        <w:tc>
                          <w:tcPr>
                            <w:tcW w:w="83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221" name="Image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1" name="Image95" descr=""/>
                                          <pic:cNvPicPr>
                                            <a:picLocks noChangeAspect="1" noChangeArrowheads="1"/>
                                          </pic:cNvPicPr>
                                        </pic:nvPicPr>
                                        <pic:blipFill>
                                          <a:blip r:embed="rId156"/>
                                          <a:stretch>
                                            <a:fillRect/>
                                          </a:stretch>
                                        </pic:blipFill>
                                        <pic:spPr bwMode="auto">
                                          <a:xfrm>
                                            <a:off x="0" y="0"/>
                                            <a:ext cx="447675" cy="161925"/>
                                          </a:xfrm>
                                          <a:prstGeom prst="rect">
                                            <a:avLst/>
                                          </a:prstGeom>
                                        </pic:spPr>
                                      </pic:pic>
                                    </a:graphicData>
                                  </a:graphic>
                                </wp:inline>
                              </w:drawing>
                            </w:r>
                          </w:p>
                        </w:tc>
                      </w:tr>
                    </w:tbl>
                    <w:p>
                      <w:pPr>
                        <w:pStyle w:val="TextBody"/>
                        <w:bidi w:val="0"/>
                        <w:spacing w:before="0" w:after="283"/>
                        <w:jc w:val="left"/>
                        <w:rPr/>
                      </w:pPr>
                      <w:r>
                        <w:rPr/>
                      </w:r>
                    </w:p>
                  </w:txbxContent>
                </v:textbox>
                <w10:wrap type="none"/>
              </v:rect>
            </w:pict>
          </mc:Fallback>
        </mc:AlternateContent>
      </w:r>
    </w:p>
    <w:tbl>
      <w:tblPr>
        <w:tblW w:w="1469" w:type="dxa"/>
        <w:jc w:val="right"/>
        <w:tblInd w:w="0" w:type="dxa"/>
        <w:tblLayout w:type="fixed"/>
        <w:tblCellMar>
          <w:top w:w="28" w:type="dxa"/>
          <w:left w:w="28" w:type="dxa"/>
          <w:bottom w:w="28" w:type="dxa"/>
          <w:right w:w="28" w:type="dxa"/>
        </w:tblCellMar>
      </w:tblPr>
      <w:tblGrid>
        <w:gridCol w:w="470"/>
        <w:gridCol w:w="413"/>
        <w:gridCol w:w="586"/>
      </w:tblGrid>
      <w:tr>
        <w:trPr/>
        <w:tc>
          <w:tcPr>
            <w:tcW w:w="47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r>
      <w:tr>
        <w:trPr/>
        <w:tc>
          <w:tcPr>
            <w:tcW w:w="1469" w:type="dxa"/>
            <w:gridSpan w:val="3"/>
            <w:tcBorders>
              <w:bottom w:val="single" w:sz="4" w:space="0" w:color="004C97"/>
            </w:tcBorders>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4C97"/>
                <w:sz w:val="16"/>
              </w:rPr>
            </w:pPr>
            <w:r>
              <w:rPr>
                <w:rFonts w:ascii="Arial;sans-serif" w:hAnsi="Arial;sans-serif"/>
                <w:b w:val="false"/>
                <w:color w:val="004C97"/>
                <w:sz w:val="16"/>
              </w:rPr>
              <w:t>PROPOSAL FIVE</w:t>
            </w:r>
          </w:p>
        </w:tc>
      </w:tr>
    </w:tbl>
    <w:p>
      <w:pPr>
        <w:pStyle w:val="TextBody"/>
        <w:bidi w:val="0"/>
        <w:spacing w:lineRule="auto" w:line="288" w:before="0" w:after="60"/>
        <w:jc w:val="left"/>
        <w:rPr>
          <w:rFonts w:ascii="Arial;sans-serif" w:hAnsi="Arial;sans-serif"/>
          <w:b/>
          <w:color w:val="000000"/>
          <w:sz w:val="22"/>
        </w:rPr>
      </w:pPr>
      <w:r>
        <w:rPr>
          <w:rFonts w:ascii="Arial;sans-serif" w:hAnsi="Arial;sans-serif"/>
          <w:b/>
          <w:color w:val="000000"/>
          <w:sz w:val="22"/>
        </w:rPr>
        <w:t>REASONS FOR THE AMENDMENT</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The Board believes that the Delaware Forum Selection Amendment is in the best interests of the Company and our stockholders for a variety of reasons. The legal actions involving our Company’s internal corporate affairs that are subject to the Delaware Forum Selection Amendment can continue to be asserted, but would need to be brought in a forum widely regarded as the preeminent U.S. court for corporate law and related business disputes. Having a designated forum is intended to help provide a streamlined, efficient and organized process for resolution of these disputes and to limit forum-shopping by plaintiffs and potentially discourage illegitimate claims. In addition, the Delaware Forum Selection Amendment helps to avoid the procedural and substantive problems and expense associated with navigating multiple lawsuits, including derivative suits brought on behalf of the Company, across multiple jurisdictions on matters relating to the corporate law of Delaware, which would be expected to govern many such disputes.</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As noted above, the Delaware Court of Chancery is widely regarded as the preeminent court for adjudicating disputes involving a Delaware corporation’s internal affairs in terms of precedent, experience and focus. That court has experienced jurists who have a deep understanding of Delaware corporate law and the duties of directors, officers, and employees, as well as procedures that can provide relatively quick decisions without protracted litigation. This provides the Company and our stockholders with more predictability regarding the outcome of these disputes and can limit the time, cost, and uncertainty of litigation for all parties. The selection of the Delaware Court of Chancery as the exclusive forum for certain disputes reduces the risks that the Company could be forced to waste resources defending against duplicative suits and that the outcome of cases in multiple jurisdictions could be inconsistent, even though each forum purports to follow Delaware law.</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The Board understands that the Delaware Forum Selection Amendment may limit the ability of a plaintiff to bring the specified claims (including a claim against directors, officers or employees) in a judicial forum other than Delaware, though such plaintiff could request the Company’s consent to an alternative forum. However, the Delaware Forum Selection Amendment is narrowly tailored to only regulate the forum where plaintiffs may file claims relating to the specified actions—it does not restrict the ability of plaintiffs to bring such claims, nor the remedies available if such claims are ultimately successful under Delaware law. Also, the Delaware Forum Selection Amendment permits the Company to consent to the selection of an alternative forum, if the Company desires. Nonetheless, the Delaware Forum Selection Amendment could discourage claims by stockholders or limit stockholders’ ability to bring these claims in a judicial forum of their choice.</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 xml:space="preserve">The DGCL explicitly permits corporations that are incorporated in Delaware, like the Company, to adopt Delaware forum selection provisions in their certificates of incorporation or by-laws. Such forum selection provisions have become increasingly prevalent for large U.S. public companies that are incorporated in Delaware. </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The Delaware Forum Selection Amendment was not adopted by the Board in reaction to any specific litigation confronting the Company. As of the date the Board adopted the Delaware Forum Selection Amendment, and as of the date of this proxy statement, there are no pending lawsuits relating to any claim against the Company, or any current or former officer, director, employee, agent, or stockholder of the Company of a type that would be covered by the Delaware Forum Selection Amendment. Rather, it was adopted on a prospective basis to help mitigate potential future harm to the Company and our stockholders. In particular, the Board believes that it is more prudent and beneficial to the Company and our stockholders to take preventive measures before the Company and the interests of most of our stockholders are harmed by the costly, common practice of filing claims in multiple jurisdictions or in jurisdictions other than Delaware. As noted, the Delaware Forum Selection Amendment increases the likelihood of speedy and efficient application of Delaware corporate law by the Delaware Court of Chancery, and decreases the likelihood of unpredictable misapplication of Delaware corporate law by jurisdictions outside Delaware.</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 xml:space="preserve">After careful consideration of the issue, and upon the unanimous recommendation of the Governance &amp; Sustainability Committee, the Board has determined that it would be in the best interests of the Company and our stockholders to include a new article in our Certificate of Incorporation to designate the Court of Chancery of the State of Delaware (or another state or federal court located within the State of Delaware if the Court of Chancery of the State of Delaware lacks jurisdiction) as the exclusive forum for certain legal actions as set forth in the Delaware Forum Selection Amendment. </w:t>
      </w:r>
    </w:p>
    <w:p>
      <w:pPr>
        <w:pStyle w:val="TextBody"/>
        <w:bidi w:val="0"/>
        <w:spacing w:lineRule="auto" w:line="288" w:before="0" w:after="60"/>
        <w:jc w:val="left"/>
        <w:rPr>
          <w:rFonts w:ascii="Arial;sans-serif" w:hAnsi="Arial;sans-serif"/>
          <w:b/>
          <w:color w:val="000000"/>
          <w:sz w:val="22"/>
        </w:rPr>
      </w:pPr>
      <w:r>
        <w:rPr>
          <w:rFonts w:ascii="Arial;sans-serif" w:hAnsi="Arial;sans-serif"/>
          <w:b/>
          <w:color w:val="000000"/>
          <w:sz w:val="22"/>
        </w:rPr>
        <w:t>ADDITIONAL INFORMATION</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Under the DGCL, the affirmative vote of the holders of a majority of the outstanding shares of our voting stock is required to approve the Delaware Forum Selection Amendment. If a stockholder abstains from voting or directs the stockholder's proxy to abstain from voting on the proposal to approve the Delaware Forum Selection Amendment, the abstention has the same effect as a vote against this proposal. Shares of voting stock of the Company resulting in broker non-votes, if any, also have the same effect as a vote against this proposal.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739140"/>
                <wp:effectExtent l="0" t="0" r="0" b="0"/>
                <wp:wrapNone/>
                <wp:docPr id="222" name="Frame67"/>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292" w:type="dxa"/>
                              <w:jc w:val="right"/>
                              <w:tblInd w:w="0" w:type="dxa"/>
                              <w:tblLayout w:type="fixed"/>
                              <w:tblCellMar>
                                <w:top w:w="28" w:type="dxa"/>
                                <w:left w:w="28" w:type="dxa"/>
                                <w:bottom w:w="28" w:type="dxa"/>
                                <w:right w:w="28" w:type="dxa"/>
                              </w:tblCellMar>
                            </w:tblPr>
                            <w:tblGrid>
                              <w:gridCol w:w="292"/>
                              <w:gridCol w:w="256"/>
                              <w:gridCol w:w="258"/>
                              <w:gridCol w:w="704"/>
                              <w:gridCol w:w="704"/>
                              <w:gridCol w:w="706"/>
                              <w:gridCol w:w="109"/>
                              <w:gridCol w:w="109"/>
                              <w:gridCol w:w="154"/>
                            </w:tblGrid>
                            <w:tr>
                              <w:trPr/>
                              <w:tc>
                                <w:tcPr>
                                  <w:tcW w:w="29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0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223" name="Image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3" name="Image96" descr=""/>
                                                <pic:cNvPicPr>
                                                  <a:picLocks noChangeAspect="1" noChangeArrowheads="1"/>
                                                </pic:cNvPicPr>
                                              </pic:nvPicPr>
                                              <pic:blipFill>
                                                <a:blip r:embed="rId157"/>
                                                <a:stretch>
                                                  <a:fillRect/>
                                                </a:stretch>
                                              </pic:blipFill>
                                              <pic:spPr bwMode="auto">
                                                <a:xfrm>
                                                  <a:off x="0" y="0"/>
                                                  <a:ext cx="447675" cy="161925"/>
                                                </a:xfrm>
                                                <a:prstGeom prst="rect">
                                                  <a:avLst/>
                                                </a:prstGeom>
                                              </pic:spPr>
                                            </pic:pic>
                                          </a:graphicData>
                                        </a:graphic>
                                      </wp:inline>
                                    </w:drawing>
                                  </w:r>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2024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000000"/>
                                      <w:sz w:val="16"/>
                                    </w:rPr>
                                  </w:pPr>
                                  <w:r>
                                    <w:rPr>
                                      <w:rFonts w:ascii="Arial;sans-serif" w:hAnsi="Arial;sans-serif"/>
                                      <w:b/>
                                      <w:color w:val="000000"/>
                                      <w:sz w:val="16"/>
                                    </w:rPr>
                                    <w:t>61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292" w:type="dxa"/>
                        <w:jc w:val="right"/>
                        <w:tblInd w:w="0" w:type="dxa"/>
                        <w:tblLayout w:type="fixed"/>
                        <w:tblCellMar>
                          <w:top w:w="28" w:type="dxa"/>
                          <w:left w:w="28" w:type="dxa"/>
                          <w:bottom w:w="28" w:type="dxa"/>
                          <w:right w:w="28" w:type="dxa"/>
                        </w:tblCellMar>
                      </w:tblPr>
                      <w:tblGrid>
                        <w:gridCol w:w="292"/>
                        <w:gridCol w:w="256"/>
                        <w:gridCol w:w="258"/>
                        <w:gridCol w:w="704"/>
                        <w:gridCol w:w="704"/>
                        <w:gridCol w:w="706"/>
                        <w:gridCol w:w="109"/>
                        <w:gridCol w:w="109"/>
                        <w:gridCol w:w="154"/>
                      </w:tblGrid>
                      <w:tr>
                        <w:trPr/>
                        <w:tc>
                          <w:tcPr>
                            <w:tcW w:w="29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0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224" name="Image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4" name="Image96" descr=""/>
                                          <pic:cNvPicPr>
                                            <a:picLocks noChangeAspect="1" noChangeArrowheads="1"/>
                                          </pic:cNvPicPr>
                                        </pic:nvPicPr>
                                        <pic:blipFill>
                                          <a:blip r:embed="rId158"/>
                                          <a:stretch>
                                            <a:fillRect/>
                                          </a:stretch>
                                        </pic:blipFill>
                                        <pic:spPr bwMode="auto">
                                          <a:xfrm>
                                            <a:off x="0" y="0"/>
                                            <a:ext cx="447675" cy="161925"/>
                                          </a:xfrm>
                                          <a:prstGeom prst="rect">
                                            <a:avLst/>
                                          </a:prstGeom>
                                        </pic:spPr>
                                      </pic:pic>
                                    </a:graphicData>
                                  </a:graphic>
                                </wp:inline>
                              </w:drawing>
                            </w:r>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2024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000000"/>
                                <w:sz w:val="16"/>
                              </w:rPr>
                            </w:pPr>
                            <w:r>
                              <w:rPr>
                                <w:rFonts w:ascii="Arial;sans-serif" w:hAnsi="Arial;sans-serif"/>
                                <w:b/>
                                <w:color w:val="000000"/>
                                <w:sz w:val="16"/>
                              </w:rPr>
                              <w:t>61</w:t>
                            </w:r>
                          </w:p>
                        </w:tc>
                      </w:tr>
                    </w:tbl>
                    <w:p>
                      <w:pPr>
                        <w:pStyle w:val="TextBody"/>
                        <w:bidi w:val="0"/>
                        <w:spacing w:before="0" w:after="283"/>
                        <w:jc w:val="left"/>
                        <w:rPr/>
                      </w:pPr>
                      <w:r>
                        <w:rPr/>
                      </w:r>
                    </w:p>
                  </w:txbxContent>
                </v:textbox>
                <w10:wrap type="none"/>
              </v:rect>
            </w:pict>
          </mc:Fallback>
        </mc:AlternateContent>
      </w:r>
    </w:p>
    <w:tbl>
      <w:tblPr>
        <w:tblW w:w="1469" w:type="dxa"/>
        <w:jc w:val="right"/>
        <w:tblInd w:w="0" w:type="dxa"/>
        <w:tblLayout w:type="fixed"/>
        <w:tblCellMar>
          <w:top w:w="28" w:type="dxa"/>
          <w:left w:w="28" w:type="dxa"/>
          <w:bottom w:w="28" w:type="dxa"/>
          <w:right w:w="28" w:type="dxa"/>
        </w:tblCellMar>
      </w:tblPr>
      <w:tblGrid>
        <w:gridCol w:w="470"/>
        <w:gridCol w:w="413"/>
        <w:gridCol w:w="586"/>
      </w:tblGrid>
      <w:tr>
        <w:trPr/>
        <w:tc>
          <w:tcPr>
            <w:tcW w:w="47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r>
      <w:tr>
        <w:trPr/>
        <w:tc>
          <w:tcPr>
            <w:tcW w:w="1469" w:type="dxa"/>
            <w:gridSpan w:val="3"/>
            <w:tcBorders>
              <w:bottom w:val="single" w:sz="4" w:space="0" w:color="004C97"/>
            </w:tcBorders>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4C97"/>
                <w:sz w:val="16"/>
              </w:rPr>
            </w:pPr>
            <w:r>
              <w:rPr>
                <w:rFonts w:ascii="Arial;sans-serif" w:hAnsi="Arial;sans-serif"/>
                <w:b w:val="false"/>
                <w:color w:val="004C97"/>
                <w:sz w:val="16"/>
              </w:rPr>
              <w:t>PROPOSAL FIVE</w:t>
            </w:r>
          </w:p>
        </w:tc>
      </w:tr>
    </w:tbl>
    <w:p>
      <w:pPr>
        <w:pStyle w:val="TextBody"/>
        <w:bidi w:val="0"/>
        <w:spacing w:lineRule="auto" w:line="288" w:before="0" w:after="360"/>
        <w:jc w:val="both"/>
        <w:rPr>
          <w:rFonts w:ascii="Arial;sans-serif" w:hAnsi="Arial;sans-serif"/>
          <w:b w:val="false"/>
          <w:color w:val="000000"/>
          <w:sz w:val="18"/>
        </w:rPr>
      </w:pPr>
      <w:r>
        <w:rPr>
          <w:rFonts w:ascii="Arial;sans-serif" w:hAnsi="Arial;sans-serif"/>
          <w:b w:val="false"/>
          <w:color w:val="000000"/>
          <w:sz w:val="18"/>
        </w:rPr>
        <w:t xml:space="preserve">If our stockholders approve the Delaware Forum Selection Amendment, the changes described in this section will become legally effective upon the filing with the Secretary of State of the State of Delaware of a certificate of amendment reflecting the Delaware Forum Selection Amendment, which filing is expected to occur shortly following the Annual Meeting. If our stockholders do not approve the Delaware Forum Selection Amendment, the changes described in this section will not be made. The approval of the Delaware Forum Selection Amendment is not conditioned upon approval by the stockholders of any of the other proposed amendments to our Certificate of Incorporation described in this proxy statement. If the Delaware Forum Selection Amendment is approved by the stockholders, the Company intends to effect this amendment even if the stockholders fail to approve the other proposed amendments to our Certificate of Incorporation described in this proxy statement.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313"/>
        <w:gridCol w:w="313"/>
        <w:gridCol w:w="315"/>
        <w:gridCol w:w="2848"/>
        <w:gridCol w:w="2848"/>
        <w:gridCol w:w="2853"/>
        <w:gridCol w:w="109"/>
        <w:gridCol w:w="109"/>
        <w:gridCol w:w="15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2848" w:type="dxa"/>
            <w:tcBorders/>
            <w:vAlign w:val="center"/>
          </w:tcPr>
          <w:p>
            <w:pPr>
              <w:pStyle w:val="TableContents"/>
              <w:bidi w:val="0"/>
              <w:spacing w:before="0" w:after="283"/>
              <w:jc w:val="left"/>
              <w:rPr>
                <w:sz w:val="4"/>
                <w:szCs w:val="4"/>
              </w:rPr>
            </w:pPr>
            <w:r>
              <w:rPr>
                <w:sz w:val="4"/>
                <w:szCs w:val="4"/>
              </w:rPr>
            </w:r>
          </w:p>
        </w:tc>
        <w:tc>
          <w:tcPr>
            <w:tcW w:w="2848" w:type="dxa"/>
            <w:tcBorders/>
            <w:vAlign w:val="center"/>
          </w:tcPr>
          <w:p>
            <w:pPr>
              <w:pStyle w:val="TableContents"/>
              <w:bidi w:val="0"/>
              <w:spacing w:before="0" w:after="283"/>
              <w:jc w:val="left"/>
              <w:rPr>
                <w:sz w:val="4"/>
                <w:szCs w:val="4"/>
              </w:rPr>
            </w:pPr>
            <w:r>
              <w:rPr>
                <w:sz w:val="4"/>
                <w:szCs w:val="4"/>
              </w:rPr>
            </w:r>
          </w:p>
        </w:tc>
        <w:tc>
          <w:tcPr>
            <w:tcW w:w="28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4C97"/>
              <w:left w:val="single" w:sz="8" w:space="0" w:color="004C97"/>
              <w:bottom w:val="single" w:sz="8" w:space="0" w:color="004C97"/>
            </w:tcBorders>
            <w:tcMar>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top w:val="single" w:sz="8" w:space="0" w:color="004C97"/>
              <w:bottom w:val="single" w:sz="8" w:space="0" w:color="004C97"/>
            </w:tcBorders>
            <w:tcMar>
              <w:left w:w="0" w:type="dxa"/>
              <w:right w:w="0" w:type="dxa"/>
            </w:tcMar>
            <w:vAlign w:val="center"/>
          </w:tcPr>
          <w:p>
            <w:pPr>
              <w:pStyle w:val="TableContents"/>
              <w:bidi w:val="0"/>
              <w:spacing w:before="0" w:after="0"/>
              <w:jc w:val="center"/>
              <w:rPr/>
            </w:pPr>
            <w:r>
              <w:rPr/>
              <w:drawing>
                <wp:inline distT="0" distB="0" distL="0" distR="0">
                  <wp:extent cx="542925" cy="542925"/>
                  <wp:effectExtent l="0" t="0" r="0" b="0"/>
                  <wp:docPr id="225" name="Image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5" name="Image97" descr=""/>
                          <pic:cNvPicPr>
                            <a:picLocks noChangeAspect="1" noChangeArrowheads="1"/>
                          </pic:cNvPicPr>
                        </pic:nvPicPr>
                        <pic:blipFill>
                          <a:blip r:embed="rId159"/>
                          <a:stretch>
                            <a:fillRect/>
                          </a:stretch>
                        </pic:blipFill>
                        <pic:spPr bwMode="auto">
                          <a:xfrm>
                            <a:off x="0" y="0"/>
                            <a:ext cx="542925" cy="542925"/>
                          </a:xfrm>
                          <a:prstGeom prst="rect">
                            <a:avLst/>
                          </a:prstGeom>
                        </pic:spPr>
                      </pic:pic>
                    </a:graphicData>
                  </a:graphic>
                </wp:inline>
              </w:drawing>
            </w:r>
          </w:p>
        </w:tc>
        <w:tc>
          <w:tcPr>
            <w:tcW w:w="8549" w:type="dxa"/>
            <w:gridSpan w:val="3"/>
            <w:tcBorders>
              <w:top w:val="single" w:sz="8" w:space="0" w:color="004C97"/>
              <w:bottom w:val="single" w:sz="8" w:space="0" w:color="004C97"/>
            </w:tcBorders>
            <w:tcMar>
              <w:top w:w="30" w:type="dxa"/>
              <w:left w:w="0" w:type="dxa"/>
              <w:bottom w:w="30" w:type="dxa"/>
              <w:right w:w="0" w:type="dxa"/>
            </w:tcMar>
            <w:vAlign w:val="center"/>
          </w:tcPr>
          <w:p>
            <w:pPr>
              <w:pStyle w:val="TableContents"/>
              <w:bidi w:val="0"/>
              <w:spacing w:lineRule="auto" w:line="288" w:before="0" w:after="0"/>
              <w:jc w:val="left"/>
              <w:rPr/>
            </w:pPr>
            <w:r>
              <w:rPr>
                <w:rFonts w:ascii="Arial;sans-serif" w:hAnsi="Arial;sans-serif"/>
                <w:b w:val="false"/>
                <w:color w:val="004C97"/>
                <w:sz w:val="20"/>
              </w:rPr>
              <w:t xml:space="preserve">YOUR BOARD OF DIRECTORS UNANIMOUSLY RECOMMENDS A VOTE </w:t>
            </w:r>
            <w:r>
              <w:rPr>
                <w:color w:val="004C97"/>
              </w:rPr>
              <w:t>“</w:t>
            </w:r>
            <w:r>
              <w:rPr>
                <w:rFonts w:ascii="Arial;sans-serif" w:hAnsi="Arial;sans-serif"/>
                <w:b/>
                <w:color w:val="004C97"/>
                <w:sz w:val="20"/>
              </w:rPr>
              <w:t xml:space="preserve">FOR” </w:t>
            </w:r>
            <w:r>
              <w:rPr>
                <w:rFonts w:ascii="Arial;sans-serif" w:hAnsi="Arial;sans-serif"/>
                <w:b w:val="false"/>
                <w:color w:val="004C97"/>
                <w:sz w:val="20"/>
              </w:rPr>
              <w:t>APPROVAL OF THE DELAWARE FORUM SELECTION AMENDMENT.</w:t>
            </w:r>
          </w:p>
        </w:tc>
        <w:tc>
          <w:tcPr>
            <w:tcW w:w="373" w:type="dxa"/>
            <w:gridSpan w:val="3"/>
            <w:tcBorders>
              <w:top w:val="single" w:sz="8" w:space="0" w:color="004C97"/>
              <w:bottom w:val="single" w:sz="8" w:space="0" w:color="004C97"/>
              <w:right w:val="single" w:sz="8" w:space="0" w:color="004C97"/>
            </w:tcBorders>
            <w:tcMar>
              <w:lef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739140"/>
                <wp:effectExtent l="0" t="0" r="0" b="0"/>
                <wp:wrapNone/>
                <wp:docPr id="226" name="Frame68"/>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292" w:type="dxa"/>
                              <w:jc w:val="left"/>
                              <w:tblInd w:w="0" w:type="dxa"/>
                              <w:tblLayout w:type="fixed"/>
                              <w:tblCellMar>
                                <w:top w:w="28" w:type="dxa"/>
                                <w:left w:w="28" w:type="dxa"/>
                                <w:bottom w:w="28" w:type="dxa"/>
                                <w:right w:w="28" w:type="dxa"/>
                              </w:tblCellMar>
                            </w:tblPr>
                            <w:tblGrid>
                              <w:gridCol w:w="124"/>
                              <w:gridCol w:w="109"/>
                              <w:gridCol w:w="109"/>
                              <w:gridCol w:w="704"/>
                              <w:gridCol w:w="704"/>
                              <w:gridCol w:w="706"/>
                              <w:gridCol w:w="244"/>
                              <w:gridCol w:w="244"/>
                              <w:gridCol w:w="34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6"/>
                                    </w:rPr>
                                  </w:pPr>
                                  <w:r>
                                    <w:rPr>
                                      <w:rFonts w:ascii="Arial;sans-serif" w:hAnsi="Arial;sans-serif"/>
                                      <w:b/>
                                      <w:color w:val="000000"/>
                                      <w:sz w:val="16"/>
                                    </w:rPr>
                                    <w:t>62</w:t>
                                  </w:r>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2024 PROXY STATEMENT</w:t>
                                  </w:r>
                                </w:p>
                              </w:tc>
                              <w:tc>
                                <w:tcPr>
                                  <w:tcW w:w="83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227" name="Image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7" name="Image98" descr=""/>
                                                <pic:cNvPicPr>
                                                  <a:picLocks noChangeAspect="1" noChangeArrowheads="1"/>
                                                </pic:cNvPicPr>
                                              </pic:nvPicPr>
                                              <pic:blipFill>
                                                <a:blip r:embed="rId160"/>
                                                <a:stretch>
                                                  <a:fillRect/>
                                                </a:stretch>
                                              </pic:blipFill>
                                              <pic:spPr bwMode="auto">
                                                <a:xfrm>
                                                  <a:off x="0" y="0"/>
                                                  <a:ext cx="447675" cy="161925"/>
                                                </a:xfrm>
                                                <a:prstGeom prst="rect">
                                                  <a:avLst/>
                                                </a:prstGeom>
                                              </pic:spPr>
                                            </pic:pic>
                                          </a:graphicData>
                                        </a:graphic>
                                      </wp:inline>
                                    </w:drawing>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292" w:type="dxa"/>
                        <w:jc w:val="left"/>
                        <w:tblInd w:w="0" w:type="dxa"/>
                        <w:tblLayout w:type="fixed"/>
                        <w:tblCellMar>
                          <w:top w:w="28" w:type="dxa"/>
                          <w:left w:w="28" w:type="dxa"/>
                          <w:bottom w:w="28" w:type="dxa"/>
                          <w:right w:w="28" w:type="dxa"/>
                        </w:tblCellMar>
                      </w:tblPr>
                      <w:tblGrid>
                        <w:gridCol w:w="124"/>
                        <w:gridCol w:w="109"/>
                        <w:gridCol w:w="109"/>
                        <w:gridCol w:w="704"/>
                        <w:gridCol w:w="704"/>
                        <w:gridCol w:w="706"/>
                        <w:gridCol w:w="244"/>
                        <w:gridCol w:w="244"/>
                        <w:gridCol w:w="34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6"/>
                              </w:rPr>
                            </w:pPr>
                            <w:r>
                              <w:rPr>
                                <w:rFonts w:ascii="Arial;sans-serif" w:hAnsi="Arial;sans-serif"/>
                                <w:b/>
                                <w:color w:val="000000"/>
                                <w:sz w:val="16"/>
                              </w:rPr>
                              <w:t>62</w:t>
                            </w:r>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2024 PROXY STATEMENT</w:t>
                            </w:r>
                          </w:p>
                        </w:tc>
                        <w:tc>
                          <w:tcPr>
                            <w:tcW w:w="83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228" name="Image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8" name="Image98" descr=""/>
                                          <pic:cNvPicPr>
                                            <a:picLocks noChangeAspect="1" noChangeArrowheads="1"/>
                                          </pic:cNvPicPr>
                                        </pic:nvPicPr>
                                        <pic:blipFill>
                                          <a:blip r:embed="rId161"/>
                                          <a:stretch>
                                            <a:fillRect/>
                                          </a:stretch>
                                        </pic:blipFill>
                                        <pic:spPr bwMode="auto">
                                          <a:xfrm>
                                            <a:off x="0" y="0"/>
                                            <a:ext cx="447675" cy="161925"/>
                                          </a:xfrm>
                                          <a:prstGeom prst="rect">
                                            <a:avLst/>
                                          </a:prstGeom>
                                        </pic:spPr>
                                      </pic:pic>
                                    </a:graphicData>
                                  </a:graphic>
                                </wp:inline>
                              </w:drawing>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312" w:before="0" w:after="240"/>
        <w:jc w:val="left"/>
        <w:rPr>
          <w:rFonts w:ascii="Arial;sans-serif" w:hAnsi="Arial;sans-serif"/>
          <w:b/>
          <w:color w:val="004C97"/>
          <w:sz w:val="42"/>
        </w:rPr>
      </w:pPr>
      <w:r>
        <w:rPr>
          <w:rFonts w:ascii="Arial;sans-serif" w:hAnsi="Arial;sans-serif"/>
          <w:b/>
          <w:color w:val="004C97"/>
          <w:sz w:val="42"/>
        </w:rPr>
        <w:t>PROPOSAL 6: APPROVAL OF THE AMENDMENT TO OUR CERTIFICATE OF INCORPORATION TO ADD A FEDERAL FORUM SELECTION PROVISION FOR CLAIMS UNDER THE SECURITIES ACT</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Our Board has voted unanimously to approve, and has recommended that our stockholders approve, an amendment to our Certificate of Incorporation to provide that, unless we consent in writing to the selection of an alternative forum, the federal district courts of the United States shall be the exclusive forum for the resolution of any claim arising under the Securities Act. We refer to this proposed amendment to our Certificate of Incorporation as the “Federal Forum Selection Amendment.”</w:t>
      </w:r>
    </w:p>
    <w:p>
      <w:pPr>
        <w:pStyle w:val="TextBody"/>
        <w:bidi w:val="0"/>
        <w:spacing w:lineRule="auto" w:line="288" w:before="0" w:after="60"/>
        <w:jc w:val="both"/>
        <w:rPr>
          <w:rFonts w:ascii="Arial;sans-serif" w:hAnsi="Arial;sans-serif"/>
          <w:b/>
          <w:color w:val="000000"/>
          <w:sz w:val="22"/>
        </w:rPr>
      </w:pPr>
      <w:r>
        <w:rPr>
          <w:rFonts w:ascii="Arial;sans-serif" w:hAnsi="Arial;sans-serif"/>
          <w:b/>
          <w:color w:val="000000"/>
          <w:sz w:val="22"/>
        </w:rPr>
        <w:t>THE PROPOSED AMENDMENT</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Our Certificate of Incorporation does not currently include a provision specifying the forum for the resolution of any claim arising under the Securities Act. In general, the Securities Act establishes certain legal requirements for the offer and sale of securities by the Company and provides private rights of action against the Company, in favor of purchasers of such securities, for violations of certain provisions of the Securities Act. If adopted, the Federal Forum Selection Amendment would provide that, unless the Company consents in writing to the selection of an alternative forum, the federal courts of the United States shall be the exclusive forum for the resolution of any complaint asserting a cause of action arising under the Securities Act. The Federal Forum Selection Amendment would not limit plaintiffs to filing such a complaint in a federal court located in any particular state.</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The Federal Forum Section Amendment provides that anyone who acquires or holds any interest in securities of the Company may be deemed to consent to the terms of the Federal Forum Selection Amendment. Accordingly, if the Federal Forum Selection Amendment is approved by the stockholders at the Annual Meeting and is effected, plaintiffs asserting claims against us under the Securities Act would be required to file those claims in federal district courts. However, there is uncertainty as to whether a court would enforce the provision.</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The text of the Federal Forum Selection Amendment, which would be added as a new article to our Certificate of Incorporation, is attached as Appendix D to this proxy statement. The foregoing general description of the Federal Forum Selection Amendment is qualified in its entirety by reference to Appendix D.</w:t>
      </w:r>
    </w:p>
    <w:p>
      <w:pPr>
        <w:pStyle w:val="TextBody"/>
        <w:bidi w:val="0"/>
        <w:spacing w:lineRule="auto" w:line="288" w:before="0" w:after="60"/>
        <w:jc w:val="left"/>
        <w:rPr>
          <w:rFonts w:ascii="Arial;sans-serif" w:hAnsi="Arial;sans-serif"/>
          <w:b/>
          <w:color w:val="000000"/>
          <w:sz w:val="22"/>
        </w:rPr>
      </w:pPr>
      <w:r>
        <w:rPr>
          <w:rFonts w:ascii="Arial;sans-serif" w:hAnsi="Arial;sans-serif"/>
          <w:b/>
          <w:color w:val="000000"/>
          <w:sz w:val="22"/>
        </w:rPr>
        <w:t>REASONS FOR THE AMENDMENT</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 xml:space="preserve">In light of a recent decision by the Delaware Supreme Court validating federal forum selection provisions, the Board reviewed the Federal Forum Selection Amendment from a legal and policy perspective. Currently, investors may file claims against us arising under the Securities Act in both state courts and federal district courts. </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The Board believes that the federal forum selection provision could provide a number of benefits to the Company and our stockholders, including:</w:t>
      </w:r>
    </w:p>
    <w:p>
      <w:pPr>
        <w:pStyle w:val="TextBody"/>
        <w:bidi w:val="0"/>
        <w:spacing w:lineRule="auto" w:line="288" w:before="0" w:after="180"/>
        <w:ind w:left="0" w:right="0" w:hanging="216"/>
        <w:jc w:val="both"/>
        <w:rPr/>
      </w:pPr>
      <w:r>
        <w:rPr>
          <w:color w:val="000000"/>
        </w:rPr>
        <w:t>•</w:t>
      </w:r>
      <w:r>
        <w:rPr>
          <w:rFonts w:ascii="Arial;sans-serif" w:hAnsi="Arial;sans-serif"/>
          <w:b w:val="false"/>
          <w:color w:val="000000"/>
          <w:sz w:val="18"/>
        </w:rPr>
        <w:t>allowing the Company to consolidate multi-jurisdictional litigation, which would enable the Company to avoid the inefficiencies, the excessive and duplicative litigation expenses, and the risk of inconsistent rulings concerning the same claims and underlying subject matter associated with defending claims in multiple jurisdictions;</w:t>
      </w:r>
    </w:p>
    <w:p>
      <w:pPr>
        <w:pStyle w:val="TextBody"/>
        <w:bidi w:val="0"/>
        <w:spacing w:lineRule="auto" w:line="288" w:before="0" w:after="180"/>
        <w:ind w:left="0" w:right="0" w:hanging="216"/>
        <w:jc w:val="both"/>
        <w:rPr/>
      </w:pPr>
      <w:r>
        <w:rPr>
          <w:color w:val="000000"/>
        </w:rPr>
        <w:t>•</w:t>
      </w:r>
      <w:r>
        <w:rPr>
          <w:rFonts w:ascii="Arial;sans-serif" w:hAnsi="Arial;sans-serif"/>
          <w:b w:val="false"/>
          <w:color w:val="000000"/>
          <w:sz w:val="18"/>
        </w:rPr>
        <w:t>limiting forum shopping by plaintiffs’ lawyers and potentially discouraging illegitimate claims;</w:t>
      </w:r>
    </w:p>
    <w:p>
      <w:pPr>
        <w:pStyle w:val="TextBody"/>
        <w:bidi w:val="0"/>
        <w:spacing w:lineRule="auto" w:line="288" w:before="0" w:after="180"/>
        <w:ind w:left="0" w:right="0" w:hanging="216"/>
        <w:jc w:val="both"/>
        <w:rPr/>
      </w:pPr>
      <w:r>
        <w:rPr>
          <w:color w:val="000000"/>
        </w:rPr>
        <w:t>•</w:t>
      </w:r>
      <w:r>
        <w:rPr>
          <w:rFonts w:ascii="Arial;sans-serif" w:hAnsi="Arial;sans-serif"/>
          <w:b w:val="false"/>
          <w:color w:val="000000"/>
          <w:sz w:val="18"/>
        </w:rPr>
        <w:t>more efficiently managing procedural aspects of securities litigation;</w:t>
      </w:r>
    </w:p>
    <w:p>
      <w:pPr>
        <w:pStyle w:val="TextBody"/>
        <w:bidi w:val="0"/>
        <w:spacing w:lineRule="auto" w:line="288" w:before="0" w:after="180"/>
        <w:ind w:left="0" w:right="0" w:hanging="216"/>
        <w:jc w:val="both"/>
        <w:rPr/>
      </w:pPr>
      <w:r>
        <w:rPr>
          <w:color w:val="000000"/>
        </w:rPr>
        <w:t>•</w:t>
      </w:r>
      <w:r>
        <w:rPr>
          <w:rFonts w:ascii="Arial;sans-serif" w:hAnsi="Arial;sans-serif"/>
          <w:b w:val="false"/>
          <w:color w:val="000000"/>
          <w:sz w:val="18"/>
        </w:rPr>
        <w:t>allowing the Company to focus on the underlying substantive rights or remedies, instead of addressing the type of court in which a claim may be brought;</w:t>
      </w:r>
    </w:p>
    <w:p>
      <w:pPr>
        <w:pStyle w:val="TextBody"/>
        <w:bidi w:val="0"/>
        <w:spacing w:lineRule="auto" w:line="288" w:before="0" w:after="180"/>
        <w:ind w:left="0" w:right="0" w:hanging="216"/>
        <w:jc w:val="both"/>
        <w:rPr/>
      </w:pPr>
      <w:r>
        <w:rPr>
          <w:color w:val="000000"/>
        </w:rPr>
        <w:t>•</w:t>
      </w:r>
      <w:r>
        <w:rPr>
          <w:rFonts w:ascii="Arial;sans-serif" w:hAnsi="Arial;sans-serif"/>
          <w:b w:val="false"/>
          <w:color w:val="000000"/>
          <w:sz w:val="18"/>
        </w:rPr>
        <w:t>ensuring that claims arising under the Securities Act are heard by courts with extensive experience adjudicating such claims, which provides the Company and its stockholders with more predictability regarding the outcome of such claims; and</w:t>
      </w:r>
    </w:p>
    <w:p>
      <w:pPr>
        <w:pStyle w:val="TextBody"/>
        <w:bidi w:val="0"/>
        <w:spacing w:lineRule="auto" w:line="288" w:before="0" w:after="180"/>
        <w:ind w:left="0" w:right="0" w:hanging="216"/>
        <w:jc w:val="both"/>
        <w:rPr/>
      </w:pPr>
      <w:r>
        <w:rPr>
          <w:color w:val="000000"/>
        </w:rPr>
        <w:t>•</w:t>
      </w:r>
      <w:r>
        <w:rPr>
          <w:rFonts w:ascii="Arial;sans-serif" w:hAnsi="Arial;sans-serif"/>
          <w:b w:val="false"/>
          <w:color w:val="000000"/>
          <w:sz w:val="18"/>
        </w:rPr>
        <w:t>giving the Company the ability to consent to an alternative forum, if the Company desires.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739140"/>
                <wp:effectExtent l="0" t="0" r="0" b="0"/>
                <wp:wrapNone/>
                <wp:docPr id="229" name="Frame69"/>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292" w:type="dxa"/>
                              <w:jc w:val="right"/>
                              <w:tblInd w:w="0" w:type="dxa"/>
                              <w:tblLayout w:type="fixed"/>
                              <w:tblCellMar>
                                <w:top w:w="28" w:type="dxa"/>
                                <w:left w:w="28" w:type="dxa"/>
                                <w:bottom w:w="28" w:type="dxa"/>
                                <w:right w:w="28" w:type="dxa"/>
                              </w:tblCellMar>
                            </w:tblPr>
                            <w:tblGrid>
                              <w:gridCol w:w="292"/>
                              <w:gridCol w:w="256"/>
                              <w:gridCol w:w="258"/>
                              <w:gridCol w:w="704"/>
                              <w:gridCol w:w="704"/>
                              <w:gridCol w:w="706"/>
                              <w:gridCol w:w="109"/>
                              <w:gridCol w:w="109"/>
                              <w:gridCol w:w="154"/>
                            </w:tblGrid>
                            <w:tr>
                              <w:trPr/>
                              <w:tc>
                                <w:tcPr>
                                  <w:tcW w:w="29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0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230" name="Image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0" name="Image99" descr=""/>
                                                <pic:cNvPicPr>
                                                  <a:picLocks noChangeAspect="1" noChangeArrowheads="1"/>
                                                </pic:cNvPicPr>
                                              </pic:nvPicPr>
                                              <pic:blipFill>
                                                <a:blip r:embed="rId162"/>
                                                <a:stretch>
                                                  <a:fillRect/>
                                                </a:stretch>
                                              </pic:blipFill>
                                              <pic:spPr bwMode="auto">
                                                <a:xfrm>
                                                  <a:off x="0" y="0"/>
                                                  <a:ext cx="447675" cy="161925"/>
                                                </a:xfrm>
                                                <a:prstGeom prst="rect">
                                                  <a:avLst/>
                                                </a:prstGeom>
                                              </pic:spPr>
                                            </pic:pic>
                                          </a:graphicData>
                                        </a:graphic>
                                      </wp:inline>
                                    </w:drawing>
                                  </w:r>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2024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000000"/>
                                      <w:sz w:val="16"/>
                                    </w:rPr>
                                  </w:pPr>
                                  <w:r>
                                    <w:rPr>
                                      <w:rFonts w:ascii="Arial;sans-serif" w:hAnsi="Arial;sans-serif"/>
                                      <w:b/>
                                      <w:color w:val="000000"/>
                                      <w:sz w:val="16"/>
                                    </w:rPr>
                                    <w:t>63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292" w:type="dxa"/>
                        <w:jc w:val="right"/>
                        <w:tblInd w:w="0" w:type="dxa"/>
                        <w:tblLayout w:type="fixed"/>
                        <w:tblCellMar>
                          <w:top w:w="28" w:type="dxa"/>
                          <w:left w:w="28" w:type="dxa"/>
                          <w:bottom w:w="28" w:type="dxa"/>
                          <w:right w:w="28" w:type="dxa"/>
                        </w:tblCellMar>
                      </w:tblPr>
                      <w:tblGrid>
                        <w:gridCol w:w="292"/>
                        <w:gridCol w:w="256"/>
                        <w:gridCol w:w="258"/>
                        <w:gridCol w:w="704"/>
                        <w:gridCol w:w="704"/>
                        <w:gridCol w:w="706"/>
                        <w:gridCol w:w="109"/>
                        <w:gridCol w:w="109"/>
                        <w:gridCol w:w="154"/>
                      </w:tblGrid>
                      <w:tr>
                        <w:trPr/>
                        <w:tc>
                          <w:tcPr>
                            <w:tcW w:w="29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0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231" name="Image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1" name="Image99" descr=""/>
                                          <pic:cNvPicPr>
                                            <a:picLocks noChangeAspect="1" noChangeArrowheads="1"/>
                                          </pic:cNvPicPr>
                                        </pic:nvPicPr>
                                        <pic:blipFill>
                                          <a:blip r:embed="rId163"/>
                                          <a:stretch>
                                            <a:fillRect/>
                                          </a:stretch>
                                        </pic:blipFill>
                                        <pic:spPr bwMode="auto">
                                          <a:xfrm>
                                            <a:off x="0" y="0"/>
                                            <a:ext cx="447675" cy="161925"/>
                                          </a:xfrm>
                                          <a:prstGeom prst="rect">
                                            <a:avLst/>
                                          </a:prstGeom>
                                        </pic:spPr>
                                      </pic:pic>
                                    </a:graphicData>
                                  </a:graphic>
                                </wp:inline>
                              </w:drawing>
                            </w:r>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2024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000000"/>
                                <w:sz w:val="16"/>
                              </w:rPr>
                            </w:pPr>
                            <w:r>
                              <w:rPr>
                                <w:rFonts w:ascii="Arial;sans-serif" w:hAnsi="Arial;sans-serif"/>
                                <w:b/>
                                <w:color w:val="000000"/>
                                <w:sz w:val="16"/>
                              </w:rPr>
                              <w:t>63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120"/>
        <w:jc w:val="left"/>
        <w:rPr>
          <w:rFonts w:ascii="Arial;sans-serif" w:hAnsi="Arial;sans-serif"/>
          <w:b w:val="false"/>
          <w:color w:val="004C97"/>
          <w:sz w:val="16"/>
        </w:rPr>
      </w:pPr>
      <w:r>
        <w:rPr>
          <w:rFonts w:ascii="Arial;sans-serif" w:hAnsi="Arial;sans-serif"/>
          <w:b w:val="false"/>
          <w:color w:val="004C97"/>
          <w:sz w:val="16"/>
        </w:rPr>
        <w:t>PROPOSAL 6: FEDERAL FORUM SELECTION AMENDMENT</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70A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Other potential effects arising from the Federal Forum Selection Amendment considered by the Board included that the provision:</w:t>
      </w:r>
    </w:p>
    <w:p>
      <w:pPr>
        <w:pStyle w:val="TextBody"/>
        <w:bidi w:val="0"/>
        <w:spacing w:lineRule="auto" w:line="288" w:before="0" w:after="180"/>
        <w:ind w:left="0" w:right="0" w:hanging="216"/>
        <w:jc w:val="both"/>
        <w:rPr/>
      </w:pPr>
      <w:r>
        <w:rPr>
          <w:color w:val="000000"/>
        </w:rPr>
        <w:t>•</w:t>
      </w:r>
      <w:r>
        <w:rPr>
          <w:rFonts w:ascii="Arial;sans-serif" w:hAnsi="Arial;sans-serif"/>
          <w:b w:val="false"/>
          <w:color w:val="000000"/>
          <w:sz w:val="18"/>
        </w:rPr>
        <w:t>may discourage claims under the Securities Act or limit investors’ ability to bring these claims in a judicial forum of their choice; and</w:t>
      </w:r>
    </w:p>
    <w:p>
      <w:pPr>
        <w:pStyle w:val="TextBody"/>
        <w:bidi w:val="0"/>
        <w:spacing w:lineRule="auto" w:line="288" w:before="0" w:after="180"/>
        <w:ind w:left="0" w:right="0" w:hanging="216"/>
        <w:jc w:val="both"/>
        <w:rPr/>
      </w:pPr>
      <w:r>
        <w:rPr>
          <w:color w:val="000000"/>
        </w:rPr>
        <w:t>•</w:t>
      </w:r>
      <w:r>
        <w:rPr>
          <w:rFonts w:ascii="Arial;sans-serif" w:hAnsi="Arial;sans-serif"/>
          <w:b w:val="false"/>
          <w:color w:val="000000"/>
          <w:sz w:val="18"/>
        </w:rPr>
        <w:t>may also require plaintiffs and the Company to incur litigation costs if plaintiffs contest the provision’s enforceability, or additional litigation costs pursuing claims in accordance with the terms of the provision.</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The Board of Directors also considered the increasing rate of adoption of federal forum selection provisions by companies in general in response to multi-forum litigation, as well as the Company’s ability to consent to an alternative forum.</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 xml:space="preserve">The Federal Forum Selection Amendment was not adopted by the Board in reaction to any specific litigation confronting the Company. As of the date the Board adopted the Federal Forum Selection Amendment, and as of the date of this proxy statement, there are no pending lawsuits against the Company asserting a cause of action arising under the Securities Act. Rather, it was adopted on a prospective basis to help mitigate potential future harm to the Company and our stockholders. In particular, the Board believes that it is more prudent and beneficial to the Company and our stockholders to take preventive measures before the Company and the interests of most of our stockholders are harmed by the costly, common practice of filing claims in multiple jurisdictions or in state courts. </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 xml:space="preserve">After careful consideration of the issue, and upon the unanimous recommendation of the Governance &amp; Sustainability Committee, the Board has determined that it would be in the best interests of the Company and our stockholders to include a new article in our Certificate of Incorporation to provide that any claims arising under the Securities Act be resolved in federal courts as set forth in the Federal Forum Selection Amendment. </w:t>
      </w:r>
    </w:p>
    <w:p>
      <w:pPr>
        <w:pStyle w:val="TextBody"/>
        <w:bidi w:val="0"/>
        <w:spacing w:lineRule="auto" w:line="288" w:before="0" w:after="60"/>
        <w:jc w:val="both"/>
        <w:rPr>
          <w:rFonts w:ascii="Arial;sans-serif" w:hAnsi="Arial;sans-serif"/>
          <w:b/>
          <w:color w:val="000000"/>
          <w:sz w:val="22"/>
        </w:rPr>
      </w:pPr>
      <w:r>
        <w:rPr>
          <w:rFonts w:ascii="Arial;sans-serif" w:hAnsi="Arial;sans-serif"/>
          <w:b/>
          <w:color w:val="000000"/>
          <w:sz w:val="22"/>
        </w:rPr>
        <w:t>ADDITIONAL INFORMATION</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Under the DGCL, the affirmative vote of the holders of a majority of the outstanding shares of our voting stock is required to approve the Federal Forum Selection Amendment. If a stockholder abstains from voting or directs the stockholder's proxy to abstain from voting on the proposal to approve the Federal Forum Selection Amendment, the abstention has the same effect as a vote against this proposal. Shares of voting stock of the Company resulting in broker non-votes, if any, also have the same effect as a vote against this proposal.</w:t>
      </w:r>
    </w:p>
    <w:p>
      <w:pPr>
        <w:pStyle w:val="TextBody"/>
        <w:bidi w:val="0"/>
        <w:spacing w:lineRule="auto" w:line="288" w:before="0" w:after="360"/>
        <w:jc w:val="both"/>
        <w:rPr>
          <w:rFonts w:ascii="Arial;sans-serif" w:hAnsi="Arial;sans-serif"/>
          <w:b w:val="false"/>
          <w:color w:val="000000"/>
          <w:sz w:val="18"/>
        </w:rPr>
      </w:pPr>
      <w:r>
        <w:rPr>
          <w:rFonts w:ascii="Arial;sans-serif" w:hAnsi="Arial;sans-serif"/>
          <w:b w:val="false"/>
          <w:color w:val="000000"/>
          <w:sz w:val="18"/>
        </w:rPr>
        <w:t xml:space="preserve">If our stockholders approve the Federal Forum Selection Amendment, the changes described in this section will become legally effective upon the filing with the Secretary of State of the State of Delaware of a certificate of amendment reflecting the Federal Forum Selection Amendment, which filing is expected to occur shortly following the Annual Meeting. If our stockholders do not approve the Federal Forum Selection Amendment, the changes described in this section will not be made. The approval of the Federal Forum Selection Amendment is not conditioned upon approval by the stockholders of any of the other proposed amendments to our Certificate of Incorporation described in this proxy statement. If the Federal Forum Selection Amendment is approved by the stockholders, the Company intends to effect this amendment even if the stockholders fail to approve the other proposed amendments to our Certificate of Incorporation described in this proxy statement.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313"/>
        <w:gridCol w:w="313"/>
        <w:gridCol w:w="315"/>
        <w:gridCol w:w="2848"/>
        <w:gridCol w:w="2848"/>
        <w:gridCol w:w="2853"/>
        <w:gridCol w:w="109"/>
        <w:gridCol w:w="109"/>
        <w:gridCol w:w="15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2848" w:type="dxa"/>
            <w:tcBorders/>
            <w:vAlign w:val="center"/>
          </w:tcPr>
          <w:p>
            <w:pPr>
              <w:pStyle w:val="TableContents"/>
              <w:bidi w:val="0"/>
              <w:spacing w:before="0" w:after="283"/>
              <w:jc w:val="left"/>
              <w:rPr>
                <w:sz w:val="4"/>
                <w:szCs w:val="4"/>
              </w:rPr>
            </w:pPr>
            <w:r>
              <w:rPr>
                <w:sz w:val="4"/>
                <w:szCs w:val="4"/>
              </w:rPr>
            </w:r>
          </w:p>
        </w:tc>
        <w:tc>
          <w:tcPr>
            <w:tcW w:w="2848" w:type="dxa"/>
            <w:tcBorders/>
            <w:vAlign w:val="center"/>
          </w:tcPr>
          <w:p>
            <w:pPr>
              <w:pStyle w:val="TableContents"/>
              <w:bidi w:val="0"/>
              <w:spacing w:before="0" w:after="283"/>
              <w:jc w:val="left"/>
              <w:rPr>
                <w:sz w:val="4"/>
                <w:szCs w:val="4"/>
              </w:rPr>
            </w:pPr>
            <w:r>
              <w:rPr>
                <w:sz w:val="4"/>
                <w:szCs w:val="4"/>
              </w:rPr>
            </w:r>
          </w:p>
        </w:tc>
        <w:tc>
          <w:tcPr>
            <w:tcW w:w="28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4C97"/>
              <w:left w:val="single" w:sz="8" w:space="0" w:color="004C97"/>
              <w:bottom w:val="single" w:sz="8" w:space="0" w:color="004C97"/>
            </w:tcBorders>
            <w:tcMar>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top w:val="single" w:sz="8" w:space="0" w:color="004C97"/>
              <w:bottom w:val="single" w:sz="8" w:space="0" w:color="004C97"/>
            </w:tcBorders>
            <w:tcMar>
              <w:left w:w="0" w:type="dxa"/>
              <w:right w:w="0" w:type="dxa"/>
            </w:tcMar>
            <w:vAlign w:val="center"/>
          </w:tcPr>
          <w:p>
            <w:pPr>
              <w:pStyle w:val="TableContents"/>
              <w:bidi w:val="0"/>
              <w:spacing w:before="0" w:after="0"/>
              <w:jc w:val="center"/>
              <w:rPr/>
            </w:pPr>
            <w:r>
              <w:rPr/>
              <w:drawing>
                <wp:inline distT="0" distB="0" distL="0" distR="0">
                  <wp:extent cx="542925" cy="542925"/>
                  <wp:effectExtent l="0" t="0" r="0" b="0"/>
                  <wp:docPr id="232" name="Image1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2" name="Image100" descr=""/>
                          <pic:cNvPicPr>
                            <a:picLocks noChangeAspect="1" noChangeArrowheads="1"/>
                          </pic:cNvPicPr>
                        </pic:nvPicPr>
                        <pic:blipFill>
                          <a:blip r:embed="rId164"/>
                          <a:stretch>
                            <a:fillRect/>
                          </a:stretch>
                        </pic:blipFill>
                        <pic:spPr bwMode="auto">
                          <a:xfrm>
                            <a:off x="0" y="0"/>
                            <a:ext cx="542925" cy="542925"/>
                          </a:xfrm>
                          <a:prstGeom prst="rect">
                            <a:avLst/>
                          </a:prstGeom>
                        </pic:spPr>
                      </pic:pic>
                    </a:graphicData>
                  </a:graphic>
                </wp:inline>
              </w:drawing>
            </w:r>
          </w:p>
        </w:tc>
        <w:tc>
          <w:tcPr>
            <w:tcW w:w="8549" w:type="dxa"/>
            <w:gridSpan w:val="3"/>
            <w:tcBorders>
              <w:top w:val="single" w:sz="8" w:space="0" w:color="004C97"/>
              <w:bottom w:val="single" w:sz="8" w:space="0" w:color="004C97"/>
            </w:tcBorders>
            <w:tcMar>
              <w:top w:w="30" w:type="dxa"/>
              <w:left w:w="0" w:type="dxa"/>
              <w:bottom w:w="30" w:type="dxa"/>
              <w:right w:w="0" w:type="dxa"/>
            </w:tcMar>
            <w:vAlign w:val="center"/>
          </w:tcPr>
          <w:p>
            <w:pPr>
              <w:pStyle w:val="TableContents"/>
              <w:bidi w:val="0"/>
              <w:spacing w:lineRule="auto" w:line="288" w:before="0" w:after="0"/>
              <w:jc w:val="left"/>
              <w:rPr/>
            </w:pPr>
            <w:r>
              <w:rPr>
                <w:rFonts w:ascii="Arial;sans-serif" w:hAnsi="Arial;sans-serif"/>
                <w:b w:val="false"/>
                <w:color w:val="004C97"/>
                <w:sz w:val="20"/>
              </w:rPr>
              <w:t xml:space="preserve">YOUR BOARD OF DIRECTORS UNANIMOUSLY RECOMMENDS A VOTE </w:t>
            </w:r>
            <w:r>
              <w:rPr>
                <w:color w:val="004C97"/>
              </w:rPr>
              <w:t>“</w:t>
            </w:r>
            <w:r>
              <w:rPr>
                <w:rFonts w:ascii="Arial;sans-serif" w:hAnsi="Arial;sans-serif"/>
                <w:b/>
                <w:color w:val="004C97"/>
                <w:sz w:val="20"/>
              </w:rPr>
              <w:t xml:space="preserve">FOR” </w:t>
            </w:r>
            <w:r>
              <w:rPr>
                <w:rFonts w:ascii="Arial;sans-serif" w:hAnsi="Arial;sans-serif"/>
                <w:b w:val="false"/>
                <w:color w:val="004C97"/>
                <w:sz w:val="20"/>
              </w:rPr>
              <w:t>APPROVAL OF THE FEDERAL FORUM SELECTION AMENDMENT.</w:t>
            </w:r>
          </w:p>
        </w:tc>
        <w:tc>
          <w:tcPr>
            <w:tcW w:w="373" w:type="dxa"/>
            <w:gridSpan w:val="3"/>
            <w:tcBorders>
              <w:top w:val="single" w:sz="8" w:space="0" w:color="004C97"/>
              <w:bottom w:val="single" w:sz="8" w:space="0" w:color="004C97"/>
              <w:right w:val="single" w:sz="8" w:space="0" w:color="004C97"/>
            </w:tcBorders>
            <w:tcMar>
              <w:lef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739140"/>
                <wp:effectExtent l="0" t="0" r="0" b="0"/>
                <wp:wrapNone/>
                <wp:docPr id="233" name="Frame70"/>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292" w:type="dxa"/>
                              <w:jc w:val="left"/>
                              <w:tblInd w:w="0" w:type="dxa"/>
                              <w:tblLayout w:type="fixed"/>
                              <w:tblCellMar>
                                <w:top w:w="28" w:type="dxa"/>
                                <w:left w:w="28" w:type="dxa"/>
                                <w:bottom w:w="28" w:type="dxa"/>
                                <w:right w:w="28" w:type="dxa"/>
                              </w:tblCellMar>
                            </w:tblPr>
                            <w:tblGrid>
                              <w:gridCol w:w="124"/>
                              <w:gridCol w:w="109"/>
                              <w:gridCol w:w="109"/>
                              <w:gridCol w:w="704"/>
                              <w:gridCol w:w="704"/>
                              <w:gridCol w:w="706"/>
                              <w:gridCol w:w="244"/>
                              <w:gridCol w:w="244"/>
                              <w:gridCol w:w="34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6"/>
                                    </w:rPr>
                                  </w:pPr>
                                  <w:r>
                                    <w:rPr>
                                      <w:rFonts w:ascii="Arial;sans-serif" w:hAnsi="Arial;sans-serif"/>
                                      <w:b/>
                                      <w:color w:val="000000"/>
                                      <w:sz w:val="16"/>
                                    </w:rPr>
                                    <w:t>64</w:t>
                                  </w:r>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2024 PROXY STATEMENT</w:t>
                                  </w:r>
                                </w:p>
                              </w:tc>
                              <w:tc>
                                <w:tcPr>
                                  <w:tcW w:w="83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234" name="Image1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4" name="Image101" descr=""/>
                                                <pic:cNvPicPr>
                                                  <a:picLocks noChangeAspect="1" noChangeArrowheads="1"/>
                                                </pic:cNvPicPr>
                                              </pic:nvPicPr>
                                              <pic:blipFill>
                                                <a:blip r:embed="rId165"/>
                                                <a:stretch>
                                                  <a:fillRect/>
                                                </a:stretch>
                                              </pic:blipFill>
                                              <pic:spPr bwMode="auto">
                                                <a:xfrm>
                                                  <a:off x="0" y="0"/>
                                                  <a:ext cx="447675" cy="161925"/>
                                                </a:xfrm>
                                                <a:prstGeom prst="rect">
                                                  <a:avLst/>
                                                </a:prstGeom>
                                              </pic:spPr>
                                            </pic:pic>
                                          </a:graphicData>
                                        </a:graphic>
                                      </wp:inline>
                                    </w:drawing>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292" w:type="dxa"/>
                        <w:jc w:val="left"/>
                        <w:tblInd w:w="0" w:type="dxa"/>
                        <w:tblLayout w:type="fixed"/>
                        <w:tblCellMar>
                          <w:top w:w="28" w:type="dxa"/>
                          <w:left w:w="28" w:type="dxa"/>
                          <w:bottom w:w="28" w:type="dxa"/>
                          <w:right w:w="28" w:type="dxa"/>
                        </w:tblCellMar>
                      </w:tblPr>
                      <w:tblGrid>
                        <w:gridCol w:w="124"/>
                        <w:gridCol w:w="109"/>
                        <w:gridCol w:w="109"/>
                        <w:gridCol w:w="704"/>
                        <w:gridCol w:w="704"/>
                        <w:gridCol w:w="706"/>
                        <w:gridCol w:w="244"/>
                        <w:gridCol w:w="244"/>
                        <w:gridCol w:w="34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6"/>
                              </w:rPr>
                            </w:pPr>
                            <w:r>
                              <w:rPr>
                                <w:rFonts w:ascii="Arial;sans-serif" w:hAnsi="Arial;sans-serif"/>
                                <w:b/>
                                <w:color w:val="000000"/>
                                <w:sz w:val="16"/>
                              </w:rPr>
                              <w:t>64</w:t>
                            </w:r>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2024 PROXY STATEMENT</w:t>
                            </w:r>
                          </w:p>
                        </w:tc>
                        <w:tc>
                          <w:tcPr>
                            <w:tcW w:w="83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235" name="Image1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5" name="Image101" descr=""/>
                                          <pic:cNvPicPr>
                                            <a:picLocks noChangeAspect="1" noChangeArrowheads="1"/>
                                          </pic:cNvPicPr>
                                        </pic:nvPicPr>
                                        <pic:blipFill>
                                          <a:blip r:embed="rId166"/>
                                          <a:stretch>
                                            <a:fillRect/>
                                          </a:stretch>
                                        </pic:blipFill>
                                        <pic:spPr bwMode="auto">
                                          <a:xfrm>
                                            <a:off x="0" y="0"/>
                                            <a:ext cx="447675" cy="161925"/>
                                          </a:xfrm>
                                          <a:prstGeom prst="rect">
                                            <a:avLst/>
                                          </a:prstGeom>
                                        </pic:spPr>
                                      </pic:pic>
                                    </a:graphicData>
                                  </a:graphic>
                                </wp:inline>
                              </w:drawing>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312" w:before="0" w:after="240"/>
        <w:jc w:val="left"/>
        <w:rPr>
          <w:rFonts w:ascii="Arial;sans-serif" w:hAnsi="Arial;sans-serif"/>
          <w:b/>
          <w:color w:val="004C97"/>
          <w:sz w:val="42"/>
        </w:rPr>
      </w:pPr>
      <w:r>
        <w:rPr>
          <w:rFonts w:ascii="Arial;sans-serif" w:hAnsi="Arial;sans-serif"/>
          <w:b/>
          <w:color w:val="004C97"/>
          <w:sz w:val="42"/>
        </w:rPr>
        <w:t>AUDIT MATTERS</w:t>
      </w:r>
    </w:p>
    <w:p>
      <w:pPr>
        <w:pStyle w:val="TextBody"/>
        <w:bidi w:val="0"/>
        <w:spacing w:lineRule="auto" w:line="288" w:before="0" w:after="0"/>
        <w:jc w:val="left"/>
        <w:rPr>
          <w:rFonts w:ascii="Arial;sans-serif" w:hAnsi="Arial;sans-serif"/>
          <w:b w:val="false"/>
          <w:color w:val="000000"/>
          <w:sz w:val="32"/>
        </w:rPr>
      </w:pPr>
      <w:bookmarkStart w:id="23" w:name="ib6825e5c0ff64f39b1423c599e040a12_28760"/>
      <w:bookmarkEnd w:id="23"/>
      <w:r>
        <w:rPr>
          <w:rFonts w:ascii="Arial;sans-serif" w:hAnsi="Arial;sans-serif"/>
          <w:b w:val="false"/>
          <w:color w:val="000000"/>
          <w:sz w:val="32"/>
        </w:rPr>
        <w:t>Audit Committee Report</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The Audit Committee of the SPX Board of Directors consists of five directors. Each Audit Committee member is independent, as defined under SEC rules and the listing standards of the NYSE. The Audit Committee reviews SPX’s financial reporting process on behalf of the Board and is responsible for ensuring the integrity of the financial information reported by SPX.</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Management is responsible for SPX’s financial reporting process, including its systems of internal and disclosure controls, and for the preparation of consolidated financial statements in accordance with accounting principles generally accepted in the United States (“US GAAP”). SPX’s independent registered public accounting firm, which is appointed by the Audit Committee, is responsible for auditing those financial statements. The Audit Committee’s responsibility is to monitor and review these processes. The Audit Committee has relied, without independent verification, on management’s representation that the financial statements have been prepared with integrity and objectivity and in conformity with US GAAP and on the representations of the independent registered public accounting firm included in the firm’s report on SPX’s financial statements.</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In this context, the Audit Committee has met and held discussions with management and Deloitte &amp; Touche LLP (“Deloitte”), SPX’s independent registered public accounting firm since 2002. Management represented to the Audit Committee that SPX’s consolidated financial statements were prepared in accordance with US GAAP, and the Audit Committee has reviewed and discussed the consolidated financial statements with management and the independent registered public accounting firm. The Audit Committee discussed with the independent registered public accounting firm matters required to be discussed by the Standards of the Public Company Accounting Oversight Board (“PCAOB”) for communication with audit committees, under which Deloitte must provide us with additional information regarding the scope and results of its audit of SPX’s consolidated financial statements.</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In addition, we have discussed with Deloitte its independence from SPX and SPX management, including matters in the written disclosures required by PCAOB Rule 3526, Communication with Audit Committees Concerning Independence.</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The Audit Committee discussed with SPX’s internal auditors and independent registered public accounting firm the overall scope and plans for its respective audits. The Audit Committee met with the independent registered public accounting firm, with and without management present, to discuss the results of its examinations, the evaluations of SPX’s internal controls, and the overall quality of SPX’s financial reporting.</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In reliance on the reviews and discussions referred to above, the Audit Committee recommended to the Board, and the Board has approved, that the audited consolidated financial statements be included in SPX’s Annual Report on Form 10-K for the year ended December 31, 2023, filed with the SEC.</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Audit Committee,</w:t>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Meenal A. Sethna, Chair</w:t>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Ricky D. Puckett</w:t>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Robert B. Toth</w:t>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Tana L. Utley</w:t>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Angel Shelton Willis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739140"/>
                <wp:effectExtent l="0" t="0" r="0" b="0"/>
                <wp:wrapNone/>
                <wp:docPr id="236" name="Frame71"/>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292" w:type="dxa"/>
                              <w:jc w:val="right"/>
                              <w:tblInd w:w="0" w:type="dxa"/>
                              <w:tblLayout w:type="fixed"/>
                              <w:tblCellMar>
                                <w:top w:w="28" w:type="dxa"/>
                                <w:left w:w="28" w:type="dxa"/>
                                <w:bottom w:w="28" w:type="dxa"/>
                                <w:right w:w="28" w:type="dxa"/>
                              </w:tblCellMar>
                            </w:tblPr>
                            <w:tblGrid>
                              <w:gridCol w:w="292"/>
                              <w:gridCol w:w="256"/>
                              <w:gridCol w:w="258"/>
                              <w:gridCol w:w="704"/>
                              <w:gridCol w:w="704"/>
                              <w:gridCol w:w="706"/>
                              <w:gridCol w:w="109"/>
                              <w:gridCol w:w="109"/>
                              <w:gridCol w:w="154"/>
                            </w:tblGrid>
                            <w:tr>
                              <w:trPr/>
                              <w:tc>
                                <w:tcPr>
                                  <w:tcW w:w="29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0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237" name="Image1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7" name="Image102" descr=""/>
                                                <pic:cNvPicPr>
                                                  <a:picLocks noChangeAspect="1" noChangeArrowheads="1"/>
                                                </pic:cNvPicPr>
                                              </pic:nvPicPr>
                                              <pic:blipFill>
                                                <a:blip r:embed="rId167"/>
                                                <a:stretch>
                                                  <a:fillRect/>
                                                </a:stretch>
                                              </pic:blipFill>
                                              <pic:spPr bwMode="auto">
                                                <a:xfrm>
                                                  <a:off x="0" y="0"/>
                                                  <a:ext cx="447675" cy="161925"/>
                                                </a:xfrm>
                                                <a:prstGeom prst="rect">
                                                  <a:avLst/>
                                                </a:prstGeom>
                                              </pic:spPr>
                                            </pic:pic>
                                          </a:graphicData>
                                        </a:graphic>
                                      </wp:inline>
                                    </w:drawing>
                                  </w:r>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2024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000000"/>
                                      <w:sz w:val="16"/>
                                    </w:rPr>
                                  </w:pPr>
                                  <w:r>
                                    <w:rPr>
                                      <w:rFonts w:ascii="Arial;sans-serif" w:hAnsi="Arial;sans-serif"/>
                                      <w:b/>
                                      <w:color w:val="000000"/>
                                      <w:sz w:val="16"/>
                                    </w:rPr>
                                    <w:t>65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292" w:type="dxa"/>
                        <w:jc w:val="right"/>
                        <w:tblInd w:w="0" w:type="dxa"/>
                        <w:tblLayout w:type="fixed"/>
                        <w:tblCellMar>
                          <w:top w:w="28" w:type="dxa"/>
                          <w:left w:w="28" w:type="dxa"/>
                          <w:bottom w:w="28" w:type="dxa"/>
                          <w:right w:w="28" w:type="dxa"/>
                        </w:tblCellMar>
                      </w:tblPr>
                      <w:tblGrid>
                        <w:gridCol w:w="292"/>
                        <w:gridCol w:w="256"/>
                        <w:gridCol w:w="258"/>
                        <w:gridCol w:w="704"/>
                        <w:gridCol w:w="704"/>
                        <w:gridCol w:w="706"/>
                        <w:gridCol w:w="109"/>
                        <w:gridCol w:w="109"/>
                        <w:gridCol w:w="154"/>
                      </w:tblGrid>
                      <w:tr>
                        <w:trPr/>
                        <w:tc>
                          <w:tcPr>
                            <w:tcW w:w="29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0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238" name="Image1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8" name="Image102" descr=""/>
                                          <pic:cNvPicPr>
                                            <a:picLocks noChangeAspect="1" noChangeArrowheads="1"/>
                                          </pic:cNvPicPr>
                                        </pic:nvPicPr>
                                        <pic:blipFill>
                                          <a:blip r:embed="rId168"/>
                                          <a:stretch>
                                            <a:fillRect/>
                                          </a:stretch>
                                        </pic:blipFill>
                                        <pic:spPr bwMode="auto">
                                          <a:xfrm>
                                            <a:off x="0" y="0"/>
                                            <a:ext cx="447675" cy="161925"/>
                                          </a:xfrm>
                                          <a:prstGeom prst="rect">
                                            <a:avLst/>
                                          </a:prstGeom>
                                        </pic:spPr>
                                      </pic:pic>
                                    </a:graphicData>
                                  </a:graphic>
                                </wp:inline>
                              </w:drawing>
                            </w:r>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2024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000000"/>
                                <w:sz w:val="16"/>
                              </w:rPr>
                            </w:pPr>
                            <w:r>
                              <w:rPr>
                                <w:rFonts w:ascii="Arial;sans-serif" w:hAnsi="Arial;sans-serif"/>
                                <w:b/>
                                <w:color w:val="000000"/>
                                <w:sz w:val="16"/>
                              </w:rPr>
                              <w:t>65</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120"/>
        <w:jc w:val="left"/>
        <w:rPr>
          <w:rFonts w:ascii="Arial;sans-serif" w:hAnsi="Arial;sans-serif"/>
          <w:b w:val="false"/>
          <w:color w:val="004C97"/>
          <w:sz w:val="16"/>
        </w:rPr>
      </w:pPr>
      <w:r>
        <w:rPr>
          <w:rFonts w:ascii="Arial;sans-serif" w:hAnsi="Arial;sans-serif"/>
          <w:b w:val="false"/>
          <w:color w:val="004C97"/>
          <w:sz w:val="16"/>
        </w:rPr>
        <w:t>AUDIT MATTERS</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70A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32"/>
        </w:rPr>
      </w:pPr>
      <w:bookmarkStart w:id="24" w:name="ib6825e5c0ff64f39b1423c599e040a12_28761"/>
      <w:bookmarkEnd w:id="24"/>
      <w:r>
        <w:rPr>
          <w:rFonts w:ascii="Arial;sans-serif" w:hAnsi="Arial;sans-serif"/>
          <w:b w:val="false"/>
          <w:color w:val="000000"/>
          <w:sz w:val="32"/>
        </w:rPr>
        <w:t>Other Audit Information</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left"/>
        <w:rPr>
          <w:rFonts w:ascii="Arial;sans-serif" w:hAnsi="Arial;sans-serif"/>
          <w:b/>
          <w:color w:val="000000"/>
          <w:sz w:val="22"/>
        </w:rPr>
      </w:pPr>
      <w:bookmarkStart w:id="25" w:name="ib6825e5c0ff64f39b1423c599e040a12_28763"/>
      <w:bookmarkEnd w:id="25"/>
      <w:r>
        <w:rPr>
          <w:rFonts w:ascii="Arial;sans-serif" w:hAnsi="Arial;sans-serif"/>
          <w:b/>
          <w:color w:val="000000"/>
          <w:sz w:val="22"/>
        </w:rPr>
        <w:t>AUDIT AND NON-AUDIT FEE TABLE</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 xml:space="preserve">During fiscal years 2023 and 2022, we retained our principal independent registered public accounting firm, Deloitte, to perform services in the following categories and amounts: </w:t>
      </w:r>
    </w:p>
    <w:tbl>
      <w:tblPr>
        <w:tblW w:w="3809" w:type="dxa"/>
        <w:jc w:val="left"/>
        <w:tblInd w:w="0" w:type="dxa"/>
        <w:tblLayout w:type="fixed"/>
        <w:tblCellMar>
          <w:top w:w="28" w:type="dxa"/>
          <w:left w:w="28" w:type="dxa"/>
          <w:bottom w:w="28" w:type="dxa"/>
          <w:right w:w="28" w:type="dxa"/>
        </w:tblCellMar>
      </w:tblPr>
      <w:tblGrid>
        <w:gridCol w:w="589"/>
        <w:gridCol w:w="517"/>
        <w:gridCol w:w="528"/>
        <w:gridCol w:w="351"/>
        <w:gridCol w:w="351"/>
        <w:gridCol w:w="362"/>
        <w:gridCol w:w="321"/>
        <w:gridCol w:w="321"/>
        <w:gridCol w:w="469"/>
      </w:tblGrid>
      <w:tr>
        <w:trPr/>
        <w:tc>
          <w:tcPr>
            <w:tcW w:w="589"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top w:val="single" w:sz="4" w:space="0" w:color="000000"/>
              <w:left w:val="single" w:sz="4" w:space="0" w:color="000000"/>
            </w:tcBorders>
            <w:shd w:fill="004C97" w:val="clear"/>
            <w:tcMar>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4" w:space="0" w:color="000000"/>
              <w:left w:val="single" w:sz="4" w:space="0" w:color="000000"/>
            </w:tcBorders>
            <w:shd w:fill="004C97"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6"/>
              </w:rPr>
            </w:pPr>
            <w:r>
              <w:rPr>
                <w:rFonts w:ascii="Arial;sans-serif" w:hAnsi="Arial;sans-serif"/>
                <w:b/>
                <w:color w:val="FFFFFF"/>
                <w:sz w:val="16"/>
              </w:rPr>
              <w:t>2023 ($)</w:t>
            </w:r>
          </w:p>
        </w:tc>
        <w:tc>
          <w:tcPr>
            <w:tcW w:w="1111" w:type="dxa"/>
            <w:gridSpan w:val="3"/>
            <w:tcBorders>
              <w:top w:val="single" w:sz="4" w:space="0" w:color="000000"/>
              <w:left w:val="single" w:sz="4" w:space="0" w:color="000000"/>
              <w:right w:val="single" w:sz="4" w:space="0" w:color="000000"/>
            </w:tcBorders>
            <w:shd w:fill="004C97" w:val="clear"/>
            <w:tcMar>
              <w:top w:w="30" w:type="dxa"/>
              <w:bottom w:w="0" w:type="dxa"/>
            </w:tcMar>
            <w:vAlign w:val="center"/>
          </w:tcPr>
          <w:p>
            <w:pPr>
              <w:pStyle w:val="TableContents"/>
              <w:bidi w:val="0"/>
              <w:spacing w:lineRule="auto" w:line="288" w:before="0" w:after="283"/>
              <w:jc w:val="center"/>
              <w:rPr>
                <w:rFonts w:ascii="Arial;sans-serif" w:hAnsi="Arial;sans-serif"/>
                <w:b/>
                <w:color w:val="FFFFFF"/>
                <w:sz w:val="16"/>
              </w:rPr>
            </w:pPr>
            <w:r>
              <w:rPr>
                <w:rFonts w:ascii="Arial;sans-serif" w:hAnsi="Arial;sans-serif"/>
                <w:b/>
                <w:color w:val="FFFFFF"/>
                <w:sz w:val="16"/>
              </w:rPr>
              <w:t>2022 ($)</w:t>
            </w:r>
          </w:p>
        </w:tc>
      </w:tr>
      <w:tr>
        <w:trPr/>
        <w:tc>
          <w:tcPr>
            <w:tcW w:w="1634"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6"/>
              </w:rPr>
              <w:t>Audit Fees</w:t>
            </w:r>
            <w:r>
              <w:rPr>
                <w:rFonts w:ascii="Arial;sans-serif" w:hAnsi="Arial;sans-serif"/>
                <w:b w:val="false"/>
                <w:color w:val="000000"/>
                <w:sz w:val="10"/>
              </w:rPr>
              <w:t>(1)</w:t>
            </w:r>
          </w:p>
        </w:tc>
        <w:tc>
          <w:tcPr>
            <w:tcW w:w="1064"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3,282,000</w:t>
            </w:r>
          </w:p>
        </w:tc>
        <w:tc>
          <w:tcPr>
            <w:tcW w:w="1111" w:type="dxa"/>
            <w:gridSpan w:val="3"/>
            <w:tcBorders>
              <w:top w:val="single" w:sz="4" w:space="0" w:color="000000"/>
              <w:left w:val="single" w:sz="4" w:space="0" w:color="000000"/>
              <w:right w:val="single" w:sz="4" w:space="0" w:color="000000"/>
            </w:tcBorders>
            <w:shd w:fill="FFFFFF" w:val="clear"/>
            <w:tcMar>
              <w:top w:w="30" w:type="dxa"/>
              <w:bottom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3,579,000</w:t>
            </w:r>
          </w:p>
        </w:tc>
      </w:tr>
      <w:tr>
        <w:trPr/>
        <w:tc>
          <w:tcPr>
            <w:tcW w:w="1634" w:type="dxa"/>
            <w:gridSpan w:val="3"/>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6"/>
              </w:rPr>
              <w:t>Audit-Related Fees</w:t>
            </w:r>
            <w:r>
              <w:rPr>
                <w:rFonts w:ascii="Arial;sans-serif" w:hAnsi="Arial;sans-serif"/>
                <w:b w:val="false"/>
                <w:color w:val="000000"/>
                <w:sz w:val="10"/>
              </w:rPr>
              <w:t>(2)</w:t>
            </w:r>
          </w:p>
        </w:tc>
        <w:tc>
          <w:tcPr>
            <w:tcW w:w="1064" w:type="dxa"/>
            <w:gridSpan w:val="3"/>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0"/>
              <w:jc w:val="center"/>
              <w:rPr>
                <w:color w:val="000000"/>
              </w:rPr>
            </w:pPr>
            <w:r>
              <w:rPr>
                <w:color w:val="000000"/>
              </w:rPr>
              <w:t>     </w:t>
            </w:r>
            <w:r>
              <w:rPr>
                <w:rFonts w:ascii="Arial;sans-serif" w:hAnsi="Arial;sans-serif"/>
                <w:b w:val="false"/>
                <w:color w:val="000000"/>
                <w:sz w:val="16"/>
              </w:rPr>
              <w:t>47,000</w:t>
            </w:r>
          </w:p>
        </w:tc>
        <w:tc>
          <w:tcPr>
            <w:tcW w:w="1111" w:type="dxa"/>
            <w:gridSpan w:val="3"/>
            <w:tcBorders>
              <w:top w:val="single" w:sz="4" w:space="0" w:color="000000"/>
              <w:left w:val="single" w:sz="4" w:space="0" w:color="000000"/>
              <w:right w:val="single" w:sz="4" w:space="0" w:color="000000"/>
            </w:tcBorders>
            <w:shd w:fill="E6E7E8" w:val="clear"/>
            <w:tcMar>
              <w:top w:w="30" w:type="dxa"/>
              <w:bottom w:w="0" w:type="dxa"/>
            </w:tcMar>
            <w:vAlign w:val="center"/>
          </w:tcPr>
          <w:p>
            <w:pPr>
              <w:pStyle w:val="TableContents"/>
              <w:bidi w:val="0"/>
              <w:spacing w:lineRule="auto" w:line="288" w:before="0" w:after="0"/>
              <w:jc w:val="center"/>
              <w:rPr>
                <w:color w:val="000000"/>
              </w:rPr>
            </w:pPr>
            <w:r>
              <w:rPr>
                <w:color w:val="000000"/>
              </w:rPr>
              <w:t>     </w:t>
            </w:r>
            <w:r>
              <w:rPr>
                <w:rFonts w:ascii="Arial;sans-serif" w:hAnsi="Arial;sans-serif"/>
                <w:b w:val="false"/>
                <w:color w:val="000000"/>
                <w:sz w:val="16"/>
              </w:rPr>
              <w:t>60,000</w:t>
            </w:r>
          </w:p>
        </w:tc>
      </w:tr>
      <w:tr>
        <w:trPr/>
        <w:tc>
          <w:tcPr>
            <w:tcW w:w="1634"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6"/>
              </w:rPr>
              <w:t>Tax Fees</w:t>
            </w:r>
            <w:r>
              <w:rPr>
                <w:rFonts w:ascii="Arial;sans-serif" w:hAnsi="Arial;sans-serif"/>
                <w:b w:val="false"/>
                <w:color w:val="000000"/>
                <w:sz w:val="10"/>
              </w:rPr>
              <w:t>(3)</w:t>
            </w:r>
          </w:p>
        </w:tc>
        <w:tc>
          <w:tcPr>
            <w:tcW w:w="1064"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0"/>
              <w:jc w:val="center"/>
              <w:rPr>
                <w:color w:val="000000"/>
              </w:rPr>
            </w:pPr>
            <w:r>
              <w:rPr>
                <w:color w:val="000000"/>
              </w:rPr>
              <w:t>     </w:t>
            </w:r>
            <w:r>
              <w:rPr>
                <w:rFonts w:ascii="Arial;sans-serif" w:hAnsi="Arial;sans-serif"/>
                <w:b w:val="false"/>
                <w:color w:val="000000"/>
                <w:sz w:val="16"/>
              </w:rPr>
              <w:t>93,000</w:t>
            </w:r>
          </w:p>
        </w:tc>
        <w:tc>
          <w:tcPr>
            <w:tcW w:w="1111" w:type="dxa"/>
            <w:gridSpan w:val="3"/>
            <w:tcBorders>
              <w:top w:val="single" w:sz="4" w:space="0" w:color="000000"/>
              <w:left w:val="single" w:sz="4" w:space="0" w:color="000000"/>
              <w:right w:val="single" w:sz="4" w:space="0" w:color="000000"/>
            </w:tcBorders>
            <w:shd w:fill="FFFFFF" w:val="clear"/>
            <w:tcMar>
              <w:top w:w="30" w:type="dxa"/>
              <w:bottom w:w="0" w:type="dxa"/>
            </w:tcMar>
            <w:vAlign w:val="center"/>
          </w:tcPr>
          <w:p>
            <w:pPr>
              <w:pStyle w:val="TableContents"/>
              <w:bidi w:val="0"/>
              <w:spacing w:lineRule="auto" w:line="288" w:before="0" w:after="0"/>
              <w:jc w:val="center"/>
              <w:rPr>
                <w:color w:val="000000"/>
              </w:rPr>
            </w:pPr>
            <w:r>
              <w:rPr>
                <w:color w:val="000000"/>
              </w:rPr>
              <w:t>     </w:t>
            </w:r>
            <w:r>
              <w:rPr>
                <w:rFonts w:ascii="Arial;sans-serif" w:hAnsi="Arial;sans-serif"/>
                <w:b w:val="false"/>
                <w:color w:val="000000"/>
                <w:sz w:val="16"/>
              </w:rPr>
              <w:t>37,000</w:t>
            </w:r>
          </w:p>
        </w:tc>
      </w:tr>
      <w:tr>
        <w:trPr/>
        <w:tc>
          <w:tcPr>
            <w:tcW w:w="1634" w:type="dxa"/>
            <w:gridSpan w:val="3"/>
            <w:tcBorders>
              <w:top w:val="single" w:sz="4" w:space="0" w:color="000000"/>
              <w:left w:val="single" w:sz="4" w:space="0" w:color="000000"/>
              <w:bottom w:val="single" w:sz="4" w:space="0" w:color="000000"/>
            </w:tcBorders>
            <w:shd w:fill="E6E7E8" w:val="clear"/>
            <w:tcMar>
              <w:top w:w="30" w:type="dxa"/>
              <w:left w:w="11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All Other Fees</w:t>
            </w:r>
          </w:p>
        </w:tc>
        <w:tc>
          <w:tcPr>
            <w:tcW w:w="1064" w:type="dxa"/>
            <w:gridSpan w:val="3"/>
            <w:tcBorders>
              <w:top w:val="single" w:sz="4" w:space="0" w:color="000000"/>
              <w:left w:val="single" w:sz="4" w:space="0" w:color="000000"/>
              <w:bottom w:val="single" w:sz="4" w:space="0" w:color="000000"/>
            </w:tcBorders>
            <w:shd w:fill="E6E7E8" w:val="clear"/>
            <w:tcMar>
              <w:top w:w="30" w:type="dxa"/>
              <w:bottom w:w="30" w:type="dxa"/>
              <w:right w:w="0" w:type="dxa"/>
            </w:tcMar>
            <w:vAlign w:val="center"/>
          </w:tcPr>
          <w:p>
            <w:pPr>
              <w:pStyle w:val="TableContents"/>
              <w:bidi w:val="0"/>
              <w:spacing w:lineRule="auto" w:line="288" w:before="0" w:after="0"/>
              <w:jc w:val="center"/>
              <w:rPr>
                <w:color w:val="000000"/>
              </w:rPr>
            </w:pPr>
            <w:r>
              <w:rPr>
                <w:color w:val="000000"/>
              </w:rPr>
              <w:t xml:space="preserve">           — </w:t>
            </w:r>
          </w:p>
        </w:tc>
        <w:tc>
          <w:tcPr>
            <w:tcW w:w="1111" w:type="dxa"/>
            <w:gridSpan w:val="3"/>
            <w:tcBorders>
              <w:top w:val="single" w:sz="4" w:space="0" w:color="000000"/>
              <w:left w:val="single" w:sz="4" w:space="0" w:color="000000"/>
              <w:bottom w:val="single" w:sz="4" w:space="0" w:color="000000"/>
              <w:right w:val="single" w:sz="4" w:space="0" w:color="000000"/>
            </w:tcBorders>
            <w:shd w:fill="E6E7E8" w:val="clear"/>
            <w:tcMar>
              <w:top w:w="30" w:type="dxa"/>
              <w:bottom w:w="30" w:type="dxa"/>
            </w:tcMar>
            <w:vAlign w:val="center"/>
          </w:tcPr>
          <w:p>
            <w:pPr>
              <w:pStyle w:val="TableContents"/>
              <w:bidi w:val="0"/>
              <w:spacing w:lineRule="auto" w:line="288" w:before="0" w:after="0"/>
              <w:jc w:val="center"/>
              <w:rPr>
                <w:color w:val="000000"/>
              </w:rPr>
            </w:pPr>
            <w:r>
              <w:rPr>
                <w:color w:val="000000"/>
              </w:rPr>
              <w:t>            —</w:t>
            </w:r>
          </w:p>
        </w:tc>
      </w:tr>
    </w:tbl>
    <w:p>
      <w:pPr>
        <w:pStyle w:val="TextBody"/>
        <w:bidi w:val="0"/>
        <w:spacing w:lineRule="auto" w:line="288" w:before="0" w:after="60"/>
        <w:ind w:left="0" w:right="0" w:hanging="360"/>
        <w:jc w:val="both"/>
        <w:rPr>
          <w:rFonts w:ascii="Arial;sans-serif" w:hAnsi="Arial;sans-serif"/>
          <w:b w:val="false"/>
          <w:color w:val="000000"/>
          <w:sz w:val="14"/>
        </w:rPr>
      </w:pPr>
      <w:r>
        <w:rPr>
          <w:rFonts w:ascii="Arial;sans-serif" w:hAnsi="Arial;sans-serif"/>
          <w:b w:val="false"/>
          <w:color w:val="000000"/>
          <w:sz w:val="14"/>
        </w:rPr>
        <w:t>(1)Fees for audit services billed or expected to be billed relate to (a) audit of our annual financial statements and effectiveness of internal controls over financial reporting; (b) reviews of our quarterly financial statements; (c) statutory and regulatory audits; (d) audit of balance sheets and activities of acquired businesses; (e) other technical accounting assistance; and (f) consents, and other services related to SEC matters.</w:t>
      </w:r>
    </w:p>
    <w:p>
      <w:pPr>
        <w:pStyle w:val="TextBody"/>
        <w:bidi w:val="0"/>
        <w:spacing w:lineRule="auto" w:line="288" w:before="0" w:after="60"/>
        <w:ind w:left="0" w:right="0" w:hanging="360"/>
        <w:jc w:val="both"/>
        <w:rPr>
          <w:rFonts w:ascii="Arial;sans-serif" w:hAnsi="Arial;sans-serif"/>
          <w:b w:val="false"/>
          <w:color w:val="000000"/>
          <w:sz w:val="14"/>
        </w:rPr>
      </w:pPr>
      <w:r>
        <w:rPr>
          <w:rFonts w:ascii="Arial;sans-serif" w:hAnsi="Arial;sans-serif"/>
          <w:b w:val="false"/>
          <w:color w:val="000000"/>
          <w:sz w:val="14"/>
        </w:rPr>
        <w:t>(2)Fees for audit-related services include attest or audit services that are not required.</w:t>
      </w:r>
    </w:p>
    <w:p>
      <w:pPr>
        <w:pStyle w:val="TextBody"/>
        <w:bidi w:val="0"/>
        <w:spacing w:lineRule="auto" w:line="288" w:before="0" w:after="360"/>
        <w:ind w:left="0" w:right="0" w:hanging="360"/>
        <w:jc w:val="both"/>
        <w:rPr>
          <w:rFonts w:ascii="Arial;sans-serif" w:hAnsi="Arial;sans-serif"/>
          <w:b w:val="false"/>
          <w:color w:val="000000"/>
          <w:sz w:val="14"/>
        </w:rPr>
      </w:pPr>
      <w:r>
        <w:rPr>
          <w:rFonts w:ascii="Arial;sans-serif" w:hAnsi="Arial;sans-serif"/>
          <w:b w:val="false"/>
          <w:color w:val="000000"/>
          <w:sz w:val="14"/>
        </w:rPr>
        <w:t>(3)Fees for tax services relate to tax compliance and preparation, including the preparation of original and amended tax returns, claims for refunds, and tax payment planning.</w:t>
      </w:r>
    </w:p>
    <w:p>
      <w:pPr>
        <w:pStyle w:val="TextBody"/>
        <w:bidi w:val="0"/>
        <w:spacing w:lineRule="auto" w:line="288" w:before="0" w:after="60"/>
        <w:jc w:val="left"/>
        <w:rPr>
          <w:rFonts w:ascii="Arial;sans-serif" w:hAnsi="Arial;sans-serif"/>
          <w:b/>
          <w:color w:val="000000"/>
          <w:sz w:val="22"/>
        </w:rPr>
      </w:pPr>
      <w:bookmarkStart w:id="26" w:name="ib6825e5c0ff64f39b1423c599e040a12_28762"/>
      <w:bookmarkEnd w:id="26"/>
      <w:r>
        <w:rPr>
          <w:rFonts w:ascii="Arial;sans-serif" w:hAnsi="Arial;sans-serif"/>
          <w:b/>
          <w:color w:val="000000"/>
          <w:sz w:val="22"/>
        </w:rPr>
        <w:t>PRE-APPROVAL BY AUDIT COMMITTEE</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Our Audit Committee has adopted a policy that requires all audit and non-audit services performed by Deloitte to be pre-approved. The Audit Committee annually approves the fees and expenses for audit services performed by Deloitte, as well as for any regularly recurring non-audit services of the type covered by our annual engagement of Deloitte. In addition, our pre-approval policy requires pre-approval by the Chair of the Audit Committee of fees and expenses for other non-audit services that may arise during the year. The policy requires the Chair to report any non-audit services that the Chair has pre-approved to the Audit Committee at each regularly scheduled meeting of the Audit Committee. In no event may Deloitte perform any of the following services for us: (1) bookkeeping or other services related to our accounting records or financial statements; (2) financial information systems design and implementation; (3) appraisal or valuation services, fairness opinions, or contribution-in-kind reports; (4) actuarial services; (5) internal audit outsourcing services; (6) management functions or human resources services; (7) broker-dealer, investment advisor, or investment banking services; (8) legal services; or (9) expert services. The Audit Committee regularly considers whether specific projects or expenditures could potentially affect Deloitte’s independence.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739140"/>
                <wp:effectExtent l="0" t="0" r="0" b="0"/>
                <wp:wrapNone/>
                <wp:docPr id="239" name="Frame72"/>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292" w:type="dxa"/>
                              <w:jc w:val="left"/>
                              <w:tblInd w:w="0" w:type="dxa"/>
                              <w:tblLayout w:type="fixed"/>
                              <w:tblCellMar>
                                <w:top w:w="28" w:type="dxa"/>
                                <w:left w:w="28" w:type="dxa"/>
                                <w:bottom w:w="28" w:type="dxa"/>
                                <w:right w:w="28" w:type="dxa"/>
                              </w:tblCellMar>
                            </w:tblPr>
                            <w:tblGrid>
                              <w:gridCol w:w="124"/>
                              <w:gridCol w:w="109"/>
                              <w:gridCol w:w="109"/>
                              <w:gridCol w:w="704"/>
                              <w:gridCol w:w="704"/>
                              <w:gridCol w:w="706"/>
                              <w:gridCol w:w="244"/>
                              <w:gridCol w:w="244"/>
                              <w:gridCol w:w="34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6"/>
                                    </w:rPr>
                                  </w:pPr>
                                  <w:r>
                                    <w:rPr>
                                      <w:rFonts w:ascii="Arial;sans-serif" w:hAnsi="Arial;sans-serif"/>
                                      <w:b/>
                                      <w:color w:val="000000"/>
                                      <w:sz w:val="16"/>
                                    </w:rPr>
                                    <w:t>66</w:t>
                                  </w:r>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2024 PROXY STATEMENT</w:t>
                                  </w:r>
                                </w:p>
                              </w:tc>
                              <w:tc>
                                <w:tcPr>
                                  <w:tcW w:w="83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240" name="Image1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0" name="Image103" descr=""/>
                                                <pic:cNvPicPr>
                                                  <a:picLocks noChangeAspect="1" noChangeArrowheads="1"/>
                                                </pic:cNvPicPr>
                                              </pic:nvPicPr>
                                              <pic:blipFill>
                                                <a:blip r:embed="rId169"/>
                                                <a:stretch>
                                                  <a:fillRect/>
                                                </a:stretch>
                                              </pic:blipFill>
                                              <pic:spPr bwMode="auto">
                                                <a:xfrm>
                                                  <a:off x="0" y="0"/>
                                                  <a:ext cx="447675" cy="161925"/>
                                                </a:xfrm>
                                                <a:prstGeom prst="rect">
                                                  <a:avLst/>
                                                </a:prstGeom>
                                              </pic:spPr>
                                            </pic:pic>
                                          </a:graphicData>
                                        </a:graphic>
                                      </wp:inline>
                                    </w:drawing>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292" w:type="dxa"/>
                        <w:jc w:val="left"/>
                        <w:tblInd w:w="0" w:type="dxa"/>
                        <w:tblLayout w:type="fixed"/>
                        <w:tblCellMar>
                          <w:top w:w="28" w:type="dxa"/>
                          <w:left w:w="28" w:type="dxa"/>
                          <w:bottom w:w="28" w:type="dxa"/>
                          <w:right w:w="28" w:type="dxa"/>
                        </w:tblCellMar>
                      </w:tblPr>
                      <w:tblGrid>
                        <w:gridCol w:w="124"/>
                        <w:gridCol w:w="109"/>
                        <w:gridCol w:w="109"/>
                        <w:gridCol w:w="704"/>
                        <w:gridCol w:w="704"/>
                        <w:gridCol w:w="706"/>
                        <w:gridCol w:w="244"/>
                        <w:gridCol w:w="244"/>
                        <w:gridCol w:w="34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6"/>
                              </w:rPr>
                            </w:pPr>
                            <w:r>
                              <w:rPr>
                                <w:rFonts w:ascii="Arial;sans-serif" w:hAnsi="Arial;sans-serif"/>
                                <w:b/>
                                <w:color w:val="000000"/>
                                <w:sz w:val="16"/>
                              </w:rPr>
                              <w:t>66</w:t>
                            </w:r>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2024 PROXY STATEMENT</w:t>
                            </w:r>
                          </w:p>
                        </w:tc>
                        <w:tc>
                          <w:tcPr>
                            <w:tcW w:w="83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241" name="Image1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1" name="Image103" descr=""/>
                                          <pic:cNvPicPr>
                                            <a:picLocks noChangeAspect="1" noChangeArrowheads="1"/>
                                          </pic:cNvPicPr>
                                        </pic:nvPicPr>
                                        <pic:blipFill>
                                          <a:blip r:embed="rId170"/>
                                          <a:stretch>
                                            <a:fillRect/>
                                          </a:stretch>
                                        </pic:blipFill>
                                        <pic:spPr bwMode="auto">
                                          <a:xfrm>
                                            <a:off x="0" y="0"/>
                                            <a:ext cx="447675" cy="161925"/>
                                          </a:xfrm>
                                          <a:prstGeom prst="rect">
                                            <a:avLst/>
                                          </a:prstGeom>
                                        </pic:spPr>
                                      </pic:pic>
                                    </a:graphicData>
                                  </a:graphic>
                                </wp:inline>
                              </w:drawing>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312" w:before="0" w:after="240"/>
        <w:jc w:val="left"/>
        <w:rPr>
          <w:rFonts w:ascii="Arial;sans-serif" w:hAnsi="Arial;sans-serif"/>
          <w:b/>
          <w:color w:val="004C97"/>
          <w:sz w:val="42"/>
        </w:rPr>
      </w:pPr>
      <w:r>
        <w:rPr>
          <w:rFonts w:ascii="Arial;sans-serif" w:hAnsi="Arial;sans-serif"/>
          <w:b/>
          <w:color w:val="004C97"/>
          <w:sz w:val="42"/>
        </w:rPr>
        <w:t>PROPOSAL 7: RATIFICATION OF APPOINTMENT OF INDEPENDENT REGISTERED PUBLIC ACCOUNTING FIRM</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 xml:space="preserve">Deloitte has been our independent registered public accounting firm since 2002. The Audit Committee has engaged Deloitte to perform reviews, in accordance with the Standards of the Public Company Accounting Oversight Board, of our financial statements to be filed on Form 10-Q in 2024. Consistent with past practice, on December 8, 2023, the Audit Committee approved the engagement of Deloitte to perform the audit of the financial statements and internal controls over financial reporting included in SPX’s Annual Report on Form 10-K for the fiscal year ending December 31, 2024. Representatives of Deloitte will be present at the Annual Meeting and will have the opportunity to make a statement if they so desire and to respond to appropriate questions. </w:t>
      </w:r>
    </w:p>
    <w:p>
      <w:pPr>
        <w:pStyle w:val="TextBody"/>
        <w:bidi w:val="0"/>
        <w:spacing w:lineRule="auto" w:line="288" w:before="0" w:after="360"/>
        <w:jc w:val="both"/>
        <w:rPr>
          <w:rFonts w:ascii="Arial;sans-serif" w:hAnsi="Arial;sans-serif"/>
          <w:b w:val="false"/>
          <w:color w:val="000000"/>
          <w:sz w:val="18"/>
        </w:rPr>
      </w:pPr>
      <w:r>
        <w:rPr>
          <w:rFonts w:ascii="Arial;sans-serif" w:hAnsi="Arial;sans-serif"/>
          <w:b w:val="false"/>
          <w:color w:val="000000"/>
          <w:sz w:val="18"/>
        </w:rPr>
        <w:t>Although we are not required to do so, we believe that it is appropriate for us to request stockholder ratification of the appointment of Deloitte as our independent registered public accounting firm. If stockholders do not ratify the appointment, the Audit Committee will investigate the reasons for the stockholders’ rejection and reconsider the appointment.</w:t>
      </w:r>
    </w:p>
    <w:tbl>
      <w:tblPr>
        <w:tblW w:w="10205" w:type="dxa"/>
        <w:jc w:val="left"/>
        <w:tblInd w:w="0" w:type="dxa"/>
        <w:tblLayout w:type="fixed"/>
        <w:tblCellMar>
          <w:top w:w="28" w:type="dxa"/>
          <w:left w:w="28" w:type="dxa"/>
          <w:bottom w:w="28" w:type="dxa"/>
          <w:right w:w="28" w:type="dxa"/>
        </w:tblCellMar>
      </w:tblPr>
      <w:tblGrid>
        <w:gridCol w:w="124"/>
        <w:gridCol w:w="109"/>
        <w:gridCol w:w="109"/>
        <w:gridCol w:w="313"/>
        <w:gridCol w:w="313"/>
        <w:gridCol w:w="315"/>
        <w:gridCol w:w="2848"/>
        <w:gridCol w:w="2848"/>
        <w:gridCol w:w="2853"/>
        <w:gridCol w:w="109"/>
        <w:gridCol w:w="109"/>
        <w:gridCol w:w="15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2848" w:type="dxa"/>
            <w:tcBorders/>
            <w:vAlign w:val="center"/>
          </w:tcPr>
          <w:p>
            <w:pPr>
              <w:pStyle w:val="TableContents"/>
              <w:bidi w:val="0"/>
              <w:spacing w:before="0" w:after="283"/>
              <w:jc w:val="left"/>
              <w:rPr>
                <w:sz w:val="4"/>
                <w:szCs w:val="4"/>
              </w:rPr>
            </w:pPr>
            <w:r>
              <w:rPr>
                <w:sz w:val="4"/>
                <w:szCs w:val="4"/>
              </w:rPr>
            </w:r>
          </w:p>
        </w:tc>
        <w:tc>
          <w:tcPr>
            <w:tcW w:w="2848" w:type="dxa"/>
            <w:tcBorders/>
            <w:vAlign w:val="center"/>
          </w:tcPr>
          <w:p>
            <w:pPr>
              <w:pStyle w:val="TableContents"/>
              <w:bidi w:val="0"/>
              <w:spacing w:before="0" w:after="283"/>
              <w:jc w:val="left"/>
              <w:rPr>
                <w:sz w:val="4"/>
                <w:szCs w:val="4"/>
              </w:rPr>
            </w:pPr>
            <w:r>
              <w:rPr>
                <w:sz w:val="4"/>
                <w:szCs w:val="4"/>
              </w:rPr>
            </w:r>
          </w:p>
        </w:tc>
        <w:tc>
          <w:tcPr>
            <w:tcW w:w="28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4C97"/>
              <w:left w:val="single" w:sz="8" w:space="0" w:color="004C97"/>
              <w:bottom w:val="single" w:sz="8" w:space="0" w:color="004C97"/>
            </w:tcBorders>
            <w:tcMar>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top w:val="single" w:sz="8" w:space="0" w:color="004C97"/>
              <w:bottom w:val="single" w:sz="8" w:space="0" w:color="004C97"/>
            </w:tcBorders>
            <w:tcMar>
              <w:left w:w="0" w:type="dxa"/>
              <w:right w:w="0" w:type="dxa"/>
            </w:tcMar>
            <w:vAlign w:val="center"/>
          </w:tcPr>
          <w:p>
            <w:pPr>
              <w:pStyle w:val="TableContents"/>
              <w:bidi w:val="0"/>
              <w:spacing w:before="0" w:after="0"/>
              <w:jc w:val="center"/>
              <w:rPr/>
            </w:pPr>
            <w:r>
              <w:rPr/>
              <w:drawing>
                <wp:inline distT="0" distB="0" distL="0" distR="0">
                  <wp:extent cx="542925" cy="542925"/>
                  <wp:effectExtent l="0" t="0" r="0" b="0"/>
                  <wp:docPr id="242" name="Image1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2" name="Image104" descr=""/>
                          <pic:cNvPicPr>
                            <a:picLocks noChangeAspect="1" noChangeArrowheads="1"/>
                          </pic:cNvPicPr>
                        </pic:nvPicPr>
                        <pic:blipFill>
                          <a:blip r:embed="rId171"/>
                          <a:stretch>
                            <a:fillRect/>
                          </a:stretch>
                        </pic:blipFill>
                        <pic:spPr bwMode="auto">
                          <a:xfrm>
                            <a:off x="0" y="0"/>
                            <a:ext cx="542925" cy="542925"/>
                          </a:xfrm>
                          <a:prstGeom prst="rect">
                            <a:avLst/>
                          </a:prstGeom>
                        </pic:spPr>
                      </pic:pic>
                    </a:graphicData>
                  </a:graphic>
                </wp:inline>
              </w:drawing>
            </w:r>
          </w:p>
        </w:tc>
        <w:tc>
          <w:tcPr>
            <w:tcW w:w="8549" w:type="dxa"/>
            <w:gridSpan w:val="3"/>
            <w:tcBorders>
              <w:top w:val="single" w:sz="8" w:space="0" w:color="004C97"/>
              <w:bottom w:val="single" w:sz="8" w:space="0" w:color="004C97"/>
            </w:tcBorders>
            <w:tcMar>
              <w:top w:w="30" w:type="dxa"/>
              <w:left w:w="0" w:type="dxa"/>
              <w:bottom w:w="30" w:type="dxa"/>
              <w:right w:w="0" w:type="dxa"/>
            </w:tcMar>
            <w:vAlign w:val="center"/>
          </w:tcPr>
          <w:p>
            <w:pPr>
              <w:pStyle w:val="TableContents"/>
              <w:bidi w:val="0"/>
              <w:spacing w:lineRule="auto" w:line="288" w:before="0" w:after="0"/>
              <w:jc w:val="left"/>
              <w:rPr/>
            </w:pPr>
            <w:r>
              <w:rPr>
                <w:rFonts w:ascii="Arial;sans-serif" w:hAnsi="Arial;sans-serif"/>
                <w:b w:val="false"/>
                <w:color w:val="004C97"/>
                <w:sz w:val="20"/>
              </w:rPr>
              <w:t xml:space="preserve">YOUR BOARD OF DIRECTORS UNANIMOUSLY RECOMMENDS A VOTE </w:t>
            </w:r>
            <w:r>
              <w:rPr>
                <w:color w:val="004C97"/>
              </w:rPr>
              <w:t>“</w:t>
            </w:r>
            <w:r>
              <w:rPr>
                <w:rFonts w:ascii="Arial;sans-serif" w:hAnsi="Arial;sans-serif"/>
                <w:b/>
                <w:color w:val="004C97"/>
                <w:sz w:val="20"/>
              </w:rPr>
              <w:t xml:space="preserve">FOR” </w:t>
            </w:r>
            <w:r>
              <w:rPr>
                <w:rFonts w:ascii="Arial;sans-serif" w:hAnsi="Arial;sans-serif"/>
                <w:b w:val="false"/>
                <w:color w:val="004C97"/>
                <w:sz w:val="20"/>
              </w:rPr>
              <w:t>RATIFICATION OF THE APPOINTMENT OF DELOITTE &amp; TOUCH LLP AS OUR INDEPENDENT REGISTERED PUBLIC ACCOUNTING FIRM FOR 2024.</w:t>
            </w:r>
          </w:p>
        </w:tc>
        <w:tc>
          <w:tcPr>
            <w:tcW w:w="373" w:type="dxa"/>
            <w:gridSpan w:val="3"/>
            <w:tcBorders>
              <w:top w:val="single" w:sz="8" w:space="0" w:color="004C97"/>
              <w:bottom w:val="single" w:sz="8" w:space="0" w:color="004C97"/>
              <w:right w:val="single" w:sz="8" w:space="0" w:color="004C97"/>
            </w:tcBorders>
            <w:tcMar>
              <w:lef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739140"/>
                <wp:effectExtent l="0" t="0" r="0" b="0"/>
                <wp:wrapNone/>
                <wp:docPr id="243" name="Frame73"/>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292" w:type="dxa"/>
                              <w:jc w:val="right"/>
                              <w:tblInd w:w="0" w:type="dxa"/>
                              <w:tblLayout w:type="fixed"/>
                              <w:tblCellMar>
                                <w:top w:w="28" w:type="dxa"/>
                                <w:left w:w="28" w:type="dxa"/>
                                <w:bottom w:w="28" w:type="dxa"/>
                                <w:right w:w="28" w:type="dxa"/>
                              </w:tblCellMar>
                            </w:tblPr>
                            <w:tblGrid>
                              <w:gridCol w:w="292"/>
                              <w:gridCol w:w="256"/>
                              <w:gridCol w:w="258"/>
                              <w:gridCol w:w="704"/>
                              <w:gridCol w:w="704"/>
                              <w:gridCol w:w="706"/>
                              <w:gridCol w:w="109"/>
                              <w:gridCol w:w="109"/>
                              <w:gridCol w:w="154"/>
                            </w:tblGrid>
                            <w:tr>
                              <w:trPr/>
                              <w:tc>
                                <w:tcPr>
                                  <w:tcW w:w="29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0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244" name="Image1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4" name="Image105" descr=""/>
                                                <pic:cNvPicPr>
                                                  <a:picLocks noChangeAspect="1" noChangeArrowheads="1"/>
                                                </pic:cNvPicPr>
                                              </pic:nvPicPr>
                                              <pic:blipFill>
                                                <a:blip r:embed="rId172"/>
                                                <a:stretch>
                                                  <a:fillRect/>
                                                </a:stretch>
                                              </pic:blipFill>
                                              <pic:spPr bwMode="auto">
                                                <a:xfrm>
                                                  <a:off x="0" y="0"/>
                                                  <a:ext cx="447675" cy="161925"/>
                                                </a:xfrm>
                                                <a:prstGeom prst="rect">
                                                  <a:avLst/>
                                                </a:prstGeom>
                                              </pic:spPr>
                                            </pic:pic>
                                          </a:graphicData>
                                        </a:graphic>
                                      </wp:inline>
                                    </w:drawing>
                                  </w:r>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2024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000000"/>
                                      <w:sz w:val="16"/>
                                    </w:rPr>
                                  </w:pPr>
                                  <w:r>
                                    <w:rPr>
                                      <w:rFonts w:ascii="Arial;sans-serif" w:hAnsi="Arial;sans-serif"/>
                                      <w:b/>
                                      <w:color w:val="000000"/>
                                      <w:sz w:val="16"/>
                                    </w:rPr>
                                    <w:t>67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292" w:type="dxa"/>
                        <w:jc w:val="right"/>
                        <w:tblInd w:w="0" w:type="dxa"/>
                        <w:tblLayout w:type="fixed"/>
                        <w:tblCellMar>
                          <w:top w:w="28" w:type="dxa"/>
                          <w:left w:w="28" w:type="dxa"/>
                          <w:bottom w:w="28" w:type="dxa"/>
                          <w:right w:w="28" w:type="dxa"/>
                        </w:tblCellMar>
                      </w:tblPr>
                      <w:tblGrid>
                        <w:gridCol w:w="292"/>
                        <w:gridCol w:w="256"/>
                        <w:gridCol w:w="258"/>
                        <w:gridCol w:w="704"/>
                        <w:gridCol w:w="704"/>
                        <w:gridCol w:w="706"/>
                        <w:gridCol w:w="109"/>
                        <w:gridCol w:w="109"/>
                        <w:gridCol w:w="154"/>
                      </w:tblGrid>
                      <w:tr>
                        <w:trPr/>
                        <w:tc>
                          <w:tcPr>
                            <w:tcW w:w="29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0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245" name="Image1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5" name="Image105" descr=""/>
                                          <pic:cNvPicPr>
                                            <a:picLocks noChangeAspect="1" noChangeArrowheads="1"/>
                                          </pic:cNvPicPr>
                                        </pic:nvPicPr>
                                        <pic:blipFill>
                                          <a:blip r:embed="rId173"/>
                                          <a:stretch>
                                            <a:fillRect/>
                                          </a:stretch>
                                        </pic:blipFill>
                                        <pic:spPr bwMode="auto">
                                          <a:xfrm>
                                            <a:off x="0" y="0"/>
                                            <a:ext cx="447675" cy="161925"/>
                                          </a:xfrm>
                                          <a:prstGeom prst="rect">
                                            <a:avLst/>
                                          </a:prstGeom>
                                        </pic:spPr>
                                      </pic:pic>
                                    </a:graphicData>
                                  </a:graphic>
                                </wp:inline>
                              </w:drawing>
                            </w:r>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2024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000000"/>
                                <w:sz w:val="16"/>
                              </w:rPr>
                            </w:pPr>
                            <w:r>
                              <w:rPr>
                                <w:rFonts w:ascii="Arial;sans-serif" w:hAnsi="Arial;sans-serif"/>
                                <w:b/>
                                <w:color w:val="000000"/>
                                <w:sz w:val="16"/>
                              </w:rPr>
                              <w:t>67</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312" w:before="0" w:after="240"/>
        <w:jc w:val="left"/>
        <w:rPr>
          <w:rFonts w:ascii="Arial;sans-serif" w:hAnsi="Arial;sans-serif"/>
          <w:b/>
          <w:color w:val="004C97"/>
          <w:sz w:val="42"/>
        </w:rPr>
      </w:pPr>
      <w:r>
        <w:rPr>
          <w:rFonts w:ascii="Arial;sans-serif" w:hAnsi="Arial;sans-serif"/>
          <w:b/>
          <w:color w:val="004C97"/>
          <w:sz w:val="42"/>
        </w:rPr>
        <w:t>QUESTIONS AND ANSWERS</w:t>
      </w:r>
    </w:p>
    <w:p>
      <w:pPr>
        <w:pStyle w:val="TextBody"/>
        <w:bidi w:val="0"/>
        <w:spacing w:lineRule="auto" w:line="288" w:before="0" w:after="0"/>
        <w:jc w:val="left"/>
        <w:rPr>
          <w:rFonts w:ascii="Arial;sans-serif" w:hAnsi="Arial;sans-serif"/>
          <w:b w:val="false"/>
          <w:color w:val="000000"/>
          <w:sz w:val="32"/>
        </w:rPr>
      </w:pPr>
      <w:bookmarkStart w:id="27" w:name="ib61b299a0acf4249a8ef4863987d4f0a_75115"/>
      <w:bookmarkEnd w:id="27"/>
      <w:r>
        <w:rPr>
          <w:rFonts w:ascii="Arial;sans-serif" w:hAnsi="Arial;sans-serif"/>
          <w:b w:val="false"/>
          <w:color w:val="000000"/>
          <w:sz w:val="32"/>
        </w:rPr>
        <w:t>Proxy Materials</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left"/>
        <w:rPr>
          <w:rFonts w:ascii="Arial;sans-serif" w:hAnsi="Arial;sans-serif"/>
          <w:b/>
          <w:color w:val="004C97"/>
          <w:sz w:val="20"/>
        </w:rPr>
      </w:pPr>
      <w:r>
        <w:rPr>
          <w:rFonts w:ascii="Arial;sans-serif" w:hAnsi="Arial;sans-serif"/>
          <w:b/>
          <w:color w:val="004C97"/>
          <w:sz w:val="20"/>
        </w:rPr>
        <w:t>Why am I receiving these materials?</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We are mailing or making these materials available to you because we are soliciting your proxy to vote your shares in connection with our Annual Meeting, scheduled to take place on May 14, 2024, or at any adjournments or postponements of this meeting. We are first mailing or making available to stockholders this Proxy Statement, our Annual Report to Stockholders for the year ended December 31, 2023, and related materials on or about April 4, 2024.</w:t>
      </w:r>
    </w:p>
    <w:p>
      <w:pPr>
        <w:pStyle w:val="TextBody"/>
        <w:bidi w:val="0"/>
        <w:spacing w:lineRule="auto" w:line="288" w:before="0" w:after="60"/>
        <w:jc w:val="both"/>
        <w:rPr>
          <w:rFonts w:ascii="Arial;sans-serif" w:hAnsi="Arial;sans-serif"/>
          <w:b/>
          <w:color w:val="004C97"/>
          <w:sz w:val="20"/>
        </w:rPr>
      </w:pPr>
      <w:r>
        <w:rPr>
          <w:rFonts w:ascii="Arial;sans-serif" w:hAnsi="Arial;sans-serif"/>
          <w:b/>
          <w:color w:val="004C97"/>
          <w:sz w:val="20"/>
        </w:rPr>
        <w:t xml:space="preserve">Why did I receive a one-page notice of internet availability of proxy materials rather than a full set of proxy materials? </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SEC rules allow companies to provide stockholders access to Proxy Materials over the internet rather than mailing the materials to stockholders. Accordingly, to conserve natural resources and reduce costs, we are sending many of our stockholders a Notice of Internet Availability of Proxy Materials. The Notice provides instructions for accessing the Proxy Materials on the website referred to in the Notice or for requesting printed copies of the Proxy Materials. The Notice also provides instructions for requesting the delivery of the Proxy Materials for future Annual Meetings in printed form.</w:t>
      </w:r>
    </w:p>
    <w:p>
      <w:pPr>
        <w:pStyle w:val="TextBody"/>
        <w:bidi w:val="0"/>
        <w:spacing w:lineRule="auto" w:line="288" w:before="0" w:after="60"/>
        <w:jc w:val="both"/>
        <w:rPr>
          <w:rFonts w:ascii="Arial;sans-serif" w:hAnsi="Arial;sans-serif"/>
          <w:b/>
          <w:color w:val="004C97"/>
          <w:sz w:val="20"/>
        </w:rPr>
      </w:pPr>
      <w:r>
        <w:rPr>
          <w:rFonts w:ascii="Arial;sans-serif" w:hAnsi="Arial;sans-serif"/>
          <w:b/>
          <w:color w:val="004C97"/>
          <w:sz w:val="20"/>
        </w:rPr>
        <w:t>Are the proxy materials available electronically?</w:t>
      </w:r>
    </w:p>
    <w:p>
      <w:pPr>
        <w:pStyle w:val="TextBody"/>
        <w:bidi w:val="0"/>
        <w:spacing w:lineRule="auto" w:line="288" w:before="0" w:after="240"/>
        <w:jc w:val="both"/>
        <w:rPr>
          <w:rFonts w:ascii="Arial;sans-serif" w:hAnsi="Arial;sans-serif"/>
          <w:b w:val="false"/>
          <w:color w:val="000000"/>
          <w:sz w:val="18"/>
        </w:rPr>
      </w:pPr>
      <w:r>
        <w:rPr>
          <w:rFonts w:ascii="Arial;sans-serif" w:hAnsi="Arial;sans-serif"/>
          <w:b w:val="false"/>
          <w:color w:val="000000"/>
          <w:sz w:val="18"/>
        </w:rPr>
        <w:t>Our Proxy Statement and our 2023 Annual Report to Stockholders are available on our website (www.spx.com) under the heading “Investor Relations—Financial Information—Annual Reports.” Additionally, and in accordance with SEC rules, you may access our Proxy Statement at www.envisionreports.com/SPXC (for stockholders of record) or www.edocumentview.com/SPXC (for all other stockholders), which do not have “cookies” that identify visitors to the sites.</w:t>
      </w:r>
    </w:p>
    <w:p>
      <w:pPr>
        <w:pStyle w:val="TextBody"/>
        <w:bidi w:val="0"/>
        <w:spacing w:lineRule="auto" w:line="288" w:before="0" w:after="0"/>
        <w:jc w:val="both"/>
        <w:rPr>
          <w:rFonts w:ascii="Arial;sans-serif" w:hAnsi="Arial;sans-serif"/>
          <w:b w:val="false"/>
          <w:color w:val="000000"/>
          <w:sz w:val="32"/>
        </w:rPr>
      </w:pPr>
      <w:bookmarkStart w:id="28" w:name="ib61b299a0acf4249a8ef4863987d4f0a_75116"/>
      <w:bookmarkEnd w:id="28"/>
      <w:r>
        <w:rPr>
          <w:rFonts w:ascii="Arial;sans-serif" w:hAnsi="Arial;sans-serif"/>
          <w:b w:val="false"/>
          <w:color w:val="000000"/>
          <w:sz w:val="32"/>
        </w:rPr>
        <w:t>Annual Meeting</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left"/>
        <w:rPr>
          <w:rFonts w:ascii="Arial;sans-serif" w:hAnsi="Arial;sans-serif"/>
          <w:b/>
          <w:color w:val="004C97"/>
          <w:sz w:val="20"/>
        </w:rPr>
      </w:pPr>
      <w:r>
        <w:rPr>
          <w:rFonts w:ascii="Arial;sans-serif" w:hAnsi="Arial;sans-serif"/>
          <w:b/>
          <w:color w:val="004C97"/>
          <w:sz w:val="20"/>
        </w:rPr>
        <w:t>What is the purpose of this meeting?</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This is the Annual Meeting of the Company’s stockholders. At the meeting, we will be voting on:</w:t>
      </w:r>
    </w:p>
    <w:p>
      <w:pPr>
        <w:pStyle w:val="TextBody"/>
        <w:bidi w:val="0"/>
        <w:spacing w:lineRule="auto" w:line="288" w:before="0" w:after="120"/>
        <w:ind w:left="0" w:right="0" w:hanging="216"/>
        <w:jc w:val="both"/>
        <w:rPr/>
      </w:pPr>
      <w:r>
        <w:rPr>
          <w:color w:val="000000"/>
        </w:rPr>
        <w:t>•</w:t>
      </w:r>
      <w:r>
        <w:rPr>
          <w:rFonts w:ascii="Arial;sans-serif" w:hAnsi="Arial;sans-serif"/>
          <w:b w:val="false"/>
          <w:color w:val="000000"/>
          <w:sz w:val="18"/>
        </w:rPr>
        <w:t>The election of the three nominees named in this Proxy Statement to serve as directors until our 2027 Annual Meeting;</w:t>
      </w:r>
    </w:p>
    <w:p>
      <w:pPr>
        <w:pStyle w:val="TextBody"/>
        <w:bidi w:val="0"/>
        <w:spacing w:lineRule="auto" w:line="288" w:before="0" w:after="120"/>
        <w:ind w:left="0" w:right="0" w:hanging="216"/>
        <w:jc w:val="both"/>
        <w:rPr/>
      </w:pPr>
      <w:r>
        <w:rPr>
          <w:color w:val="000000"/>
        </w:rPr>
        <w:t>•</w:t>
      </w:r>
      <w:r>
        <w:rPr>
          <w:rFonts w:ascii="Arial;sans-serif" w:hAnsi="Arial;sans-serif"/>
          <w:b w:val="false"/>
          <w:color w:val="000000"/>
          <w:sz w:val="18"/>
        </w:rPr>
        <w:t>The approval of our named executive officers’ compensation, on a non-binding advisory basis;</w:t>
      </w:r>
    </w:p>
    <w:p>
      <w:pPr>
        <w:pStyle w:val="TextBody"/>
        <w:bidi w:val="0"/>
        <w:spacing w:lineRule="auto" w:line="288" w:before="0" w:after="120"/>
        <w:ind w:left="0" w:right="0" w:hanging="216"/>
        <w:jc w:val="both"/>
        <w:rPr/>
      </w:pPr>
      <w:r>
        <w:rPr>
          <w:color w:val="000000"/>
        </w:rPr>
        <w:t>•</w:t>
      </w:r>
      <w:r>
        <w:rPr>
          <w:rFonts w:ascii="Arial;sans-serif" w:hAnsi="Arial;sans-serif"/>
          <w:b w:val="false"/>
          <w:color w:val="000000"/>
          <w:sz w:val="18"/>
        </w:rPr>
        <w:t>The approval of the Board Declassification Amendment;</w:t>
      </w:r>
    </w:p>
    <w:p>
      <w:pPr>
        <w:pStyle w:val="TextBody"/>
        <w:bidi w:val="0"/>
        <w:spacing w:lineRule="auto" w:line="288" w:before="0" w:after="120"/>
        <w:ind w:left="0" w:right="0" w:hanging="216"/>
        <w:jc w:val="both"/>
        <w:rPr/>
      </w:pPr>
      <w:r>
        <w:rPr>
          <w:color w:val="000000"/>
        </w:rPr>
        <w:t>•</w:t>
      </w:r>
      <w:r>
        <w:rPr>
          <w:rFonts w:ascii="Arial;sans-serif" w:hAnsi="Arial;sans-serif"/>
          <w:b w:val="false"/>
          <w:color w:val="000000"/>
          <w:sz w:val="18"/>
        </w:rPr>
        <w:t>The approval of the Officer Exculpation Amendment;</w:t>
      </w:r>
    </w:p>
    <w:p>
      <w:pPr>
        <w:pStyle w:val="TextBody"/>
        <w:bidi w:val="0"/>
        <w:spacing w:lineRule="auto" w:line="288" w:before="0" w:after="120"/>
        <w:ind w:left="0" w:right="0" w:hanging="216"/>
        <w:jc w:val="both"/>
        <w:rPr/>
      </w:pPr>
      <w:r>
        <w:rPr>
          <w:color w:val="000000"/>
        </w:rPr>
        <w:t>•</w:t>
      </w:r>
      <w:r>
        <w:rPr>
          <w:rFonts w:ascii="Arial;sans-serif" w:hAnsi="Arial;sans-serif"/>
          <w:b w:val="false"/>
          <w:color w:val="000000"/>
          <w:sz w:val="18"/>
        </w:rPr>
        <w:t>The approval of the Delaware Forum Selection Amendment;</w:t>
      </w:r>
    </w:p>
    <w:p>
      <w:pPr>
        <w:pStyle w:val="TextBody"/>
        <w:bidi w:val="0"/>
        <w:spacing w:lineRule="auto" w:line="288" w:before="0" w:after="120"/>
        <w:ind w:left="0" w:right="0" w:hanging="216"/>
        <w:jc w:val="both"/>
        <w:rPr/>
      </w:pPr>
      <w:r>
        <w:rPr>
          <w:color w:val="000000"/>
        </w:rPr>
        <w:t>•</w:t>
      </w:r>
      <w:r>
        <w:rPr>
          <w:rFonts w:ascii="Arial;sans-serif" w:hAnsi="Arial;sans-serif"/>
          <w:b w:val="false"/>
          <w:color w:val="000000"/>
          <w:sz w:val="18"/>
        </w:rPr>
        <w:t>The approval of the Federal Forum Selection Amendment;</w:t>
      </w:r>
    </w:p>
    <w:p>
      <w:pPr>
        <w:pStyle w:val="TextBody"/>
        <w:bidi w:val="0"/>
        <w:spacing w:lineRule="auto" w:line="288" w:before="0" w:after="120"/>
        <w:ind w:left="0" w:right="0" w:hanging="216"/>
        <w:jc w:val="both"/>
        <w:rPr/>
      </w:pPr>
      <w:r>
        <w:rPr>
          <w:color w:val="000000"/>
        </w:rPr>
        <w:t>•</w:t>
      </w:r>
      <w:r>
        <w:rPr>
          <w:rFonts w:ascii="Arial;sans-serif" w:hAnsi="Arial;sans-serif"/>
          <w:b w:val="false"/>
          <w:color w:val="000000"/>
          <w:sz w:val="18"/>
        </w:rPr>
        <w:t>The ratification of our Audit Committee’s appointment of our independent registered public accounting firm for 2024; and</w:t>
      </w:r>
    </w:p>
    <w:p>
      <w:pPr>
        <w:pStyle w:val="TextBody"/>
        <w:bidi w:val="0"/>
        <w:spacing w:lineRule="auto" w:line="288" w:before="0" w:after="180"/>
        <w:ind w:left="0" w:right="0" w:hanging="216"/>
        <w:jc w:val="both"/>
        <w:rPr/>
      </w:pPr>
      <w:r>
        <w:rPr>
          <w:color w:val="000000"/>
        </w:rPr>
        <w:t>•</w:t>
      </w:r>
      <w:r>
        <w:rPr>
          <w:rFonts w:ascii="Arial;sans-serif" w:hAnsi="Arial;sans-serif"/>
          <w:b w:val="false"/>
          <w:color w:val="000000"/>
          <w:sz w:val="18"/>
        </w:rPr>
        <w:t>Any other business properly brought before the meeting.</w:t>
      </w:r>
    </w:p>
    <w:p>
      <w:pPr>
        <w:pStyle w:val="TextBody"/>
        <w:bidi w:val="0"/>
        <w:spacing w:lineRule="auto" w:line="288" w:before="0" w:after="60"/>
        <w:jc w:val="both"/>
        <w:rPr>
          <w:rFonts w:ascii="Arial;sans-serif" w:hAnsi="Arial;sans-serif"/>
          <w:b/>
          <w:color w:val="004C97"/>
          <w:sz w:val="20"/>
        </w:rPr>
      </w:pPr>
      <w:r>
        <w:rPr>
          <w:rFonts w:ascii="Arial;sans-serif" w:hAnsi="Arial;sans-serif"/>
          <w:b/>
          <w:color w:val="004C97"/>
          <w:sz w:val="20"/>
        </w:rPr>
        <w:t>How does the Board recommend that I vote?</w:t>
      </w:r>
    </w:p>
    <w:tbl>
      <w:tblPr>
        <w:tblW w:w="10205" w:type="dxa"/>
        <w:jc w:val="left"/>
        <w:tblInd w:w="0" w:type="dxa"/>
        <w:tblLayout w:type="fixed"/>
        <w:tblCellMar>
          <w:top w:w="28" w:type="dxa"/>
          <w:left w:w="28" w:type="dxa"/>
          <w:bottom w:w="28" w:type="dxa"/>
          <w:right w:w="28" w:type="dxa"/>
        </w:tblCellMar>
      </w:tblPr>
      <w:tblGrid>
        <w:gridCol w:w="374"/>
        <w:gridCol w:w="327"/>
        <w:gridCol w:w="330"/>
        <w:gridCol w:w="2722"/>
        <w:gridCol w:w="2669"/>
        <w:gridCol w:w="3783"/>
      </w:tblGrid>
      <w:tr>
        <w:trPr/>
        <w:tc>
          <w:tcPr>
            <w:tcW w:w="374"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2722" w:type="dxa"/>
            <w:tcBorders/>
            <w:vAlign w:val="center"/>
          </w:tcPr>
          <w:p>
            <w:pPr>
              <w:pStyle w:val="TableContents"/>
              <w:bidi w:val="0"/>
              <w:spacing w:before="0" w:after="283"/>
              <w:jc w:val="left"/>
              <w:rPr>
                <w:sz w:val="4"/>
                <w:szCs w:val="4"/>
              </w:rPr>
            </w:pPr>
            <w:r>
              <w:rPr>
                <w:sz w:val="4"/>
                <w:szCs w:val="4"/>
              </w:rPr>
            </w:r>
          </w:p>
        </w:tc>
        <w:tc>
          <w:tcPr>
            <w:tcW w:w="2669" w:type="dxa"/>
            <w:tcBorders/>
            <w:vAlign w:val="center"/>
          </w:tcPr>
          <w:p>
            <w:pPr>
              <w:pStyle w:val="TableContents"/>
              <w:bidi w:val="0"/>
              <w:spacing w:before="0" w:after="283"/>
              <w:jc w:val="left"/>
              <w:rPr>
                <w:sz w:val="4"/>
                <w:szCs w:val="4"/>
              </w:rPr>
            </w:pPr>
            <w:r>
              <w:rPr>
                <w:sz w:val="4"/>
                <w:szCs w:val="4"/>
              </w:rPr>
            </w:r>
          </w:p>
        </w:tc>
        <w:tc>
          <w:tcPr>
            <w:tcW w:w="3783" w:type="dxa"/>
            <w:tcBorders/>
            <w:vAlign w:val="center"/>
          </w:tcPr>
          <w:p>
            <w:pPr>
              <w:pStyle w:val="TableContents"/>
              <w:bidi w:val="0"/>
              <w:spacing w:before="0" w:after="283"/>
              <w:jc w:val="left"/>
              <w:rPr>
                <w:sz w:val="4"/>
                <w:szCs w:val="4"/>
              </w:rPr>
            </w:pPr>
            <w:r>
              <w:rPr>
                <w:sz w:val="4"/>
                <w:szCs w:val="4"/>
              </w:rPr>
            </w:r>
          </w:p>
        </w:tc>
      </w:tr>
      <w:tr>
        <w:trPr/>
        <w:tc>
          <w:tcPr>
            <w:tcW w:w="1031"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Arial;sans-serif" w:hAnsi="Arial;sans-serif"/>
                <w:b w:val="false"/>
                <w:color w:val="000000"/>
                <w:sz w:val="18"/>
              </w:rPr>
            </w:pPr>
            <w:r>
              <w:rPr>
                <w:rFonts w:ascii="Arial;sans-serif" w:hAnsi="Arial;sans-serif"/>
                <w:b w:val="false"/>
                <w:color w:val="000000"/>
                <w:sz w:val="18"/>
              </w:rPr>
              <w:t>Proposal 1:</w:t>
            </w:r>
          </w:p>
        </w:tc>
        <w:tc>
          <w:tcPr>
            <w:tcW w:w="9174"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Arial;sans-serif" w:hAnsi="Arial;sans-serif"/>
                <w:b w:val="false"/>
                <w:color w:val="000000"/>
                <w:sz w:val="18"/>
              </w:rPr>
            </w:pPr>
            <w:r>
              <w:rPr>
                <w:rFonts w:ascii="Arial;sans-serif" w:hAnsi="Arial;sans-serif"/>
                <w:b w:val="false"/>
                <w:color w:val="000000"/>
                <w:sz w:val="18"/>
              </w:rPr>
              <w:t>FOR the election of each of Dr. Shaw, Mr. Toth and Ms. Willis.</w:t>
            </w:r>
          </w:p>
        </w:tc>
      </w:tr>
      <w:tr>
        <w:trPr/>
        <w:tc>
          <w:tcPr>
            <w:tcW w:w="1031"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Arial;sans-serif" w:hAnsi="Arial;sans-serif"/>
                <w:b w:val="false"/>
                <w:color w:val="000000"/>
                <w:sz w:val="18"/>
              </w:rPr>
            </w:pPr>
            <w:r>
              <w:rPr>
                <w:rFonts w:ascii="Arial;sans-serif" w:hAnsi="Arial;sans-serif"/>
                <w:b w:val="false"/>
                <w:color w:val="000000"/>
                <w:sz w:val="18"/>
              </w:rPr>
              <w:t>Proposal 2:</w:t>
            </w:r>
          </w:p>
        </w:tc>
        <w:tc>
          <w:tcPr>
            <w:tcW w:w="9174"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Arial;sans-serif" w:hAnsi="Arial;sans-serif"/>
                <w:b w:val="false"/>
                <w:color w:val="000000"/>
                <w:sz w:val="18"/>
              </w:rPr>
            </w:pPr>
            <w:r>
              <w:rPr>
                <w:rFonts w:ascii="Arial;sans-serif" w:hAnsi="Arial;sans-serif"/>
                <w:b w:val="false"/>
                <w:color w:val="000000"/>
                <w:sz w:val="18"/>
              </w:rPr>
              <w:t>FOR the approval of our named executive officers’ compensation.</w:t>
            </w:r>
          </w:p>
        </w:tc>
      </w:tr>
      <w:tr>
        <w:trPr/>
        <w:tc>
          <w:tcPr>
            <w:tcW w:w="1031"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Arial;sans-serif" w:hAnsi="Arial;sans-serif"/>
                <w:b w:val="false"/>
                <w:color w:val="000000"/>
                <w:sz w:val="18"/>
              </w:rPr>
            </w:pPr>
            <w:r>
              <w:rPr>
                <w:rFonts w:ascii="Arial;sans-serif" w:hAnsi="Arial;sans-serif"/>
                <w:b w:val="false"/>
                <w:color w:val="000000"/>
                <w:sz w:val="18"/>
              </w:rPr>
              <w:t>Proposal 3:</w:t>
            </w:r>
          </w:p>
        </w:tc>
        <w:tc>
          <w:tcPr>
            <w:tcW w:w="9174"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Arial;sans-serif" w:hAnsi="Arial;sans-serif"/>
                <w:b w:val="false"/>
                <w:color w:val="000000"/>
                <w:sz w:val="18"/>
              </w:rPr>
            </w:pPr>
            <w:r>
              <w:rPr>
                <w:rFonts w:ascii="Arial;sans-serif" w:hAnsi="Arial;sans-serif"/>
                <w:b w:val="false"/>
                <w:color w:val="000000"/>
                <w:sz w:val="18"/>
              </w:rPr>
              <w:t>FOR the approval of the Board Declassification Amendment.</w:t>
            </w:r>
          </w:p>
        </w:tc>
      </w:tr>
      <w:tr>
        <w:trPr/>
        <w:tc>
          <w:tcPr>
            <w:tcW w:w="1031"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Arial;sans-serif" w:hAnsi="Arial;sans-serif"/>
                <w:b w:val="false"/>
                <w:color w:val="000000"/>
                <w:sz w:val="18"/>
              </w:rPr>
            </w:pPr>
            <w:r>
              <w:rPr>
                <w:rFonts w:ascii="Arial;sans-serif" w:hAnsi="Arial;sans-serif"/>
                <w:b w:val="false"/>
                <w:color w:val="000000"/>
                <w:sz w:val="18"/>
              </w:rPr>
              <w:t>Proposal 4:</w:t>
            </w:r>
          </w:p>
        </w:tc>
        <w:tc>
          <w:tcPr>
            <w:tcW w:w="9174"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Arial;sans-serif" w:hAnsi="Arial;sans-serif"/>
                <w:b w:val="false"/>
                <w:color w:val="000000"/>
                <w:sz w:val="18"/>
              </w:rPr>
            </w:pPr>
            <w:r>
              <w:rPr>
                <w:rFonts w:ascii="Arial;sans-serif" w:hAnsi="Arial;sans-serif"/>
                <w:b w:val="false"/>
                <w:color w:val="000000"/>
                <w:sz w:val="18"/>
              </w:rPr>
              <w:t>FOR the approval of the Officer Exculpation Amendment.</w:t>
            </w:r>
          </w:p>
        </w:tc>
      </w:tr>
      <w:tr>
        <w:trPr/>
        <w:tc>
          <w:tcPr>
            <w:tcW w:w="1031"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Arial;sans-serif" w:hAnsi="Arial;sans-serif"/>
                <w:b w:val="false"/>
                <w:color w:val="000000"/>
                <w:sz w:val="18"/>
              </w:rPr>
            </w:pPr>
            <w:r>
              <w:rPr>
                <w:rFonts w:ascii="Arial;sans-serif" w:hAnsi="Arial;sans-serif"/>
                <w:b w:val="false"/>
                <w:color w:val="000000"/>
                <w:sz w:val="18"/>
              </w:rPr>
              <w:t>Proposal 5:</w:t>
            </w:r>
          </w:p>
        </w:tc>
        <w:tc>
          <w:tcPr>
            <w:tcW w:w="9174"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Arial;sans-serif" w:hAnsi="Arial;sans-serif"/>
                <w:b w:val="false"/>
                <w:color w:val="000000"/>
                <w:sz w:val="18"/>
              </w:rPr>
            </w:pPr>
            <w:r>
              <w:rPr>
                <w:rFonts w:ascii="Arial;sans-serif" w:hAnsi="Arial;sans-serif"/>
                <w:b w:val="false"/>
                <w:color w:val="000000"/>
                <w:sz w:val="18"/>
              </w:rPr>
              <w:t>FOR the approval of the Delaware Forum Selection Amendment.</w:t>
            </w:r>
          </w:p>
        </w:tc>
      </w:tr>
      <w:tr>
        <w:trPr/>
        <w:tc>
          <w:tcPr>
            <w:tcW w:w="1031"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Arial;sans-serif" w:hAnsi="Arial;sans-serif"/>
                <w:b w:val="false"/>
                <w:color w:val="000000"/>
                <w:sz w:val="18"/>
              </w:rPr>
            </w:pPr>
            <w:r>
              <w:rPr>
                <w:rFonts w:ascii="Arial;sans-serif" w:hAnsi="Arial;sans-serif"/>
                <w:b w:val="false"/>
                <w:color w:val="000000"/>
                <w:sz w:val="18"/>
              </w:rPr>
              <w:t>Proposal 6:</w:t>
            </w:r>
          </w:p>
        </w:tc>
        <w:tc>
          <w:tcPr>
            <w:tcW w:w="9174"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Arial;sans-serif" w:hAnsi="Arial;sans-serif"/>
                <w:b w:val="false"/>
                <w:color w:val="000000"/>
                <w:sz w:val="18"/>
              </w:rPr>
            </w:pPr>
            <w:r>
              <w:rPr>
                <w:rFonts w:ascii="Arial;sans-serif" w:hAnsi="Arial;sans-serif"/>
                <w:b w:val="false"/>
                <w:color w:val="000000"/>
                <w:sz w:val="18"/>
              </w:rPr>
              <w:t>FOR the approval of the Federal Forum Selection Amendment.</w:t>
            </w:r>
          </w:p>
        </w:tc>
      </w:tr>
      <w:tr>
        <w:trPr/>
        <w:tc>
          <w:tcPr>
            <w:tcW w:w="1031"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Arial;sans-serif" w:hAnsi="Arial;sans-serif"/>
                <w:b w:val="false"/>
                <w:color w:val="000000"/>
                <w:sz w:val="18"/>
              </w:rPr>
            </w:pPr>
            <w:r>
              <w:rPr>
                <w:rFonts w:ascii="Arial;sans-serif" w:hAnsi="Arial;sans-serif"/>
                <w:b w:val="false"/>
                <w:color w:val="000000"/>
                <w:sz w:val="18"/>
              </w:rPr>
              <w:t>Proposal 7:</w:t>
            </w:r>
          </w:p>
        </w:tc>
        <w:tc>
          <w:tcPr>
            <w:tcW w:w="9174" w:type="dxa"/>
            <w:gridSpan w:val="3"/>
            <w:tcBorders/>
            <w:tcMar>
              <w:top w:w="0" w:type="dxa"/>
              <w:left w:w="0" w:type="dxa"/>
              <w:bottom w:w="0" w:type="dxa"/>
              <w:right w:w="0" w:type="dxa"/>
            </w:tcMar>
            <w:vAlign w:val="center"/>
          </w:tcPr>
          <w:p>
            <w:pPr>
              <w:pStyle w:val="TableContents"/>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FOR the ratification of our Audit Committee’s appointment of our independent registered public accounting firm for 2024.</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739140"/>
                <wp:effectExtent l="0" t="0" r="0" b="0"/>
                <wp:wrapNone/>
                <wp:docPr id="246" name="Frame74"/>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292" w:type="dxa"/>
                              <w:jc w:val="left"/>
                              <w:tblInd w:w="0" w:type="dxa"/>
                              <w:tblLayout w:type="fixed"/>
                              <w:tblCellMar>
                                <w:top w:w="28" w:type="dxa"/>
                                <w:left w:w="28" w:type="dxa"/>
                                <w:bottom w:w="28" w:type="dxa"/>
                                <w:right w:w="28" w:type="dxa"/>
                              </w:tblCellMar>
                            </w:tblPr>
                            <w:tblGrid>
                              <w:gridCol w:w="124"/>
                              <w:gridCol w:w="109"/>
                              <w:gridCol w:w="109"/>
                              <w:gridCol w:w="704"/>
                              <w:gridCol w:w="704"/>
                              <w:gridCol w:w="706"/>
                              <w:gridCol w:w="244"/>
                              <w:gridCol w:w="244"/>
                              <w:gridCol w:w="34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6"/>
                                    </w:rPr>
                                  </w:pPr>
                                  <w:r>
                                    <w:rPr>
                                      <w:rFonts w:ascii="Arial;sans-serif" w:hAnsi="Arial;sans-serif"/>
                                      <w:b/>
                                      <w:color w:val="000000"/>
                                      <w:sz w:val="16"/>
                                    </w:rPr>
                                    <w:t>68</w:t>
                                  </w:r>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2024 PROXY STATEMENT</w:t>
                                  </w:r>
                                </w:p>
                              </w:tc>
                              <w:tc>
                                <w:tcPr>
                                  <w:tcW w:w="83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247" name="Image1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7" name="Image106" descr=""/>
                                                <pic:cNvPicPr>
                                                  <a:picLocks noChangeAspect="1" noChangeArrowheads="1"/>
                                                </pic:cNvPicPr>
                                              </pic:nvPicPr>
                                              <pic:blipFill>
                                                <a:blip r:embed="rId174"/>
                                                <a:stretch>
                                                  <a:fillRect/>
                                                </a:stretch>
                                              </pic:blipFill>
                                              <pic:spPr bwMode="auto">
                                                <a:xfrm>
                                                  <a:off x="0" y="0"/>
                                                  <a:ext cx="447675" cy="161925"/>
                                                </a:xfrm>
                                                <a:prstGeom prst="rect">
                                                  <a:avLst/>
                                                </a:prstGeom>
                                              </pic:spPr>
                                            </pic:pic>
                                          </a:graphicData>
                                        </a:graphic>
                                      </wp:inline>
                                    </w:drawing>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292" w:type="dxa"/>
                        <w:jc w:val="left"/>
                        <w:tblInd w:w="0" w:type="dxa"/>
                        <w:tblLayout w:type="fixed"/>
                        <w:tblCellMar>
                          <w:top w:w="28" w:type="dxa"/>
                          <w:left w:w="28" w:type="dxa"/>
                          <w:bottom w:w="28" w:type="dxa"/>
                          <w:right w:w="28" w:type="dxa"/>
                        </w:tblCellMar>
                      </w:tblPr>
                      <w:tblGrid>
                        <w:gridCol w:w="124"/>
                        <w:gridCol w:w="109"/>
                        <w:gridCol w:w="109"/>
                        <w:gridCol w:w="704"/>
                        <w:gridCol w:w="704"/>
                        <w:gridCol w:w="706"/>
                        <w:gridCol w:w="244"/>
                        <w:gridCol w:w="244"/>
                        <w:gridCol w:w="34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6"/>
                              </w:rPr>
                            </w:pPr>
                            <w:r>
                              <w:rPr>
                                <w:rFonts w:ascii="Arial;sans-serif" w:hAnsi="Arial;sans-serif"/>
                                <w:b/>
                                <w:color w:val="000000"/>
                                <w:sz w:val="16"/>
                              </w:rPr>
                              <w:t>68</w:t>
                            </w:r>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2024 PROXY STATEMENT</w:t>
                            </w:r>
                          </w:p>
                        </w:tc>
                        <w:tc>
                          <w:tcPr>
                            <w:tcW w:w="83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248" name="Image1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8" name="Image106" descr=""/>
                                          <pic:cNvPicPr>
                                            <a:picLocks noChangeAspect="1" noChangeArrowheads="1"/>
                                          </pic:cNvPicPr>
                                        </pic:nvPicPr>
                                        <pic:blipFill>
                                          <a:blip r:embed="rId175"/>
                                          <a:stretch>
                                            <a:fillRect/>
                                          </a:stretch>
                                        </pic:blipFill>
                                        <pic:spPr bwMode="auto">
                                          <a:xfrm>
                                            <a:off x="0" y="0"/>
                                            <a:ext cx="447675" cy="161925"/>
                                          </a:xfrm>
                                          <a:prstGeom prst="rect">
                                            <a:avLst/>
                                          </a:prstGeom>
                                        </pic:spPr>
                                      </pic:pic>
                                    </a:graphicData>
                                  </a:graphic>
                                </wp:inline>
                              </w:drawing>
                            </w:r>
                          </w:p>
                        </w:tc>
                      </w:tr>
                    </w:tbl>
                    <w:p>
                      <w:pPr>
                        <w:pStyle w:val="TextBody"/>
                        <w:bidi w:val="0"/>
                        <w:spacing w:before="0" w:after="283"/>
                        <w:jc w:val="left"/>
                        <w:rPr/>
                      </w:pPr>
                      <w:r>
                        <w:rPr/>
                      </w:r>
                    </w:p>
                  </w:txbxContent>
                </v:textbox>
                <w10:wrap type="none"/>
              </v:rect>
            </w:pict>
          </mc:Fallback>
        </mc:AlternateContent>
      </w:r>
    </w:p>
    <w:tbl>
      <w:tblPr>
        <w:tblW w:w="2385" w:type="dxa"/>
        <w:jc w:val="right"/>
        <w:tblInd w:w="0" w:type="dxa"/>
        <w:tblLayout w:type="fixed"/>
        <w:tblCellMar>
          <w:top w:w="28" w:type="dxa"/>
          <w:left w:w="28" w:type="dxa"/>
          <w:bottom w:w="28" w:type="dxa"/>
          <w:right w:w="28" w:type="dxa"/>
        </w:tblCellMar>
      </w:tblPr>
      <w:tblGrid>
        <w:gridCol w:w="763"/>
        <w:gridCol w:w="671"/>
        <w:gridCol w:w="951"/>
      </w:tblGrid>
      <w:tr>
        <w:trPr/>
        <w:tc>
          <w:tcPr>
            <w:tcW w:w="763"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r>
      <w:tr>
        <w:trPr/>
        <w:tc>
          <w:tcPr>
            <w:tcW w:w="2385" w:type="dxa"/>
            <w:gridSpan w:val="3"/>
            <w:tcBorders>
              <w:bottom w:val="single" w:sz="4" w:space="0" w:color="004C97"/>
            </w:tcBorders>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4C97"/>
                <w:sz w:val="16"/>
              </w:rPr>
            </w:pPr>
            <w:r>
              <w:rPr>
                <w:rFonts w:ascii="Arial;sans-serif" w:hAnsi="Arial;sans-serif"/>
                <w:b w:val="false"/>
                <w:color w:val="004C97"/>
                <w:sz w:val="16"/>
              </w:rPr>
              <w:t>QUESTIONS AND ANSWERS</w:t>
            </w:r>
          </w:p>
        </w:tc>
      </w:tr>
    </w:tbl>
    <w:p>
      <w:pPr>
        <w:pStyle w:val="TextBody"/>
        <w:bidi w:val="0"/>
        <w:spacing w:lineRule="auto" w:line="288" w:before="0" w:after="60"/>
        <w:jc w:val="both"/>
        <w:rPr>
          <w:rFonts w:ascii="Arial;sans-serif" w:hAnsi="Arial;sans-serif"/>
          <w:b/>
          <w:color w:val="004C97"/>
          <w:sz w:val="20"/>
        </w:rPr>
      </w:pPr>
      <w:r>
        <w:rPr>
          <w:rFonts w:ascii="Arial;sans-serif" w:hAnsi="Arial;sans-serif"/>
          <w:b/>
          <w:color w:val="004C97"/>
          <w:sz w:val="20"/>
        </w:rPr>
        <w:t>How can I attend the Annual Meeting?</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The Annual Meeting will be a completely virtual meeting of stockholders, which will be conducted exclusively virtually on the internet. You are entitled to participate in the Annual Meeting only if you were a stockholder of the Company as of the close of business on March 18, 2024, or if you hold a valid proxy for the Annual Meeting. No physical meeting will be held.</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You will be able to attend the Annual Meeting online and submit your questions during the meeting by visiting meetnow.global/MKHVHJL. You also will be able to vote your shares online by attending the Annual Meeting virtually on the internet.</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To participate in the Annual Meeting, you will need to review the information included on your Notice, or proxy card.</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If you hold your shares through an intermediary, such as a bank or broker, you must register in advance using the instructions below.</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The online meeting will begin promptly at 8.00 a.m., Eastern Time. We encourage you to access the meeting prior to the start time leaving ample time for the check in. Please follow the registration instructions as outlined in this proxy statement.</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No recording of the Annual Meeting is allowed, including audio and video recording.</w:t>
      </w:r>
    </w:p>
    <w:p>
      <w:pPr>
        <w:pStyle w:val="TextBody"/>
        <w:bidi w:val="0"/>
        <w:spacing w:lineRule="auto" w:line="288" w:before="0" w:after="60"/>
        <w:jc w:val="both"/>
        <w:rPr>
          <w:rFonts w:ascii="Arial;sans-serif" w:hAnsi="Arial;sans-serif"/>
          <w:b/>
          <w:color w:val="004C97"/>
          <w:sz w:val="20"/>
        </w:rPr>
      </w:pPr>
      <w:r>
        <w:rPr>
          <w:rFonts w:ascii="Arial;sans-serif" w:hAnsi="Arial;sans-serif"/>
          <w:b/>
          <w:color w:val="004C97"/>
          <w:sz w:val="20"/>
        </w:rPr>
        <w:t>How do I register to attend the Annual Meeting virtually on the Internet?</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If you are a registered stockholder (i.e., you hold your shares through our transfer agent, Computershare), you do not need to register to attend the Annual Meeting virtually on the internet. Please follow the instructions on the Notice of Internet Availability of Proxy Materials or proxy card that you received.</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If you hold your shares through an intermediary, such as a bank or broker, you must register in advance to attend the Annual Meeting virtually on the Internet. To register to attend the Annual Meeting, you must submit proof of your proxy power (legal proxy) reflecting your SPX Technologies, Inc. holdings along with your name and email address to Computershare. Requests for registration must be labeled as “Legal Proxy” and be received no later than 5:00 p.m., Eastern Time, on May 9, 2024. You will receive a confirmation of your registration by email after we receive your registration materials.</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Requests for registration should be directed to us at the following:</w:t>
      </w:r>
    </w:p>
    <w:p>
      <w:pPr>
        <w:pStyle w:val="TextBody"/>
        <w:bidi w:val="0"/>
        <w:spacing w:lineRule="auto" w:line="288" w:before="0" w:after="0"/>
        <w:jc w:val="both"/>
        <w:rPr>
          <w:rFonts w:ascii="Arial;sans-serif" w:hAnsi="Arial;sans-serif"/>
          <w:b/>
          <w:color w:val="000000"/>
          <w:sz w:val="18"/>
        </w:rPr>
      </w:pPr>
      <w:r>
        <w:rPr>
          <w:rFonts w:ascii="Arial;sans-serif" w:hAnsi="Arial;sans-serif"/>
          <w:b/>
          <w:color w:val="000000"/>
          <w:sz w:val="18"/>
        </w:rPr>
        <w:t>By email</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 xml:space="preserve">Forward the email from your broker, or attach an image of your legal proxy, to legalproxy@computershare.com </w:t>
      </w:r>
    </w:p>
    <w:p>
      <w:pPr>
        <w:pStyle w:val="TextBody"/>
        <w:bidi w:val="0"/>
        <w:spacing w:lineRule="auto" w:line="288" w:before="0" w:after="0"/>
        <w:jc w:val="both"/>
        <w:rPr>
          <w:rFonts w:ascii="Arial;sans-serif" w:hAnsi="Arial;sans-serif"/>
          <w:b/>
          <w:color w:val="000000"/>
          <w:sz w:val="18"/>
        </w:rPr>
      </w:pPr>
      <w:r>
        <w:rPr>
          <w:rFonts w:ascii="Arial;sans-serif" w:hAnsi="Arial;sans-serif"/>
          <w:b/>
          <w:color w:val="000000"/>
          <w:sz w:val="18"/>
        </w:rPr>
        <w:t>By mail</w:t>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Computershare</w:t>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SPX Technologies, Inc. Legal Proxy</w:t>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P.O. Box 43001</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Providence, RI 02940-3001</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Upon receipt of your confirmation of registration to participate in the meeting from Computershare go to meetnow.global/MKHVHJL and enter your control number to log into the meeting.</w:t>
      </w:r>
    </w:p>
    <w:p>
      <w:pPr>
        <w:pStyle w:val="TextBody"/>
        <w:bidi w:val="0"/>
        <w:spacing w:lineRule="auto" w:line="288" w:before="0" w:after="60"/>
        <w:jc w:val="both"/>
        <w:rPr>
          <w:rFonts w:ascii="Arial;sans-serif" w:hAnsi="Arial;sans-serif"/>
          <w:b/>
          <w:color w:val="004C97"/>
          <w:sz w:val="20"/>
        </w:rPr>
      </w:pPr>
      <w:r>
        <w:rPr>
          <w:rFonts w:ascii="Arial;sans-serif" w:hAnsi="Arial;sans-serif"/>
          <w:b/>
          <w:color w:val="004C97"/>
          <w:sz w:val="20"/>
        </w:rPr>
        <w:t>How do I vote or ask a question during the meeting?</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When you log onto the meeting website (meetnow.global/MKHVHJL) you will see Vote and Q&amp;A icons to vote and ask questions during the meeting.</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We will endeavor to answer as many questions submitted by stockholders as time permits. We reserve the right to edit inappropriate language and to exclude questions regarding topics that are not pertinent to meeting matters or company business. If we receive substantially similar questions, we may group such questions together and provide a single response to avoid repetition.</w:t>
      </w:r>
    </w:p>
    <w:p>
      <w:pPr>
        <w:pStyle w:val="TextBody"/>
        <w:bidi w:val="0"/>
        <w:spacing w:lineRule="auto" w:line="288" w:before="0" w:after="60"/>
        <w:jc w:val="both"/>
        <w:rPr>
          <w:rFonts w:ascii="Arial;sans-serif" w:hAnsi="Arial;sans-serif"/>
          <w:b/>
          <w:color w:val="004C97"/>
          <w:sz w:val="20"/>
        </w:rPr>
      </w:pPr>
      <w:r>
        <w:rPr>
          <w:rFonts w:ascii="Arial;sans-serif" w:hAnsi="Arial;sans-serif"/>
          <w:b/>
          <w:color w:val="004C97"/>
          <w:sz w:val="20"/>
        </w:rPr>
        <w:t>What if I have trouble accessing the Annual Meeting virtually?</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The virtual meeting platform is fully supported across browsers (MS Edge, Firefox, Chrome and Safari) and devices (desktops, laptops, tablets and cell phones) running the most up-to-date version of applicable software and plugins. Note: Internet Explorer is not a supported browser. Participants should ensure that they have a strong WiFi connection wherever they intend to participate in the meeting. We encourage you to access the meeting prior to the start time. For further assistance should you need it you may call 1-888-724-2416.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739140"/>
                <wp:effectExtent l="0" t="0" r="0" b="0"/>
                <wp:wrapNone/>
                <wp:docPr id="249" name="Frame75"/>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292" w:type="dxa"/>
                              <w:jc w:val="right"/>
                              <w:tblInd w:w="0" w:type="dxa"/>
                              <w:tblLayout w:type="fixed"/>
                              <w:tblCellMar>
                                <w:top w:w="28" w:type="dxa"/>
                                <w:left w:w="28" w:type="dxa"/>
                                <w:bottom w:w="28" w:type="dxa"/>
                                <w:right w:w="28" w:type="dxa"/>
                              </w:tblCellMar>
                            </w:tblPr>
                            <w:tblGrid>
                              <w:gridCol w:w="292"/>
                              <w:gridCol w:w="256"/>
                              <w:gridCol w:w="258"/>
                              <w:gridCol w:w="704"/>
                              <w:gridCol w:w="704"/>
                              <w:gridCol w:w="706"/>
                              <w:gridCol w:w="109"/>
                              <w:gridCol w:w="109"/>
                              <w:gridCol w:w="154"/>
                            </w:tblGrid>
                            <w:tr>
                              <w:trPr/>
                              <w:tc>
                                <w:tcPr>
                                  <w:tcW w:w="29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0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250" name="Image1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0" name="Image107" descr=""/>
                                                <pic:cNvPicPr>
                                                  <a:picLocks noChangeAspect="1" noChangeArrowheads="1"/>
                                                </pic:cNvPicPr>
                                              </pic:nvPicPr>
                                              <pic:blipFill>
                                                <a:blip r:embed="rId176"/>
                                                <a:stretch>
                                                  <a:fillRect/>
                                                </a:stretch>
                                              </pic:blipFill>
                                              <pic:spPr bwMode="auto">
                                                <a:xfrm>
                                                  <a:off x="0" y="0"/>
                                                  <a:ext cx="447675" cy="161925"/>
                                                </a:xfrm>
                                                <a:prstGeom prst="rect">
                                                  <a:avLst/>
                                                </a:prstGeom>
                                              </pic:spPr>
                                            </pic:pic>
                                          </a:graphicData>
                                        </a:graphic>
                                      </wp:inline>
                                    </w:drawing>
                                  </w:r>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2024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000000"/>
                                      <w:sz w:val="16"/>
                                    </w:rPr>
                                  </w:pPr>
                                  <w:r>
                                    <w:rPr>
                                      <w:rFonts w:ascii="Arial;sans-serif" w:hAnsi="Arial;sans-serif"/>
                                      <w:b/>
                                      <w:color w:val="000000"/>
                                      <w:sz w:val="16"/>
                                    </w:rPr>
                                    <w:t>69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292" w:type="dxa"/>
                        <w:jc w:val="right"/>
                        <w:tblInd w:w="0" w:type="dxa"/>
                        <w:tblLayout w:type="fixed"/>
                        <w:tblCellMar>
                          <w:top w:w="28" w:type="dxa"/>
                          <w:left w:w="28" w:type="dxa"/>
                          <w:bottom w:w="28" w:type="dxa"/>
                          <w:right w:w="28" w:type="dxa"/>
                        </w:tblCellMar>
                      </w:tblPr>
                      <w:tblGrid>
                        <w:gridCol w:w="292"/>
                        <w:gridCol w:w="256"/>
                        <w:gridCol w:w="258"/>
                        <w:gridCol w:w="704"/>
                        <w:gridCol w:w="704"/>
                        <w:gridCol w:w="706"/>
                        <w:gridCol w:w="109"/>
                        <w:gridCol w:w="109"/>
                        <w:gridCol w:w="154"/>
                      </w:tblGrid>
                      <w:tr>
                        <w:trPr/>
                        <w:tc>
                          <w:tcPr>
                            <w:tcW w:w="29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0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251" name="Image1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1" name="Image107" descr=""/>
                                          <pic:cNvPicPr>
                                            <a:picLocks noChangeAspect="1" noChangeArrowheads="1"/>
                                          </pic:cNvPicPr>
                                        </pic:nvPicPr>
                                        <pic:blipFill>
                                          <a:blip r:embed="rId177"/>
                                          <a:stretch>
                                            <a:fillRect/>
                                          </a:stretch>
                                        </pic:blipFill>
                                        <pic:spPr bwMode="auto">
                                          <a:xfrm>
                                            <a:off x="0" y="0"/>
                                            <a:ext cx="447675" cy="161925"/>
                                          </a:xfrm>
                                          <a:prstGeom prst="rect">
                                            <a:avLst/>
                                          </a:prstGeom>
                                        </pic:spPr>
                                      </pic:pic>
                                    </a:graphicData>
                                  </a:graphic>
                                </wp:inline>
                              </w:drawing>
                            </w:r>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2024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000000"/>
                                <w:sz w:val="16"/>
                              </w:rPr>
                            </w:pPr>
                            <w:r>
                              <w:rPr>
                                <w:rFonts w:ascii="Arial;sans-serif" w:hAnsi="Arial;sans-serif"/>
                                <w:b/>
                                <w:color w:val="000000"/>
                                <w:sz w:val="16"/>
                              </w:rPr>
                              <w:t>69</w:t>
                            </w:r>
                          </w:p>
                        </w:tc>
                      </w:tr>
                    </w:tbl>
                    <w:p>
                      <w:pPr>
                        <w:pStyle w:val="TextBody"/>
                        <w:bidi w:val="0"/>
                        <w:spacing w:before="0" w:after="283"/>
                        <w:jc w:val="left"/>
                        <w:rPr/>
                      </w:pPr>
                      <w:r>
                        <w:rPr/>
                      </w:r>
                    </w:p>
                  </w:txbxContent>
                </v:textbox>
                <w10:wrap type="none"/>
              </v:rect>
            </w:pict>
          </mc:Fallback>
        </mc:AlternateContent>
      </w:r>
    </w:p>
    <w:tbl>
      <w:tblPr>
        <w:tblW w:w="2385" w:type="dxa"/>
        <w:jc w:val="right"/>
        <w:tblInd w:w="0" w:type="dxa"/>
        <w:tblLayout w:type="fixed"/>
        <w:tblCellMar>
          <w:top w:w="28" w:type="dxa"/>
          <w:left w:w="28" w:type="dxa"/>
          <w:bottom w:w="28" w:type="dxa"/>
          <w:right w:w="28" w:type="dxa"/>
        </w:tblCellMar>
      </w:tblPr>
      <w:tblGrid>
        <w:gridCol w:w="763"/>
        <w:gridCol w:w="671"/>
        <w:gridCol w:w="951"/>
      </w:tblGrid>
      <w:tr>
        <w:trPr/>
        <w:tc>
          <w:tcPr>
            <w:tcW w:w="763"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r>
      <w:tr>
        <w:trPr/>
        <w:tc>
          <w:tcPr>
            <w:tcW w:w="2385" w:type="dxa"/>
            <w:gridSpan w:val="3"/>
            <w:tcBorders>
              <w:bottom w:val="single" w:sz="4" w:space="0" w:color="004C97"/>
            </w:tcBorders>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4C97"/>
                <w:sz w:val="16"/>
              </w:rPr>
            </w:pPr>
            <w:r>
              <w:rPr>
                <w:rFonts w:ascii="Arial;sans-serif" w:hAnsi="Arial;sans-serif"/>
                <w:b w:val="false"/>
                <w:color w:val="004C97"/>
                <w:sz w:val="16"/>
              </w:rPr>
              <w:t>QUESTIONS AND ANSWERS</w:t>
            </w:r>
          </w:p>
        </w:tc>
      </w:tr>
    </w:tbl>
    <w:p>
      <w:pPr>
        <w:pStyle w:val="TextBody"/>
        <w:bidi w:val="0"/>
        <w:spacing w:lineRule="auto" w:line="288" w:before="0" w:after="240"/>
        <w:jc w:val="both"/>
        <w:rPr>
          <w:rFonts w:ascii="Arial;sans-serif" w:hAnsi="Arial;sans-serif"/>
          <w:b w:val="false"/>
          <w:color w:val="000000"/>
          <w:sz w:val="18"/>
        </w:rPr>
      </w:pPr>
      <w:r>
        <w:rPr>
          <w:rFonts w:ascii="Arial;sans-serif" w:hAnsi="Arial;sans-serif"/>
          <w:b w:val="false"/>
          <w:color w:val="000000"/>
          <w:sz w:val="18"/>
        </w:rPr>
        <w:t>In the event of technical difficulties with the Annual Meeting, we expect that an announcement will be made on meetnow.global/MKHVHJL. If necessary, the announcement will provide updated information regarding the date, time, and location of the Annual Meeting. Any updated information regarding the Annual Meeting will also be posted on our website at www.spx.com.</w:t>
      </w:r>
    </w:p>
    <w:p>
      <w:pPr>
        <w:pStyle w:val="TextBody"/>
        <w:bidi w:val="0"/>
        <w:spacing w:lineRule="auto" w:line="288" w:before="0" w:after="0"/>
        <w:jc w:val="both"/>
        <w:rPr>
          <w:rFonts w:ascii="Arial;sans-serif" w:hAnsi="Arial;sans-serif"/>
          <w:b w:val="false"/>
          <w:color w:val="000000"/>
          <w:sz w:val="32"/>
        </w:rPr>
      </w:pPr>
      <w:bookmarkStart w:id="29" w:name="ib61b299a0acf4249a8ef4863987d4f0a_75117"/>
      <w:bookmarkEnd w:id="29"/>
      <w:r>
        <w:rPr>
          <w:rFonts w:ascii="Arial;sans-serif" w:hAnsi="Arial;sans-serif"/>
          <w:b w:val="false"/>
          <w:color w:val="000000"/>
          <w:sz w:val="32"/>
        </w:rPr>
        <w:t>Voting and Quorum</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both"/>
        <w:rPr>
          <w:rFonts w:ascii="Arial;sans-serif" w:hAnsi="Arial;sans-serif"/>
          <w:b/>
          <w:color w:val="004C97"/>
          <w:sz w:val="20"/>
        </w:rPr>
      </w:pPr>
      <w:r>
        <w:rPr>
          <w:rFonts w:ascii="Arial;sans-serif" w:hAnsi="Arial;sans-serif"/>
          <w:b/>
          <w:color w:val="004C97"/>
          <w:sz w:val="20"/>
        </w:rPr>
        <w:t>What is a proxy?</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Our Board of Directors is asking for your proxy, which is a legal designation of another person to vote the shares you own. We have designated two officers of the Company, Eugene J. Lowe, III and Mark A. Carano, to vote your shares at the meeting in the way you instruct and, with regard to any other business that may properly come before the meeting, as they think best.</w:t>
      </w:r>
    </w:p>
    <w:p>
      <w:pPr>
        <w:pStyle w:val="TextBody"/>
        <w:bidi w:val="0"/>
        <w:spacing w:lineRule="auto" w:line="288" w:before="0" w:after="60"/>
        <w:jc w:val="both"/>
        <w:rPr>
          <w:rFonts w:ascii="Arial;sans-serif" w:hAnsi="Arial;sans-serif"/>
          <w:b/>
          <w:color w:val="004C97"/>
          <w:sz w:val="20"/>
        </w:rPr>
      </w:pPr>
      <w:r>
        <w:rPr>
          <w:rFonts w:ascii="Arial;sans-serif" w:hAnsi="Arial;sans-serif"/>
          <w:b/>
          <w:color w:val="004C97"/>
          <w:sz w:val="20"/>
        </w:rPr>
        <w:t>Who is entitled to vote?</w:t>
      </w:r>
    </w:p>
    <w:p>
      <w:pPr>
        <w:pStyle w:val="TextBody"/>
        <w:bidi w:val="0"/>
        <w:spacing w:lineRule="auto" w:line="288" w:before="0" w:after="180"/>
        <w:jc w:val="both"/>
        <w:rPr/>
      </w:pPr>
      <w:r>
        <w:rPr>
          <w:rFonts w:ascii="Arial;sans-serif" w:hAnsi="Arial;sans-serif"/>
          <w:b w:val="false"/>
          <w:color w:val="000000"/>
          <w:sz w:val="18"/>
        </w:rPr>
        <w:t xml:space="preserve">Stockholders at the close of business on March 18, 2024 (the record date), are entitled to vote. On that date there were </w:t>
      </w:r>
      <w:r>
        <w:rPr>
          <w:rFonts w:ascii="Arial;sans-serif" w:hAnsi="Arial;sans-serif"/>
          <w:b w:val="false"/>
          <w:color w:val="000000"/>
          <w:sz w:val="18"/>
          <w:shd w:fill="00FF00" w:val="clear"/>
        </w:rPr>
        <w:t>[_________]</w:t>
      </w:r>
      <w:r>
        <w:rPr>
          <w:color w:val="000000"/>
        </w:rPr>
        <w:t xml:space="preserve"> </w:t>
      </w:r>
      <w:r>
        <w:rPr>
          <w:rFonts w:ascii="Arial;sans-serif" w:hAnsi="Arial;sans-serif"/>
          <w:b w:val="false"/>
          <w:color w:val="000000"/>
          <w:sz w:val="18"/>
        </w:rPr>
        <w:t>shares of SPX common stock outstanding.</w:t>
      </w:r>
    </w:p>
    <w:p>
      <w:pPr>
        <w:pStyle w:val="TextBody"/>
        <w:bidi w:val="0"/>
        <w:spacing w:lineRule="auto" w:line="288" w:before="0" w:after="60"/>
        <w:jc w:val="both"/>
        <w:rPr>
          <w:rFonts w:ascii="Arial;sans-serif" w:hAnsi="Arial;sans-serif"/>
          <w:b/>
          <w:color w:val="004C97"/>
          <w:sz w:val="20"/>
        </w:rPr>
      </w:pPr>
      <w:r>
        <w:rPr>
          <w:rFonts w:ascii="Arial;sans-serif" w:hAnsi="Arial;sans-serif"/>
          <w:b/>
          <w:color w:val="004C97"/>
          <w:sz w:val="20"/>
        </w:rPr>
        <w:t>How many votes do I have?</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Each share of SPX common stock that you own entitles you to one vote.</w:t>
      </w:r>
    </w:p>
    <w:p>
      <w:pPr>
        <w:pStyle w:val="TextBody"/>
        <w:bidi w:val="0"/>
        <w:spacing w:lineRule="auto" w:line="288" w:before="0" w:after="60"/>
        <w:jc w:val="both"/>
        <w:rPr>
          <w:rFonts w:ascii="Arial;sans-serif" w:hAnsi="Arial;sans-serif"/>
          <w:b/>
          <w:color w:val="004C97"/>
          <w:sz w:val="20"/>
        </w:rPr>
      </w:pPr>
      <w:r>
        <w:rPr>
          <w:rFonts w:ascii="Arial;sans-serif" w:hAnsi="Arial;sans-serif"/>
          <w:b/>
          <w:color w:val="004C97"/>
          <w:sz w:val="20"/>
        </w:rPr>
        <w:t>How do I vote if I do not attend the Annual Meeting?</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If your shares are held in your name as a stockholder of record, then you may vote your shares before the meeting over the internet by following the instructions on the Notice of Internet Availability of Proxy Materials or proxy card you received for that account.</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If your shares are held through a broker, bank, trustee, or other holder of record, then you may vote your shares before the meeting over the internet by following the instructions on the Notice of Internet Availability of Proxy Materials or proxy card you received or, if you received a voting instruction form from your brokerage firm, bank, trustee, or other similar entity by mail, then by completing, signing, and returning the form you received. You should check your voting instruction form to see if telephone or internet voting is available to you.</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If you received more than one Notice of Internet Availability of Proxy Materials or proxy card, then this means you hold shares of our common stock in more than one account. You should complete, sign, date, and return each proxy card or vote all shares over the internet or by telephone for each of your accounts. If you vote over the internet or by telephone, then you should not mail back the related proxy card.</w:t>
      </w:r>
    </w:p>
    <w:p>
      <w:pPr>
        <w:pStyle w:val="TextBody"/>
        <w:bidi w:val="0"/>
        <w:spacing w:lineRule="auto" w:line="288" w:before="0" w:after="60"/>
        <w:jc w:val="both"/>
        <w:rPr>
          <w:rFonts w:ascii="Arial;sans-serif" w:hAnsi="Arial;sans-serif"/>
          <w:b/>
          <w:color w:val="004C97"/>
          <w:sz w:val="20"/>
        </w:rPr>
      </w:pPr>
      <w:r>
        <w:rPr>
          <w:rFonts w:ascii="Arial;sans-serif" w:hAnsi="Arial;sans-serif"/>
          <w:b/>
          <w:color w:val="004C97"/>
          <w:sz w:val="20"/>
        </w:rPr>
        <w:t>Can I vote during the Annual Meeting?</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Yes. If you were a stockholder on the record date, then you can vote your shares of common stock during the Annual Meeting. If your shares are held through a broker, bank, trustee, or other holder of record, then you may vote your shares only if you have a legal proxy from the entity that holds your shares giving you the right to vote the shares. A legal proxy is a written document from your brokerage firm, bank, trustee, or other holder of record authorizing you to vote the shares it holds for you in its name. Please refer to “How do I register to attend the Annual Meeting virtually on the internet?” section above for further instructions.</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Even if you currently plan to attend the meeting, we recommend that you also vote by proxy as described above so that your vote will be counted if you later decide not to attend the meeting.</w:t>
      </w:r>
    </w:p>
    <w:p>
      <w:pPr>
        <w:pStyle w:val="TextBody"/>
        <w:bidi w:val="0"/>
        <w:spacing w:lineRule="auto" w:line="288" w:before="0" w:after="60"/>
        <w:jc w:val="both"/>
        <w:rPr>
          <w:rFonts w:ascii="Arial;sans-serif" w:hAnsi="Arial;sans-serif"/>
          <w:b/>
          <w:color w:val="004C97"/>
          <w:sz w:val="20"/>
        </w:rPr>
      </w:pPr>
      <w:r>
        <w:rPr>
          <w:rFonts w:ascii="Arial;sans-serif" w:hAnsi="Arial;sans-serif"/>
          <w:b/>
          <w:color w:val="004C97"/>
          <w:sz w:val="20"/>
        </w:rPr>
        <w:t>May I revoke my proxy?</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You may revoke your proxy in one of four ways at any time before it is exercised:</w:t>
      </w:r>
    </w:p>
    <w:p>
      <w:pPr>
        <w:pStyle w:val="TextBody"/>
        <w:bidi w:val="0"/>
        <w:spacing w:lineRule="auto" w:line="288" w:before="0" w:after="120"/>
        <w:ind w:left="0" w:right="0" w:hanging="216"/>
        <w:jc w:val="both"/>
        <w:rPr/>
      </w:pPr>
      <w:r>
        <w:rPr>
          <w:color w:val="000000"/>
        </w:rPr>
        <w:t>•</w:t>
      </w:r>
      <w:r>
        <w:rPr>
          <w:rFonts w:ascii="Arial;sans-serif" w:hAnsi="Arial;sans-serif"/>
          <w:b w:val="false"/>
          <w:color w:val="000000"/>
          <w:sz w:val="18"/>
        </w:rPr>
        <w:t>Notify our Corporate Secretary in writing before the Annual Meeting that you are revoking your proxy;</w:t>
      </w:r>
    </w:p>
    <w:p>
      <w:pPr>
        <w:pStyle w:val="TextBody"/>
        <w:bidi w:val="0"/>
        <w:spacing w:lineRule="auto" w:line="288" w:before="0" w:after="120"/>
        <w:ind w:left="0" w:right="0" w:hanging="216"/>
        <w:jc w:val="both"/>
        <w:rPr/>
      </w:pPr>
      <w:r>
        <w:rPr>
          <w:color w:val="000000"/>
        </w:rPr>
        <w:t>•</w:t>
      </w:r>
      <w:r>
        <w:rPr>
          <w:rFonts w:ascii="Arial;sans-serif" w:hAnsi="Arial;sans-serif"/>
          <w:b w:val="false"/>
          <w:color w:val="000000"/>
          <w:sz w:val="18"/>
        </w:rPr>
        <w:t>Submit another proxy with a later date;</w:t>
      </w:r>
    </w:p>
    <w:p>
      <w:pPr>
        <w:pStyle w:val="TextBody"/>
        <w:bidi w:val="0"/>
        <w:spacing w:lineRule="auto" w:line="288" w:before="0" w:after="120"/>
        <w:ind w:left="0" w:right="0" w:hanging="216"/>
        <w:jc w:val="both"/>
        <w:rPr/>
      </w:pPr>
      <w:r>
        <w:rPr>
          <w:color w:val="000000"/>
        </w:rPr>
        <w:t>•</w:t>
      </w:r>
      <w:r>
        <w:rPr>
          <w:rFonts w:ascii="Arial;sans-serif" w:hAnsi="Arial;sans-serif"/>
          <w:b w:val="false"/>
          <w:color w:val="000000"/>
          <w:sz w:val="18"/>
        </w:rPr>
        <w:t>Vote by telephone or internet after you have given your proxy; or</w:t>
      </w:r>
    </w:p>
    <w:p>
      <w:pPr>
        <w:pStyle w:val="TextBody"/>
        <w:bidi w:val="0"/>
        <w:spacing w:lineRule="auto" w:line="288" w:before="0" w:after="180"/>
        <w:ind w:left="0" w:right="0" w:hanging="216"/>
        <w:jc w:val="both"/>
        <w:rPr/>
      </w:pPr>
      <w:r>
        <w:rPr>
          <w:color w:val="000000"/>
        </w:rPr>
        <w:t>•</w:t>
      </w:r>
      <w:r>
        <w:rPr>
          <w:rFonts w:ascii="Arial;sans-serif" w:hAnsi="Arial;sans-serif"/>
          <w:b w:val="false"/>
          <w:color w:val="000000"/>
          <w:sz w:val="18"/>
        </w:rPr>
        <w:t>Vote at the Annual Meeting.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739140"/>
                <wp:effectExtent l="0" t="0" r="0" b="0"/>
                <wp:wrapNone/>
                <wp:docPr id="252" name="Frame76"/>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292" w:type="dxa"/>
                              <w:jc w:val="left"/>
                              <w:tblInd w:w="0" w:type="dxa"/>
                              <w:tblLayout w:type="fixed"/>
                              <w:tblCellMar>
                                <w:top w:w="28" w:type="dxa"/>
                                <w:left w:w="28" w:type="dxa"/>
                                <w:bottom w:w="28" w:type="dxa"/>
                                <w:right w:w="28" w:type="dxa"/>
                              </w:tblCellMar>
                            </w:tblPr>
                            <w:tblGrid>
                              <w:gridCol w:w="124"/>
                              <w:gridCol w:w="109"/>
                              <w:gridCol w:w="109"/>
                              <w:gridCol w:w="704"/>
                              <w:gridCol w:w="704"/>
                              <w:gridCol w:w="706"/>
                              <w:gridCol w:w="244"/>
                              <w:gridCol w:w="244"/>
                              <w:gridCol w:w="34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6"/>
                                    </w:rPr>
                                  </w:pPr>
                                  <w:r>
                                    <w:rPr>
                                      <w:rFonts w:ascii="Arial;sans-serif" w:hAnsi="Arial;sans-serif"/>
                                      <w:b/>
                                      <w:color w:val="000000"/>
                                      <w:sz w:val="16"/>
                                    </w:rPr>
                                    <w:t>70</w:t>
                                  </w:r>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2024 PROXY STATEMENT</w:t>
                                  </w:r>
                                </w:p>
                              </w:tc>
                              <w:tc>
                                <w:tcPr>
                                  <w:tcW w:w="83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253" name="Image1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3" name="Image108" descr=""/>
                                                <pic:cNvPicPr>
                                                  <a:picLocks noChangeAspect="1" noChangeArrowheads="1"/>
                                                </pic:cNvPicPr>
                                              </pic:nvPicPr>
                                              <pic:blipFill>
                                                <a:blip r:embed="rId178"/>
                                                <a:stretch>
                                                  <a:fillRect/>
                                                </a:stretch>
                                              </pic:blipFill>
                                              <pic:spPr bwMode="auto">
                                                <a:xfrm>
                                                  <a:off x="0" y="0"/>
                                                  <a:ext cx="447675" cy="161925"/>
                                                </a:xfrm>
                                                <a:prstGeom prst="rect">
                                                  <a:avLst/>
                                                </a:prstGeom>
                                              </pic:spPr>
                                            </pic:pic>
                                          </a:graphicData>
                                        </a:graphic>
                                      </wp:inline>
                                    </w:drawing>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292" w:type="dxa"/>
                        <w:jc w:val="left"/>
                        <w:tblInd w:w="0" w:type="dxa"/>
                        <w:tblLayout w:type="fixed"/>
                        <w:tblCellMar>
                          <w:top w:w="28" w:type="dxa"/>
                          <w:left w:w="28" w:type="dxa"/>
                          <w:bottom w:w="28" w:type="dxa"/>
                          <w:right w:w="28" w:type="dxa"/>
                        </w:tblCellMar>
                      </w:tblPr>
                      <w:tblGrid>
                        <w:gridCol w:w="124"/>
                        <w:gridCol w:w="109"/>
                        <w:gridCol w:w="109"/>
                        <w:gridCol w:w="704"/>
                        <w:gridCol w:w="704"/>
                        <w:gridCol w:w="706"/>
                        <w:gridCol w:w="244"/>
                        <w:gridCol w:w="244"/>
                        <w:gridCol w:w="34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6"/>
                              </w:rPr>
                            </w:pPr>
                            <w:r>
                              <w:rPr>
                                <w:rFonts w:ascii="Arial;sans-serif" w:hAnsi="Arial;sans-serif"/>
                                <w:b/>
                                <w:color w:val="000000"/>
                                <w:sz w:val="16"/>
                              </w:rPr>
                              <w:t>70</w:t>
                            </w:r>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2024 PROXY STATEMENT</w:t>
                            </w:r>
                          </w:p>
                        </w:tc>
                        <w:tc>
                          <w:tcPr>
                            <w:tcW w:w="83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254" name="Image1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4" name="Image108" descr=""/>
                                          <pic:cNvPicPr>
                                            <a:picLocks noChangeAspect="1" noChangeArrowheads="1"/>
                                          </pic:cNvPicPr>
                                        </pic:nvPicPr>
                                        <pic:blipFill>
                                          <a:blip r:embed="rId179"/>
                                          <a:stretch>
                                            <a:fillRect/>
                                          </a:stretch>
                                        </pic:blipFill>
                                        <pic:spPr bwMode="auto">
                                          <a:xfrm>
                                            <a:off x="0" y="0"/>
                                            <a:ext cx="447675" cy="161925"/>
                                          </a:xfrm>
                                          <a:prstGeom prst="rect">
                                            <a:avLst/>
                                          </a:prstGeom>
                                        </pic:spPr>
                                      </pic:pic>
                                    </a:graphicData>
                                  </a:graphic>
                                </wp:inline>
                              </w:drawing>
                            </w:r>
                          </w:p>
                        </w:tc>
                      </w:tr>
                    </w:tbl>
                    <w:p>
                      <w:pPr>
                        <w:pStyle w:val="TextBody"/>
                        <w:bidi w:val="0"/>
                        <w:spacing w:before="0" w:after="283"/>
                        <w:jc w:val="left"/>
                        <w:rPr/>
                      </w:pPr>
                      <w:r>
                        <w:rPr/>
                      </w:r>
                    </w:p>
                  </w:txbxContent>
                </v:textbox>
                <w10:wrap type="none"/>
              </v:rect>
            </w:pict>
          </mc:Fallback>
        </mc:AlternateContent>
      </w:r>
    </w:p>
    <w:tbl>
      <w:tblPr>
        <w:tblW w:w="2385" w:type="dxa"/>
        <w:jc w:val="right"/>
        <w:tblInd w:w="0" w:type="dxa"/>
        <w:tblLayout w:type="fixed"/>
        <w:tblCellMar>
          <w:top w:w="28" w:type="dxa"/>
          <w:left w:w="28" w:type="dxa"/>
          <w:bottom w:w="28" w:type="dxa"/>
          <w:right w:w="28" w:type="dxa"/>
        </w:tblCellMar>
      </w:tblPr>
      <w:tblGrid>
        <w:gridCol w:w="763"/>
        <w:gridCol w:w="671"/>
        <w:gridCol w:w="951"/>
      </w:tblGrid>
      <w:tr>
        <w:trPr/>
        <w:tc>
          <w:tcPr>
            <w:tcW w:w="763"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r>
      <w:tr>
        <w:trPr/>
        <w:tc>
          <w:tcPr>
            <w:tcW w:w="2385" w:type="dxa"/>
            <w:gridSpan w:val="3"/>
            <w:tcBorders>
              <w:bottom w:val="single" w:sz="4" w:space="0" w:color="004C97"/>
            </w:tcBorders>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4C97"/>
                <w:sz w:val="16"/>
              </w:rPr>
            </w:pPr>
            <w:r>
              <w:rPr>
                <w:rFonts w:ascii="Arial;sans-serif" w:hAnsi="Arial;sans-serif"/>
                <w:b w:val="false"/>
                <w:color w:val="004C97"/>
                <w:sz w:val="16"/>
              </w:rPr>
              <w:t>QUESTIONS AND ANSWERS</w:t>
            </w:r>
          </w:p>
        </w:tc>
      </w:tr>
    </w:tbl>
    <w:p>
      <w:pPr>
        <w:pStyle w:val="TextBody"/>
        <w:bidi w:val="0"/>
        <w:spacing w:lineRule="auto" w:line="288" w:before="0" w:after="60"/>
        <w:jc w:val="both"/>
        <w:rPr>
          <w:rFonts w:ascii="Arial;sans-serif" w:hAnsi="Arial;sans-serif"/>
          <w:b/>
          <w:color w:val="004C97"/>
          <w:sz w:val="20"/>
        </w:rPr>
      </w:pPr>
      <w:r>
        <w:rPr>
          <w:rFonts w:ascii="Arial;sans-serif" w:hAnsi="Arial;sans-serif"/>
          <w:b/>
          <w:color w:val="004C97"/>
          <w:sz w:val="20"/>
        </w:rPr>
        <w:t>What constitutes a quorum?</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The presence, directly or by proxy, of the holders of one-third of the total number of shares of SPX stock issued and outstanding and entitled to vote at the Annual Meeting constitutes a quorum. You will be considered part of the quorum if you return a signed and dated proxy card, if you vote by telephone or internet, or if you attend the Annual Meeting.</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Abstentions are counted as “shares present” at the Annual Meeting for purposes of determining whether a quorum exists. Proxies submitted by brokers, banks, trustees, or other holders of record holding shares for you as a beneficial owner that do not indicate a vote for some of or all of the proposals because that holder does not have voting authority and has not received voting instructions from you (so-called “broker non-votes”) are also considered “shares present” for purposes of determining whether a quorum exists. Brokers are permitted to vote your shares on the ratification of the appointment of our independent public accountants, even if they do not receive voting instructions from you.</w:t>
      </w:r>
    </w:p>
    <w:p>
      <w:pPr>
        <w:pStyle w:val="TextBody"/>
        <w:bidi w:val="0"/>
        <w:spacing w:lineRule="auto" w:line="288" w:before="0" w:after="60"/>
        <w:jc w:val="both"/>
        <w:rPr>
          <w:rFonts w:ascii="Arial;sans-serif" w:hAnsi="Arial;sans-serif"/>
          <w:b/>
          <w:color w:val="004C97"/>
          <w:sz w:val="20"/>
        </w:rPr>
      </w:pPr>
      <w:r>
        <w:rPr>
          <w:rFonts w:ascii="Arial;sans-serif" w:hAnsi="Arial;sans-serif"/>
          <w:b/>
          <w:color w:val="004C97"/>
          <w:sz w:val="20"/>
        </w:rPr>
        <w:t>What vote is required to approve each proposal?</w:t>
      </w:r>
    </w:p>
    <w:tbl>
      <w:tblPr>
        <w:tblW w:w="10205" w:type="dxa"/>
        <w:jc w:val="left"/>
        <w:tblInd w:w="0" w:type="dxa"/>
        <w:tblLayout w:type="fixed"/>
        <w:tblCellMar>
          <w:top w:w="28" w:type="dxa"/>
          <w:left w:w="28" w:type="dxa"/>
          <w:bottom w:w="28" w:type="dxa"/>
          <w:right w:w="28" w:type="dxa"/>
        </w:tblCellMar>
      </w:tblPr>
      <w:tblGrid>
        <w:gridCol w:w="1820"/>
        <w:gridCol w:w="1476"/>
        <w:gridCol w:w="1481"/>
        <w:gridCol w:w="1315"/>
        <w:gridCol w:w="1261"/>
        <w:gridCol w:w="1266"/>
        <w:gridCol w:w="462"/>
        <w:gridCol w:w="462"/>
        <w:gridCol w:w="662"/>
      </w:tblGrid>
      <w:tr>
        <w:trPr/>
        <w:tc>
          <w:tcPr>
            <w:tcW w:w="1820" w:type="dxa"/>
            <w:tcBorders/>
            <w:vAlign w:val="center"/>
          </w:tcPr>
          <w:p>
            <w:pPr>
              <w:pStyle w:val="TableContents"/>
              <w:bidi w:val="0"/>
              <w:spacing w:before="0" w:after="283"/>
              <w:jc w:val="left"/>
              <w:rPr>
                <w:sz w:val="4"/>
                <w:szCs w:val="4"/>
              </w:rPr>
            </w:pPr>
            <w:r>
              <w:rPr>
                <w:sz w:val="4"/>
                <w:szCs w:val="4"/>
              </w:rPr>
            </w:r>
          </w:p>
        </w:tc>
        <w:tc>
          <w:tcPr>
            <w:tcW w:w="1476" w:type="dxa"/>
            <w:tcBorders/>
            <w:vAlign w:val="center"/>
          </w:tcPr>
          <w:p>
            <w:pPr>
              <w:pStyle w:val="TableContents"/>
              <w:bidi w:val="0"/>
              <w:spacing w:before="0" w:after="283"/>
              <w:jc w:val="left"/>
              <w:rPr>
                <w:sz w:val="4"/>
                <w:szCs w:val="4"/>
              </w:rPr>
            </w:pPr>
            <w:r>
              <w:rPr>
                <w:sz w:val="4"/>
                <w:szCs w:val="4"/>
              </w:rPr>
            </w:r>
          </w:p>
        </w:tc>
        <w:tc>
          <w:tcPr>
            <w:tcW w:w="1481" w:type="dxa"/>
            <w:tcBorders/>
            <w:vAlign w:val="center"/>
          </w:tcPr>
          <w:p>
            <w:pPr>
              <w:pStyle w:val="TableContents"/>
              <w:bidi w:val="0"/>
              <w:spacing w:before="0" w:after="283"/>
              <w:jc w:val="left"/>
              <w:rPr>
                <w:sz w:val="4"/>
                <w:szCs w:val="4"/>
              </w:rPr>
            </w:pPr>
            <w:r>
              <w:rPr>
                <w:sz w:val="4"/>
                <w:szCs w:val="4"/>
              </w:rPr>
            </w:r>
          </w:p>
        </w:tc>
        <w:tc>
          <w:tcPr>
            <w:tcW w:w="1315"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266"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r>
      <w:tr>
        <w:trPr/>
        <w:tc>
          <w:tcPr>
            <w:tcW w:w="4777" w:type="dxa"/>
            <w:gridSpan w:val="3"/>
            <w:tcBorders>
              <w:top w:val="single" w:sz="4" w:space="0" w:color="000000"/>
              <w:left w:val="single" w:sz="4" w:space="0" w:color="000000"/>
            </w:tcBorders>
            <w:shd w:fill="004C97" w:val="clear"/>
            <w:tcMar>
              <w:top w:w="30" w:type="dxa"/>
              <w:bottom w:w="0" w:type="dxa"/>
              <w:right w:w="0" w:type="dxa"/>
            </w:tcMar>
            <w:vAlign w:val="center"/>
          </w:tcPr>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Proposal</w:t>
            </w:r>
          </w:p>
        </w:tc>
        <w:tc>
          <w:tcPr>
            <w:tcW w:w="3842" w:type="dxa"/>
            <w:gridSpan w:val="3"/>
            <w:tcBorders>
              <w:top w:val="single" w:sz="4" w:space="0" w:color="000000"/>
              <w:left w:val="single" w:sz="4" w:space="0" w:color="000000"/>
            </w:tcBorders>
            <w:shd w:fill="004C97" w:val="clear"/>
            <w:tcMar>
              <w:top w:w="30" w:type="dxa"/>
              <w:bottom w:w="0" w:type="dxa"/>
              <w:right w:w="0" w:type="dxa"/>
            </w:tcMar>
            <w:vAlign w:val="center"/>
          </w:tcPr>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Vote Required</w:t>
            </w:r>
          </w:p>
        </w:tc>
        <w:tc>
          <w:tcPr>
            <w:tcW w:w="1586" w:type="dxa"/>
            <w:gridSpan w:val="3"/>
            <w:tcBorders>
              <w:top w:val="single" w:sz="4" w:space="0" w:color="000000"/>
              <w:left w:val="single" w:sz="4" w:space="0" w:color="000000"/>
              <w:right w:val="single" w:sz="4" w:space="0" w:color="000000"/>
            </w:tcBorders>
            <w:shd w:fill="004C97" w:val="clear"/>
            <w:tcMar>
              <w:top w:w="30" w:type="dxa"/>
              <w:bottom w:w="0" w:type="dxa"/>
            </w:tcMar>
            <w:vAlign w:val="center"/>
          </w:tcPr>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Broker Discretionary</w:t>
            </w:r>
          </w:p>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Voting Allowed</w:t>
            </w:r>
          </w:p>
        </w:tc>
      </w:tr>
      <w:tr>
        <w:trPr/>
        <w:tc>
          <w:tcPr>
            <w:tcW w:w="4777" w:type="dxa"/>
            <w:gridSpan w:val="3"/>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Election of Directors</w:t>
            </w:r>
          </w:p>
        </w:tc>
        <w:tc>
          <w:tcPr>
            <w:tcW w:w="3842" w:type="dxa"/>
            <w:gridSpan w:val="3"/>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Majority of votes cast</w:t>
            </w:r>
          </w:p>
        </w:tc>
        <w:tc>
          <w:tcPr>
            <w:tcW w:w="1586" w:type="dxa"/>
            <w:gridSpan w:val="3"/>
            <w:tcBorders>
              <w:top w:val="single" w:sz="4" w:space="0" w:color="000000"/>
              <w:left w:val="single" w:sz="4" w:space="0" w:color="000000"/>
              <w:right w:val="single" w:sz="4" w:space="0" w:color="000000"/>
            </w:tcBorders>
            <w:shd w:fill="E6E7E8" w:val="clear"/>
            <w:tcMar>
              <w:top w:w="30" w:type="dxa"/>
              <w:bottom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No</w:t>
            </w:r>
          </w:p>
        </w:tc>
      </w:tr>
      <w:tr>
        <w:trPr/>
        <w:tc>
          <w:tcPr>
            <w:tcW w:w="4777"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Approval of Named Executive Officers’ Compensation, on a Non-binding Advisory Basis</w:t>
            </w:r>
          </w:p>
        </w:tc>
        <w:tc>
          <w:tcPr>
            <w:tcW w:w="3842"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Majority of votes cast</w:t>
            </w:r>
          </w:p>
          <w:p>
            <w:pPr>
              <w:pStyle w:val="TableContents"/>
              <w:bidi w:val="0"/>
              <w:spacing w:before="0" w:after="0"/>
              <w:jc w:val="left"/>
              <w:rPr/>
            </w:pPr>
            <w:r>
              <w:rPr/>
            </w:r>
          </w:p>
        </w:tc>
        <w:tc>
          <w:tcPr>
            <w:tcW w:w="1586" w:type="dxa"/>
            <w:gridSpan w:val="3"/>
            <w:tcBorders>
              <w:top w:val="single" w:sz="4" w:space="0" w:color="000000"/>
              <w:left w:val="single" w:sz="4" w:space="0" w:color="000000"/>
              <w:right w:val="single" w:sz="4" w:space="0" w:color="000000"/>
            </w:tcBorders>
            <w:shd w:fill="FFFFFF" w:val="clear"/>
            <w:tcMar>
              <w:top w:w="30" w:type="dxa"/>
              <w:bottom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No</w:t>
            </w:r>
          </w:p>
        </w:tc>
      </w:tr>
      <w:tr>
        <w:trPr/>
        <w:tc>
          <w:tcPr>
            <w:tcW w:w="4777" w:type="dxa"/>
            <w:gridSpan w:val="3"/>
            <w:tcBorders>
              <w:top w:val="single" w:sz="4" w:space="0" w:color="000000"/>
              <w:left w:val="single" w:sz="4" w:space="0" w:color="000000"/>
            </w:tcBorders>
            <w:shd w:fill="F2F2F2" w:val="clear"/>
            <w:tcMar>
              <w:top w:w="30" w:type="dxa"/>
              <w:left w:w="11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Approval of the Board Declassification Amendment</w:t>
            </w:r>
          </w:p>
        </w:tc>
        <w:tc>
          <w:tcPr>
            <w:tcW w:w="3842" w:type="dxa"/>
            <w:gridSpan w:val="3"/>
            <w:tcBorders>
              <w:top w:val="single" w:sz="4" w:space="0" w:color="000000"/>
              <w:left w:val="single" w:sz="4" w:space="0" w:color="000000"/>
            </w:tcBorders>
            <w:shd w:fill="F2F2F2" w:val="clear"/>
            <w:tcMar>
              <w:top w:w="3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80% of shares outstanding</w:t>
            </w:r>
          </w:p>
        </w:tc>
        <w:tc>
          <w:tcPr>
            <w:tcW w:w="1586" w:type="dxa"/>
            <w:gridSpan w:val="3"/>
            <w:tcBorders>
              <w:top w:val="single" w:sz="4" w:space="0" w:color="000000"/>
              <w:left w:val="single" w:sz="4" w:space="0" w:color="000000"/>
              <w:right w:val="single" w:sz="4" w:space="0" w:color="000000"/>
            </w:tcBorders>
            <w:shd w:fill="F2F2F2" w:val="clear"/>
            <w:tcMar>
              <w:top w:w="30" w:type="dxa"/>
              <w:bottom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No</w:t>
            </w:r>
          </w:p>
        </w:tc>
      </w:tr>
      <w:tr>
        <w:trPr/>
        <w:tc>
          <w:tcPr>
            <w:tcW w:w="4777" w:type="dxa"/>
            <w:gridSpan w:val="3"/>
            <w:tcBorders>
              <w:top w:val="single" w:sz="4" w:space="0" w:color="000000"/>
              <w:left w:val="single" w:sz="4" w:space="0" w:color="000000"/>
            </w:tcBorders>
            <w:shd w:fill="FFFFFF" w:val="clear"/>
            <w:tcMar>
              <w:top w:w="30" w:type="dxa"/>
              <w:left w:w="11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Approval of the Officer Exculpation Amendment</w:t>
            </w:r>
          </w:p>
        </w:tc>
        <w:tc>
          <w:tcPr>
            <w:tcW w:w="3842"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Majority of shares outstanding</w:t>
            </w:r>
          </w:p>
        </w:tc>
        <w:tc>
          <w:tcPr>
            <w:tcW w:w="1586" w:type="dxa"/>
            <w:gridSpan w:val="3"/>
            <w:tcBorders>
              <w:top w:val="single" w:sz="4" w:space="0" w:color="000000"/>
              <w:left w:val="single" w:sz="4" w:space="0" w:color="000000"/>
              <w:right w:val="single" w:sz="4" w:space="0" w:color="000000"/>
            </w:tcBorders>
            <w:shd w:fill="FFFFFF" w:val="clear"/>
            <w:tcMar>
              <w:top w:w="30" w:type="dxa"/>
              <w:bottom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No</w:t>
            </w:r>
          </w:p>
        </w:tc>
      </w:tr>
      <w:tr>
        <w:trPr/>
        <w:tc>
          <w:tcPr>
            <w:tcW w:w="4777" w:type="dxa"/>
            <w:gridSpan w:val="3"/>
            <w:tcBorders>
              <w:top w:val="single" w:sz="4" w:space="0" w:color="000000"/>
              <w:left w:val="single" w:sz="4" w:space="0" w:color="000000"/>
            </w:tcBorders>
            <w:shd w:fill="F2F2F2" w:val="clear"/>
            <w:tcMar>
              <w:top w:w="30" w:type="dxa"/>
              <w:left w:w="11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Approval of the Delaware Forum Selection Amendment</w:t>
            </w:r>
          </w:p>
        </w:tc>
        <w:tc>
          <w:tcPr>
            <w:tcW w:w="3842" w:type="dxa"/>
            <w:gridSpan w:val="3"/>
            <w:tcBorders>
              <w:top w:val="single" w:sz="4" w:space="0" w:color="000000"/>
              <w:left w:val="single" w:sz="4" w:space="0" w:color="000000"/>
            </w:tcBorders>
            <w:shd w:fill="F2F2F2" w:val="clear"/>
            <w:tcMar>
              <w:top w:w="3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Majority of shares outstanding</w:t>
            </w:r>
          </w:p>
        </w:tc>
        <w:tc>
          <w:tcPr>
            <w:tcW w:w="1586" w:type="dxa"/>
            <w:gridSpan w:val="3"/>
            <w:tcBorders>
              <w:top w:val="single" w:sz="4" w:space="0" w:color="000000"/>
              <w:left w:val="single" w:sz="4" w:space="0" w:color="000000"/>
              <w:right w:val="single" w:sz="4" w:space="0" w:color="000000"/>
            </w:tcBorders>
            <w:shd w:fill="F2F2F2" w:val="clear"/>
            <w:tcMar>
              <w:top w:w="30" w:type="dxa"/>
              <w:bottom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No</w:t>
            </w:r>
          </w:p>
        </w:tc>
      </w:tr>
      <w:tr>
        <w:trPr/>
        <w:tc>
          <w:tcPr>
            <w:tcW w:w="4777" w:type="dxa"/>
            <w:gridSpan w:val="3"/>
            <w:tcBorders>
              <w:top w:val="single" w:sz="4" w:space="0" w:color="000000"/>
              <w:left w:val="single" w:sz="4" w:space="0" w:color="000000"/>
            </w:tcBorders>
            <w:shd w:fill="FFFFFF" w:val="clear"/>
            <w:tcMar>
              <w:top w:w="30" w:type="dxa"/>
              <w:left w:w="11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Approval of the Federal Forum Selection Amendment</w:t>
            </w:r>
          </w:p>
        </w:tc>
        <w:tc>
          <w:tcPr>
            <w:tcW w:w="3842"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Majority of shares outstanding</w:t>
            </w:r>
          </w:p>
        </w:tc>
        <w:tc>
          <w:tcPr>
            <w:tcW w:w="1586" w:type="dxa"/>
            <w:gridSpan w:val="3"/>
            <w:tcBorders>
              <w:top w:val="single" w:sz="4" w:space="0" w:color="000000"/>
              <w:left w:val="single" w:sz="4" w:space="0" w:color="000000"/>
              <w:right w:val="single" w:sz="4" w:space="0" w:color="000000"/>
            </w:tcBorders>
            <w:shd w:fill="FFFFFF" w:val="clear"/>
            <w:tcMar>
              <w:top w:w="30" w:type="dxa"/>
              <w:bottom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No</w:t>
            </w:r>
          </w:p>
        </w:tc>
      </w:tr>
      <w:tr>
        <w:trPr/>
        <w:tc>
          <w:tcPr>
            <w:tcW w:w="4777" w:type="dxa"/>
            <w:gridSpan w:val="3"/>
            <w:tcBorders>
              <w:top w:val="single" w:sz="4" w:space="0" w:color="000000"/>
              <w:left w:val="single" w:sz="4" w:space="0" w:color="000000"/>
            </w:tcBorders>
            <w:shd w:fill="F2F2F2" w:val="clear"/>
            <w:tcMar>
              <w:top w:w="3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Ratification of Appointment of Independent Registered Public Accounting Firm</w:t>
            </w:r>
          </w:p>
        </w:tc>
        <w:tc>
          <w:tcPr>
            <w:tcW w:w="3842" w:type="dxa"/>
            <w:gridSpan w:val="3"/>
            <w:tcBorders>
              <w:top w:val="single" w:sz="4" w:space="0" w:color="000000"/>
              <w:left w:val="single" w:sz="4" w:space="0" w:color="000000"/>
            </w:tcBorders>
            <w:shd w:fill="F2F2F2" w:val="clear"/>
            <w:tcMar>
              <w:top w:w="3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Majority of shares present or represented by proxy and entitled to vote</w:t>
            </w:r>
          </w:p>
        </w:tc>
        <w:tc>
          <w:tcPr>
            <w:tcW w:w="1586" w:type="dxa"/>
            <w:gridSpan w:val="3"/>
            <w:tcBorders>
              <w:top w:val="single" w:sz="4" w:space="0" w:color="000000"/>
              <w:left w:val="single" w:sz="4" w:space="0" w:color="000000"/>
              <w:right w:val="single" w:sz="4" w:space="0" w:color="000000"/>
            </w:tcBorders>
            <w:shd w:fill="F2F2F2" w:val="clear"/>
            <w:tcMar>
              <w:top w:w="30" w:type="dxa"/>
              <w:bottom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Yes</w:t>
            </w:r>
          </w:p>
        </w:tc>
      </w:tr>
      <w:tr>
        <w:trPr/>
        <w:tc>
          <w:tcPr>
            <w:tcW w:w="4777" w:type="dxa"/>
            <w:gridSpan w:val="3"/>
            <w:tcBorders>
              <w:top w:val="single" w:sz="4" w:space="0" w:color="000000"/>
              <w:left w:val="single" w:sz="4" w:space="0" w:color="000000"/>
              <w:bottom w:val="single" w:sz="4" w:space="0" w:color="000000"/>
            </w:tcBorders>
            <w:shd w:fill="FFFFFF" w:val="clear"/>
            <w:tcMar>
              <w:top w:w="30" w:type="dxa"/>
              <w:bottom w:w="3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Other Proposals</w:t>
            </w:r>
          </w:p>
          <w:p>
            <w:pPr>
              <w:pStyle w:val="TableContents"/>
              <w:bidi w:val="0"/>
              <w:spacing w:before="0" w:after="0"/>
              <w:jc w:val="left"/>
              <w:rPr/>
            </w:pPr>
            <w:r>
              <w:rPr/>
            </w:r>
          </w:p>
        </w:tc>
        <w:tc>
          <w:tcPr>
            <w:tcW w:w="3842" w:type="dxa"/>
            <w:gridSpan w:val="3"/>
            <w:tcBorders>
              <w:top w:val="single" w:sz="4" w:space="0" w:color="000000"/>
              <w:left w:val="single" w:sz="4" w:space="0" w:color="000000"/>
              <w:bottom w:val="single" w:sz="4" w:space="0" w:color="000000"/>
            </w:tcBorders>
            <w:shd w:fill="FFFFFF" w:val="clear"/>
            <w:tcMar>
              <w:top w:w="30" w:type="dxa"/>
              <w:bottom w:w="3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Majority of shares present or represented by proxy and entitled to vote</w:t>
            </w:r>
          </w:p>
        </w:tc>
        <w:tc>
          <w:tcPr>
            <w:tcW w:w="1586" w:type="dxa"/>
            <w:gridSpan w:val="3"/>
            <w:tcBorders>
              <w:top w:val="single" w:sz="4" w:space="0" w:color="000000"/>
              <w:left w:val="single" w:sz="4" w:space="0" w:color="000000"/>
              <w:bottom w:val="single" w:sz="4" w:space="0" w:color="000000"/>
              <w:right w:val="single" w:sz="4" w:space="0" w:color="000000"/>
            </w:tcBorders>
            <w:shd w:fill="FFFFFF" w:val="clear"/>
            <w:tcMar>
              <w:top w:w="30" w:type="dxa"/>
              <w:bottom w:w="3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No</w:t>
            </w:r>
          </w:p>
        </w:tc>
      </w:tr>
    </w:tbl>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 xml:space="preserve">A majority of votes cast means that the number of shares voted for a director or proposal must exceed the number of shares voted against that director or proposal. </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 xml:space="preserve">Our Certificate of Incorporation requires that the affirmative vote of the holders of at least 80% of the voting power of all outstanding shares entitled to vote generally in the election of directors is required to approve the Board Declassification Amendment. Under the DGCL, the affirmative vote of the holders of at least a majority the voting power of all outstanding shares entitled to vote on amendments to our Certificate of Incorporation is required to approve the other proposed amendments to our Certificate of Incorporation. As of the record date for the Annual Meeting, the only class of our shares outstanding that are entitled to vote in the election of directors or with respect to the proposed amendments to our Certification of Incorporation is SPX common stock. None of the proposed amendments to our Certificate of Incorporation are conditioned upon stockholder approval of any of the other proposed amendments. </w:t>
      </w:r>
    </w:p>
    <w:p>
      <w:pPr>
        <w:pStyle w:val="TextBody"/>
        <w:bidi w:val="0"/>
        <w:spacing w:lineRule="auto" w:line="288" w:before="0" w:after="60"/>
        <w:jc w:val="both"/>
        <w:rPr>
          <w:rFonts w:ascii="Arial;sans-serif" w:hAnsi="Arial;sans-serif"/>
          <w:b/>
          <w:color w:val="004C97"/>
          <w:sz w:val="20"/>
        </w:rPr>
      </w:pPr>
      <w:r>
        <w:rPr>
          <w:rFonts w:ascii="Arial;sans-serif" w:hAnsi="Arial;sans-serif"/>
          <w:b/>
          <w:color w:val="004C97"/>
          <w:sz w:val="20"/>
        </w:rPr>
        <w:t>What is the impact of abstentions or broker non-votes?</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An abstention is not considered as a share voted and will not impact the election of directors or the non-binding advisory vote to approve our named executive officers’ compensation. Because approval of the Board Declassification Amendment, Officer Exculpation Amendment, Delaware Forum Selection Amendment and the Federal Forum Selection Amendment requires the affirmative vote of the holders of a specified percentage of the outstanding shares, an abstention with respect to any of the proposed amendments to our Certificate of Incorporation will have the effect of a vote against that proposed amendment. In addition, since an abstention is considered a share present or represented by proxy and entitled to vote, as one less vote for approval it will have the effect of a vote against the ratification of our independent public accountants and any other proposals that may be brought before the Annual Meeting.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739140"/>
                <wp:effectExtent l="0" t="0" r="0" b="0"/>
                <wp:wrapNone/>
                <wp:docPr id="255" name="Frame77"/>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292" w:type="dxa"/>
                              <w:jc w:val="right"/>
                              <w:tblInd w:w="0" w:type="dxa"/>
                              <w:tblLayout w:type="fixed"/>
                              <w:tblCellMar>
                                <w:top w:w="28" w:type="dxa"/>
                                <w:left w:w="28" w:type="dxa"/>
                                <w:bottom w:w="28" w:type="dxa"/>
                                <w:right w:w="28" w:type="dxa"/>
                              </w:tblCellMar>
                            </w:tblPr>
                            <w:tblGrid>
                              <w:gridCol w:w="292"/>
                              <w:gridCol w:w="256"/>
                              <w:gridCol w:w="258"/>
                              <w:gridCol w:w="704"/>
                              <w:gridCol w:w="704"/>
                              <w:gridCol w:w="706"/>
                              <w:gridCol w:w="109"/>
                              <w:gridCol w:w="109"/>
                              <w:gridCol w:w="154"/>
                            </w:tblGrid>
                            <w:tr>
                              <w:trPr/>
                              <w:tc>
                                <w:tcPr>
                                  <w:tcW w:w="29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0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256" name="Image1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6" name="Image109" descr=""/>
                                                <pic:cNvPicPr>
                                                  <a:picLocks noChangeAspect="1" noChangeArrowheads="1"/>
                                                </pic:cNvPicPr>
                                              </pic:nvPicPr>
                                              <pic:blipFill>
                                                <a:blip r:embed="rId180"/>
                                                <a:stretch>
                                                  <a:fillRect/>
                                                </a:stretch>
                                              </pic:blipFill>
                                              <pic:spPr bwMode="auto">
                                                <a:xfrm>
                                                  <a:off x="0" y="0"/>
                                                  <a:ext cx="447675" cy="161925"/>
                                                </a:xfrm>
                                                <a:prstGeom prst="rect">
                                                  <a:avLst/>
                                                </a:prstGeom>
                                              </pic:spPr>
                                            </pic:pic>
                                          </a:graphicData>
                                        </a:graphic>
                                      </wp:inline>
                                    </w:drawing>
                                  </w:r>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2024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000000"/>
                                      <w:sz w:val="16"/>
                                    </w:rPr>
                                  </w:pPr>
                                  <w:r>
                                    <w:rPr>
                                      <w:rFonts w:ascii="Arial;sans-serif" w:hAnsi="Arial;sans-serif"/>
                                      <w:b/>
                                      <w:color w:val="000000"/>
                                      <w:sz w:val="16"/>
                                    </w:rPr>
                                    <w:t>71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292" w:type="dxa"/>
                        <w:jc w:val="right"/>
                        <w:tblInd w:w="0" w:type="dxa"/>
                        <w:tblLayout w:type="fixed"/>
                        <w:tblCellMar>
                          <w:top w:w="28" w:type="dxa"/>
                          <w:left w:w="28" w:type="dxa"/>
                          <w:bottom w:w="28" w:type="dxa"/>
                          <w:right w:w="28" w:type="dxa"/>
                        </w:tblCellMar>
                      </w:tblPr>
                      <w:tblGrid>
                        <w:gridCol w:w="292"/>
                        <w:gridCol w:w="256"/>
                        <w:gridCol w:w="258"/>
                        <w:gridCol w:w="704"/>
                        <w:gridCol w:w="704"/>
                        <w:gridCol w:w="706"/>
                        <w:gridCol w:w="109"/>
                        <w:gridCol w:w="109"/>
                        <w:gridCol w:w="154"/>
                      </w:tblGrid>
                      <w:tr>
                        <w:trPr/>
                        <w:tc>
                          <w:tcPr>
                            <w:tcW w:w="29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0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257" name="Image1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7" name="Image109" descr=""/>
                                          <pic:cNvPicPr>
                                            <a:picLocks noChangeAspect="1" noChangeArrowheads="1"/>
                                          </pic:cNvPicPr>
                                        </pic:nvPicPr>
                                        <pic:blipFill>
                                          <a:blip r:embed="rId181"/>
                                          <a:stretch>
                                            <a:fillRect/>
                                          </a:stretch>
                                        </pic:blipFill>
                                        <pic:spPr bwMode="auto">
                                          <a:xfrm>
                                            <a:off x="0" y="0"/>
                                            <a:ext cx="447675" cy="161925"/>
                                          </a:xfrm>
                                          <a:prstGeom prst="rect">
                                            <a:avLst/>
                                          </a:prstGeom>
                                        </pic:spPr>
                                      </pic:pic>
                                    </a:graphicData>
                                  </a:graphic>
                                </wp:inline>
                              </w:drawing>
                            </w:r>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2024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000000"/>
                                <w:sz w:val="16"/>
                              </w:rPr>
                            </w:pPr>
                            <w:r>
                              <w:rPr>
                                <w:rFonts w:ascii="Arial;sans-serif" w:hAnsi="Arial;sans-serif"/>
                                <w:b/>
                                <w:color w:val="000000"/>
                                <w:sz w:val="16"/>
                              </w:rPr>
                              <w:t>71</w:t>
                            </w:r>
                          </w:p>
                        </w:tc>
                      </w:tr>
                    </w:tbl>
                    <w:p>
                      <w:pPr>
                        <w:pStyle w:val="TextBody"/>
                        <w:bidi w:val="0"/>
                        <w:spacing w:before="0" w:after="283"/>
                        <w:jc w:val="left"/>
                        <w:rPr/>
                      </w:pPr>
                      <w:r>
                        <w:rPr/>
                      </w:r>
                    </w:p>
                  </w:txbxContent>
                </v:textbox>
                <w10:wrap type="none"/>
              </v:rect>
            </w:pict>
          </mc:Fallback>
        </mc:AlternateContent>
      </w:r>
    </w:p>
    <w:tbl>
      <w:tblPr>
        <w:tblW w:w="2385" w:type="dxa"/>
        <w:jc w:val="right"/>
        <w:tblInd w:w="0" w:type="dxa"/>
        <w:tblLayout w:type="fixed"/>
        <w:tblCellMar>
          <w:top w:w="28" w:type="dxa"/>
          <w:left w:w="28" w:type="dxa"/>
          <w:bottom w:w="28" w:type="dxa"/>
          <w:right w:w="28" w:type="dxa"/>
        </w:tblCellMar>
      </w:tblPr>
      <w:tblGrid>
        <w:gridCol w:w="763"/>
        <w:gridCol w:w="671"/>
        <w:gridCol w:w="951"/>
      </w:tblGrid>
      <w:tr>
        <w:trPr/>
        <w:tc>
          <w:tcPr>
            <w:tcW w:w="763"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r>
      <w:tr>
        <w:trPr/>
        <w:tc>
          <w:tcPr>
            <w:tcW w:w="2385" w:type="dxa"/>
            <w:gridSpan w:val="3"/>
            <w:tcBorders>
              <w:bottom w:val="single" w:sz="4" w:space="0" w:color="004C97"/>
            </w:tcBorders>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4C97"/>
                <w:sz w:val="16"/>
              </w:rPr>
            </w:pPr>
            <w:r>
              <w:rPr>
                <w:rFonts w:ascii="Arial;sans-serif" w:hAnsi="Arial;sans-serif"/>
                <w:b w:val="false"/>
                <w:color w:val="004C97"/>
                <w:sz w:val="16"/>
              </w:rPr>
              <w:t>QUESTIONS AND ANSWERS</w:t>
            </w:r>
          </w:p>
        </w:tc>
      </w:tr>
    </w:tbl>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A “broker non-vote” occurs when a broker, trustee, bank, or other nominee that holds shares on your behalf does not receive instructions from you on how to vote such shares and does not otherwise have discretion to vote because the matter is not considered routine. Because approval of the Board Declassification Amendment, Officer Exculpation Amendment, Delaware Forum Selection Amendment and the Federal Forum Selection Amendment requires the affirmative vote of the holders of a specified percentage of the outstanding shares, a broker non-vote with respect to any of the proposed amendments to our Certificate of Incorporation will have the effect of a vote against that proposed amendment. A broker non-vote is not considered as a share voted or entitled to vote and will not impact the vote on the election of directors, the non-binding advisory vote to approve our named executive officers’ compensation and any other proposals that may be brought before the Annual Meeting..</w:t>
      </w:r>
    </w:p>
    <w:tbl>
      <w:tblPr>
        <w:tblW w:w="10205" w:type="dxa"/>
        <w:jc w:val="left"/>
        <w:tblInd w:w="0" w:type="dxa"/>
        <w:tblLayout w:type="fixed"/>
        <w:tblCellMar>
          <w:top w:w="28" w:type="dxa"/>
          <w:left w:w="28" w:type="dxa"/>
          <w:bottom w:w="28" w:type="dxa"/>
          <w:right w:w="28" w:type="dxa"/>
        </w:tblCellMar>
      </w:tblPr>
      <w:tblGrid>
        <w:gridCol w:w="3267"/>
        <w:gridCol w:w="2871"/>
        <w:gridCol w:w="4067"/>
      </w:tblGrid>
      <w:tr>
        <w:trPr/>
        <w:tc>
          <w:tcPr>
            <w:tcW w:w="3267" w:type="dxa"/>
            <w:tcBorders/>
            <w:vAlign w:val="center"/>
          </w:tcPr>
          <w:p>
            <w:pPr>
              <w:pStyle w:val="TableContents"/>
              <w:bidi w:val="0"/>
              <w:spacing w:before="0" w:after="283"/>
              <w:jc w:val="left"/>
              <w:rPr>
                <w:sz w:val="4"/>
                <w:szCs w:val="4"/>
              </w:rPr>
            </w:pPr>
            <w:r>
              <w:rPr>
                <w:sz w:val="4"/>
                <w:szCs w:val="4"/>
              </w:rPr>
            </w:r>
          </w:p>
        </w:tc>
        <w:tc>
          <w:tcPr>
            <w:tcW w:w="2871" w:type="dxa"/>
            <w:tcBorders/>
            <w:vAlign w:val="center"/>
          </w:tcPr>
          <w:p>
            <w:pPr>
              <w:pStyle w:val="TableContents"/>
              <w:bidi w:val="0"/>
              <w:spacing w:before="0" w:after="283"/>
              <w:jc w:val="left"/>
              <w:rPr>
                <w:sz w:val="4"/>
                <w:szCs w:val="4"/>
              </w:rPr>
            </w:pPr>
            <w:r>
              <w:rPr>
                <w:sz w:val="4"/>
                <w:szCs w:val="4"/>
              </w:rPr>
            </w:r>
          </w:p>
        </w:tc>
        <w:tc>
          <w:tcPr>
            <w:tcW w:w="4067"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op w:val="single" w:sz="4" w:space="0" w:color="000000"/>
              <w:left w:val="single" w:sz="4" w:space="0" w:color="000000"/>
              <w:bottom w:val="single" w:sz="4" w:space="0" w:color="000000"/>
              <w:right w:val="single" w:sz="4" w:space="0" w:color="000000"/>
            </w:tcBorders>
            <w:shd w:fill="DBDBDB" w:val="clear"/>
            <w:tcMar>
              <w:top w:w="30" w:type="dxa"/>
              <w:bottom w:w="30" w:type="dxa"/>
            </w:tcMar>
            <w:vAlign w:val="center"/>
          </w:tcPr>
          <w:p>
            <w:pPr>
              <w:pStyle w:val="TableContents"/>
              <w:bidi w:val="0"/>
              <w:spacing w:lineRule="auto" w:line="276" w:before="0" w:after="0"/>
              <w:jc w:val="both"/>
              <w:rPr>
                <w:rFonts w:ascii="Arial;sans-serif" w:hAnsi="Arial;sans-serif"/>
                <w:b/>
                <w:color w:val="000000"/>
                <w:sz w:val="20"/>
              </w:rPr>
            </w:pPr>
            <w:r>
              <w:rPr>
                <w:rFonts w:ascii="Arial;sans-serif" w:hAnsi="Arial;sans-serif"/>
                <w:b/>
                <w:color w:val="000000"/>
                <w:sz w:val="20"/>
              </w:rPr>
              <w:t>The NYSE does not consider the election of directors, matters relating to compensation, or any of the proposed amendments to our Certificate of Incorporation to be routine. Unless the broker has received instructions from you, any broker holding shares for you will not have the ability to cast votes with respect to the election of directors, the approval of our named executive officers’ compensation, or approval of any of the proposed amendments to our Certificate of Incorporation. It is important, therefore, that you provide instructions to your broker if your shares are held by a broker so that your vote with respect to these matters is counted.</w:t>
            </w:r>
          </w:p>
        </w:tc>
      </w:tr>
    </w:tbl>
    <w:p>
      <w:pPr>
        <w:pStyle w:val="TextBody"/>
        <w:bidi w:val="0"/>
        <w:spacing w:lineRule="auto" w:line="288" w:before="0" w:after="60"/>
        <w:jc w:val="left"/>
        <w:rPr>
          <w:rFonts w:ascii="Arial;sans-serif" w:hAnsi="Arial;sans-serif"/>
          <w:b/>
          <w:color w:val="004C97"/>
          <w:sz w:val="20"/>
        </w:rPr>
      </w:pPr>
      <w:r>
        <w:rPr>
          <w:rFonts w:ascii="Arial;sans-serif" w:hAnsi="Arial;sans-serif"/>
          <w:b/>
          <w:color w:val="004C97"/>
          <w:sz w:val="20"/>
        </w:rPr>
        <w:t>How does discretionary voting authority apply?</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If you sign, date, and return your proxy card, then your vote will be cast as you direct. If your proxy card does not indicate how you want to vote, then you give authority to Eugene J. Lowe, III and Mark A. Carano to vote on the items discussed in these proxy materials and any other matter properly brought at the Annual Meeting. In such a case, your vote will be cast:</w:t>
      </w:r>
    </w:p>
    <w:p>
      <w:pPr>
        <w:pStyle w:val="TextBody"/>
        <w:bidi w:val="0"/>
        <w:spacing w:lineRule="auto" w:line="288" w:before="0" w:after="120"/>
        <w:ind w:left="0" w:right="0" w:hanging="216"/>
        <w:jc w:val="both"/>
        <w:rPr/>
      </w:pPr>
      <w:r>
        <w:rPr>
          <w:color w:val="000000"/>
        </w:rPr>
        <w:t>•</w:t>
      </w:r>
      <w:r>
        <w:rPr>
          <w:rFonts w:ascii="Arial;sans-serif" w:hAnsi="Arial;sans-serif"/>
          <w:b w:val="false"/>
          <w:color w:val="000000"/>
          <w:sz w:val="18"/>
        </w:rPr>
        <w:t>FOR the election of the director nominees;</w:t>
      </w:r>
    </w:p>
    <w:p>
      <w:pPr>
        <w:pStyle w:val="TextBody"/>
        <w:bidi w:val="0"/>
        <w:spacing w:lineRule="auto" w:line="288" w:before="0" w:after="120"/>
        <w:ind w:left="0" w:right="0" w:hanging="216"/>
        <w:jc w:val="both"/>
        <w:rPr/>
      </w:pPr>
      <w:r>
        <w:rPr>
          <w:color w:val="000000"/>
        </w:rPr>
        <w:t>•</w:t>
      </w:r>
      <w:r>
        <w:rPr>
          <w:rFonts w:ascii="Arial;sans-serif" w:hAnsi="Arial;sans-serif"/>
          <w:b w:val="false"/>
          <w:color w:val="000000"/>
          <w:sz w:val="18"/>
        </w:rPr>
        <w:t>FOR the approval of our named executive officers’ compensation;</w:t>
      </w:r>
    </w:p>
    <w:p>
      <w:pPr>
        <w:pStyle w:val="TextBody"/>
        <w:bidi w:val="0"/>
        <w:spacing w:lineRule="auto" w:line="288" w:before="0" w:after="120"/>
        <w:ind w:left="0" w:right="0" w:hanging="216"/>
        <w:jc w:val="both"/>
        <w:rPr/>
      </w:pPr>
      <w:r>
        <w:rPr>
          <w:color w:val="000000"/>
        </w:rPr>
        <w:t>•</w:t>
      </w:r>
      <w:r>
        <w:rPr>
          <w:rFonts w:ascii="Arial;sans-serif" w:hAnsi="Arial;sans-serif"/>
          <w:b w:val="false"/>
          <w:color w:val="000000"/>
          <w:sz w:val="18"/>
        </w:rPr>
        <w:t>FOR the approval of the Board Declassification Amendment;</w:t>
      </w:r>
    </w:p>
    <w:p>
      <w:pPr>
        <w:pStyle w:val="TextBody"/>
        <w:bidi w:val="0"/>
        <w:spacing w:lineRule="auto" w:line="288" w:before="0" w:after="120"/>
        <w:ind w:left="0" w:right="0" w:hanging="216"/>
        <w:jc w:val="both"/>
        <w:rPr/>
      </w:pPr>
      <w:r>
        <w:rPr>
          <w:color w:val="000000"/>
        </w:rPr>
        <w:t>•</w:t>
      </w:r>
      <w:r>
        <w:rPr>
          <w:rFonts w:ascii="Arial;sans-serif" w:hAnsi="Arial;sans-serif"/>
          <w:b w:val="false"/>
          <w:color w:val="000000"/>
          <w:sz w:val="18"/>
        </w:rPr>
        <w:t>FOR the approval of the Officer Exculpation Amendment;</w:t>
      </w:r>
    </w:p>
    <w:p>
      <w:pPr>
        <w:pStyle w:val="TextBody"/>
        <w:bidi w:val="0"/>
        <w:spacing w:lineRule="auto" w:line="288" w:before="0" w:after="120"/>
        <w:ind w:left="0" w:right="0" w:hanging="216"/>
        <w:jc w:val="both"/>
        <w:rPr/>
      </w:pPr>
      <w:r>
        <w:rPr>
          <w:color w:val="000000"/>
        </w:rPr>
        <w:t>•</w:t>
      </w:r>
      <w:r>
        <w:rPr>
          <w:rFonts w:ascii="Arial;sans-serif" w:hAnsi="Arial;sans-serif"/>
          <w:b w:val="false"/>
          <w:color w:val="000000"/>
          <w:sz w:val="18"/>
        </w:rPr>
        <w:t>FOR the approval of the Delaware Forum Selection Amendment;</w:t>
      </w:r>
    </w:p>
    <w:p>
      <w:pPr>
        <w:pStyle w:val="TextBody"/>
        <w:bidi w:val="0"/>
        <w:spacing w:lineRule="auto" w:line="288" w:before="0" w:after="120"/>
        <w:ind w:left="0" w:right="0" w:hanging="216"/>
        <w:jc w:val="both"/>
        <w:rPr/>
      </w:pPr>
      <w:r>
        <w:rPr>
          <w:color w:val="000000"/>
        </w:rPr>
        <w:t>•</w:t>
      </w:r>
      <w:r>
        <w:rPr>
          <w:rFonts w:ascii="Arial;sans-serif" w:hAnsi="Arial;sans-serif"/>
          <w:b w:val="false"/>
          <w:color w:val="000000"/>
          <w:sz w:val="18"/>
        </w:rPr>
        <w:t>FOR the approval of the Federal Forum Selection Amendment;</w:t>
      </w:r>
    </w:p>
    <w:p>
      <w:pPr>
        <w:pStyle w:val="TextBody"/>
        <w:bidi w:val="0"/>
        <w:spacing w:lineRule="auto" w:line="288" w:before="0" w:after="120"/>
        <w:ind w:left="0" w:right="0" w:hanging="216"/>
        <w:jc w:val="both"/>
        <w:rPr/>
      </w:pPr>
      <w:r>
        <w:rPr>
          <w:color w:val="000000"/>
        </w:rPr>
        <w:t>•</w:t>
      </w:r>
      <w:r>
        <w:rPr>
          <w:rFonts w:ascii="Arial;sans-serif" w:hAnsi="Arial;sans-serif"/>
          <w:b w:val="false"/>
          <w:color w:val="000000"/>
          <w:sz w:val="18"/>
        </w:rPr>
        <w:t>FOR the ratification of the appointment of Deloitte &amp; Touche LLP as our independent registered public accounting firm for 2024; and</w:t>
      </w:r>
    </w:p>
    <w:p>
      <w:pPr>
        <w:pStyle w:val="TextBody"/>
        <w:bidi w:val="0"/>
        <w:spacing w:lineRule="auto" w:line="288" w:before="0" w:after="120"/>
        <w:ind w:left="0" w:right="0" w:hanging="216"/>
        <w:jc w:val="both"/>
        <w:rPr/>
      </w:pPr>
      <w:r>
        <w:rPr>
          <w:color w:val="000000"/>
        </w:rPr>
        <w:t>•</w:t>
      </w:r>
      <w:r>
        <w:rPr>
          <w:rFonts w:ascii="Arial;sans-serif" w:hAnsi="Arial;sans-serif"/>
          <w:b w:val="false"/>
          <w:color w:val="000000"/>
          <w:sz w:val="18"/>
        </w:rPr>
        <w:t>FOR or AGAINST any other properly raised matters at the discretion of Eugene J. Lowe, III and Mark A. Carano.</w:t>
      </w:r>
    </w:p>
    <w:p>
      <w:pPr>
        <w:pStyle w:val="TextBody"/>
        <w:bidi w:val="0"/>
        <w:spacing w:lineRule="auto" w:line="288" w:before="0" w:after="60"/>
        <w:jc w:val="both"/>
        <w:rPr>
          <w:rFonts w:ascii="Arial;sans-serif" w:hAnsi="Arial;sans-serif"/>
          <w:b/>
          <w:color w:val="004C97"/>
          <w:sz w:val="20"/>
        </w:rPr>
      </w:pPr>
      <w:r>
        <w:rPr>
          <w:rFonts w:ascii="Arial;sans-serif" w:hAnsi="Arial;sans-serif"/>
          <w:b/>
          <w:color w:val="004C97"/>
          <w:sz w:val="20"/>
        </w:rPr>
        <w:t>Who pays to prepare, mail, and solicit the proxies?</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We will pay all the costs of preparing, mailing, and soliciting the proxies. We will ask brokers, banks, trustees, and other nominees and fiduciaries to forward the Proxy Materials to the beneficial owners of SPX common stock and to obtain the authority to execute proxies. We will reimburse them for their reasonable expenses upon request. In addition to mailing Proxy Materials, our directors, officers, and employees may solicit proxies in person, by telephone, or otherwise. These individuals will not be specially compensated. We have retained Georgeson, LLC, a Computershare company, to assist us with inquiries of brokerage houses and other custodians and nominees whether other persons are beneficial owners of SPX common stock. We will supply them with additional copies of the Proxy Materials for distribution to the beneficial owners. We will pay Georgeson, LLC an estimated fee of $1,800 plus reasonable out-of-pocket expenses. We have also retained D.F King &amp; Co., Inc. (“D.F. King”) as proxy solicitor for this Annual Meeting to assist us in soliciting your proxy. We will pay D.F. King an estimated fee of $12,500 plus reasonable out-of-pocket expenses for its proxy solicitation activities.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739140"/>
                <wp:effectExtent l="0" t="0" r="0" b="0"/>
                <wp:wrapNone/>
                <wp:docPr id="258" name="Frame78"/>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292" w:type="dxa"/>
                              <w:jc w:val="left"/>
                              <w:tblInd w:w="0" w:type="dxa"/>
                              <w:tblLayout w:type="fixed"/>
                              <w:tblCellMar>
                                <w:top w:w="28" w:type="dxa"/>
                                <w:left w:w="28" w:type="dxa"/>
                                <w:bottom w:w="28" w:type="dxa"/>
                                <w:right w:w="28" w:type="dxa"/>
                              </w:tblCellMar>
                            </w:tblPr>
                            <w:tblGrid>
                              <w:gridCol w:w="124"/>
                              <w:gridCol w:w="109"/>
                              <w:gridCol w:w="109"/>
                              <w:gridCol w:w="704"/>
                              <w:gridCol w:w="704"/>
                              <w:gridCol w:w="706"/>
                              <w:gridCol w:w="244"/>
                              <w:gridCol w:w="244"/>
                              <w:gridCol w:w="34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6"/>
                                    </w:rPr>
                                  </w:pPr>
                                  <w:r>
                                    <w:rPr>
                                      <w:rFonts w:ascii="Arial;sans-serif" w:hAnsi="Arial;sans-serif"/>
                                      <w:b/>
                                      <w:color w:val="000000"/>
                                      <w:sz w:val="16"/>
                                    </w:rPr>
                                    <w:t>72</w:t>
                                  </w:r>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2024 PROXY STATEMENT</w:t>
                                  </w:r>
                                </w:p>
                              </w:tc>
                              <w:tc>
                                <w:tcPr>
                                  <w:tcW w:w="83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259" name="Image1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9" name="Image110" descr=""/>
                                                <pic:cNvPicPr>
                                                  <a:picLocks noChangeAspect="1" noChangeArrowheads="1"/>
                                                </pic:cNvPicPr>
                                              </pic:nvPicPr>
                                              <pic:blipFill>
                                                <a:blip r:embed="rId182"/>
                                                <a:stretch>
                                                  <a:fillRect/>
                                                </a:stretch>
                                              </pic:blipFill>
                                              <pic:spPr bwMode="auto">
                                                <a:xfrm>
                                                  <a:off x="0" y="0"/>
                                                  <a:ext cx="447675" cy="161925"/>
                                                </a:xfrm>
                                                <a:prstGeom prst="rect">
                                                  <a:avLst/>
                                                </a:prstGeom>
                                              </pic:spPr>
                                            </pic:pic>
                                          </a:graphicData>
                                        </a:graphic>
                                      </wp:inline>
                                    </w:drawing>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292" w:type="dxa"/>
                        <w:jc w:val="left"/>
                        <w:tblInd w:w="0" w:type="dxa"/>
                        <w:tblLayout w:type="fixed"/>
                        <w:tblCellMar>
                          <w:top w:w="28" w:type="dxa"/>
                          <w:left w:w="28" w:type="dxa"/>
                          <w:bottom w:w="28" w:type="dxa"/>
                          <w:right w:w="28" w:type="dxa"/>
                        </w:tblCellMar>
                      </w:tblPr>
                      <w:tblGrid>
                        <w:gridCol w:w="124"/>
                        <w:gridCol w:w="109"/>
                        <w:gridCol w:w="109"/>
                        <w:gridCol w:w="704"/>
                        <w:gridCol w:w="704"/>
                        <w:gridCol w:w="706"/>
                        <w:gridCol w:w="244"/>
                        <w:gridCol w:w="244"/>
                        <w:gridCol w:w="34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6"/>
                              </w:rPr>
                            </w:pPr>
                            <w:r>
                              <w:rPr>
                                <w:rFonts w:ascii="Arial;sans-serif" w:hAnsi="Arial;sans-serif"/>
                                <w:b/>
                                <w:color w:val="000000"/>
                                <w:sz w:val="16"/>
                              </w:rPr>
                              <w:t>72</w:t>
                            </w:r>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2024 PROXY STATEMENT</w:t>
                            </w:r>
                          </w:p>
                        </w:tc>
                        <w:tc>
                          <w:tcPr>
                            <w:tcW w:w="83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260" name="Image1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0" name="Image110" descr=""/>
                                          <pic:cNvPicPr>
                                            <a:picLocks noChangeAspect="1" noChangeArrowheads="1"/>
                                          </pic:cNvPicPr>
                                        </pic:nvPicPr>
                                        <pic:blipFill>
                                          <a:blip r:embed="rId183"/>
                                          <a:stretch>
                                            <a:fillRect/>
                                          </a:stretch>
                                        </pic:blipFill>
                                        <pic:spPr bwMode="auto">
                                          <a:xfrm>
                                            <a:off x="0" y="0"/>
                                            <a:ext cx="447675" cy="161925"/>
                                          </a:xfrm>
                                          <a:prstGeom prst="rect">
                                            <a:avLst/>
                                          </a:prstGeom>
                                        </pic:spPr>
                                      </pic:pic>
                                    </a:graphicData>
                                  </a:graphic>
                                </wp:inline>
                              </w:drawing>
                            </w:r>
                          </w:p>
                        </w:tc>
                      </w:tr>
                    </w:tbl>
                    <w:p>
                      <w:pPr>
                        <w:pStyle w:val="TextBody"/>
                        <w:bidi w:val="0"/>
                        <w:spacing w:before="0" w:after="283"/>
                        <w:jc w:val="left"/>
                        <w:rPr/>
                      </w:pPr>
                      <w:r>
                        <w:rPr/>
                      </w:r>
                    </w:p>
                  </w:txbxContent>
                </v:textbox>
                <w10:wrap type="none"/>
              </v:rect>
            </w:pict>
          </mc:Fallback>
        </mc:AlternateContent>
      </w:r>
    </w:p>
    <w:tbl>
      <w:tblPr>
        <w:tblW w:w="2385" w:type="dxa"/>
        <w:jc w:val="right"/>
        <w:tblInd w:w="0" w:type="dxa"/>
        <w:tblLayout w:type="fixed"/>
        <w:tblCellMar>
          <w:top w:w="28" w:type="dxa"/>
          <w:left w:w="28" w:type="dxa"/>
          <w:bottom w:w="28" w:type="dxa"/>
          <w:right w:w="28" w:type="dxa"/>
        </w:tblCellMar>
      </w:tblPr>
      <w:tblGrid>
        <w:gridCol w:w="763"/>
        <w:gridCol w:w="671"/>
        <w:gridCol w:w="951"/>
      </w:tblGrid>
      <w:tr>
        <w:trPr/>
        <w:tc>
          <w:tcPr>
            <w:tcW w:w="763"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r>
      <w:tr>
        <w:trPr/>
        <w:tc>
          <w:tcPr>
            <w:tcW w:w="2385" w:type="dxa"/>
            <w:gridSpan w:val="3"/>
            <w:tcBorders>
              <w:bottom w:val="single" w:sz="4" w:space="0" w:color="004C97"/>
            </w:tcBorders>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4C97"/>
                <w:sz w:val="16"/>
              </w:rPr>
            </w:pPr>
            <w:r>
              <w:rPr>
                <w:rFonts w:ascii="Arial;sans-serif" w:hAnsi="Arial;sans-serif"/>
                <w:b w:val="false"/>
                <w:color w:val="004C97"/>
                <w:sz w:val="16"/>
              </w:rPr>
              <w:t>QUESTIONS AND ANSWERS</w:t>
            </w:r>
          </w:p>
        </w:tc>
      </w:tr>
    </w:tbl>
    <w:p>
      <w:pPr>
        <w:pStyle w:val="TextBody"/>
        <w:bidi w:val="0"/>
        <w:spacing w:lineRule="auto" w:line="288" w:before="0" w:after="0"/>
        <w:jc w:val="left"/>
        <w:rPr>
          <w:rFonts w:ascii="Arial;sans-serif" w:hAnsi="Arial;sans-serif"/>
          <w:b w:val="false"/>
          <w:color w:val="000000"/>
          <w:sz w:val="32"/>
        </w:rPr>
      </w:pPr>
      <w:bookmarkStart w:id="30" w:name="ib61b299a0acf4249a8ef4863987d4f0a_75118"/>
      <w:bookmarkEnd w:id="30"/>
      <w:r>
        <w:rPr>
          <w:rFonts w:ascii="Arial;sans-serif" w:hAnsi="Arial;sans-serif"/>
          <w:b w:val="false"/>
          <w:color w:val="000000"/>
          <w:sz w:val="32"/>
        </w:rPr>
        <w:t>Communications and Stockholder Proposals</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left"/>
        <w:rPr>
          <w:rFonts w:ascii="Arial;sans-serif" w:hAnsi="Arial;sans-serif"/>
          <w:b/>
          <w:color w:val="004C97"/>
          <w:sz w:val="20"/>
        </w:rPr>
      </w:pPr>
      <w:r>
        <w:rPr>
          <w:rFonts w:ascii="Arial;sans-serif" w:hAnsi="Arial;sans-serif"/>
          <w:b/>
          <w:color w:val="004C97"/>
          <w:sz w:val="20"/>
        </w:rPr>
        <w:t>How do I submit a stockholder proposal?</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To bring a proposal other than the nomination of a director before an annual meeting, your notice of proposal must comply with the requirements of our By-laws and include any other information regarding you or any beneficial owner that would be required under the SEC’s proxy rules and regulations.</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For a proposal to be included in our Proxy Statement for the 2025 Annual Meeting, you must submit it no later than December 5, 2024. Your proposal must be in writing and comply with the proxy rules of the SEC. You should send your proposal to our Corporate Secretary at our address on the cover of this Proxy Statement.</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You also may submit a proposal that you do not want included in the Proxy Statement, but that you want to raise at the 2025 Annual Meeting. We must receive this type of proposal in writing on or after December 15, 2024, but no later than January 14, 2025.</w:t>
      </w:r>
    </w:p>
    <w:p>
      <w:pPr>
        <w:pStyle w:val="TextBody"/>
        <w:bidi w:val="0"/>
        <w:spacing w:lineRule="auto" w:line="288" w:before="0" w:after="60"/>
        <w:jc w:val="both"/>
        <w:rPr>
          <w:rFonts w:ascii="Arial;sans-serif" w:hAnsi="Arial;sans-serif"/>
          <w:b/>
          <w:color w:val="004C97"/>
          <w:sz w:val="20"/>
        </w:rPr>
      </w:pPr>
      <w:r>
        <w:rPr>
          <w:rFonts w:ascii="Arial;sans-serif" w:hAnsi="Arial;sans-serif"/>
          <w:b/>
          <w:color w:val="004C97"/>
          <w:sz w:val="20"/>
        </w:rPr>
        <w:t>How do I submit a director nominee?</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If you wish to submit a nominee for director for the 2025 Annual Meeting, our Corporate Secretary must receive written notice of your intended nomination on or before January 14, 2025. You should send your nomination to our Corporate Secretary at our address on the cover of this Proxy Statement.</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For a nomination to be properly brought before an annual meeting, your notice of nomination must comply with the requirements of our By-Laws. In addition, any director nominee must provide information we may reasonably request in order for us to determine the eligibility of such nominee to serve as an independent director.</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You may also make recommendations for director nominees to the Governance &amp; Sustainability Committee. Director nominations made to the Governance &amp; Sustainability Committee is more fully described in the “Director Nominees, Qualifications, and Diversity” section, beginning on page 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739140"/>
                <wp:effectExtent l="0" t="0" r="0" b="0"/>
                <wp:wrapNone/>
                <wp:docPr id="261" name="Frame79"/>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292" w:type="dxa"/>
                              <w:jc w:val="right"/>
                              <w:tblInd w:w="0" w:type="dxa"/>
                              <w:tblLayout w:type="fixed"/>
                              <w:tblCellMar>
                                <w:top w:w="28" w:type="dxa"/>
                                <w:left w:w="28" w:type="dxa"/>
                                <w:bottom w:w="28" w:type="dxa"/>
                                <w:right w:w="28" w:type="dxa"/>
                              </w:tblCellMar>
                            </w:tblPr>
                            <w:tblGrid>
                              <w:gridCol w:w="292"/>
                              <w:gridCol w:w="256"/>
                              <w:gridCol w:w="258"/>
                              <w:gridCol w:w="704"/>
                              <w:gridCol w:w="704"/>
                              <w:gridCol w:w="706"/>
                              <w:gridCol w:w="109"/>
                              <w:gridCol w:w="109"/>
                              <w:gridCol w:w="154"/>
                            </w:tblGrid>
                            <w:tr>
                              <w:trPr/>
                              <w:tc>
                                <w:tcPr>
                                  <w:tcW w:w="29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0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262" name="Image1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2" name="Image111" descr=""/>
                                                <pic:cNvPicPr>
                                                  <a:picLocks noChangeAspect="1" noChangeArrowheads="1"/>
                                                </pic:cNvPicPr>
                                              </pic:nvPicPr>
                                              <pic:blipFill>
                                                <a:blip r:embed="rId184"/>
                                                <a:stretch>
                                                  <a:fillRect/>
                                                </a:stretch>
                                              </pic:blipFill>
                                              <pic:spPr bwMode="auto">
                                                <a:xfrm>
                                                  <a:off x="0" y="0"/>
                                                  <a:ext cx="447675" cy="161925"/>
                                                </a:xfrm>
                                                <a:prstGeom prst="rect">
                                                  <a:avLst/>
                                                </a:prstGeom>
                                              </pic:spPr>
                                            </pic:pic>
                                          </a:graphicData>
                                        </a:graphic>
                                      </wp:inline>
                                    </w:drawing>
                                  </w:r>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2024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000000"/>
                                      <w:sz w:val="16"/>
                                    </w:rPr>
                                  </w:pPr>
                                  <w:r>
                                    <w:rPr>
                                      <w:rFonts w:ascii="Arial;sans-serif" w:hAnsi="Arial;sans-serif"/>
                                      <w:b/>
                                      <w:color w:val="000000"/>
                                      <w:sz w:val="16"/>
                                    </w:rPr>
                                    <w:t>73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292" w:type="dxa"/>
                        <w:jc w:val="right"/>
                        <w:tblInd w:w="0" w:type="dxa"/>
                        <w:tblLayout w:type="fixed"/>
                        <w:tblCellMar>
                          <w:top w:w="28" w:type="dxa"/>
                          <w:left w:w="28" w:type="dxa"/>
                          <w:bottom w:w="28" w:type="dxa"/>
                          <w:right w:w="28" w:type="dxa"/>
                        </w:tblCellMar>
                      </w:tblPr>
                      <w:tblGrid>
                        <w:gridCol w:w="292"/>
                        <w:gridCol w:w="256"/>
                        <w:gridCol w:w="258"/>
                        <w:gridCol w:w="704"/>
                        <w:gridCol w:w="704"/>
                        <w:gridCol w:w="706"/>
                        <w:gridCol w:w="109"/>
                        <w:gridCol w:w="109"/>
                        <w:gridCol w:w="154"/>
                      </w:tblGrid>
                      <w:tr>
                        <w:trPr/>
                        <w:tc>
                          <w:tcPr>
                            <w:tcW w:w="29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0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263" name="Image1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3" name="Image111" descr=""/>
                                          <pic:cNvPicPr>
                                            <a:picLocks noChangeAspect="1" noChangeArrowheads="1"/>
                                          </pic:cNvPicPr>
                                        </pic:nvPicPr>
                                        <pic:blipFill>
                                          <a:blip r:embed="rId185"/>
                                          <a:stretch>
                                            <a:fillRect/>
                                          </a:stretch>
                                        </pic:blipFill>
                                        <pic:spPr bwMode="auto">
                                          <a:xfrm>
                                            <a:off x="0" y="0"/>
                                            <a:ext cx="447675" cy="161925"/>
                                          </a:xfrm>
                                          <a:prstGeom prst="rect">
                                            <a:avLst/>
                                          </a:prstGeom>
                                        </pic:spPr>
                                      </pic:pic>
                                    </a:graphicData>
                                  </a:graphic>
                                </wp:inline>
                              </w:drawing>
                            </w:r>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2024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000000"/>
                                <w:sz w:val="16"/>
                              </w:rPr>
                            </w:pPr>
                            <w:r>
                              <w:rPr>
                                <w:rFonts w:ascii="Arial;sans-serif" w:hAnsi="Arial;sans-serif"/>
                                <w:b/>
                                <w:color w:val="000000"/>
                                <w:sz w:val="16"/>
                              </w:rPr>
                              <w:t>73</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312" w:before="0" w:after="240"/>
        <w:jc w:val="left"/>
        <w:rPr>
          <w:rFonts w:ascii="Arial;sans-serif" w:hAnsi="Arial;sans-serif"/>
          <w:b/>
          <w:color w:val="004C97"/>
          <w:sz w:val="42"/>
        </w:rPr>
      </w:pPr>
      <w:r>
        <w:rPr>
          <w:rFonts w:ascii="Arial;sans-serif" w:hAnsi="Arial;sans-serif"/>
          <w:b/>
          <w:color w:val="004C97"/>
          <w:sz w:val="42"/>
        </w:rPr>
        <w:t>APPENDIX A – AMENDMENT TO OUR CERTIFICATE OF INCORPORATION TO PROVIDE FOR THE ANNUAL ELECTION OF THE BOARD OF DIRECTORS</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Article EIGHTH of the Company’s Certificate of Incorporation is amended and restated to read as follows (with deletions marked as stricken text and additions as underlined text):</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EIGHTH. Except as otherwise fixed by resolution of the Board of Directors pursuant to the provisions of Article FOURTH hereof relating to the rights of the holders of Preferred Stock to elect directors as a class, the number of the directors of the Corporation shall be fixed from time to time by or pursuant to the By-Laws of the Corporation. The directors, other than those who may be elected by the holders of Preferred Stock, shall be classified, with respect to the time for which they severally hold office, into three classes, as nearly equal in number as possible. The first class shall be initially elected for a term expiring at the next ensuing annual meeting, the second class shall be initially elected for a term expiring one year thereafter, and the third class shall be elected for a term expiring two years thereafter, with each class to hold office until its successor is elected and qualified. At each annual meeting of the stockholders of the Corporation held after the initial classification and election of directors, the successors of the class of directors whose term expires at that meeting shall be elected to hold office for a term expiring at the annual meeting of stockholders held in the third year following the year of their election. Notwithstanding the foregoing provisions of this paragraph, (i) at the 2025 annual meeting of stockholders, the successors of the class of directors whose term expires at that meeting shall be elected to hold office for a term expiring at the 2027 annual meeting of stockholders, (ii) commencing with the 2026 annual meeting of stockholders, directors shall be elected for one-year terms expiring at the next succeeding annual meeting of stockholders, and (iii) commencing with the 2027 annual meeting of stockholders, directors shall no longer be divided into classes.</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Advance notice of stockholder nominations for the election of directors shall be given in the manner provided in the By-Laws of the Corporation.</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Except as otherwise fixed by resolution of the Board of Directors pursuant to the provisions of Article FOURTH hereof relating to the rights of the holders of Preferred Stock to elect directors as a class, newly created directorships resulting from any increase in the number of directors and any vacancies on the Board of Directors resulting from death, resignation, disqualification, removal or other cause shall be filled by the affirmative vote of a majority of the remaining directors then in office, even though less than a quorum of the Board of Directors. Any director elected in accordance with the preceding sentence shall, for so long as the Board of Directors is divided into classes, hold office for the remainder of the full term of the class of directors in which the new directorship was created (subject to the requirements of this Article EIGHTH that requirement that, for so long as directors are divided into classes, all classes be as nearly equal in number as possible) or in which the vacancy occurred, or, commencing with the 2027 annual meeting of stockholders, for a term expiring at the next annual meeting of stockholders and, in either case, until such director’s successor shall have been elected and qualified. No decrease in the number of directors constituting the Board of Directors shall shorten the term of an incumbent director.</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Subject to the rights of the holders of Preferred Stock to elect directors as a class, (i) for so long as the Board of Directors is divided into classes, a director may be removed by the stockholders only for cause and (ii) commencing with the 2027 annual meeting of stockholders, a director may be removed by the stockholders at any time, with or without cause, and, in each case, only by the affirmative vote of the holders of 80% of the combined voting power of the then outstanding shares of stock entitled to vote generally in the election of directors, voting together as a single class.</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In furtherance and not in limitation of the powers conferred by statute, the Board of Directors is expressly authorized:</w:t>
      </w:r>
    </w:p>
    <w:p>
      <w:pPr>
        <w:pStyle w:val="TextBody"/>
        <w:bidi w:val="0"/>
        <w:spacing w:lineRule="auto" w:line="288" w:before="0" w:after="180"/>
        <w:ind w:left="0" w:right="0" w:hanging="360"/>
        <w:jc w:val="both"/>
        <w:rPr/>
      </w:pPr>
      <w:r>
        <w:rPr>
          <w:rFonts w:ascii="Arial;sans-serif" w:hAnsi="Arial;sans-serif"/>
          <w:b w:val="false"/>
          <w:color w:val="000000"/>
          <w:sz w:val="18"/>
        </w:rPr>
        <w:t xml:space="preserve">1.To adopt, amend and repeal the By-Laws of the Corporation. Any by-laws adopted by the directors under the powers conferred hereby may be amended or repealed by the directors or by the stockholders. Notwithstanding the foregoing or any other provision in this Certificate of Incorporation or the By-Laws of the Corporation to the contrary, Article II, Sections 3 and 7 and Article III, Sections </w:t>
      </w:r>
      <w:r>
        <w:rPr>
          <w:rFonts w:ascii="Arial;sans-serif" w:hAnsi="Arial;sans-serif"/>
          <w:b w:val="false"/>
          <w:strike/>
          <w:color w:val="000000"/>
          <w:sz w:val="18"/>
        </w:rPr>
        <w:t>1,</w:t>
      </w:r>
      <w:r>
        <w:rPr>
          <w:color w:val="000000"/>
        </w:rPr>
        <w:t xml:space="preserve"> </w:t>
      </w:r>
      <w:r>
        <w:rPr>
          <w:rFonts w:ascii="Arial;sans-serif" w:hAnsi="Arial;sans-serif"/>
          <w:b w:val="false"/>
          <w:color w:val="000000"/>
          <w:sz w:val="18"/>
        </w:rPr>
        <w:t>2 and 3 of the By-Laws shall not be amended or repealed and no provision inconsistent therewith shall be adopted without the affirmative vote of the holders of at least 80% of the voting power of all the shares of the Corporation entitled to vote generally in the election of directors, voting together as a single class.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739140"/>
                <wp:effectExtent l="0" t="0" r="0" b="0"/>
                <wp:wrapNone/>
                <wp:docPr id="264" name="Frame80"/>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292" w:type="dxa"/>
                              <w:jc w:val="left"/>
                              <w:tblInd w:w="0" w:type="dxa"/>
                              <w:tblLayout w:type="fixed"/>
                              <w:tblCellMar>
                                <w:top w:w="28" w:type="dxa"/>
                                <w:left w:w="28" w:type="dxa"/>
                                <w:bottom w:w="28" w:type="dxa"/>
                                <w:right w:w="28" w:type="dxa"/>
                              </w:tblCellMar>
                            </w:tblPr>
                            <w:tblGrid>
                              <w:gridCol w:w="124"/>
                              <w:gridCol w:w="109"/>
                              <w:gridCol w:w="109"/>
                              <w:gridCol w:w="704"/>
                              <w:gridCol w:w="704"/>
                              <w:gridCol w:w="706"/>
                              <w:gridCol w:w="244"/>
                              <w:gridCol w:w="244"/>
                              <w:gridCol w:w="34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6"/>
                                    </w:rPr>
                                  </w:pPr>
                                  <w:r>
                                    <w:rPr>
                                      <w:rFonts w:ascii="Arial;sans-serif" w:hAnsi="Arial;sans-serif"/>
                                      <w:b/>
                                      <w:color w:val="000000"/>
                                      <w:sz w:val="16"/>
                                    </w:rPr>
                                    <w:t>74</w:t>
                                  </w:r>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2024 PROXY STATEMENT</w:t>
                                  </w:r>
                                </w:p>
                              </w:tc>
                              <w:tc>
                                <w:tcPr>
                                  <w:tcW w:w="83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265" name="Image1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5" name="Image112" descr=""/>
                                                <pic:cNvPicPr>
                                                  <a:picLocks noChangeAspect="1" noChangeArrowheads="1"/>
                                                </pic:cNvPicPr>
                                              </pic:nvPicPr>
                                              <pic:blipFill>
                                                <a:blip r:embed="rId186"/>
                                                <a:stretch>
                                                  <a:fillRect/>
                                                </a:stretch>
                                              </pic:blipFill>
                                              <pic:spPr bwMode="auto">
                                                <a:xfrm>
                                                  <a:off x="0" y="0"/>
                                                  <a:ext cx="447675" cy="161925"/>
                                                </a:xfrm>
                                                <a:prstGeom prst="rect">
                                                  <a:avLst/>
                                                </a:prstGeom>
                                              </pic:spPr>
                                            </pic:pic>
                                          </a:graphicData>
                                        </a:graphic>
                                      </wp:inline>
                                    </w:drawing>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292" w:type="dxa"/>
                        <w:jc w:val="left"/>
                        <w:tblInd w:w="0" w:type="dxa"/>
                        <w:tblLayout w:type="fixed"/>
                        <w:tblCellMar>
                          <w:top w:w="28" w:type="dxa"/>
                          <w:left w:w="28" w:type="dxa"/>
                          <w:bottom w:w="28" w:type="dxa"/>
                          <w:right w:w="28" w:type="dxa"/>
                        </w:tblCellMar>
                      </w:tblPr>
                      <w:tblGrid>
                        <w:gridCol w:w="124"/>
                        <w:gridCol w:w="109"/>
                        <w:gridCol w:w="109"/>
                        <w:gridCol w:w="704"/>
                        <w:gridCol w:w="704"/>
                        <w:gridCol w:w="706"/>
                        <w:gridCol w:w="244"/>
                        <w:gridCol w:w="244"/>
                        <w:gridCol w:w="34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6"/>
                              </w:rPr>
                            </w:pPr>
                            <w:r>
                              <w:rPr>
                                <w:rFonts w:ascii="Arial;sans-serif" w:hAnsi="Arial;sans-serif"/>
                                <w:b/>
                                <w:color w:val="000000"/>
                                <w:sz w:val="16"/>
                              </w:rPr>
                              <w:t>74</w:t>
                            </w:r>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2024 PROXY STATEMENT</w:t>
                            </w:r>
                          </w:p>
                        </w:tc>
                        <w:tc>
                          <w:tcPr>
                            <w:tcW w:w="83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266" name="Image1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6" name="Image112" descr=""/>
                                          <pic:cNvPicPr>
                                            <a:picLocks noChangeAspect="1" noChangeArrowheads="1"/>
                                          </pic:cNvPicPr>
                                        </pic:nvPicPr>
                                        <pic:blipFill>
                                          <a:blip r:embed="rId187"/>
                                          <a:stretch>
                                            <a:fillRect/>
                                          </a:stretch>
                                        </pic:blipFill>
                                        <pic:spPr bwMode="auto">
                                          <a:xfrm>
                                            <a:off x="0" y="0"/>
                                            <a:ext cx="447675" cy="161925"/>
                                          </a:xfrm>
                                          <a:prstGeom prst="rect">
                                            <a:avLst/>
                                          </a:prstGeom>
                                        </pic:spPr>
                                      </pic:pic>
                                    </a:graphicData>
                                  </a:graphic>
                                </wp:inline>
                              </w:drawing>
                            </w:r>
                          </w:p>
                        </w:tc>
                      </w:tr>
                    </w:tbl>
                    <w:p>
                      <w:pPr>
                        <w:pStyle w:val="TextBody"/>
                        <w:bidi w:val="0"/>
                        <w:spacing w:before="0" w:after="283"/>
                        <w:jc w:val="left"/>
                        <w:rPr/>
                      </w:pPr>
                      <w:r>
                        <w:rPr/>
                      </w:r>
                    </w:p>
                  </w:txbxContent>
                </v:textbox>
                <w10:wrap type="none"/>
              </v:rect>
            </w:pict>
          </mc:Fallback>
        </mc:AlternateContent>
      </w:r>
    </w:p>
    <w:tbl>
      <w:tblPr>
        <w:tblW w:w="1124" w:type="dxa"/>
        <w:jc w:val="right"/>
        <w:tblInd w:w="0" w:type="dxa"/>
        <w:tblLayout w:type="fixed"/>
        <w:tblCellMar>
          <w:top w:w="28" w:type="dxa"/>
          <w:left w:w="28" w:type="dxa"/>
          <w:bottom w:w="28" w:type="dxa"/>
          <w:right w:w="28" w:type="dxa"/>
        </w:tblCellMar>
      </w:tblPr>
      <w:tblGrid>
        <w:gridCol w:w="359"/>
        <w:gridCol w:w="316"/>
        <w:gridCol w:w="449"/>
      </w:tblGrid>
      <w:tr>
        <w:trPr/>
        <w:tc>
          <w:tcPr>
            <w:tcW w:w="35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r>
      <w:tr>
        <w:trPr/>
        <w:tc>
          <w:tcPr>
            <w:tcW w:w="1124" w:type="dxa"/>
            <w:gridSpan w:val="3"/>
            <w:tcBorders>
              <w:bottom w:val="single" w:sz="4" w:space="0" w:color="004C97"/>
            </w:tcBorders>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4C97"/>
                <w:sz w:val="16"/>
              </w:rPr>
            </w:pPr>
            <w:r>
              <w:rPr>
                <w:rFonts w:ascii="Arial;sans-serif" w:hAnsi="Arial;sans-serif"/>
                <w:b w:val="false"/>
                <w:color w:val="004C97"/>
                <w:sz w:val="16"/>
              </w:rPr>
              <w:t>APPENDIX A</w:t>
            </w:r>
          </w:p>
        </w:tc>
      </w:tr>
    </w:tbl>
    <w:p>
      <w:pPr>
        <w:pStyle w:val="TextBody"/>
        <w:bidi w:val="0"/>
        <w:spacing w:lineRule="auto" w:line="288" w:before="0" w:after="180"/>
        <w:ind w:left="0" w:right="0" w:hanging="360"/>
        <w:jc w:val="both"/>
        <w:rPr>
          <w:rFonts w:ascii="Arial;sans-serif" w:hAnsi="Arial;sans-serif"/>
          <w:b w:val="false"/>
          <w:color w:val="000000"/>
          <w:sz w:val="18"/>
        </w:rPr>
      </w:pPr>
      <w:r>
        <w:rPr>
          <w:rFonts w:ascii="Arial;sans-serif" w:hAnsi="Arial;sans-serif"/>
          <w:b w:val="false"/>
          <w:color w:val="000000"/>
          <w:sz w:val="18"/>
        </w:rPr>
        <w:t>2.To fix and determine, and to vary the amount of, the working capital of the Corporation, and to determine the use or investment of any assets of the Corporation, to set apart out of any of the funds of the Corporation available for dividends a reserve or reserves for any proper purpose and to abolish any such reserve or reserves.</w:t>
      </w:r>
    </w:p>
    <w:p>
      <w:pPr>
        <w:pStyle w:val="TextBody"/>
        <w:bidi w:val="0"/>
        <w:spacing w:lineRule="auto" w:line="288" w:before="0" w:after="180"/>
        <w:ind w:left="0" w:right="0" w:hanging="360"/>
        <w:jc w:val="both"/>
        <w:rPr>
          <w:rFonts w:ascii="Arial;sans-serif" w:hAnsi="Arial;sans-serif"/>
          <w:b w:val="false"/>
          <w:color w:val="000000"/>
          <w:sz w:val="18"/>
        </w:rPr>
      </w:pPr>
      <w:r>
        <w:rPr>
          <w:rFonts w:ascii="Arial;sans-serif" w:hAnsi="Arial;sans-serif"/>
          <w:b w:val="false"/>
          <w:color w:val="000000"/>
          <w:sz w:val="18"/>
        </w:rPr>
        <w:t>3.To authorize the purchase or other acquisition of shares of stock of the Corporation or any of its bonds, debentures, notes, scrip, warrants or other securities or evidences of indebtedness.</w:t>
      </w:r>
    </w:p>
    <w:p>
      <w:pPr>
        <w:pStyle w:val="TextBody"/>
        <w:bidi w:val="0"/>
        <w:spacing w:lineRule="auto" w:line="288" w:before="0" w:after="180"/>
        <w:ind w:left="0" w:right="0" w:hanging="360"/>
        <w:jc w:val="both"/>
        <w:rPr>
          <w:rFonts w:ascii="Arial;sans-serif" w:hAnsi="Arial;sans-serif"/>
          <w:b w:val="false"/>
          <w:color w:val="000000"/>
          <w:sz w:val="18"/>
        </w:rPr>
      </w:pPr>
      <w:r>
        <w:rPr>
          <w:rFonts w:ascii="Arial;sans-serif" w:hAnsi="Arial;sans-serif"/>
          <w:b w:val="false"/>
          <w:color w:val="000000"/>
          <w:sz w:val="18"/>
        </w:rPr>
        <w:t>4.Except as otherwise provided by law, to determine the places within or without the State of Delaware, where any or all of the books of the Corporation shall be kept.</w:t>
      </w:r>
    </w:p>
    <w:p>
      <w:pPr>
        <w:pStyle w:val="TextBody"/>
        <w:bidi w:val="0"/>
        <w:spacing w:lineRule="auto" w:line="288" w:before="0" w:after="180"/>
        <w:ind w:left="0" w:right="0" w:hanging="360"/>
        <w:jc w:val="both"/>
        <w:rPr>
          <w:rFonts w:ascii="Arial;sans-serif" w:hAnsi="Arial;sans-serif"/>
          <w:b w:val="false"/>
          <w:color w:val="000000"/>
          <w:sz w:val="18"/>
        </w:rPr>
      </w:pPr>
      <w:r>
        <w:rPr>
          <w:rFonts w:ascii="Arial;sans-serif" w:hAnsi="Arial;sans-serif"/>
          <w:b w:val="false"/>
          <w:color w:val="000000"/>
          <w:sz w:val="18"/>
        </w:rPr>
        <w:t>5.To authorize the sale, lease or other disposition of any part or parts of the properties of the Corporation and to cease to conduct the business connected therewith or again to resume the same, as it may deem best.</w:t>
      </w:r>
    </w:p>
    <w:p>
      <w:pPr>
        <w:pStyle w:val="TextBody"/>
        <w:bidi w:val="0"/>
        <w:spacing w:lineRule="auto" w:line="288" w:before="0" w:after="180"/>
        <w:ind w:left="0" w:right="0" w:hanging="360"/>
        <w:jc w:val="both"/>
        <w:rPr>
          <w:rFonts w:ascii="Arial;sans-serif" w:hAnsi="Arial;sans-serif"/>
          <w:b w:val="false"/>
          <w:color w:val="000000"/>
          <w:sz w:val="18"/>
        </w:rPr>
      </w:pPr>
      <w:r>
        <w:rPr>
          <w:rFonts w:ascii="Arial;sans-serif" w:hAnsi="Arial;sans-serif"/>
          <w:b w:val="false"/>
          <w:color w:val="000000"/>
          <w:sz w:val="18"/>
        </w:rPr>
        <w:t>6.To authorize the borrowing of money, the issuance of bonds, debentures and other obligations or evidences of indebtedness of the Corporation, secured or unsecured, and the inclusion of provisions as to redeemability and convertibility into shares of stock of the Corporation or otherwise; and the mortgaging or pledging, as security for money borrowed or bonds, notes, debentures or other obligations issued by the Corporation, of any property of the Corporation, real or personal, then owned or thereafter acquired by the Corporation.</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In addition to the powers and authorities herein or by statute expressly conferred upon it, the Board of Directors may exercise all such powers and do all such acts and things as may be exercised or done by the Corporation, subject, nevertheless, to the provisions of the laws of the State of Delaware, of this Certificate of Incorporation and of the By-Laws of the Corporation.</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Subject to any limitation in the By-Laws, the members of the Board of Directors shall be entitled to reasonable fees, salaries or other compensation for their services, as determined from time to time by the Board of Directors, and to reimbursement for their expenses as such members. Nothing herein contained shall preclude any director from serving the Corporation or its subsidiaries or affiliates in any other capacity and receiving compensation therefor.</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Notwithstanding anything contained in this Certificate of Incorporation to the contrary, the affirmative vote of the holders of at least 80% of the voting power of all shares of the Corporation entitled to vote generally in the election of directors, voting together as a single class, shall be required to alter, amend, adopt any provision inconsistent with or repeal this Article EIGHTH.</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739140"/>
                <wp:effectExtent l="0" t="0" r="0" b="0"/>
                <wp:wrapNone/>
                <wp:docPr id="267" name="Frame81"/>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292" w:type="dxa"/>
                              <w:jc w:val="right"/>
                              <w:tblInd w:w="0" w:type="dxa"/>
                              <w:tblLayout w:type="fixed"/>
                              <w:tblCellMar>
                                <w:top w:w="28" w:type="dxa"/>
                                <w:left w:w="28" w:type="dxa"/>
                                <w:bottom w:w="28" w:type="dxa"/>
                                <w:right w:w="28" w:type="dxa"/>
                              </w:tblCellMar>
                            </w:tblPr>
                            <w:tblGrid>
                              <w:gridCol w:w="292"/>
                              <w:gridCol w:w="256"/>
                              <w:gridCol w:w="258"/>
                              <w:gridCol w:w="704"/>
                              <w:gridCol w:w="704"/>
                              <w:gridCol w:w="706"/>
                              <w:gridCol w:w="109"/>
                              <w:gridCol w:w="109"/>
                              <w:gridCol w:w="154"/>
                            </w:tblGrid>
                            <w:tr>
                              <w:trPr/>
                              <w:tc>
                                <w:tcPr>
                                  <w:tcW w:w="29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0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268" name="Image1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8" name="Image113" descr=""/>
                                                <pic:cNvPicPr>
                                                  <a:picLocks noChangeAspect="1" noChangeArrowheads="1"/>
                                                </pic:cNvPicPr>
                                              </pic:nvPicPr>
                                              <pic:blipFill>
                                                <a:blip r:embed="rId188"/>
                                                <a:stretch>
                                                  <a:fillRect/>
                                                </a:stretch>
                                              </pic:blipFill>
                                              <pic:spPr bwMode="auto">
                                                <a:xfrm>
                                                  <a:off x="0" y="0"/>
                                                  <a:ext cx="447675" cy="161925"/>
                                                </a:xfrm>
                                                <a:prstGeom prst="rect">
                                                  <a:avLst/>
                                                </a:prstGeom>
                                              </pic:spPr>
                                            </pic:pic>
                                          </a:graphicData>
                                        </a:graphic>
                                      </wp:inline>
                                    </w:drawing>
                                  </w:r>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2024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000000"/>
                                      <w:sz w:val="16"/>
                                    </w:rPr>
                                  </w:pPr>
                                  <w:r>
                                    <w:rPr>
                                      <w:rFonts w:ascii="Arial;sans-serif" w:hAnsi="Arial;sans-serif"/>
                                      <w:b/>
                                      <w:color w:val="000000"/>
                                      <w:sz w:val="16"/>
                                    </w:rPr>
                                    <w:t>75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292" w:type="dxa"/>
                        <w:jc w:val="right"/>
                        <w:tblInd w:w="0" w:type="dxa"/>
                        <w:tblLayout w:type="fixed"/>
                        <w:tblCellMar>
                          <w:top w:w="28" w:type="dxa"/>
                          <w:left w:w="28" w:type="dxa"/>
                          <w:bottom w:w="28" w:type="dxa"/>
                          <w:right w:w="28" w:type="dxa"/>
                        </w:tblCellMar>
                      </w:tblPr>
                      <w:tblGrid>
                        <w:gridCol w:w="292"/>
                        <w:gridCol w:w="256"/>
                        <w:gridCol w:w="258"/>
                        <w:gridCol w:w="704"/>
                        <w:gridCol w:w="704"/>
                        <w:gridCol w:w="706"/>
                        <w:gridCol w:w="109"/>
                        <w:gridCol w:w="109"/>
                        <w:gridCol w:w="154"/>
                      </w:tblGrid>
                      <w:tr>
                        <w:trPr/>
                        <w:tc>
                          <w:tcPr>
                            <w:tcW w:w="29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0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269" name="Image1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9" name="Image113" descr=""/>
                                          <pic:cNvPicPr>
                                            <a:picLocks noChangeAspect="1" noChangeArrowheads="1"/>
                                          </pic:cNvPicPr>
                                        </pic:nvPicPr>
                                        <pic:blipFill>
                                          <a:blip r:embed="rId189"/>
                                          <a:stretch>
                                            <a:fillRect/>
                                          </a:stretch>
                                        </pic:blipFill>
                                        <pic:spPr bwMode="auto">
                                          <a:xfrm>
                                            <a:off x="0" y="0"/>
                                            <a:ext cx="447675" cy="161925"/>
                                          </a:xfrm>
                                          <a:prstGeom prst="rect">
                                            <a:avLst/>
                                          </a:prstGeom>
                                        </pic:spPr>
                                      </pic:pic>
                                    </a:graphicData>
                                  </a:graphic>
                                </wp:inline>
                              </w:drawing>
                            </w:r>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2024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000000"/>
                                <w:sz w:val="16"/>
                              </w:rPr>
                            </w:pPr>
                            <w:r>
                              <w:rPr>
                                <w:rFonts w:ascii="Arial;sans-serif" w:hAnsi="Arial;sans-serif"/>
                                <w:b/>
                                <w:color w:val="000000"/>
                                <w:sz w:val="16"/>
                              </w:rPr>
                              <w:t>75</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312" w:before="0" w:after="240"/>
        <w:jc w:val="left"/>
        <w:rPr>
          <w:rFonts w:ascii="Arial;sans-serif" w:hAnsi="Arial;sans-serif"/>
          <w:b/>
          <w:color w:val="004C97"/>
          <w:sz w:val="42"/>
        </w:rPr>
      </w:pPr>
      <w:r>
        <w:rPr>
          <w:rFonts w:ascii="Arial;sans-serif" w:hAnsi="Arial;sans-serif"/>
          <w:b/>
          <w:color w:val="004C97"/>
          <w:sz w:val="42"/>
        </w:rPr>
        <w:t xml:space="preserve">APPENDIX B – AMENDMENT TO OUR CERTIFICATE OF INCORPORATION TO PROVIDE FOR EXCULPATION OF CERTAIN OFFICERS AS PERMITTED BY RECENT AMENDMENTS TO DELAWARE LAW </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Section (a) of Article THIRTEENTH of the Company’s Certificate of Incorporation is amended and restated to read as follows (with deletions marked as stricken text and additions as underlined text):</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THIRTEENTH. (a) A director of the Corporation shall not be personally liable to the Corporation or its stockholders for monetary damages for breach of fiduciary duty as a director, except for liability (i) for any breach of the director’s duty of loyalty to the Corporation or its stockholders, (ii) for acts or omissions not in good faith or which involve intentional misconduct or a knowing violation of law, (iii) under Section 174 of the General Corporation Law of the State of Delaware (the “DGCL”), or (iv) for any transaction from which the director derived an improper personal benefit. If the DGCL, General Corporation Law of the State of Delaware, or any other applicable law, is amended to authorize corporate action further eliminating or limiting the personal liability of directors, then the liability of a director of the Corporation shall be eliminated or limited to the fullest extent permitted by the DGCL, General Corporation Law of the State of Delaware, or any other applicable law, as so amended. An officer of the Corporation shall not be personally liable to the Corporation or its stockholders for monetary damages for breach of fiduciary duty as an officer, except to the extent such exemption from liability or limitation thereof is not permitted under the DGCL, as the same exists or may hereafter be amended. If the DGCL is amended hereafter to authorize the further elimination or limitation of the liability of officers, then the liability of an officer of the Corporation shall be eliminated or limited to the fullest extent authorized by the DGCL, as so amended. For purposes of this Section (a), “officer” shall have the meaning provided in Section 102(b)(7) of the DGCL, as the same exists or may hereafter be amended. Any repeal, or modification of this Section (a) by the stockholders of the Corporation shall not adversely affect any right or protection of a director or officer of the Corporation existing at the time of such repeal or modification.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739140"/>
                <wp:effectExtent l="0" t="0" r="0" b="0"/>
                <wp:wrapNone/>
                <wp:docPr id="270" name="Frame82"/>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292" w:type="dxa"/>
                              <w:jc w:val="left"/>
                              <w:tblInd w:w="0" w:type="dxa"/>
                              <w:tblLayout w:type="fixed"/>
                              <w:tblCellMar>
                                <w:top w:w="28" w:type="dxa"/>
                                <w:left w:w="28" w:type="dxa"/>
                                <w:bottom w:w="28" w:type="dxa"/>
                                <w:right w:w="28" w:type="dxa"/>
                              </w:tblCellMar>
                            </w:tblPr>
                            <w:tblGrid>
                              <w:gridCol w:w="124"/>
                              <w:gridCol w:w="109"/>
                              <w:gridCol w:w="109"/>
                              <w:gridCol w:w="704"/>
                              <w:gridCol w:w="704"/>
                              <w:gridCol w:w="706"/>
                              <w:gridCol w:w="244"/>
                              <w:gridCol w:w="244"/>
                              <w:gridCol w:w="34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6"/>
                                    </w:rPr>
                                  </w:pPr>
                                  <w:r>
                                    <w:rPr>
                                      <w:rFonts w:ascii="Arial;sans-serif" w:hAnsi="Arial;sans-serif"/>
                                      <w:b/>
                                      <w:color w:val="000000"/>
                                      <w:sz w:val="16"/>
                                    </w:rPr>
                                    <w:t>76</w:t>
                                  </w:r>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2024 PROXY STATEMENT</w:t>
                                  </w:r>
                                </w:p>
                              </w:tc>
                              <w:tc>
                                <w:tcPr>
                                  <w:tcW w:w="83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271" name="Image1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1" name="Image114" descr=""/>
                                                <pic:cNvPicPr>
                                                  <a:picLocks noChangeAspect="1" noChangeArrowheads="1"/>
                                                </pic:cNvPicPr>
                                              </pic:nvPicPr>
                                              <pic:blipFill>
                                                <a:blip r:embed="rId190"/>
                                                <a:stretch>
                                                  <a:fillRect/>
                                                </a:stretch>
                                              </pic:blipFill>
                                              <pic:spPr bwMode="auto">
                                                <a:xfrm>
                                                  <a:off x="0" y="0"/>
                                                  <a:ext cx="447675" cy="161925"/>
                                                </a:xfrm>
                                                <a:prstGeom prst="rect">
                                                  <a:avLst/>
                                                </a:prstGeom>
                                              </pic:spPr>
                                            </pic:pic>
                                          </a:graphicData>
                                        </a:graphic>
                                      </wp:inline>
                                    </w:drawing>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292" w:type="dxa"/>
                        <w:jc w:val="left"/>
                        <w:tblInd w:w="0" w:type="dxa"/>
                        <w:tblLayout w:type="fixed"/>
                        <w:tblCellMar>
                          <w:top w:w="28" w:type="dxa"/>
                          <w:left w:w="28" w:type="dxa"/>
                          <w:bottom w:w="28" w:type="dxa"/>
                          <w:right w:w="28" w:type="dxa"/>
                        </w:tblCellMar>
                      </w:tblPr>
                      <w:tblGrid>
                        <w:gridCol w:w="124"/>
                        <w:gridCol w:w="109"/>
                        <w:gridCol w:w="109"/>
                        <w:gridCol w:w="704"/>
                        <w:gridCol w:w="704"/>
                        <w:gridCol w:w="706"/>
                        <w:gridCol w:w="244"/>
                        <w:gridCol w:w="244"/>
                        <w:gridCol w:w="34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6"/>
                              </w:rPr>
                            </w:pPr>
                            <w:r>
                              <w:rPr>
                                <w:rFonts w:ascii="Arial;sans-serif" w:hAnsi="Arial;sans-serif"/>
                                <w:b/>
                                <w:color w:val="000000"/>
                                <w:sz w:val="16"/>
                              </w:rPr>
                              <w:t>76</w:t>
                            </w:r>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2024 PROXY STATEMENT</w:t>
                            </w:r>
                          </w:p>
                        </w:tc>
                        <w:tc>
                          <w:tcPr>
                            <w:tcW w:w="83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272" name="Image1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2" name="Image114" descr=""/>
                                          <pic:cNvPicPr>
                                            <a:picLocks noChangeAspect="1" noChangeArrowheads="1"/>
                                          </pic:cNvPicPr>
                                        </pic:nvPicPr>
                                        <pic:blipFill>
                                          <a:blip r:embed="rId191"/>
                                          <a:stretch>
                                            <a:fillRect/>
                                          </a:stretch>
                                        </pic:blipFill>
                                        <pic:spPr bwMode="auto">
                                          <a:xfrm>
                                            <a:off x="0" y="0"/>
                                            <a:ext cx="447675" cy="161925"/>
                                          </a:xfrm>
                                          <a:prstGeom prst="rect">
                                            <a:avLst/>
                                          </a:prstGeom>
                                        </pic:spPr>
                                      </pic:pic>
                                    </a:graphicData>
                                  </a:graphic>
                                </wp:inline>
                              </w:drawing>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312" w:before="0" w:after="240"/>
        <w:jc w:val="left"/>
        <w:rPr>
          <w:rFonts w:ascii="Arial;sans-serif" w:hAnsi="Arial;sans-serif"/>
          <w:b/>
          <w:color w:val="004C97"/>
          <w:sz w:val="42"/>
        </w:rPr>
      </w:pPr>
      <w:r>
        <w:rPr>
          <w:rFonts w:ascii="Arial;sans-serif" w:hAnsi="Arial;sans-serif"/>
          <w:b/>
          <w:color w:val="004C97"/>
          <w:sz w:val="42"/>
        </w:rPr>
        <w:t xml:space="preserve">APPENDIX C – AMENDMENT TO OUR CERTIFICATE OF INCORPORATION TO ADD A DELAWARE FORUM SELECTION PROVISION FOR CERTAIN LEGAL ACTIONS </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The Company’s Certificate of Incorporation is amended by adding the following as an additional article:</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SIXTEENTH. Unless the Corporation consents in writing to the selection of an alternative forum, (i) any derivative action or proceeding brought on behalf of the Corporation, (ii) any action or proceeding asserting a claim of breach of a fiduciary duty owed by any current or former director, officer, other employee or agent, or stockholder of the Corporation to the Corporation or the Corporation’s stockholders, creditors or other constituents, including a claim alleging the aiding and abetting of such a breach of fiduciary duty, (iii) any action or proceeding asserting a claim against the Corporation or any current or former director, officer or other employee or agent of the Corporation arising pursuant to, or seeking to enforce any right, obligation or other remedy under, any provision of the DGCL* or this Certificate of Incorporation or the By-laws of the Corporation, as any of the foregoing may be amended or restated from time to time; (iv) any action or proceeding seeking to interpret, apply, enforce or determine the validity of any provision of this Certificate of Incorporation or the By-Laws of the Corporation, as either may be amended from time to time; or (v) any action or proceeding asserting a claim governed by the internal affairs doctrine of the State of Delaware; or (vi) any action asserting an “internal corporate claim” as that term is defined in Section 115 of the DGCL; or (vii) any action or proceeding as to which the DGCL confers jurisdiction on the Court of Chancery of the State of Delaware, shall be solely and exclusively brought in the Court of Chancery of the State of Delaware (or, if the Delaware Court of Chancery in the State of Delaware determines that it lacks jurisdiction over any such action or proceeding, another state or federal court located within the State of Delaware). Any person or entity purchasing or otherwise acquiring or holding any interest in shares of capital stock of the Corporation shall be deemed to have notice of and consented to the provisions of this Article SIXTEENTH.</w:t>
      </w:r>
    </w:p>
    <w:p>
      <w:pPr>
        <w:pStyle w:val="TextBody"/>
        <w:bidi w:val="0"/>
        <w:spacing w:lineRule="auto" w:line="319" w:before="0" w:after="180"/>
        <w:jc w:val="both"/>
        <w:rPr>
          <w:rFonts w:ascii="Arial;sans-serif" w:hAnsi="Arial;sans-serif"/>
          <w:b w:val="false"/>
          <w:color w:val="000000"/>
          <w:sz w:val="20"/>
        </w:rPr>
      </w:pPr>
      <w:r>
        <w:rPr>
          <w:rFonts w:ascii="Arial;sans-serif" w:hAnsi="Arial;sans-serif"/>
          <w:b w:val="false"/>
          <w:color w:val="000000"/>
          <w:sz w:val="20"/>
        </w:rPr>
        <w:t>______________________________</w:t>
      </w:r>
    </w:p>
    <w:p>
      <w:pPr>
        <w:pStyle w:val="TextBody"/>
        <w:bidi w:val="0"/>
        <w:spacing w:lineRule="auto" w:line="288" w:before="0" w:after="180"/>
        <w:ind w:left="0" w:right="0" w:hanging="108"/>
        <w:jc w:val="both"/>
        <w:rPr>
          <w:rFonts w:ascii="Arial;sans-serif" w:hAnsi="Arial;sans-serif"/>
          <w:b w:val="false"/>
          <w:color w:val="000000"/>
          <w:sz w:val="18"/>
        </w:rPr>
      </w:pPr>
      <w:r>
        <w:rPr>
          <w:rFonts w:ascii="Arial;sans-serif" w:hAnsi="Arial;sans-serif"/>
          <w:b w:val="false"/>
          <w:color w:val="000000"/>
          <w:sz w:val="18"/>
        </w:rPr>
        <w:t>* If the Officer Exculpation Amendment is not approved by the stockholders at the Annual Meeting or is otherwise not effected, this reference to “DGCL” shall be replaced with “General Corporation Law of the State of Delaware (the “DGCL”)”.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739140"/>
                <wp:effectExtent l="0" t="0" r="0" b="0"/>
                <wp:wrapNone/>
                <wp:docPr id="273" name="Frame83"/>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292" w:type="dxa"/>
                              <w:jc w:val="right"/>
                              <w:tblInd w:w="0" w:type="dxa"/>
                              <w:tblLayout w:type="fixed"/>
                              <w:tblCellMar>
                                <w:top w:w="28" w:type="dxa"/>
                                <w:left w:w="28" w:type="dxa"/>
                                <w:bottom w:w="28" w:type="dxa"/>
                                <w:right w:w="28" w:type="dxa"/>
                              </w:tblCellMar>
                            </w:tblPr>
                            <w:tblGrid>
                              <w:gridCol w:w="292"/>
                              <w:gridCol w:w="256"/>
                              <w:gridCol w:w="258"/>
                              <w:gridCol w:w="704"/>
                              <w:gridCol w:w="704"/>
                              <w:gridCol w:w="706"/>
                              <w:gridCol w:w="109"/>
                              <w:gridCol w:w="109"/>
                              <w:gridCol w:w="154"/>
                            </w:tblGrid>
                            <w:tr>
                              <w:trPr/>
                              <w:tc>
                                <w:tcPr>
                                  <w:tcW w:w="29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0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274" name="Image1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4" name="Image115" descr=""/>
                                                <pic:cNvPicPr>
                                                  <a:picLocks noChangeAspect="1" noChangeArrowheads="1"/>
                                                </pic:cNvPicPr>
                                              </pic:nvPicPr>
                                              <pic:blipFill>
                                                <a:blip r:embed="rId192"/>
                                                <a:stretch>
                                                  <a:fillRect/>
                                                </a:stretch>
                                              </pic:blipFill>
                                              <pic:spPr bwMode="auto">
                                                <a:xfrm>
                                                  <a:off x="0" y="0"/>
                                                  <a:ext cx="447675" cy="161925"/>
                                                </a:xfrm>
                                                <a:prstGeom prst="rect">
                                                  <a:avLst/>
                                                </a:prstGeom>
                                              </pic:spPr>
                                            </pic:pic>
                                          </a:graphicData>
                                        </a:graphic>
                                      </wp:inline>
                                    </w:drawing>
                                  </w:r>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2024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000000"/>
                                      <w:sz w:val="16"/>
                                    </w:rPr>
                                  </w:pPr>
                                  <w:r>
                                    <w:rPr>
                                      <w:rFonts w:ascii="Arial;sans-serif" w:hAnsi="Arial;sans-serif"/>
                                      <w:b/>
                                      <w:color w:val="000000"/>
                                      <w:sz w:val="16"/>
                                    </w:rPr>
                                    <w:t>77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292" w:type="dxa"/>
                        <w:jc w:val="right"/>
                        <w:tblInd w:w="0" w:type="dxa"/>
                        <w:tblLayout w:type="fixed"/>
                        <w:tblCellMar>
                          <w:top w:w="28" w:type="dxa"/>
                          <w:left w:w="28" w:type="dxa"/>
                          <w:bottom w:w="28" w:type="dxa"/>
                          <w:right w:w="28" w:type="dxa"/>
                        </w:tblCellMar>
                      </w:tblPr>
                      <w:tblGrid>
                        <w:gridCol w:w="292"/>
                        <w:gridCol w:w="256"/>
                        <w:gridCol w:w="258"/>
                        <w:gridCol w:w="704"/>
                        <w:gridCol w:w="704"/>
                        <w:gridCol w:w="706"/>
                        <w:gridCol w:w="109"/>
                        <w:gridCol w:w="109"/>
                        <w:gridCol w:w="154"/>
                      </w:tblGrid>
                      <w:tr>
                        <w:trPr/>
                        <w:tc>
                          <w:tcPr>
                            <w:tcW w:w="29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0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275" name="Image1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5" name="Image115" descr=""/>
                                          <pic:cNvPicPr>
                                            <a:picLocks noChangeAspect="1" noChangeArrowheads="1"/>
                                          </pic:cNvPicPr>
                                        </pic:nvPicPr>
                                        <pic:blipFill>
                                          <a:blip r:embed="rId193"/>
                                          <a:stretch>
                                            <a:fillRect/>
                                          </a:stretch>
                                        </pic:blipFill>
                                        <pic:spPr bwMode="auto">
                                          <a:xfrm>
                                            <a:off x="0" y="0"/>
                                            <a:ext cx="447675" cy="161925"/>
                                          </a:xfrm>
                                          <a:prstGeom prst="rect">
                                            <a:avLst/>
                                          </a:prstGeom>
                                        </pic:spPr>
                                      </pic:pic>
                                    </a:graphicData>
                                  </a:graphic>
                                </wp:inline>
                              </w:drawing>
                            </w:r>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2024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000000"/>
                                <w:sz w:val="16"/>
                              </w:rPr>
                            </w:pPr>
                            <w:r>
                              <w:rPr>
                                <w:rFonts w:ascii="Arial;sans-serif" w:hAnsi="Arial;sans-serif"/>
                                <w:b/>
                                <w:color w:val="000000"/>
                                <w:sz w:val="16"/>
                              </w:rPr>
                              <w:t>77</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312" w:before="0" w:after="240"/>
        <w:jc w:val="left"/>
        <w:rPr>
          <w:rFonts w:ascii="Arial;sans-serif" w:hAnsi="Arial;sans-serif"/>
          <w:b/>
          <w:color w:val="004C97"/>
          <w:sz w:val="42"/>
        </w:rPr>
      </w:pPr>
      <w:r>
        <w:rPr>
          <w:rFonts w:ascii="Arial;sans-serif" w:hAnsi="Arial;sans-serif"/>
          <w:b/>
          <w:color w:val="004C97"/>
          <w:sz w:val="42"/>
        </w:rPr>
        <w:t xml:space="preserve">APPENDIX D – AMENDMENT TO OUR CERTIFICATE OF INCORPORATION TO ADD A FEDERAL FORUM SELECTION PROVISION FOR CLAIMS UNDER THE SECURITIES ACT </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The Company’s Certificate of Incorporation is amended by adding the following as an additional article:</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SEVENTEENTH.* Unless the Corporation consents in writing to the selection of an alternative forum, the federal courts of the United States of America shall be the exclusive forum for the resolution of any complaint asserting a cause of action arising under the Securities Act of 1933, as amended. Any person or entity purchasing or otherwise acquiring any interest in any security of the Corporation shall be deemed to have notice of and consented to this provision.</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_________________________</w:t>
      </w:r>
    </w:p>
    <w:p>
      <w:pPr>
        <w:pStyle w:val="TextBody"/>
        <w:bidi w:val="0"/>
        <w:spacing w:lineRule="auto" w:line="288" w:before="0" w:after="180"/>
        <w:ind w:left="0" w:right="0" w:hanging="108"/>
        <w:jc w:val="both"/>
        <w:rPr>
          <w:rFonts w:ascii="Arial;sans-serif" w:hAnsi="Arial;sans-serif"/>
          <w:b w:val="false"/>
          <w:color w:val="000000"/>
          <w:sz w:val="18"/>
        </w:rPr>
      </w:pPr>
      <w:r>
        <w:rPr>
          <w:rFonts w:ascii="Arial;sans-serif" w:hAnsi="Arial;sans-serif"/>
          <w:b w:val="false"/>
          <w:color w:val="000000"/>
          <w:sz w:val="18"/>
        </w:rPr>
        <w:t>*    If the Delaware Forum Selection Amendment is not approved by the stockholders at the Annual Meeting or is otherwise not effected, this article shall be renumbered as “SIXTEENTH”.</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739140"/>
                <wp:effectExtent l="0" t="0" r="0" b="0"/>
                <wp:wrapNone/>
                <wp:docPr id="276" name="Frame84"/>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292" w:type="dxa"/>
                              <w:jc w:val="left"/>
                              <w:tblInd w:w="0" w:type="dxa"/>
                              <w:tblLayout w:type="fixed"/>
                              <w:tblCellMar>
                                <w:top w:w="28" w:type="dxa"/>
                                <w:left w:w="28" w:type="dxa"/>
                                <w:bottom w:w="28" w:type="dxa"/>
                                <w:right w:w="28" w:type="dxa"/>
                              </w:tblCellMar>
                            </w:tblPr>
                            <w:tblGrid>
                              <w:gridCol w:w="124"/>
                              <w:gridCol w:w="109"/>
                              <w:gridCol w:w="109"/>
                              <w:gridCol w:w="704"/>
                              <w:gridCol w:w="704"/>
                              <w:gridCol w:w="706"/>
                              <w:gridCol w:w="244"/>
                              <w:gridCol w:w="244"/>
                              <w:gridCol w:w="34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6"/>
                                    </w:rPr>
                                  </w:pPr>
                                  <w:r>
                                    <w:rPr>
                                      <w:rFonts w:ascii="Arial;sans-serif" w:hAnsi="Arial;sans-serif"/>
                                      <w:b/>
                                      <w:color w:val="000000"/>
                                      <w:sz w:val="16"/>
                                    </w:rPr>
                                    <w:t>78</w:t>
                                  </w:r>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2024 PROXY STATEMENT</w:t>
                                  </w:r>
                                </w:p>
                              </w:tc>
                              <w:tc>
                                <w:tcPr>
                                  <w:tcW w:w="83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277" name="Image1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7" name="Image116" descr=""/>
                                                <pic:cNvPicPr>
                                                  <a:picLocks noChangeAspect="1" noChangeArrowheads="1"/>
                                                </pic:cNvPicPr>
                                              </pic:nvPicPr>
                                              <pic:blipFill>
                                                <a:blip r:embed="rId194"/>
                                                <a:stretch>
                                                  <a:fillRect/>
                                                </a:stretch>
                                              </pic:blipFill>
                                              <pic:spPr bwMode="auto">
                                                <a:xfrm>
                                                  <a:off x="0" y="0"/>
                                                  <a:ext cx="447675" cy="161925"/>
                                                </a:xfrm>
                                                <a:prstGeom prst="rect">
                                                  <a:avLst/>
                                                </a:prstGeom>
                                              </pic:spPr>
                                            </pic:pic>
                                          </a:graphicData>
                                        </a:graphic>
                                      </wp:inline>
                                    </w:drawing>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292" w:type="dxa"/>
                        <w:jc w:val="left"/>
                        <w:tblInd w:w="0" w:type="dxa"/>
                        <w:tblLayout w:type="fixed"/>
                        <w:tblCellMar>
                          <w:top w:w="28" w:type="dxa"/>
                          <w:left w:w="28" w:type="dxa"/>
                          <w:bottom w:w="28" w:type="dxa"/>
                          <w:right w:w="28" w:type="dxa"/>
                        </w:tblCellMar>
                      </w:tblPr>
                      <w:tblGrid>
                        <w:gridCol w:w="124"/>
                        <w:gridCol w:w="109"/>
                        <w:gridCol w:w="109"/>
                        <w:gridCol w:w="704"/>
                        <w:gridCol w:w="704"/>
                        <w:gridCol w:w="706"/>
                        <w:gridCol w:w="244"/>
                        <w:gridCol w:w="244"/>
                        <w:gridCol w:w="34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6"/>
                              </w:rPr>
                            </w:pPr>
                            <w:r>
                              <w:rPr>
                                <w:rFonts w:ascii="Arial;sans-serif" w:hAnsi="Arial;sans-serif"/>
                                <w:b/>
                                <w:color w:val="000000"/>
                                <w:sz w:val="16"/>
                              </w:rPr>
                              <w:t>78</w:t>
                            </w:r>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2024 PROXY STATEMENT</w:t>
                            </w:r>
                          </w:p>
                        </w:tc>
                        <w:tc>
                          <w:tcPr>
                            <w:tcW w:w="83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278" name="Image1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8" name="Image116" descr=""/>
                                          <pic:cNvPicPr>
                                            <a:picLocks noChangeAspect="1" noChangeArrowheads="1"/>
                                          </pic:cNvPicPr>
                                        </pic:nvPicPr>
                                        <pic:blipFill>
                                          <a:blip r:embed="rId195"/>
                                          <a:stretch>
                                            <a:fillRect/>
                                          </a:stretch>
                                        </pic:blipFill>
                                        <pic:spPr bwMode="auto">
                                          <a:xfrm>
                                            <a:off x="0" y="0"/>
                                            <a:ext cx="447675" cy="161925"/>
                                          </a:xfrm>
                                          <a:prstGeom prst="rect">
                                            <a:avLst/>
                                          </a:prstGeom>
                                        </pic:spPr>
                                      </pic:pic>
                                    </a:graphicData>
                                  </a:graphic>
                                </wp:inline>
                              </w:drawing>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312" w:before="0" w:after="240"/>
        <w:jc w:val="left"/>
        <w:rPr>
          <w:rFonts w:ascii="Arial;sans-serif" w:hAnsi="Arial;sans-serif"/>
          <w:b/>
          <w:color w:val="004C97"/>
          <w:sz w:val="42"/>
        </w:rPr>
      </w:pPr>
      <w:r>
        <w:rPr>
          <w:rFonts w:ascii="Arial;sans-serif" w:hAnsi="Arial;sans-serif"/>
          <w:b/>
          <w:color w:val="004C97"/>
          <w:sz w:val="42"/>
        </w:rPr>
        <w:t>APPENDIX E – RECONCILIATION OF GAAP TO NON-GAAP FINANCIAL MEASURES</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The accompanying Proxy Statement includes presentations of adjusted revenue, adjusted net income, adjusted earnings per share, adjusted operating income, consolidated segment income, consolidated segment income margin, free cash flow, adjusted free cash flow, EBITDA, and adjusted EBITDA, which measures are not amounts presented in accordance with accounting principles generally accepted in the United States (“GAAP”). These non-GAAP financial measures exclude certain non-cash items and acquisition and strategic/transformation related costs, among other items. The operating results of T. A. Morrison &amp; Co. Inc. (“TAMCO”) and ASPEQ Heating Group (“ASPEQ”), foreign currency impacts, annual incentive expense, and certain other non-recurring items have been excluded from the annual incentive targets and the results for annual incentive purposes in 2023. This appendix to the Proxy Statement includes reconciliations of the amounts of these non-GAAP financial measures with the most comparable measures determined in accordance with GAAP and other important information regarding non-GAAP financial measures.</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These non-GAAP financial measures do not provide investors with an accurate measure of, and should not be used as a substitute for, the comparable GAAP financial measures. Certain of these non-GAAP financial measures are applied as the measures of performance evaluated under the Company’s annual short-term incentive plan. The Company believes the presented non-GAAP financial measures, when read in conjunction with the comparable GAAP financial measures, give investors a useful tool to assess and understand the Company’s overall financial performance, because they exclude items of income or expense that the Company believes are not reflective of its ongoing operating performance, allowing for a better period-to-period comparison of operations of the Company. Additionally, the Company’s management uses these non-GAAP financial measures as measures of the Company’s performance. The Company acknowledges that there are many items that impact a company’s reported results and the adjustments reflected in these non-GAAP measures are not intended to present all items that may have impacted these results. In addition, these non-GAAP measures are not necessarily comparable to similarly titled measures used by other companies.</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The Proxy Statement includes guidance with respect to adjusted earnings per share, which is derived from adjusted net income. These non-GAAP financial measures excludes items, which would be included in our GAAP financial measures, that we do not consider indicative of our on-going performance; and are calculated in a manner consistent with the presentation of the similarly titled historical non-GAAP measures presented in this appendix. These items include, but are not limited to, acquisition-related costs, costs associated with dispositions, and potential non-cash income or expense items associated with changes in market interest rates and actuarial or other data related to our pension and postretirement plans, as the ultimate aggregate amounts associated with these items are out of our control and/or cannot be reasonably predicted. Accordingly, a reconciliation of our non-GAAP financial guidance to the most comparable GAAP financial measures is not practicable and therefore is not included in this appendix. Such full-year guidance for 2024 excludes impacts from future acquisitions, dispositions and related transaction costs, incremental impacts of tariffs and trade tensions on market demand and costs subsequent to the end of 2023, the impact of foreign exchange rate changes subsequent to the end of 2023, changes in the number of shares outstanding subsequent to the end of 2023 and any environmental and litigation charges.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739140"/>
                <wp:effectExtent l="0" t="0" r="0" b="0"/>
                <wp:wrapNone/>
                <wp:docPr id="279" name="Frame85"/>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292" w:type="dxa"/>
                              <w:jc w:val="right"/>
                              <w:tblInd w:w="0" w:type="dxa"/>
                              <w:tblLayout w:type="fixed"/>
                              <w:tblCellMar>
                                <w:top w:w="28" w:type="dxa"/>
                                <w:left w:w="28" w:type="dxa"/>
                                <w:bottom w:w="28" w:type="dxa"/>
                                <w:right w:w="28" w:type="dxa"/>
                              </w:tblCellMar>
                            </w:tblPr>
                            <w:tblGrid>
                              <w:gridCol w:w="292"/>
                              <w:gridCol w:w="256"/>
                              <w:gridCol w:w="258"/>
                              <w:gridCol w:w="704"/>
                              <w:gridCol w:w="704"/>
                              <w:gridCol w:w="706"/>
                              <w:gridCol w:w="109"/>
                              <w:gridCol w:w="109"/>
                              <w:gridCol w:w="154"/>
                            </w:tblGrid>
                            <w:tr>
                              <w:trPr/>
                              <w:tc>
                                <w:tcPr>
                                  <w:tcW w:w="29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0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280" name="Image1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0" name="Image117" descr=""/>
                                                <pic:cNvPicPr>
                                                  <a:picLocks noChangeAspect="1" noChangeArrowheads="1"/>
                                                </pic:cNvPicPr>
                                              </pic:nvPicPr>
                                              <pic:blipFill>
                                                <a:blip r:embed="rId196"/>
                                                <a:stretch>
                                                  <a:fillRect/>
                                                </a:stretch>
                                              </pic:blipFill>
                                              <pic:spPr bwMode="auto">
                                                <a:xfrm>
                                                  <a:off x="0" y="0"/>
                                                  <a:ext cx="447675" cy="161925"/>
                                                </a:xfrm>
                                                <a:prstGeom prst="rect">
                                                  <a:avLst/>
                                                </a:prstGeom>
                                              </pic:spPr>
                                            </pic:pic>
                                          </a:graphicData>
                                        </a:graphic>
                                      </wp:inline>
                                    </w:drawing>
                                  </w:r>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2024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000000"/>
                                      <w:sz w:val="16"/>
                                    </w:rPr>
                                  </w:pPr>
                                  <w:r>
                                    <w:rPr>
                                      <w:rFonts w:ascii="Arial;sans-serif" w:hAnsi="Arial;sans-serif"/>
                                      <w:b/>
                                      <w:color w:val="000000"/>
                                      <w:sz w:val="16"/>
                                    </w:rPr>
                                    <w:t>79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292" w:type="dxa"/>
                        <w:jc w:val="right"/>
                        <w:tblInd w:w="0" w:type="dxa"/>
                        <w:tblLayout w:type="fixed"/>
                        <w:tblCellMar>
                          <w:top w:w="28" w:type="dxa"/>
                          <w:left w:w="28" w:type="dxa"/>
                          <w:bottom w:w="28" w:type="dxa"/>
                          <w:right w:w="28" w:type="dxa"/>
                        </w:tblCellMar>
                      </w:tblPr>
                      <w:tblGrid>
                        <w:gridCol w:w="292"/>
                        <w:gridCol w:w="256"/>
                        <w:gridCol w:w="258"/>
                        <w:gridCol w:w="704"/>
                        <w:gridCol w:w="704"/>
                        <w:gridCol w:w="706"/>
                        <w:gridCol w:w="109"/>
                        <w:gridCol w:w="109"/>
                        <w:gridCol w:w="154"/>
                      </w:tblGrid>
                      <w:tr>
                        <w:trPr/>
                        <w:tc>
                          <w:tcPr>
                            <w:tcW w:w="29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0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281" name="Image1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1" name="Image117" descr=""/>
                                          <pic:cNvPicPr>
                                            <a:picLocks noChangeAspect="1" noChangeArrowheads="1"/>
                                          </pic:cNvPicPr>
                                        </pic:nvPicPr>
                                        <pic:blipFill>
                                          <a:blip r:embed="rId197"/>
                                          <a:stretch>
                                            <a:fillRect/>
                                          </a:stretch>
                                        </pic:blipFill>
                                        <pic:spPr bwMode="auto">
                                          <a:xfrm>
                                            <a:off x="0" y="0"/>
                                            <a:ext cx="447675" cy="161925"/>
                                          </a:xfrm>
                                          <a:prstGeom prst="rect">
                                            <a:avLst/>
                                          </a:prstGeom>
                                        </pic:spPr>
                                      </pic:pic>
                                    </a:graphicData>
                                  </a:graphic>
                                </wp:inline>
                              </w:drawing>
                            </w:r>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2024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000000"/>
                                <w:sz w:val="16"/>
                              </w:rPr>
                            </w:pPr>
                            <w:r>
                              <w:rPr>
                                <w:rFonts w:ascii="Arial;sans-serif" w:hAnsi="Arial;sans-serif"/>
                                <w:b/>
                                <w:color w:val="000000"/>
                                <w:sz w:val="16"/>
                              </w:rPr>
                              <w:t>79</w:t>
                            </w:r>
                          </w:p>
                        </w:tc>
                      </w:tr>
                    </w:tbl>
                    <w:p>
                      <w:pPr>
                        <w:pStyle w:val="TextBody"/>
                        <w:bidi w:val="0"/>
                        <w:spacing w:before="0" w:after="283"/>
                        <w:jc w:val="left"/>
                        <w:rPr/>
                      </w:pPr>
                      <w:r>
                        <w:rPr/>
                      </w:r>
                    </w:p>
                  </w:txbxContent>
                </v:textbox>
                <w10:wrap type="none"/>
              </v:rect>
            </w:pict>
          </mc:Fallback>
        </mc:AlternateContent>
      </w:r>
    </w:p>
    <w:tbl>
      <w:tblPr>
        <w:tblW w:w="1124" w:type="dxa"/>
        <w:jc w:val="right"/>
        <w:tblInd w:w="0" w:type="dxa"/>
        <w:tblLayout w:type="fixed"/>
        <w:tblCellMar>
          <w:top w:w="28" w:type="dxa"/>
          <w:left w:w="28" w:type="dxa"/>
          <w:bottom w:w="28" w:type="dxa"/>
          <w:right w:w="28" w:type="dxa"/>
        </w:tblCellMar>
      </w:tblPr>
      <w:tblGrid>
        <w:gridCol w:w="359"/>
        <w:gridCol w:w="316"/>
        <w:gridCol w:w="449"/>
      </w:tblGrid>
      <w:tr>
        <w:trPr/>
        <w:tc>
          <w:tcPr>
            <w:tcW w:w="35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r>
      <w:tr>
        <w:trPr/>
        <w:tc>
          <w:tcPr>
            <w:tcW w:w="1124" w:type="dxa"/>
            <w:gridSpan w:val="3"/>
            <w:tcBorders>
              <w:bottom w:val="single" w:sz="4" w:space="0" w:color="004C97"/>
            </w:tcBorders>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4C97"/>
                <w:sz w:val="16"/>
              </w:rPr>
            </w:pPr>
            <w:r>
              <w:rPr>
                <w:rFonts w:ascii="Arial;sans-serif" w:hAnsi="Arial;sans-serif"/>
                <w:b w:val="false"/>
                <w:color w:val="004C97"/>
                <w:sz w:val="16"/>
              </w:rPr>
              <w:t>APPENDIX E</w:t>
            </w:r>
          </w:p>
        </w:tc>
      </w:tr>
    </w:tbl>
    <w:p>
      <w:pPr>
        <w:pStyle w:val="TextBody"/>
        <w:bidi w:val="0"/>
        <w:spacing w:lineRule="auto" w:line="288" w:before="0" w:after="0"/>
        <w:jc w:val="left"/>
        <w:rPr>
          <w:rFonts w:ascii="Arial;sans-serif" w:hAnsi="Arial;sans-serif"/>
          <w:b w:val="false"/>
          <w:color w:val="000000"/>
          <w:sz w:val="32"/>
        </w:rPr>
      </w:pPr>
      <w:r>
        <w:rPr>
          <w:rFonts w:ascii="Arial;sans-serif" w:hAnsi="Arial;sans-serif"/>
          <w:b w:val="false"/>
          <w:color w:val="000000"/>
          <w:sz w:val="32"/>
        </w:rPr>
        <w:t>Adjusted Revenue</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9482" w:type="dxa"/>
        <w:jc w:val="left"/>
        <w:tblInd w:w="0" w:type="dxa"/>
        <w:tblLayout w:type="fixed"/>
        <w:tblCellMar>
          <w:top w:w="28" w:type="dxa"/>
          <w:left w:w="28" w:type="dxa"/>
          <w:bottom w:w="28" w:type="dxa"/>
          <w:right w:w="28" w:type="dxa"/>
        </w:tblCellMar>
      </w:tblPr>
      <w:tblGrid>
        <w:gridCol w:w="1960"/>
        <w:gridCol w:w="1722"/>
        <w:gridCol w:w="1732"/>
        <w:gridCol w:w="320"/>
        <w:gridCol w:w="1153"/>
        <w:gridCol w:w="178"/>
        <w:gridCol w:w="320"/>
        <w:gridCol w:w="1153"/>
        <w:gridCol w:w="178"/>
        <w:gridCol w:w="224"/>
        <w:gridCol w:w="224"/>
        <w:gridCol w:w="318"/>
      </w:tblGrid>
      <w:tr>
        <w:trPr/>
        <w:tc>
          <w:tcPr>
            <w:tcW w:w="1960" w:type="dxa"/>
            <w:tcBorders/>
            <w:vAlign w:val="center"/>
          </w:tcPr>
          <w:p>
            <w:pPr>
              <w:pStyle w:val="TableContents"/>
              <w:bidi w:val="0"/>
              <w:spacing w:before="0" w:after="283"/>
              <w:jc w:val="left"/>
              <w:rPr>
                <w:sz w:val="4"/>
                <w:szCs w:val="4"/>
              </w:rPr>
            </w:pPr>
            <w:r>
              <w:rPr>
                <w:sz w:val="4"/>
                <w:szCs w:val="4"/>
              </w:rPr>
            </w:r>
          </w:p>
        </w:tc>
        <w:tc>
          <w:tcPr>
            <w:tcW w:w="1722" w:type="dxa"/>
            <w:tcBorders/>
            <w:vAlign w:val="center"/>
          </w:tcPr>
          <w:p>
            <w:pPr>
              <w:pStyle w:val="TableContents"/>
              <w:bidi w:val="0"/>
              <w:spacing w:before="0" w:after="283"/>
              <w:jc w:val="left"/>
              <w:rPr>
                <w:sz w:val="4"/>
                <w:szCs w:val="4"/>
              </w:rPr>
            </w:pPr>
            <w:r>
              <w:rPr>
                <w:sz w:val="4"/>
                <w:szCs w:val="4"/>
              </w:rPr>
            </w:r>
          </w:p>
        </w:tc>
        <w:tc>
          <w:tcPr>
            <w:tcW w:w="1732"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r>
      <w:tr>
        <w:trPr/>
        <w:tc>
          <w:tcPr>
            <w:tcW w:w="9482" w:type="dxa"/>
            <w:gridSpan w:val="12"/>
            <w:tcBorders>
              <w:top w:val="single" w:sz="4" w:space="0" w:color="000000"/>
              <w:left w:val="single" w:sz="4" w:space="0" w:color="000000"/>
              <w:right w:val="single" w:sz="4" w:space="0" w:color="000000"/>
            </w:tcBorders>
            <w:shd w:fill="004C97" w:val="clear"/>
            <w:tcMar>
              <w:top w:w="30" w:type="dxa"/>
              <w:bottom w:w="0" w:type="dxa"/>
            </w:tcMar>
            <w:vAlign w:val="center"/>
          </w:tcPr>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 xml:space="preserve">SPX TECHNOLOGIES, INC. AND SUBSIDIARIES </w:t>
            </w:r>
          </w:p>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 xml:space="preserve">NON-GAAP RECONCILIATION - ADJUSTED REVENUE </w:t>
            </w:r>
          </w:p>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(Unaudited; in millions)</w:t>
            </w:r>
          </w:p>
        </w:tc>
      </w:tr>
      <w:tr>
        <w:trPr/>
        <w:tc>
          <w:tcPr>
            <w:tcW w:w="5414" w:type="dxa"/>
            <w:gridSpan w:val="3"/>
            <w:tcBorders>
              <w:top w:val="single" w:sz="4" w:space="0" w:color="000000"/>
              <w:left w:val="single" w:sz="4" w:space="0" w:color="000000"/>
            </w:tcBorders>
            <w:shd w:fill="004C97" w:val="clear"/>
            <w:tcMar>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3"/>
            <w:tcBorders>
              <w:top w:val="single" w:sz="4" w:space="0" w:color="000000"/>
              <w:left w:val="single" w:sz="4" w:space="0" w:color="000000"/>
            </w:tcBorders>
            <w:shd w:fill="004C97" w:val="clear"/>
            <w:tcMar>
              <w:top w:w="30" w:type="dxa"/>
              <w:bottom w:w="0" w:type="dxa"/>
              <w:right w:w="0" w:type="dxa"/>
            </w:tcMar>
            <w:vAlign w:val="center"/>
          </w:tcPr>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2023</w:t>
            </w:r>
          </w:p>
        </w:tc>
        <w:tc>
          <w:tcPr>
            <w:tcW w:w="1651" w:type="dxa"/>
            <w:gridSpan w:val="3"/>
            <w:tcBorders>
              <w:top w:val="single" w:sz="4" w:space="0" w:color="000000"/>
              <w:left w:val="single" w:sz="4" w:space="0" w:color="000000"/>
            </w:tcBorders>
            <w:shd w:fill="004C97" w:val="clear"/>
            <w:tcMar>
              <w:top w:w="30" w:type="dxa"/>
              <w:bottom w:w="0" w:type="dxa"/>
              <w:right w:w="0" w:type="dxa"/>
            </w:tcMar>
            <w:vAlign w:val="center"/>
          </w:tcPr>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2022</w:t>
            </w:r>
          </w:p>
        </w:tc>
        <w:tc>
          <w:tcPr>
            <w:tcW w:w="766" w:type="dxa"/>
            <w:gridSpan w:val="3"/>
            <w:tcBorders>
              <w:top w:val="single" w:sz="4" w:space="0" w:color="000000"/>
              <w:left w:val="single" w:sz="4" w:space="0" w:color="000000"/>
              <w:right w:val="single" w:sz="4" w:space="0" w:color="000000"/>
            </w:tcBorders>
            <w:shd w:fill="004C97" w:val="clear"/>
            <w:tcMar>
              <w:top w:w="30" w:type="dxa"/>
              <w:bottom w:w="0" w:type="dxa"/>
            </w:tcMar>
            <w:vAlign w:val="center"/>
          </w:tcPr>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 xml:space="preserve">% </w:t>
            </w:r>
          </w:p>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Change</w:t>
            </w:r>
          </w:p>
        </w:tc>
      </w:tr>
      <w:tr>
        <w:trPr/>
        <w:tc>
          <w:tcPr>
            <w:tcW w:w="5414" w:type="dxa"/>
            <w:gridSpan w:val="3"/>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Consolidated revenue</w:t>
            </w:r>
          </w:p>
        </w:tc>
        <w:tc>
          <w:tcPr>
            <w:tcW w:w="320" w:type="dxa"/>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1153" w:type="dxa"/>
            <w:tcBorders>
              <w:top w:val="single" w:sz="4" w:space="0" w:color="000000"/>
            </w:tcBorders>
            <w:shd w:fill="E6E7E8"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1,741.2 </w:t>
            </w:r>
          </w:p>
        </w:tc>
        <w:tc>
          <w:tcPr>
            <w:tcW w:w="178" w:type="dxa"/>
            <w:tcBorders>
              <w:top w:val="single" w:sz="4" w:space="0" w:color="000000"/>
            </w:tcBorders>
            <w:shd w:fill="E6E7E8"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1153" w:type="dxa"/>
            <w:tcBorders>
              <w:top w:val="single" w:sz="4" w:space="0" w:color="000000"/>
            </w:tcBorders>
            <w:shd w:fill="E6E7E8"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1,460.9 </w:t>
            </w:r>
          </w:p>
        </w:tc>
        <w:tc>
          <w:tcPr>
            <w:tcW w:w="178" w:type="dxa"/>
            <w:tcBorders>
              <w:top w:val="single" w:sz="4" w:space="0" w:color="000000"/>
            </w:tcBorders>
            <w:shd w:fill="E6E7E8"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4" w:space="0" w:color="000000"/>
              <w:left w:val="single" w:sz="4" w:space="0" w:color="000000"/>
              <w:right w:val="single" w:sz="4" w:space="0" w:color="000000"/>
            </w:tcBorders>
            <w:shd w:fill="E6E7E8" w:val="clear"/>
            <w:tcMar>
              <w:bottom w:w="0" w:type="dxa"/>
            </w:tcMar>
            <w:vAlign w:val="center"/>
          </w:tcPr>
          <w:p>
            <w:pPr>
              <w:pStyle w:val="TableContents"/>
              <w:bidi w:val="0"/>
              <w:spacing w:before="0" w:after="283"/>
              <w:jc w:val="left"/>
              <w:rPr>
                <w:sz w:val="4"/>
                <w:szCs w:val="4"/>
              </w:rPr>
            </w:pPr>
            <w:r>
              <w:rPr>
                <w:sz w:val="4"/>
                <w:szCs w:val="4"/>
              </w:rPr>
            </w:r>
          </w:p>
        </w:tc>
      </w:tr>
      <w:tr>
        <w:trPr/>
        <w:tc>
          <w:tcPr>
            <w:tcW w:w="5414" w:type="dxa"/>
            <w:gridSpan w:val="3"/>
            <w:tcBorders/>
            <w:vAlign w:val="center"/>
          </w:tcPr>
          <w:p>
            <w:pPr>
              <w:pStyle w:val="TableContents"/>
              <w:bidi w:val="0"/>
              <w:spacing w:before="0" w:after="283"/>
              <w:jc w:val="left"/>
              <w:rPr>
                <w:sz w:val="4"/>
                <w:szCs w:val="4"/>
              </w:rPr>
            </w:pPr>
            <w:r>
              <w:rPr>
                <w:sz w:val="4"/>
                <w:szCs w:val="4"/>
              </w:rPr>
            </w:r>
          </w:p>
        </w:tc>
        <w:tc>
          <w:tcPr>
            <w:tcW w:w="1651" w:type="dxa"/>
            <w:gridSpan w:val="3"/>
            <w:tcBorders/>
            <w:vAlign w:val="center"/>
          </w:tcPr>
          <w:p>
            <w:pPr>
              <w:pStyle w:val="TableContents"/>
              <w:bidi w:val="0"/>
              <w:spacing w:before="0" w:after="283"/>
              <w:jc w:val="left"/>
              <w:rPr>
                <w:sz w:val="4"/>
                <w:szCs w:val="4"/>
              </w:rPr>
            </w:pPr>
            <w:r>
              <w:rPr>
                <w:sz w:val="4"/>
                <w:szCs w:val="4"/>
              </w:rPr>
            </w:r>
          </w:p>
        </w:tc>
        <w:tc>
          <w:tcPr>
            <w:tcW w:w="1651"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r>
      <w:tr>
        <w:trPr/>
        <w:tc>
          <w:tcPr>
            <w:tcW w:w="5414" w:type="dxa"/>
            <w:gridSpan w:val="3"/>
            <w:tcBorders/>
            <w:vAlign w:val="center"/>
          </w:tcPr>
          <w:p>
            <w:pPr>
              <w:pStyle w:val="TableContents"/>
              <w:bidi w:val="0"/>
              <w:spacing w:before="0" w:after="283"/>
              <w:jc w:val="left"/>
              <w:rPr>
                <w:sz w:val="4"/>
                <w:szCs w:val="4"/>
              </w:rPr>
            </w:pPr>
            <w:r>
              <w:rPr>
                <w:sz w:val="4"/>
                <w:szCs w:val="4"/>
              </w:rPr>
            </w:r>
          </w:p>
        </w:tc>
        <w:tc>
          <w:tcPr>
            <w:tcW w:w="1651" w:type="dxa"/>
            <w:gridSpan w:val="3"/>
            <w:tcBorders/>
            <w:vAlign w:val="center"/>
          </w:tcPr>
          <w:p>
            <w:pPr>
              <w:pStyle w:val="TableContents"/>
              <w:bidi w:val="0"/>
              <w:spacing w:before="0" w:after="283"/>
              <w:jc w:val="left"/>
              <w:rPr>
                <w:sz w:val="4"/>
                <w:szCs w:val="4"/>
              </w:rPr>
            </w:pPr>
            <w:r>
              <w:rPr>
                <w:sz w:val="4"/>
                <w:szCs w:val="4"/>
              </w:rPr>
            </w:r>
          </w:p>
        </w:tc>
        <w:tc>
          <w:tcPr>
            <w:tcW w:w="1651"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r>
      <w:tr>
        <w:trPr/>
        <w:tc>
          <w:tcPr>
            <w:tcW w:w="5414" w:type="dxa"/>
            <w:gridSpan w:val="3"/>
            <w:tcBorders>
              <w:top w:val="single" w:sz="4" w:space="0" w:color="000000"/>
              <w:left w:val="single" w:sz="4" w:space="0" w:color="000000"/>
            </w:tcBorders>
            <w:shd w:fill="FFFFFF" w:val="clear"/>
            <w:tcMar>
              <w:top w:w="30" w:type="dxa"/>
              <w:left w:w="29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Exclude currency impacts and aggregate revenue for recent acquisitions</w:t>
            </w:r>
          </w:p>
        </w:tc>
        <w:tc>
          <w:tcPr>
            <w:tcW w:w="1473" w:type="dxa"/>
            <w:gridSpan w:val="2"/>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101.5 </w:t>
            </w:r>
          </w:p>
        </w:tc>
        <w:tc>
          <w:tcPr>
            <w:tcW w:w="178"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2"/>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(7.4)</w:t>
            </w:r>
          </w:p>
        </w:tc>
        <w:tc>
          <w:tcPr>
            <w:tcW w:w="178"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4" w:space="0" w:color="000000"/>
              <w:left w:val="single" w:sz="4" w:space="0" w:color="000000"/>
              <w:right w:val="single" w:sz="4" w:space="0" w:color="000000"/>
            </w:tcBorders>
            <w:shd w:fill="FFFFFF" w:val="clear"/>
            <w:tcMar>
              <w:bottom w:w="0" w:type="dxa"/>
            </w:tcMar>
            <w:vAlign w:val="center"/>
          </w:tcPr>
          <w:p>
            <w:pPr>
              <w:pStyle w:val="TableContents"/>
              <w:bidi w:val="0"/>
              <w:spacing w:before="0" w:after="283"/>
              <w:jc w:val="left"/>
              <w:rPr>
                <w:sz w:val="4"/>
                <w:szCs w:val="4"/>
              </w:rPr>
            </w:pPr>
            <w:r>
              <w:rPr>
                <w:sz w:val="4"/>
                <w:szCs w:val="4"/>
              </w:rPr>
            </w:r>
          </w:p>
        </w:tc>
      </w:tr>
      <w:tr>
        <w:trPr/>
        <w:tc>
          <w:tcPr>
            <w:tcW w:w="5414" w:type="dxa"/>
            <w:gridSpan w:val="3"/>
            <w:tcBorders>
              <w:top w:val="single" w:sz="4" w:space="0" w:color="000000"/>
              <w:left w:val="single" w:sz="4" w:space="0" w:color="000000"/>
              <w:bottom w:val="single" w:sz="4" w:space="0" w:color="000000"/>
            </w:tcBorders>
            <w:shd w:fill="E6E7E8" w:val="clear"/>
            <w:tcMar>
              <w:top w:w="30" w:type="dxa"/>
              <w:bottom w:w="3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Adjusted revenue for annual incentive purposes</w:t>
            </w:r>
          </w:p>
        </w:tc>
        <w:tc>
          <w:tcPr>
            <w:tcW w:w="320" w:type="dxa"/>
            <w:tcBorders>
              <w:top w:val="single" w:sz="8" w:space="0" w:color="000000"/>
              <w:left w:val="single" w:sz="4" w:space="0" w:color="000000"/>
              <w:bottom w:val="double" w:sz="8" w:space="0" w:color="000000"/>
            </w:tcBorders>
            <w:shd w:fill="E6E7E8" w:val="clear"/>
            <w:tcMar>
              <w:top w:w="30" w:type="dxa"/>
              <w:bottom w:w="3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w:t>
            </w:r>
          </w:p>
        </w:tc>
        <w:tc>
          <w:tcPr>
            <w:tcW w:w="1153" w:type="dxa"/>
            <w:tcBorders>
              <w:top w:val="single" w:sz="8" w:space="0" w:color="000000"/>
              <w:bottom w:val="double" w:sz="8" w:space="0" w:color="000000"/>
            </w:tcBorders>
            <w:shd w:fill="E6E7E8"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1,639.7</w:t>
            </w:r>
            <w:r>
              <w:rPr>
                <w:color w:val="000000"/>
              </w:rPr>
              <w:t> </w:t>
            </w:r>
          </w:p>
        </w:tc>
        <w:tc>
          <w:tcPr>
            <w:tcW w:w="178" w:type="dxa"/>
            <w:tcBorders>
              <w:top w:val="single" w:sz="8" w:space="0" w:color="000000"/>
              <w:bottom w:val="double" w:sz="8" w:space="0" w:color="000000"/>
            </w:tcBorders>
            <w:shd w:fill="E6E7E8"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left w:val="single" w:sz="4" w:space="0" w:color="000000"/>
              <w:bottom w:val="double" w:sz="8" w:space="0" w:color="000000"/>
            </w:tcBorders>
            <w:shd w:fill="E6E7E8" w:val="clear"/>
            <w:tcMar>
              <w:top w:w="30" w:type="dxa"/>
              <w:bottom w:w="3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w:t>
            </w:r>
          </w:p>
        </w:tc>
        <w:tc>
          <w:tcPr>
            <w:tcW w:w="1153" w:type="dxa"/>
            <w:tcBorders>
              <w:top w:val="single" w:sz="8" w:space="0" w:color="000000"/>
              <w:bottom w:val="double" w:sz="8" w:space="0" w:color="000000"/>
            </w:tcBorders>
            <w:shd w:fill="E6E7E8"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1,468.3</w:t>
            </w:r>
            <w:r>
              <w:rPr>
                <w:color w:val="000000"/>
              </w:rPr>
              <w:t> </w:t>
            </w:r>
          </w:p>
        </w:tc>
        <w:tc>
          <w:tcPr>
            <w:tcW w:w="178" w:type="dxa"/>
            <w:tcBorders>
              <w:top w:val="single" w:sz="8" w:space="0" w:color="000000"/>
              <w:bottom w:val="double" w:sz="8" w:space="0" w:color="000000"/>
            </w:tcBorders>
            <w:shd w:fill="E6E7E8"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4" w:space="0" w:color="000000"/>
              <w:left w:val="single" w:sz="4" w:space="0" w:color="000000"/>
              <w:bottom w:val="single" w:sz="4" w:space="0" w:color="000000"/>
              <w:right w:val="single" w:sz="4" w:space="0" w:color="000000"/>
            </w:tcBorders>
            <w:shd w:fill="E6E7E8" w:val="clear"/>
            <w:tcMar>
              <w:top w:w="30" w:type="dxa"/>
              <w:bottom w:w="3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11.7%</w:t>
            </w:r>
          </w:p>
        </w:tc>
      </w:tr>
    </w:tbl>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The revenue, operating income, and cash flow targets for annual incentive compensation purposes are determined at the beginning of the year based on currency exchange rates at such time. As such, the impacts of changes in currency exchange rates during the year are excluded in determining revenue, operating profit, and cash flows for annual incentive compensation purposes.</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TAMCO was acquired in April 2023 and, thus, its revenues, operating income, and cash flows were not included in the annual incentive compensation targets that were determined at the beginning of the year. In accordance with SPX’s annual short-term incentive plan, the actual revenues, operating income, and cash flows for TAMCO during the period April 2023 (time of acquisition) to December 2023 were excluded.</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ASPEQ was acquired in June 2023 and, thus, its revenues, operating income and cash flows were not included in the annual incentive compensation targets that were determined at the beginning of the year. In accordance with SPX’s annual short-term incentive plan, the actual revenues, operating income, and cash flows for ASPEQ during the period June 2023 (time of acquisition) to December 2023 were excluded.</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ITL was acquired in April 2022 and, thus, its revenues, operating income, and cash flows were not included in the annual incentive compensation targets that were determined at the beginning of the year. The actual revenues, operating incomes, and cash flows for ITL during the period April 2022 (time of acquisition) to December 2022 were not material, so the annual incentive targets for 2022 were not excluded.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739140"/>
                <wp:effectExtent l="0" t="0" r="0" b="0"/>
                <wp:wrapNone/>
                <wp:docPr id="282" name="Frame86"/>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292" w:type="dxa"/>
                              <w:jc w:val="left"/>
                              <w:tblInd w:w="0" w:type="dxa"/>
                              <w:tblLayout w:type="fixed"/>
                              <w:tblCellMar>
                                <w:top w:w="28" w:type="dxa"/>
                                <w:left w:w="28" w:type="dxa"/>
                                <w:bottom w:w="28" w:type="dxa"/>
                                <w:right w:w="28" w:type="dxa"/>
                              </w:tblCellMar>
                            </w:tblPr>
                            <w:tblGrid>
                              <w:gridCol w:w="124"/>
                              <w:gridCol w:w="109"/>
                              <w:gridCol w:w="109"/>
                              <w:gridCol w:w="704"/>
                              <w:gridCol w:w="704"/>
                              <w:gridCol w:w="706"/>
                              <w:gridCol w:w="244"/>
                              <w:gridCol w:w="244"/>
                              <w:gridCol w:w="34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6"/>
                                    </w:rPr>
                                  </w:pPr>
                                  <w:r>
                                    <w:rPr>
                                      <w:rFonts w:ascii="Arial;sans-serif" w:hAnsi="Arial;sans-serif"/>
                                      <w:b/>
                                      <w:color w:val="000000"/>
                                      <w:sz w:val="16"/>
                                    </w:rPr>
                                    <w:t>80</w:t>
                                  </w:r>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2024 PROXY STATEMENT</w:t>
                                  </w:r>
                                </w:p>
                              </w:tc>
                              <w:tc>
                                <w:tcPr>
                                  <w:tcW w:w="83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283" name="Image1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3" name="Image118" descr=""/>
                                                <pic:cNvPicPr>
                                                  <a:picLocks noChangeAspect="1" noChangeArrowheads="1"/>
                                                </pic:cNvPicPr>
                                              </pic:nvPicPr>
                                              <pic:blipFill>
                                                <a:blip r:embed="rId198"/>
                                                <a:stretch>
                                                  <a:fillRect/>
                                                </a:stretch>
                                              </pic:blipFill>
                                              <pic:spPr bwMode="auto">
                                                <a:xfrm>
                                                  <a:off x="0" y="0"/>
                                                  <a:ext cx="447675" cy="161925"/>
                                                </a:xfrm>
                                                <a:prstGeom prst="rect">
                                                  <a:avLst/>
                                                </a:prstGeom>
                                              </pic:spPr>
                                            </pic:pic>
                                          </a:graphicData>
                                        </a:graphic>
                                      </wp:inline>
                                    </w:drawing>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292" w:type="dxa"/>
                        <w:jc w:val="left"/>
                        <w:tblInd w:w="0" w:type="dxa"/>
                        <w:tblLayout w:type="fixed"/>
                        <w:tblCellMar>
                          <w:top w:w="28" w:type="dxa"/>
                          <w:left w:w="28" w:type="dxa"/>
                          <w:bottom w:w="28" w:type="dxa"/>
                          <w:right w:w="28" w:type="dxa"/>
                        </w:tblCellMar>
                      </w:tblPr>
                      <w:tblGrid>
                        <w:gridCol w:w="124"/>
                        <w:gridCol w:w="109"/>
                        <w:gridCol w:w="109"/>
                        <w:gridCol w:w="704"/>
                        <w:gridCol w:w="704"/>
                        <w:gridCol w:w="706"/>
                        <w:gridCol w:w="244"/>
                        <w:gridCol w:w="244"/>
                        <w:gridCol w:w="34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6"/>
                              </w:rPr>
                            </w:pPr>
                            <w:r>
                              <w:rPr>
                                <w:rFonts w:ascii="Arial;sans-serif" w:hAnsi="Arial;sans-serif"/>
                                <w:b/>
                                <w:color w:val="000000"/>
                                <w:sz w:val="16"/>
                              </w:rPr>
                              <w:t>80</w:t>
                            </w:r>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2024 PROXY STATEMENT</w:t>
                            </w:r>
                          </w:p>
                        </w:tc>
                        <w:tc>
                          <w:tcPr>
                            <w:tcW w:w="83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284" name="Image1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4" name="Image118" descr=""/>
                                          <pic:cNvPicPr>
                                            <a:picLocks noChangeAspect="1" noChangeArrowheads="1"/>
                                          </pic:cNvPicPr>
                                        </pic:nvPicPr>
                                        <pic:blipFill>
                                          <a:blip r:embed="rId199"/>
                                          <a:stretch>
                                            <a:fillRect/>
                                          </a:stretch>
                                        </pic:blipFill>
                                        <pic:spPr bwMode="auto">
                                          <a:xfrm>
                                            <a:off x="0" y="0"/>
                                            <a:ext cx="447675" cy="161925"/>
                                          </a:xfrm>
                                          <a:prstGeom prst="rect">
                                            <a:avLst/>
                                          </a:prstGeom>
                                        </pic:spPr>
                                      </pic:pic>
                                    </a:graphicData>
                                  </a:graphic>
                                </wp:inline>
                              </w:drawing>
                            </w:r>
                          </w:p>
                        </w:tc>
                      </w:tr>
                    </w:tbl>
                    <w:p>
                      <w:pPr>
                        <w:pStyle w:val="TextBody"/>
                        <w:bidi w:val="0"/>
                        <w:spacing w:before="0" w:after="283"/>
                        <w:jc w:val="left"/>
                        <w:rPr/>
                      </w:pPr>
                      <w:r>
                        <w:rPr/>
                      </w:r>
                    </w:p>
                  </w:txbxContent>
                </v:textbox>
                <w10:wrap type="none"/>
              </v:rect>
            </w:pict>
          </mc:Fallback>
        </mc:AlternateContent>
      </w:r>
    </w:p>
    <w:tbl>
      <w:tblPr>
        <w:tblW w:w="1124" w:type="dxa"/>
        <w:jc w:val="right"/>
        <w:tblInd w:w="0" w:type="dxa"/>
        <w:tblLayout w:type="fixed"/>
        <w:tblCellMar>
          <w:top w:w="28" w:type="dxa"/>
          <w:left w:w="28" w:type="dxa"/>
          <w:bottom w:w="28" w:type="dxa"/>
          <w:right w:w="28" w:type="dxa"/>
        </w:tblCellMar>
      </w:tblPr>
      <w:tblGrid>
        <w:gridCol w:w="359"/>
        <w:gridCol w:w="316"/>
        <w:gridCol w:w="449"/>
      </w:tblGrid>
      <w:tr>
        <w:trPr/>
        <w:tc>
          <w:tcPr>
            <w:tcW w:w="35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r>
      <w:tr>
        <w:trPr/>
        <w:tc>
          <w:tcPr>
            <w:tcW w:w="1124" w:type="dxa"/>
            <w:gridSpan w:val="3"/>
            <w:tcBorders>
              <w:bottom w:val="single" w:sz="4" w:space="0" w:color="004C97"/>
            </w:tcBorders>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4C97"/>
                <w:sz w:val="16"/>
              </w:rPr>
            </w:pPr>
            <w:r>
              <w:rPr>
                <w:rFonts w:ascii="Arial;sans-serif" w:hAnsi="Arial;sans-serif"/>
                <w:b w:val="false"/>
                <w:color w:val="004C97"/>
                <w:sz w:val="16"/>
              </w:rPr>
              <w:t>APPENDIX E</w:t>
            </w:r>
          </w:p>
        </w:tc>
      </w:tr>
    </w:tbl>
    <w:p>
      <w:pPr>
        <w:pStyle w:val="TextBody"/>
        <w:bidi w:val="0"/>
        <w:spacing w:lineRule="auto" w:line="288" w:before="0" w:after="0"/>
        <w:jc w:val="left"/>
        <w:rPr>
          <w:rFonts w:ascii="Arial;sans-serif" w:hAnsi="Arial;sans-serif"/>
          <w:b w:val="false"/>
          <w:color w:val="000000"/>
          <w:sz w:val="32"/>
        </w:rPr>
      </w:pPr>
      <w:r>
        <w:rPr>
          <w:rFonts w:ascii="Arial;sans-serif" w:hAnsi="Arial;sans-serif"/>
          <w:b w:val="false"/>
          <w:color w:val="000000"/>
          <w:sz w:val="32"/>
        </w:rPr>
        <w:t>Adjusted Net Income and Adjusted Earnings Per Share</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492"/>
        <w:gridCol w:w="1263"/>
        <w:gridCol w:w="1252"/>
        <w:gridCol w:w="596"/>
        <w:gridCol w:w="1693"/>
        <w:gridCol w:w="331"/>
        <w:gridCol w:w="596"/>
        <w:gridCol w:w="1464"/>
        <w:gridCol w:w="331"/>
        <w:gridCol w:w="365"/>
        <w:gridCol w:w="349"/>
        <w:gridCol w:w="473"/>
      </w:tblGrid>
      <w:tr>
        <w:trPr/>
        <w:tc>
          <w:tcPr>
            <w:tcW w:w="1492" w:type="dxa"/>
            <w:tcBorders/>
            <w:vAlign w:val="center"/>
          </w:tcPr>
          <w:p>
            <w:pPr>
              <w:pStyle w:val="TableContents"/>
              <w:bidi w:val="0"/>
              <w:spacing w:before="0" w:after="283"/>
              <w:jc w:val="left"/>
              <w:rPr>
                <w:sz w:val="4"/>
                <w:szCs w:val="4"/>
              </w:rPr>
            </w:pPr>
            <w:r>
              <w:rPr>
                <w:sz w:val="4"/>
                <w:szCs w:val="4"/>
              </w:rPr>
            </w:r>
          </w:p>
        </w:tc>
        <w:tc>
          <w:tcPr>
            <w:tcW w:w="1263"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1693"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1464"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r>
      <w:tr>
        <w:trPr/>
        <w:tc>
          <w:tcPr>
            <w:tcW w:w="10205" w:type="dxa"/>
            <w:gridSpan w:val="12"/>
            <w:tcBorders>
              <w:top w:val="single" w:sz="4" w:space="0" w:color="000000"/>
              <w:left w:val="single" w:sz="4" w:space="0" w:color="000000"/>
              <w:right w:val="single" w:sz="4" w:space="0" w:color="000000"/>
            </w:tcBorders>
            <w:shd w:fill="004C97" w:val="clear"/>
            <w:tcMar>
              <w:top w:w="30" w:type="dxa"/>
              <w:bottom w:w="0" w:type="dxa"/>
            </w:tcMar>
            <w:vAlign w:val="center"/>
          </w:tcPr>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SPX TECHNOLOGIES, INC. AND SUBSIDIARIES</w:t>
            </w:r>
          </w:p>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NON-GAAP RECONCILIATION - ADJUSTED NET INCOME AND ADJUSTED EARNINGS PER SHARE</w:t>
            </w:r>
          </w:p>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(Unaudited; in millions)</w:t>
            </w:r>
          </w:p>
        </w:tc>
      </w:tr>
      <w:tr>
        <w:trPr/>
        <w:tc>
          <w:tcPr>
            <w:tcW w:w="4007" w:type="dxa"/>
            <w:gridSpan w:val="3"/>
            <w:tcBorders>
              <w:top w:val="single" w:sz="4" w:space="0" w:color="000000"/>
              <w:left w:val="single" w:sz="4" w:space="0" w:color="000000"/>
            </w:tcBorders>
            <w:shd w:fill="004C97" w:val="clear"/>
            <w:tcMar>
              <w:bottom w:w="0" w:type="dxa"/>
              <w:right w:w="0" w:type="dxa"/>
            </w:tcMar>
            <w:vAlign w:val="center"/>
          </w:tcPr>
          <w:p>
            <w:pPr>
              <w:pStyle w:val="TableContents"/>
              <w:bidi w:val="0"/>
              <w:spacing w:before="0" w:after="283"/>
              <w:jc w:val="left"/>
              <w:rPr>
                <w:sz w:val="4"/>
                <w:szCs w:val="4"/>
              </w:rPr>
            </w:pPr>
            <w:r>
              <w:rPr>
                <w:sz w:val="4"/>
                <w:szCs w:val="4"/>
              </w:rPr>
            </w:r>
          </w:p>
        </w:tc>
        <w:tc>
          <w:tcPr>
            <w:tcW w:w="2620" w:type="dxa"/>
            <w:gridSpan w:val="3"/>
            <w:tcBorders>
              <w:top w:val="single" w:sz="4" w:space="0" w:color="000000"/>
              <w:left w:val="single" w:sz="4" w:space="0" w:color="000000"/>
            </w:tcBorders>
            <w:shd w:fill="004C97" w:val="clear"/>
            <w:tcMar>
              <w:top w:w="30" w:type="dxa"/>
              <w:bottom w:w="0" w:type="dxa"/>
              <w:right w:w="0" w:type="dxa"/>
            </w:tcMar>
            <w:vAlign w:val="center"/>
          </w:tcPr>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2023</w:t>
            </w:r>
          </w:p>
        </w:tc>
        <w:tc>
          <w:tcPr>
            <w:tcW w:w="2391" w:type="dxa"/>
            <w:gridSpan w:val="3"/>
            <w:tcBorders>
              <w:top w:val="single" w:sz="4" w:space="0" w:color="000000"/>
              <w:left w:val="single" w:sz="4" w:space="0" w:color="000000"/>
            </w:tcBorders>
            <w:shd w:fill="004C97" w:val="clear"/>
            <w:tcMar>
              <w:top w:w="30" w:type="dxa"/>
              <w:bottom w:w="0" w:type="dxa"/>
              <w:right w:w="0" w:type="dxa"/>
            </w:tcMar>
            <w:vAlign w:val="center"/>
          </w:tcPr>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2022</w:t>
            </w:r>
          </w:p>
        </w:tc>
        <w:tc>
          <w:tcPr>
            <w:tcW w:w="1187" w:type="dxa"/>
            <w:gridSpan w:val="3"/>
            <w:tcBorders>
              <w:top w:val="single" w:sz="4" w:space="0" w:color="000000"/>
              <w:left w:val="single" w:sz="4" w:space="0" w:color="000000"/>
              <w:right w:val="single" w:sz="4" w:space="0" w:color="000000"/>
            </w:tcBorders>
            <w:shd w:fill="004C97" w:val="clear"/>
            <w:tcMar>
              <w:top w:w="30" w:type="dxa"/>
              <w:bottom w:w="0" w:type="dxa"/>
            </w:tcMar>
            <w:vAlign w:val="center"/>
          </w:tcPr>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 xml:space="preserve">% </w:t>
            </w:r>
          </w:p>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Change</w:t>
            </w:r>
          </w:p>
        </w:tc>
      </w:tr>
      <w:tr>
        <w:trPr/>
        <w:tc>
          <w:tcPr>
            <w:tcW w:w="4007" w:type="dxa"/>
            <w:gridSpan w:val="3"/>
            <w:tcBorders>
              <w:top w:val="single" w:sz="4" w:space="0" w:color="000000"/>
              <w:left w:val="single" w:sz="4" w:space="0" w:color="000000"/>
            </w:tcBorders>
            <w:shd w:fill="E6E7E8" w:val="clear"/>
            <w:tcMar>
              <w:top w:w="30" w:type="dxa"/>
              <w:left w:w="11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Consolidated net income from continuing operations</w:t>
            </w:r>
          </w:p>
        </w:tc>
        <w:tc>
          <w:tcPr>
            <w:tcW w:w="596" w:type="dxa"/>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1693" w:type="dxa"/>
            <w:tcBorders>
              <w:top w:val="single" w:sz="4" w:space="0" w:color="000000"/>
            </w:tcBorders>
            <w:shd w:fill="E6E7E8"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144.7 </w:t>
            </w:r>
          </w:p>
        </w:tc>
        <w:tc>
          <w:tcPr>
            <w:tcW w:w="331" w:type="dxa"/>
            <w:tcBorders>
              <w:top w:val="single" w:sz="4" w:space="0" w:color="000000"/>
            </w:tcBorders>
            <w:shd w:fill="E6E7E8"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1464" w:type="dxa"/>
            <w:tcBorders>
              <w:top w:val="single" w:sz="4" w:space="0" w:color="000000"/>
            </w:tcBorders>
            <w:shd w:fill="E6E7E8"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19.8 </w:t>
            </w:r>
          </w:p>
        </w:tc>
        <w:tc>
          <w:tcPr>
            <w:tcW w:w="331" w:type="dxa"/>
            <w:tcBorders>
              <w:top w:val="single" w:sz="4" w:space="0" w:color="000000"/>
            </w:tcBorders>
            <w:shd w:fill="E6E7E8"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op w:val="single" w:sz="4" w:space="0" w:color="000000"/>
              <w:left w:val="single" w:sz="4" w:space="0" w:color="000000"/>
              <w:right w:val="single" w:sz="4" w:space="0" w:color="000000"/>
            </w:tcBorders>
            <w:shd w:fill="E6E7E8" w:val="clear"/>
            <w:tcMar>
              <w:bottom w:w="0" w:type="dxa"/>
            </w:tcMar>
            <w:vAlign w:val="center"/>
          </w:tcPr>
          <w:p>
            <w:pPr>
              <w:pStyle w:val="TableContents"/>
              <w:bidi w:val="0"/>
              <w:spacing w:before="0" w:after="283"/>
              <w:jc w:val="left"/>
              <w:rPr>
                <w:sz w:val="4"/>
                <w:szCs w:val="4"/>
              </w:rPr>
            </w:pPr>
            <w:r>
              <w:rPr>
                <w:sz w:val="4"/>
                <w:szCs w:val="4"/>
              </w:rPr>
            </w:r>
          </w:p>
        </w:tc>
      </w:tr>
      <w:tr>
        <w:trPr/>
        <w:tc>
          <w:tcPr>
            <w:tcW w:w="4007" w:type="dxa"/>
            <w:gridSpan w:val="3"/>
            <w:tcBorders>
              <w:top w:val="single" w:sz="4" w:space="0" w:color="000000"/>
              <w:left w:val="single" w:sz="4" w:space="0" w:color="000000"/>
            </w:tcBorders>
            <w:shd w:fill="FFFFFF" w:val="clear"/>
            <w:tcMar>
              <w:top w:w="30" w:type="dxa"/>
              <w:left w:w="11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Adjustments – Exclude</w:t>
            </w:r>
          </w:p>
        </w:tc>
        <w:tc>
          <w:tcPr>
            <w:tcW w:w="2620"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2391"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op w:val="single" w:sz="4" w:space="0" w:color="000000"/>
              <w:left w:val="single" w:sz="4" w:space="0" w:color="000000"/>
              <w:right w:val="single" w:sz="4" w:space="0" w:color="000000"/>
            </w:tcBorders>
            <w:shd w:fill="FFFFFF" w:val="clear"/>
            <w:tcMar>
              <w:bottom w:w="0" w:type="dxa"/>
            </w:tcMar>
            <w:vAlign w:val="center"/>
          </w:tcPr>
          <w:p>
            <w:pPr>
              <w:pStyle w:val="TableContents"/>
              <w:bidi w:val="0"/>
              <w:spacing w:before="0" w:after="283"/>
              <w:jc w:val="left"/>
              <w:rPr>
                <w:sz w:val="4"/>
                <w:szCs w:val="4"/>
              </w:rPr>
            </w:pPr>
            <w:r>
              <w:rPr>
                <w:sz w:val="4"/>
                <w:szCs w:val="4"/>
              </w:rPr>
            </w:r>
          </w:p>
        </w:tc>
      </w:tr>
      <w:tr>
        <w:trPr/>
        <w:tc>
          <w:tcPr>
            <w:tcW w:w="4007" w:type="dxa"/>
            <w:gridSpan w:val="3"/>
            <w:tcBorders>
              <w:top w:val="single" w:sz="4" w:space="0" w:color="000000"/>
              <w:left w:val="single" w:sz="4" w:space="0" w:color="000000"/>
            </w:tcBorders>
            <w:shd w:fill="E6E7E8" w:val="clear"/>
            <w:tcMar>
              <w:top w:w="30" w:type="dxa"/>
              <w:left w:w="29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Corporate expense</w:t>
            </w:r>
          </w:p>
        </w:tc>
        <w:tc>
          <w:tcPr>
            <w:tcW w:w="2289" w:type="dxa"/>
            <w:gridSpan w:val="2"/>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(8.1)</w:t>
            </w:r>
          </w:p>
        </w:tc>
        <w:tc>
          <w:tcPr>
            <w:tcW w:w="331" w:type="dxa"/>
            <w:tcBorders>
              <w:top w:val="single" w:sz="4" w:space="0" w:color="000000"/>
            </w:tcBorders>
            <w:shd w:fill="E6E7E8"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0" w:type="dxa"/>
            <w:gridSpan w:val="2"/>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(18.2)</w:t>
            </w:r>
          </w:p>
        </w:tc>
        <w:tc>
          <w:tcPr>
            <w:tcW w:w="331" w:type="dxa"/>
            <w:tcBorders>
              <w:top w:val="single" w:sz="4" w:space="0" w:color="000000"/>
            </w:tcBorders>
            <w:shd w:fill="E6E7E8"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op w:val="single" w:sz="4" w:space="0" w:color="000000"/>
              <w:left w:val="single" w:sz="4" w:space="0" w:color="000000"/>
              <w:right w:val="single" w:sz="4" w:space="0" w:color="000000"/>
            </w:tcBorders>
            <w:shd w:fill="E6E7E8" w:val="clear"/>
            <w:tcMar>
              <w:bottom w:w="0" w:type="dxa"/>
            </w:tcMar>
            <w:vAlign w:val="center"/>
          </w:tcPr>
          <w:p>
            <w:pPr>
              <w:pStyle w:val="TableContents"/>
              <w:bidi w:val="0"/>
              <w:spacing w:before="0" w:after="283"/>
              <w:jc w:val="left"/>
              <w:rPr>
                <w:sz w:val="4"/>
                <w:szCs w:val="4"/>
              </w:rPr>
            </w:pPr>
            <w:r>
              <w:rPr>
                <w:sz w:val="4"/>
                <w:szCs w:val="4"/>
              </w:rPr>
            </w:r>
          </w:p>
        </w:tc>
      </w:tr>
      <w:tr>
        <w:trPr/>
        <w:tc>
          <w:tcPr>
            <w:tcW w:w="4007" w:type="dxa"/>
            <w:gridSpan w:val="3"/>
            <w:tcBorders>
              <w:top w:val="single" w:sz="4" w:space="0" w:color="000000"/>
              <w:left w:val="single" w:sz="4" w:space="0" w:color="000000"/>
            </w:tcBorders>
            <w:shd w:fill="FFFFFF" w:val="clear"/>
            <w:tcMar>
              <w:top w:w="30" w:type="dxa"/>
              <w:left w:w="29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Acquisition-related and other costs</w:t>
            </w:r>
          </w:p>
        </w:tc>
        <w:tc>
          <w:tcPr>
            <w:tcW w:w="2289" w:type="dxa"/>
            <w:gridSpan w:val="2"/>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(5.8)</w:t>
            </w:r>
          </w:p>
        </w:tc>
        <w:tc>
          <w:tcPr>
            <w:tcW w:w="33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0" w:type="dxa"/>
            <w:gridSpan w:val="2"/>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(1.9)</w:t>
            </w:r>
          </w:p>
        </w:tc>
        <w:tc>
          <w:tcPr>
            <w:tcW w:w="33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op w:val="single" w:sz="4" w:space="0" w:color="000000"/>
              <w:left w:val="single" w:sz="4" w:space="0" w:color="000000"/>
              <w:right w:val="single" w:sz="4" w:space="0" w:color="000000"/>
            </w:tcBorders>
            <w:shd w:fill="FFFFFF" w:val="clear"/>
            <w:tcMar>
              <w:bottom w:w="0" w:type="dxa"/>
            </w:tcMar>
            <w:vAlign w:val="center"/>
          </w:tcPr>
          <w:p>
            <w:pPr>
              <w:pStyle w:val="TableContents"/>
              <w:bidi w:val="0"/>
              <w:spacing w:before="0" w:after="283"/>
              <w:jc w:val="left"/>
              <w:rPr>
                <w:sz w:val="4"/>
                <w:szCs w:val="4"/>
              </w:rPr>
            </w:pPr>
            <w:r>
              <w:rPr>
                <w:sz w:val="4"/>
                <w:szCs w:val="4"/>
              </w:rPr>
            </w:r>
          </w:p>
        </w:tc>
      </w:tr>
      <w:tr>
        <w:trPr/>
        <w:tc>
          <w:tcPr>
            <w:tcW w:w="4007" w:type="dxa"/>
            <w:gridSpan w:val="3"/>
            <w:tcBorders>
              <w:top w:val="single" w:sz="4" w:space="0" w:color="000000"/>
              <w:left w:val="single" w:sz="4" w:space="0" w:color="000000"/>
            </w:tcBorders>
            <w:shd w:fill="E6E7E8" w:val="clear"/>
            <w:tcMar>
              <w:top w:w="30" w:type="dxa"/>
              <w:left w:w="29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Long-term incentive compensation expense</w:t>
            </w:r>
          </w:p>
        </w:tc>
        <w:tc>
          <w:tcPr>
            <w:tcW w:w="2289" w:type="dxa"/>
            <w:gridSpan w:val="2"/>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1" w:type="dxa"/>
            <w:tcBorders>
              <w:top w:val="single" w:sz="4" w:space="0" w:color="000000"/>
            </w:tcBorders>
            <w:shd w:fill="E6E7E8"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0" w:type="dxa"/>
            <w:gridSpan w:val="2"/>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0.8 </w:t>
            </w:r>
          </w:p>
        </w:tc>
        <w:tc>
          <w:tcPr>
            <w:tcW w:w="331" w:type="dxa"/>
            <w:tcBorders>
              <w:top w:val="single" w:sz="4" w:space="0" w:color="000000"/>
            </w:tcBorders>
            <w:shd w:fill="E6E7E8"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op w:val="single" w:sz="4" w:space="0" w:color="000000"/>
              <w:left w:val="single" w:sz="4" w:space="0" w:color="000000"/>
              <w:right w:val="single" w:sz="4" w:space="0" w:color="000000"/>
            </w:tcBorders>
            <w:shd w:fill="E6E7E8" w:val="clear"/>
            <w:tcMar>
              <w:bottom w:w="0" w:type="dxa"/>
            </w:tcMar>
            <w:vAlign w:val="center"/>
          </w:tcPr>
          <w:p>
            <w:pPr>
              <w:pStyle w:val="TableContents"/>
              <w:bidi w:val="0"/>
              <w:spacing w:before="0" w:after="283"/>
              <w:jc w:val="left"/>
              <w:rPr>
                <w:sz w:val="4"/>
                <w:szCs w:val="4"/>
              </w:rPr>
            </w:pPr>
            <w:r>
              <w:rPr>
                <w:sz w:val="4"/>
                <w:szCs w:val="4"/>
              </w:rPr>
            </w:r>
          </w:p>
        </w:tc>
      </w:tr>
      <w:tr>
        <w:trPr/>
        <w:tc>
          <w:tcPr>
            <w:tcW w:w="4007" w:type="dxa"/>
            <w:gridSpan w:val="3"/>
            <w:tcBorders>
              <w:top w:val="single" w:sz="4" w:space="0" w:color="000000"/>
              <w:left w:val="single" w:sz="4" w:space="0" w:color="000000"/>
            </w:tcBorders>
            <w:shd w:fill="FFFFFF" w:val="clear"/>
            <w:tcMar>
              <w:top w:w="30" w:type="dxa"/>
              <w:left w:w="29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Amortization of acquired intangible assets</w:t>
            </w:r>
          </w:p>
        </w:tc>
        <w:tc>
          <w:tcPr>
            <w:tcW w:w="2289" w:type="dxa"/>
            <w:gridSpan w:val="2"/>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(43.9)</w:t>
            </w:r>
          </w:p>
        </w:tc>
        <w:tc>
          <w:tcPr>
            <w:tcW w:w="33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0" w:type="dxa"/>
            <w:gridSpan w:val="2"/>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(28.5)</w:t>
            </w:r>
          </w:p>
        </w:tc>
        <w:tc>
          <w:tcPr>
            <w:tcW w:w="33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op w:val="single" w:sz="4" w:space="0" w:color="000000"/>
              <w:left w:val="single" w:sz="4" w:space="0" w:color="000000"/>
              <w:right w:val="single" w:sz="4" w:space="0" w:color="000000"/>
            </w:tcBorders>
            <w:shd w:fill="FFFFFF" w:val="clear"/>
            <w:tcMar>
              <w:bottom w:w="0" w:type="dxa"/>
            </w:tcMar>
            <w:vAlign w:val="center"/>
          </w:tcPr>
          <w:p>
            <w:pPr>
              <w:pStyle w:val="TableContents"/>
              <w:bidi w:val="0"/>
              <w:spacing w:before="0" w:after="283"/>
              <w:jc w:val="left"/>
              <w:rPr>
                <w:sz w:val="4"/>
                <w:szCs w:val="4"/>
              </w:rPr>
            </w:pPr>
            <w:r>
              <w:rPr>
                <w:sz w:val="4"/>
                <w:szCs w:val="4"/>
              </w:rPr>
            </w:r>
          </w:p>
        </w:tc>
      </w:tr>
      <w:tr>
        <w:trPr/>
        <w:tc>
          <w:tcPr>
            <w:tcW w:w="4007" w:type="dxa"/>
            <w:gridSpan w:val="3"/>
            <w:tcBorders>
              <w:top w:val="single" w:sz="4" w:space="0" w:color="000000"/>
              <w:left w:val="single" w:sz="4" w:space="0" w:color="000000"/>
            </w:tcBorders>
            <w:shd w:fill="E6E7E8" w:val="clear"/>
            <w:tcMar>
              <w:top w:w="30" w:type="dxa"/>
              <w:left w:w="29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Impairment of goodwill and intangible assets</w:t>
            </w:r>
          </w:p>
        </w:tc>
        <w:tc>
          <w:tcPr>
            <w:tcW w:w="2289" w:type="dxa"/>
            <w:gridSpan w:val="2"/>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1" w:type="dxa"/>
            <w:tcBorders>
              <w:top w:val="single" w:sz="4" w:space="0" w:color="000000"/>
            </w:tcBorders>
            <w:shd w:fill="E6E7E8"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0" w:type="dxa"/>
            <w:gridSpan w:val="2"/>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(13.4)</w:t>
            </w:r>
          </w:p>
        </w:tc>
        <w:tc>
          <w:tcPr>
            <w:tcW w:w="331" w:type="dxa"/>
            <w:tcBorders>
              <w:top w:val="single" w:sz="4" w:space="0" w:color="000000"/>
            </w:tcBorders>
            <w:shd w:fill="E6E7E8"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op w:val="single" w:sz="4" w:space="0" w:color="000000"/>
              <w:left w:val="single" w:sz="4" w:space="0" w:color="000000"/>
              <w:right w:val="single" w:sz="4" w:space="0" w:color="000000"/>
            </w:tcBorders>
            <w:shd w:fill="E6E7E8" w:val="clear"/>
            <w:tcMar>
              <w:bottom w:w="0" w:type="dxa"/>
            </w:tcMar>
            <w:vAlign w:val="center"/>
          </w:tcPr>
          <w:p>
            <w:pPr>
              <w:pStyle w:val="TableContents"/>
              <w:bidi w:val="0"/>
              <w:spacing w:before="0" w:after="283"/>
              <w:jc w:val="left"/>
              <w:rPr>
                <w:sz w:val="4"/>
                <w:szCs w:val="4"/>
              </w:rPr>
            </w:pPr>
            <w:r>
              <w:rPr>
                <w:sz w:val="4"/>
                <w:szCs w:val="4"/>
              </w:rPr>
            </w:r>
          </w:p>
        </w:tc>
      </w:tr>
      <w:tr>
        <w:trPr/>
        <w:tc>
          <w:tcPr>
            <w:tcW w:w="4007" w:type="dxa"/>
            <w:gridSpan w:val="3"/>
            <w:tcBorders>
              <w:top w:val="single" w:sz="4" w:space="0" w:color="000000"/>
              <w:left w:val="single" w:sz="4" w:space="0" w:color="000000"/>
            </w:tcBorders>
            <w:shd w:fill="FFFFFF" w:val="clear"/>
            <w:tcMar>
              <w:top w:w="30" w:type="dxa"/>
              <w:left w:w="29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Special charges, net</w:t>
            </w:r>
          </w:p>
        </w:tc>
        <w:tc>
          <w:tcPr>
            <w:tcW w:w="2289" w:type="dxa"/>
            <w:gridSpan w:val="2"/>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0" w:type="dxa"/>
            <w:gridSpan w:val="2"/>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(0.3)</w:t>
            </w:r>
          </w:p>
        </w:tc>
        <w:tc>
          <w:tcPr>
            <w:tcW w:w="33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op w:val="single" w:sz="4" w:space="0" w:color="000000"/>
              <w:left w:val="single" w:sz="4" w:space="0" w:color="000000"/>
              <w:right w:val="single" w:sz="4" w:space="0" w:color="000000"/>
            </w:tcBorders>
            <w:shd w:fill="FFFFFF" w:val="clear"/>
            <w:tcMar>
              <w:bottom w:w="0" w:type="dxa"/>
            </w:tcMar>
            <w:vAlign w:val="center"/>
          </w:tcPr>
          <w:p>
            <w:pPr>
              <w:pStyle w:val="TableContents"/>
              <w:bidi w:val="0"/>
              <w:spacing w:before="0" w:after="283"/>
              <w:jc w:val="left"/>
              <w:rPr>
                <w:sz w:val="4"/>
                <w:szCs w:val="4"/>
              </w:rPr>
            </w:pPr>
            <w:r>
              <w:rPr>
                <w:sz w:val="4"/>
                <w:szCs w:val="4"/>
              </w:rPr>
            </w:r>
          </w:p>
        </w:tc>
      </w:tr>
      <w:tr>
        <w:trPr/>
        <w:tc>
          <w:tcPr>
            <w:tcW w:w="4007" w:type="dxa"/>
            <w:gridSpan w:val="3"/>
            <w:tcBorders>
              <w:top w:val="single" w:sz="4" w:space="0" w:color="000000"/>
              <w:left w:val="single" w:sz="4" w:space="0" w:color="000000"/>
            </w:tcBorders>
            <w:shd w:fill="E6E7E8" w:val="clear"/>
            <w:tcMar>
              <w:top w:w="30" w:type="dxa"/>
              <w:left w:w="29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Other operating expense, net</w:t>
            </w:r>
          </w:p>
        </w:tc>
        <w:tc>
          <w:tcPr>
            <w:tcW w:w="2289" w:type="dxa"/>
            <w:gridSpan w:val="2"/>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(9.0)</w:t>
            </w:r>
          </w:p>
        </w:tc>
        <w:tc>
          <w:tcPr>
            <w:tcW w:w="331" w:type="dxa"/>
            <w:tcBorders>
              <w:top w:val="single" w:sz="4" w:space="0" w:color="000000"/>
            </w:tcBorders>
            <w:shd w:fill="E6E7E8"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0" w:type="dxa"/>
            <w:gridSpan w:val="2"/>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(74.9)</w:t>
            </w:r>
          </w:p>
        </w:tc>
        <w:tc>
          <w:tcPr>
            <w:tcW w:w="331" w:type="dxa"/>
            <w:tcBorders>
              <w:top w:val="single" w:sz="4" w:space="0" w:color="000000"/>
            </w:tcBorders>
            <w:shd w:fill="E6E7E8"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op w:val="single" w:sz="4" w:space="0" w:color="000000"/>
              <w:left w:val="single" w:sz="4" w:space="0" w:color="000000"/>
              <w:right w:val="single" w:sz="4" w:space="0" w:color="000000"/>
            </w:tcBorders>
            <w:shd w:fill="E6E7E8" w:val="clear"/>
            <w:tcMar>
              <w:bottom w:w="0" w:type="dxa"/>
            </w:tcMar>
            <w:vAlign w:val="center"/>
          </w:tcPr>
          <w:p>
            <w:pPr>
              <w:pStyle w:val="TableContents"/>
              <w:bidi w:val="0"/>
              <w:spacing w:before="0" w:after="283"/>
              <w:jc w:val="left"/>
              <w:rPr>
                <w:sz w:val="4"/>
                <w:szCs w:val="4"/>
              </w:rPr>
            </w:pPr>
            <w:r>
              <w:rPr>
                <w:sz w:val="4"/>
                <w:szCs w:val="4"/>
              </w:rPr>
            </w:r>
          </w:p>
        </w:tc>
      </w:tr>
      <w:tr>
        <w:trPr/>
        <w:tc>
          <w:tcPr>
            <w:tcW w:w="4007" w:type="dxa"/>
            <w:gridSpan w:val="3"/>
            <w:tcBorders>
              <w:top w:val="single" w:sz="4" w:space="0" w:color="000000"/>
              <w:left w:val="single" w:sz="4" w:space="0" w:color="000000"/>
            </w:tcBorders>
            <w:shd w:fill="FFFFFF" w:val="clear"/>
            <w:tcMar>
              <w:top w:w="30" w:type="dxa"/>
              <w:left w:w="29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Other income (expense), net</w:t>
            </w:r>
          </w:p>
        </w:tc>
        <w:tc>
          <w:tcPr>
            <w:tcW w:w="2289" w:type="dxa"/>
            <w:gridSpan w:val="2"/>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(12.4)</w:t>
            </w:r>
          </w:p>
        </w:tc>
        <w:tc>
          <w:tcPr>
            <w:tcW w:w="33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0" w:type="dxa"/>
            <w:gridSpan w:val="2"/>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(16.7)</w:t>
            </w:r>
          </w:p>
        </w:tc>
        <w:tc>
          <w:tcPr>
            <w:tcW w:w="33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op w:val="single" w:sz="4" w:space="0" w:color="000000"/>
              <w:left w:val="single" w:sz="4" w:space="0" w:color="000000"/>
              <w:right w:val="single" w:sz="4" w:space="0" w:color="000000"/>
            </w:tcBorders>
            <w:shd w:fill="FFFFFF" w:val="clear"/>
            <w:tcMar>
              <w:bottom w:w="0" w:type="dxa"/>
            </w:tcMar>
            <w:vAlign w:val="center"/>
          </w:tcPr>
          <w:p>
            <w:pPr>
              <w:pStyle w:val="TableContents"/>
              <w:bidi w:val="0"/>
              <w:spacing w:before="0" w:after="283"/>
              <w:jc w:val="left"/>
              <w:rPr>
                <w:sz w:val="4"/>
                <w:szCs w:val="4"/>
              </w:rPr>
            </w:pPr>
            <w:r>
              <w:rPr>
                <w:sz w:val="4"/>
                <w:szCs w:val="4"/>
              </w:rPr>
            </w:r>
          </w:p>
        </w:tc>
      </w:tr>
      <w:tr>
        <w:trPr/>
        <w:tc>
          <w:tcPr>
            <w:tcW w:w="4007" w:type="dxa"/>
            <w:gridSpan w:val="3"/>
            <w:tcBorders>
              <w:top w:val="single" w:sz="4" w:space="0" w:color="000000"/>
              <w:left w:val="single" w:sz="4" w:space="0" w:color="000000"/>
            </w:tcBorders>
            <w:shd w:fill="E6E7E8" w:val="clear"/>
            <w:tcMar>
              <w:top w:w="30" w:type="dxa"/>
              <w:left w:w="29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Loss on amendment/refinancing of senior credit agreement</w:t>
            </w:r>
          </w:p>
        </w:tc>
        <w:tc>
          <w:tcPr>
            <w:tcW w:w="2289" w:type="dxa"/>
            <w:gridSpan w:val="2"/>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1" w:type="dxa"/>
            <w:tcBorders>
              <w:top w:val="single" w:sz="4" w:space="0" w:color="000000"/>
            </w:tcBorders>
            <w:shd w:fill="E6E7E8"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0" w:type="dxa"/>
            <w:gridSpan w:val="2"/>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(1.1)</w:t>
            </w:r>
          </w:p>
        </w:tc>
        <w:tc>
          <w:tcPr>
            <w:tcW w:w="331" w:type="dxa"/>
            <w:tcBorders>
              <w:top w:val="single" w:sz="4" w:space="0" w:color="000000"/>
            </w:tcBorders>
            <w:shd w:fill="E6E7E8"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op w:val="single" w:sz="4" w:space="0" w:color="000000"/>
              <w:left w:val="single" w:sz="4" w:space="0" w:color="000000"/>
              <w:right w:val="single" w:sz="4" w:space="0" w:color="000000"/>
            </w:tcBorders>
            <w:shd w:fill="E6E7E8" w:val="clear"/>
            <w:tcMar>
              <w:bottom w:w="0" w:type="dxa"/>
            </w:tcMar>
            <w:vAlign w:val="center"/>
          </w:tcPr>
          <w:p>
            <w:pPr>
              <w:pStyle w:val="TableContents"/>
              <w:bidi w:val="0"/>
              <w:spacing w:before="0" w:after="283"/>
              <w:jc w:val="left"/>
              <w:rPr>
                <w:sz w:val="4"/>
                <w:szCs w:val="4"/>
              </w:rPr>
            </w:pPr>
            <w:r>
              <w:rPr>
                <w:sz w:val="4"/>
                <w:szCs w:val="4"/>
              </w:rPr>
            </w:r>
          </w:p>
        </w:tc>
      </w:tr>
      <w:tr>
        <w:trPr/>
        <w:tc>
          <w:tcPr>
            <w:tcW w:w="4007" w:type="dxa"/>
            <w:gridSpan w:val="3"/>
            <w:tcBorders>
              <w:top w:val="single" w:sz="4" w:space="0" w:color="000000"/>
              <w:left w:val="single" w:sz="4" w:space="0" w:color="000000"/>
            </w:tcBorders>
            <w:shd w:fill="FFFFFF" w:val="clear"/>
            <w:tcMar>
              <w:top w:w="30" w:type="dxa"/>
              <w:left w:w="29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Tax impacts of items above and certain discrete tax items</w:t>
            </w:r>
          </w:p>
        </w:tc>
        <w:tc>
          <w:tcPr>
            <w:tcW w:w="2289" w:type="dxa"/>
            <w:gridSpan w:val="2"/>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23.2 </w:t>
            </w:r>
          </w:p>
        </w:tc>
        <w:tc>
          <w:tcPr>
            <w:tcW w:w="33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0" w:type="dxa"/>
            <w:gridSpan w:val="2"/>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30.7 </w:t>
            </w:r>
          </w:p>
        </w:tc>
        <w:tc>
          <w:tcPr>
            <w:tcW w:w="33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op w:val="single" w:sz="4" w:space="0" w:color="000000"/>
              <w:left w:val="single" w:sz="4" w:space="0" w:color="000000"/>
              <w:right w:val="single" w:sz="4" w:space="0" w:color="000000"/>
            </w:tcBorders>
            <w:shd w:fill="FFFFFF" w:val="clear"/>
            <w:tcMar>
              <w:bottom w:w="0" w:type="dxa"/>
            </w:tcMar>
            <w:vAlign w:val="center"/>
          </w:tcPr>
          <w:p>
            <w:pPr>
              <w:pStyle w:val="TableContents"/>
              <w:bidi w:val="0"/>
              <w:spacing w:before="0" w:after="283"/>
              <w:jc w:val="left"/>
              <w:rPr>
                <w:sz w:val="4"/>
                <w:szCs w:val="4"/>
              </w:rPr>
            </w:pPr>
            <w:r>
              <w:rPr>
                <w:sz w:val="4"/>
                <w:szCs w:val="4"/>
              </w:rPr>
            </w:r>
          </w:p>
        </w:tc>
      </w:tr>
      <w:tr>
        <w:trPr/>
        <w:tc>
          <w:tcPr>
            <w:tcW w:w="4007" w:type="dxa"/>
            <w:gridSpan w:val="3"/>
            <w:tcBorders>
              <w:top w:val="single" w:sz="4" w:space="0" w:color="000000"/>
              <w:left w:val="single" w:sz="4" w:space="0" w:color="000000"/>
            </w:tcBorders>
            <w:shd w:fill="E6E7E8" w:val="clear"/>
            <w:tcMar>
              <w:top w:w="30" w:type="dxa"/>
              <w:left w:w="11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Adjusted net income</w:t>
            </w:r>
          </w:p>
        </w:tc>
        <w:tc>
          <w:tcPr>
            <w:tcW w:w="2289" w:type="dxa"/>
            <w:gridSpan w:val="2"/>
            <w:tcBorders>
              <w:top w:val="single" w:sz="8"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200.7</w:t>
            </w:r>
            <w:r>
              <w:rPr>
                <w:color w:val="000000"/>
              </w:rPr>
              <w:t> </w:t>
            </w:r>
          </w:p>
        </w:tc>
        <w:tc>
          <w:tcPr>
            <w:tcW w:w="331" w:type="dxa"/>
            <w:tcBorders>
              <w:top w:val="single" w:sz="8" w:space="0" w:color="000000"/>
            </w:tcBorders>
            <w:shd w:fill="E6E7E8"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0" w:type="dxa"/>
            <w:gridSpan w:val="2"/>
            <w:tcBorders>
              <w:top w:val="single" w:sz="8"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143.3</w:t>
            </w:r>
            <w:r>
              <w:rPr>
                <w:color w:val="000000"/>
              </w:rPr>
              <w:t> </w:t>
            </w:r>
          </w:p>
        </w:tc>
        <w:tc>
          <w:tcPr>
            <w:tcW w:w="331" w:type="dxa"/>
            <w:tcBorders>
              <w:top w:val="single" w:sz="8" w:space="0" w:color="000000"/>
            </w:tcBorders>
            <w:shd w:fill="E6E7E8"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op w:val="single" w:sz="4" w:space="0" w:color="000000"/>
              <w:left w:val="single" w:sz="4" w:space="0" w:color="000000"/>
              <w:right w:val="single" w:sz="4" w:space="0" w:color="000000"/>
            </w:tcBorders>
            <w:shd w:fill="E6E7E8" w:val="clear"/>
            <w:tcMar>
              <w:top w:w="30" w:type="dxa"/>
              <w:bottom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40.1%</w:t>
            </w:r>
          </w:p>
        </w:tc>
      </w:tr>
      <w:tr>
        <w:trPr/>
        <w:tc>
          <w:tcPr>
            <w:tcW w:w="4007" w:type="dxa"/>
            <w:gridSpan w:val="3"/>
            <w:tcBorders>
              <w:top w:val="single" w:sz="4" w:space="0" w:color="000000"/>
              <w:left w:val="single" w:sz="4" w:space="0" w:color="000000"/>
            </w:tcBorders>
            <w:shd w:fill="FFFFFF" w:val="clear"/>
            <w:tcMar>
              <w:top w:w="30" w:type="dxa"/>
              <w:left w:w="11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Consolidated net income from continuing operations</w:t>
            </w:r>
          </w:p>
        </w:tc>
        <w:tc>
          <w:tcPr>
            <w:tcW w:w="2289" w:type="dxa"/>
            <w:gridSpan w:val="2"/>
            <w:tcBorders>
              <w:top w:val="double" w:sz="8"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144.7 </w:t>
            </w:r>
          </w:p>
        </w:tc>
        <w:tc>
          <w:tcPr>
            <w:tcW w:w="33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0" w:type="dxa"/>
            <w:gridSpan w:val="2"/>
            <w:tcBorders>
              <w:top w:val="double" w:sz="8"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19.8 </w:t>
            </w:r>
          </w:p>
        </w:tc>
        <w:tc>
          <w:tcPr>
            <w:tcW w:w="33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op w:val="single" w:sz="4" w:space="0" w:color="000000"/>
              <w:left w:val="single" w:sz="4" w:space="0" w:color="000000"/>
              <w:right w:val="single" w:sz="4" w:space="0" w:color="000000"/>
            </w:tcBorders>
            <w:shd w:fill="FFFFFF" w:val="clear"/>
            <w:tcMar>
              <w:bottom w:w="0" w:type="dxa"/>
            </w:tcMar>
            <w:vAlign w:val="center"/>
          </w:tcPr>
          <w:p>
            <w:pPr>
              <w:pStyle w:val="TableContents"/>
              <w:bidi w:val="0"/>
              <w:spacing w:before="0" w:after="283"/>
              <w:jc w:val="left"/>
              <w:rPr>
                <w:sz w:val="4"/>
                <w:szCs w:val="4"/>
              </w:rPr>
            </w:pPr>
            <w:r>
              <w:rPr>
                <w:sz w:val="4"/>
                <w:szCs w:val="4"/>
              </w:rPr>
            </w:r>
          </w:p>
        </w:tc>
      </w:tr>
      <w:tr>
        <w:trPr/>
        <w:tc>
          <w:tcPr>
            <w:tcW w:w="4007" w:type="dxa"/>
            <w:gridSpan w:val="3"/>
            <w:tcBorders>
              <w:top w:val="single" w:sz="4" w:space="0" w:color="000000"/>
              <w:left w:val="single" w:sz="4" w:space="0" w:color="000000"/>
            </w:tcBorders>
            <w:shd w:fill="E6E7E8" w:val="clear"/>
            <w:tcMar>
              <w:top w:w="30" w:type="dxa"/>
              <w:left w:w="29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Diluted shares</w:t>
            </w:r>
          </w:p>
        </w:tc>
        <w:tc>
          <w:tcPr>
            <w:tcW w:w="2289" w:type="dxa"/>
            <w:gridSpan w:val="2"/>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46.612 </w:t>
            </w:r>
          </w:p>
        </w:tc>
        <w:tc>
          <w:tcPr>
            <w:tcW w:w="331" w:type="dxa"/>
            <w:tcBorders>
              <w:top w:val="single" w:sz="4" w:space="0" w:color="000000"/>
            </w:tcBorders>
            <w:shd w:fill="E6E7E8"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0" w:type="dxa"/>
            <w:gridSpan w:val="2"/>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46.221 </w:t>
            </w:r>
          </w:p>
        </w:tc>
        <w:tc>
          <w:tcPr>
            <w:tcW w:w="331" w:type="dxa"/>
            <w:tcBorders>
              <w:top w:val="single" w:sz="4" w:space="0" w:color="000000"/>
            </w:tcBorders>
            <w:shd w:fill="E6E7E8"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op w:val="single" w:sz="4" w:space="0" w:color="000000"/>
              <w:left w:val="single" w:sz="4" w:space="0" w:color="000000"/>
              <w:right w:val="single" w:sz="4" w:space="0" w:color="000000"/>
            </w:tcBorders>
            <w:shd w:fill="E6E7E8" w:val="clear"/>
            <w:tcMar>
              <w:bottom w:w="0" w:type="dxa"/>
            </w:tcMar>
            <w:vAlign w:val="center"/>
          </w:tcPr>
          <w:p>
            <w:pPr>
              <w:pStyle w:val="TableContents"/>
              <w:bidi w:val="0"/>
              <w:spacing w:before="0" w:after="283"/>
              <w:jc w:val="left"/>
              <w:rPr>
                <w:sz w:val="4"/>
                <w:szCs w:val="4"/>
              </w:rPr>
            </w:pPr>
            <w:r>
              <w:rPr>
                <w:sz w:val="4"/>
                <w:szCs w:val="4"/>
              </w:rPr>
            </w:r>
          </w:p>
        </w:tc>
      </w:tr>
      <w:tr>
        <w:trPr/>
        <w:tc>
          <w:tcPr>
            <w:tcW w:w="4007" w:type="dxa"/>
            <w:gridSpan w:val="3"/>
            <w:tcBorders>
              <w:top w:val="single" w:sz="4" w:space="0" w:color="000000"/>
              <w:left w:val="single" w:sz="4" w:space="0" w:color="000000"/>
            </w:tcBorders>
            <w:shd w:fill="FFFFFF" w:val="clear"/>
            <w:tcMar>
              <w:top w:w="30" w:type="dxa"/>
              <w:left w:w="11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Diluted earnings per share from continuing operations</w:t>
            </w:r>
          </w:p>
        </w:tc>
        <w:tc>
          <w:tcPr>
            <w:tcW w:w="2289" w:type="dxa"/>
            <w:gridSpan w:val="2"/>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3.10 </w:t>
            </w:r>
          </w:p>
        </w:tc>
        <w:tc>
          <w:tcPr>
            <w:tcW w:w="33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0" w:type="dxa"/>
            <w:gridSpan w:val="2"/>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0.43 </w:t>
            </w:r>
          </w:p>
        </w:tc>
        <w:tc>
          <w:tcPr>
            <w:tcW w:w="33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op w:val="single" w:sz="4" w:space="0" w:color="000000"/>
              <w:left w:val="single" w:sz="4" w:space="0" w:color="000000"/>
              <w:right w:val="single" w:sz="4" w:space="0" w:color="000000"/>
            </w:tcBorders>
            <w:shd w:fill="FFFFFF" w:val="clear"/>
            <w:tcMar>
              <w:bottom w:w="0" w:type="dxa"/>
            </w:tcMar>
            <w:vAlign w:val="center"/>
          </w:tcPr>
          <w:p>
            <w:pPr>
              <w:pStyle w:val="TableContents"/>
              <w:bidi w:val="0"/>
              <w:spacing w:before="0" w:after="283"/>
              <w:jc w:val="left"/>
              <w:rPr>
                <w:sz w:val="4"/>
                <w:szCs w:val="4"/>
              </w:rPr>
            </w:pPr>
            <w:r>
              <w:rPr>
                <w:sz w:val="4"/>
                <w:szCs w:val="4"/>
              </w:rPr>
            </w:r>
          </w:p>
        </w:tc>
      </w:tr>
      <w:tr>
        <w:trPr/>
        <w:tc>
          <w:tcPr>
            <w:tcW w:w="4007" w:type="dxa"/>
            <w:gridSpan w:val="3"/>
            <w:tcBorders>
              <w:top w:val="single" w:sz="4" w:space="0" w:color="000000"/>
              <w:left w:val="single" w:sz="4" w:space="0" w:color="000000"/>
            </w:tcBorders>
            <w:shd w:fill="E6E7E8" w:val="clear"/>
            <w:tcMar>
              <w:top w:w="30" w:type="dxa"/>
              <w:left w:w="11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Adjusted net income</w:t>
            </w:r>
          </w:p>
        </w:tc>
        <w:tc>
          <w:tcPr>
            <w:tcW w:w="2289" w:type="dxa"/>
            <w:gridSpan w:val="2"/>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200.7 </w:t>
            </w:r>
          </w:p>
        </w:tc>
        <w:tc>
          <w:tcPr>
            <w:tcW w:w="331" w:type="dxa"/>
            <w:tcBorders>
              <w:top w:val="single" w:sz="4" w:space="0" w:color="000000"/>
            </w:tcBorders>
            <w:shd w:fill="E6E7E8"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0" w:type="dxa"/>
            <w:gridSpan w:val="2"/>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143.3 </w:t>
            </w:r>
          </w:p>
        </w:tc>
        <w:tc>
          <w:tcPr>
            <w:tcW w:w="331" w:type="dxa"/>
            <w:tcBorders>
              <w:top w:val="single" w:sz="4" w:space="0" w:color="000000"/>
            </w:tcBorders>
            <w:shd w:fill="E6E7E8"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op w:val="single" w:sz="4" w:space="0" w:color="000000"/>
              <w:left w:val="single" w:sz="4" w:space="0" w:color="000000"/>
              <w:right w:val="single" w:sz="4" w:space="0" w:color="000000"/>
            </w:tcBorders>
            <w:shd w:fill="E6E7E8" w:val="clear"/>
            <w:tcMar>
              <w:bottom w:w="0" w:type="dxa"/>
            </w:tcMar>
            <w:vAlign w:val="center"/>
          </w:tcPr>
          <w:p>
            <w:pPr>
              <w:pStyle w:val="TableContents"/>
              <w:bidi w:val="0"/>
              <w:spacing w:before="0" w:after="283"/>
              <w:jc w:val="left"/>
              <w:rPr>
                <w:sz w:val="4"/>
                <w:szCs w:val="4"/>
              </w:rPr>
            </w:pPr>
            <w:r>
              <w:rPr>
                <w:sz w:val="4"/>
                <w:szCs w:val="4"/>
              </w:rPr>
            </w:r>
          </w:p>
        </w:tc>
      </w:tr>
      <w:tr>
        <w:trPr/>
        <w:tc>
          <w:tcPr>
            <w:tcW w:w="4007" w:type="dxa"/>
            <w:gridSpan w:val="3"/>
            <w:tcBorders>
              <w:top w:val="single" w:sz="4" w:space="0" w:color="000000"/>
              <w:left w:val="single" w:sz="4" w:space="0" w:color="000000"/>
            </w:tcBorders>
            <w:shd w:fill="FFFFFF" w:val="clear"/>
            <w:tcMar>
              <w:top w:w="30" w:type="dxa"/>
              <w:left w:w="29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Diluted shares</w:t>
            </w:r>
          </w:p>
        </w:tc>
        <w:tc>
          <w:tcPr>
            <w:tcW w:w="2289" w:type="dxa"/>
            <w:gridSpan w:val="2"/>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46.612 </w:t>
            </w:r>
          </w:p>
        </w:tc>
        <w:tc>
          <w:tcPr>
            <w:tcW w:w="33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0" w:type="dxa"/>
            <w:gridSpan w:val="2"/>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46.221 </w:t>
            </w:r>
          </w:p>
        </w:tc>
        <w:tc>
          <w:tcPr>
            <w:tcW w:w="33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op w:val="single" w:sz="4" w:space="0" w:color="000000"/>
              <w:left w:val="single" w:sz="4" w:space="0" w:color="000000"/>
              <w:right w:val="single" w:sz="4" w:space="0" w:color="000000"/>
            </w:tcBorders>
            <w:shd w:fill="FFFFFF" w:val="clear"/>
            <w:tcMar>
              <w:bottom w:w="0" w:type="dxa"/>
            </w:tcMar>
            <w:vAlign w:val="center"/>
          </w:tcPr>
          <w:p>
            <w:pPr>
              <w:pStyle w:val="TableContents"/>
              <w:bidi w:val="0"/>
              <w:spacing w:before="0" w:after="283"/>
              <w:jc w:val="left"/>
              <w:rPr>
                <w:sz w:val="4"/>
                <w:szCs w:val="4"/>
              </w:rPr>
            </w:pPr>
            <w:r>
              <w:rPr>
                <w:sz w:val="4"/>
                <w:szCs w:val="4"/>
              </w:rPr>
            </w:r>
          </w:p>
        </w:tc>
      </w:tr>
      <w:tr>
        <w:trPr/>
        <w:tc>
          <w:tcPr>
            <w:tcW w:w="4007" w:type="dxa"/>
            <w:gridSpan w:val="3"/>
            <w:tcBorders>
              <w:top w:val="single" w:sz="4" w:space="0" w:color="000000"/>
              <w:left w:val="single" w:sz="4" w:space="0" w:color="000000"/>
              <w:bottom w:val="single" w:sz="4" w:space="0" w:color="000000"/>
            </w:tcBorders>
            <w:shd w:fill="E6E7E8" w:val="clear"/>
            <w:tcMar>
              <w:top w:w="30" w:type="dxa"/>
              <w:left w:w="11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Adjusted earnings per share</w:t>
            </w:r>
          </w:p>
        </w:tc>
        <w:tc>
          <w:tcPr>
            <w:tcW w:w="596" w:type="dxa"/>
            <w:tcBorders>
              <w:top w:val="single" w:sz="4" w:space="0" w:color="000000"/>
              <w:left w:val="single" w:sz="4" w:space="0" w:color="000000"/>
              <w:bottom w:val="single" w:sz="4" w:space="0" w:color="000000"/>
            </w:tcBorders>
            <w:shd w:fill="E6E7E8" w:val="clear"/>
            <w:tcMar>
              <w:top w:w="30" w:type="dxa"/>
              <w:bottom w:w="3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w:t>
            </w:r>
          </w:p>
        </w:tc>
        <w:tc>
          <w:tcPr>
            <w:tcW w:w="1693" w:type="dxa"/>
            <w:tcBorders>
              <w:top w:val="single" w:sz="4" w:space="0" w:color="000000"/>
              <w:bottom w:val="single" w:sz="4" w:space="0" w:color="000000"/>
            </w:tcBorders>
            <w:shd w:fill="E6E7E8"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4.31</w:t>
            </w:r>
            <w:r>
              <w:rPr>
                <w:color w:val="000000"/>
              </w:rPr>
              <w:t> </w:t>
            </w:r>
          </w:p>
        </w:tc>
        <w:tc>
          <w:tcPr>
            <w:tcW w:w="331" w:type="dxa"/>
            <w:tcBorders>
              <w:top w:val="single" w:sz="4" w:space="0" w:color="000000"/>
              <w:bottom w:val="single" w:sz="4" w:space="0" w:color="000000"/>
            </w:tcBorders>
            <w:shd w:fill="E6E7E8"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96" w:type="dxa"/>
            <w:tcBorders>
              <w:top w:val="single" w:sz="4" w:space="0" w:color="000000"/>
              <w:left w:val="single" w:sz="4" w:space="0" w:color="000000"/>
              <w:bottom w:val="single" w:sz="4" w:space="0" w:color="000000"/>
            </w:tcBorders>
            <w:shd w:fill="E6E7E8" w:val="clear"/>
            <w:tcMar>
              <w:top w:w="30" w:type="dxa"/>
              <w:bottom w:w="3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w:t>
            </w:r>
          </w:p>
        </w:tc>
        <w:tc>
          <w:tcPr>
            <w:tcW w:w="1464" w:type="dxa"/>
            <w:tcBorders>
              <w:top w:val="single" w:sz="4" w:space="0" w:color="000000"/>
              <w:bottom w:val="single" w:sz="4" w:space="0" w:color="000000"/>
            </w:tcBorders>
            <w:shd w:fill="E6E7E8"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3.10</w:t>
            </w:r>
            <w:r>
              <w:rPr>
                <w:color w:val="000000"/>
              </w:rPr>
              <w:t> </w:t>
            </w:r>
          </w:p>
        </w:tc>
        <w:tc>
          <w:tcPr>
            <w:tcW w:w="331" w:type="dxa"/>
            <w:tcBorders>
              <w:top w:val="single" w:sz="4" w:space="0" w:color="000000"/>
              <w:bottom w:val="single" w:sz="4" w:space="0" w:color="000000"/>
            </w:tcBorders>
            <w:shd w:fill="E6E7E8"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op w:val="single" w:sz="4" w:space="0" w:color="000000"/>
              <w:left w:val="single" w:sz="4" w:space="0" w:color="000000"/>
              <w:bottom w:val="single" w:sz="4" w:space="0" w:color="000000"/>
              <w:right w:val="single" w:sz="4" w:space="0" w:color="000000"/>
            </w:tcBorders>
            <w:shd w:fill="E6E7E8" w:val="clear"/>
            <w:tcMar>
              <w:top w:w="30" w:type="dxa"/>
              <w:bottom w:w="3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39.0%</w:t>
            </w:r>
          </w:p>
        </w:tc>
      </w:tr>
    </w:tbl>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Adjusted operating income, adjusted net income, and adjusted earnings per share, are defined as operating income, net income from continuing operations, and diluted net income per share from continuing operations excluding the following items, as applicable: (a) acquisition and strategic/transformation related expenses incurred during the period, (b) costs associated with our South Africa business that could not be allocated to discontinued operations for GAAP purposes, (c) a reclassification of transition services income from “Other income (expense), net,” (d) inventory step-up charges and integration costs related to recent acquisitions, (e) a gain related to long-term incentive compensation forfeitures, (f) amortization expense associated with acquired intangible assets, (g) non-cash charges related to the impairment of goodwill and intangible assets, (h) non-cash asset write-downs associated with acquisition integration activities, (i) the loss and removal of a charge related to the asbestos portfolio sale, effected in 2022 (the “Asbestos Portfolio Sale”), (j) a charge related to revisions of recorded liabilities for asbestos-related claims, (k) a charge related to the resolution of a dispute with a former representative at one of our Detection &amp; Measurement reportable segment businesses, (l) gains/losses related to revisions of the recorded liability associated with contingent consideration on a recent acquisition, (m) gains/losses on an equity security associated with fair value adjustments, (n) non-service pension and postretirement gains/ losses, (o) a non-cash charge and certain expenses incurred in connection with an amendment to our senior credit agreement, (p) the tax impact of items (a) through (o) above and the removal of certain discrete income tax items that are considered non-recurring. The Company’s management views the impact related to each of the other items as not indicative of the Company’s ongoing performance.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739140"/>
                <wp:effectExtent l="0" t="0" r="0" b="0"/>
                <wp:wrapNone/>
                <wp:docPr id="285" name="Frame87"/>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292" w:type="dxa"/>
                              <w:jc w:val="right"/>
                              <w:tblInd w:w="0" w:type="dxa"/>
                              <w:tblLayout w:type="fixed"/>
                              <w:tblCellMar>
                                <w:top w:w="28" w:type="dxa"/>
                                <w:left w:w="28" w:type="dxa"/>
                                <w:bottom w:w="28" w:type="dxa"/>
                                <w:right w:w="28" w:type="dxa"/>
                              </w:tblCellMar>
                            </w:tblPr>
                            <w:tblGrid>
                              <w:gridCol w:w="292"/>
                              <w:gridCol w:w="256"/>
                              <w:gridCol w:w="258"/>
                              <w:gridCol w:w="704"/>
                              <w:gridCol w:w="704"/>
                              <w:gridCol w:w="706"/>
                              <w:gridCol w:w="109"/>
                              <w:gridCol w:w="109"/>
                              <w:gridCol w:w="154"/>
                            </w:tblGrid>
                            <w:tr>
                              <w:trPr/>
                              <w:tc>
                                <w:tcPr>
                                  <w:tcW w:w="29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0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286" name="Image1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6" name="Image119" descr=""/>
                                                <pic:cNvPicPr>
                                                  <a:picLocks noChangeAspect="1" noChangeArrowheads="1"/>
                                                </pic:cNvPicPr>
                                              </pic:nvPicPr>
                                              <pic:blipFill>
                                                <a:blip r:embed="rId200"/>
                                                <a:stretch>
                                                  <a:fillRect/>
                                                </a:stretch>
                                              </pic:blipFill>
                                              <pic:spPr bwMode="auto">
                                                <a:xfrm>
                                                  <a:off x="0" y="0"/>
                                                  <a:ext cx="447675" cy="161925"/>
                                                </a:xfrm>
                                                <a:prstGeom prst="rect">
                                                  <a:avLst/>
                                                </a:prstGeom>
                                              </pic:spPr>
                                            </pic:pic>
                                          </a:graphicData>
                                        </a:graphic>
                                      </wp:inline>
                                    </w:drawing>
                                  </w:r>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2024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000000"/>
                                      <w:sz w:val="16"/>
                                    </w:rPr>
                                  </w:pPr>
                                  <w:r>
                                    <w:rPr>
                                      <w:rFonts w:ascii="Arial;sans-serif" w:hAnsi="Arial;sans-serif"/>
                                      <w:b/>
                                      <w:color w:val="000000"/>
                                      <w:sz w:val="16"/>
                                    </w:rPr>
                                    <w:t>81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292" w:type="dxa"/>
                        <w:jc w:val="right"/>
                        <w:tblInd w:w="0" w:type="dxa"/>
                        <w:tblLayout w:type="fixed"/>
                        <w:tblCellMar>
                          <w:top w:w="28" w:type="dxa"/>
                          <w:left w:w="28" w:type="dxa"/>
                          <w:bottom w:w="28" w:type="dxa"/>
                          <w:right w:w="28" w:type="dxa"/>
                        </w:tblCellMar>
                      </w:tblPr>
                      <w:tblGrid>
                        <w:gridCol w:w="292"/>
                        <w:gridCol w:w="256"/>
                        <w:gridCol w:w="258"/>
                        <w:gridCol w:w="704"/>
                        <w:gridCol w:w="704"/>
                        <w:gridCol w:w="706"/>
                        <w:gridCol w:w="109"/>
                        <w:gridCol w:w="109"/>
                        <w:gridCol w:w="154"/>
                      </w:tblGrid>
                      <w:tr>
                        <w:trPr/>
                        <w:tc>
                          <w:tcPr>
                            <w:tcW w:w="29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0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287" name="Image1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7" name="Image119" descr=""/>
                                          <pic:cNvPicPr>
                                            <a:picLocks noChangeAspect="1" noChangeArrowheads="1"/>
                                          </pic:cNvPicPr>
                                        </pic:nvPicPr>
                                        <pic:blipFill>
                                          <a:blip r:embed="rId201"/>
                                          <a:stretch>
                                            <a:fillRect/>
                                          </a:stretch>
                                        </pic:blipFill>
                                        <pic:spPr bwMode="auto">
                                          <a:xfrm>
                                            <a:off x="0" y="0"/>
                                            <a:ext cx="447675" cy="161925"/>
                                          </a:xfrm>
                                          <a:prstGeom prst="rect">
                                            <a:avLst/>
                                          </a:prstGeom>
                                        </pic:spPr>
                                      </pic:pic>
                                    </a:graphicData>
                                  </a:graphic>
                                </wp:inline>
                              </w:drawing>
                            </w:r>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2024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000000"/>
                                <w:sz w:val="16"/>
                              </w:rPr>
                            </w:pPr>
                            <w:r>
                              <w:rPr>
                                <w:rFonts w:ascii="Arial;sans-serif" w:hAnsi="Arial;sans-serif"/>
                                <w:b/>
                                <w:color w:val="000000"/>
                                <w:sz w:val="16"/>
                              </w:rPr>
                              <w:t>81</w:t>
                            </w:r>
                          </w:p>
                        </w:tc>
                      </w:tr>
                    </w:tbl>
                    <w:p>
                      <w:pPr>
                        <w:pStyle w:val="TextBody"/>
                        <w:bidi w:val="0"/>
                        <w:spacing w:before="0" w:after="283"/>
                        <w:jc w:val="left"/>
                        <w:rPr/>
                      </w:pPr>
                      <w:r>
                        <w:rPr/>
                      </w:r>
                    </w:p>
                  </w:txbxContent>
                </v:textbox>
                <w10:wrap type="none"/>
              </v:rect>
            </w:pict>
          </mc:Fallback>
        </mc:AlternateContent>
      </w:r>
    </w:p>
    <w:tbl>
      <w:tblPr>
        <w:tblW w:w="1124" w:type="dxa"/>
        <w:jc w:val="right"/>
        <w:tblInd w:w="0" w:type="dxa"/>
        <w:tblLayout w:type="fixed"/>
        <w:tblCellMar>
          <w:top w:w="28" w:type="dxa"/>
          <w:left w:w="28" w:type="dxa"/>
          <w:bottom w:w="28" w:type="dxa"/>
          <w:right w:w="28" w:type="dxa"/>
        </w:tblCellMar>
      </w:tblPr>
      <w:tblGrid>
        <w:gridCol w:w="359"/>
        <w:gridCol w:w="316"/>
        <w:gridCol w:w="449"/>
      </w:tblGrid>
      <w:tr>
        <w:trPr/>
        <w:tc>
          <w:tcPr>
            <w:tcW w:w="35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r>
      <w:tr>
        <w:trPr/>
        <w:tc>
          <w:tcPr>
            <w:tcW w:w="1124" w:type="dxa"/>
            <w:gridSpan w:val="3"/>
            <w:tcBorders>
              <w:bottom w:val="single" w:sz="4" w:space="0" w:color="004C97"/>
            </w:tcBorders>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4C97"/>
                <w:sz w:val="16"/>
              </w:rPr>
            </w:pPr>
            <w:r>
              <w:rPr>
                <w:rFonts w:ascii="Arial;sans-serif" w:hAnsi="Arial;sans-serif"/>
                <w:b w:val="false"/>
                <w:color w:val="004C97"/>
                <w:sz w:val="16"/>
              </w:rPr>
              <w:t>APPENDIX E</w:t>
            </w:r>
          </w:p>
        </w:tc>
      </w:tr>
    </w:tbl>
    <w:p>
      <w:pPr>
        <w:pStyle w:val="TextBody"/>
        <w:bidi w:val="0"/>
        <w:spacing w:lineRule="auto" w:line="288" w:before="0" w:after="0"/>
        <w:jc w:val="left"/>
        <w:rPr>
          <w:rFonts w:ascii="Arial;sans-serif" w:hAnsi="Arial;sans-serif"/>
          <w:b w:val="false"/>
          <w:color w:val="000000"/>
          <w:sz w:val="32"/>
        </w:rPr>
      </w:pPr>
      <w:r>
        <w:rPr>
          <w:rFonts w:ascii="Arial;sans-serif" w:hAnsi="Arial;sans-serif"/>
          <w:b w:val="false"/>
          <w:color w:val="000000"/>
          <w:sz w:val="32"/>
        </w:rPr>
        <w:t>Adjusted Operating Income</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8826" w:type="dxa"/>
        <w:jc w:val="left"/>
        <w:tblInd w:w="0" w:type="dxa"/>
        <w:tblLayout w:type="fixed"/>
        <w:tblCellMar>
          <w:top w:w="28" w:type="dxa"/>
          <w:left w:w="28" w:type="dxa"/>
          <w:bottom w:w="28" w:type="dxa"/>
          <w:right w:w="28" w:type="dxa"/>
        </w:tblCellMar>
      </w:tblPr>
      <w:tblGrid>
        <w:gridCol w:w="1533"/>
        <w:gridCol w:w="1344"/>
        <w:gridCol w:w="1352"/>
        <w:gridCol w:w="424"/>
        <w:gridCol w:w="1236"/>
        <w:gridCol w:w="236"/>
        <w:gridCol w:w="424"/>
        <w:gridCol w:w="1236"/>
        <w:gridCol w:w="236"/>
        <w:gridCol w:w="236"/>
        <w:gridCol w:w="236"/>
        <w:gridCol w:w="333"/>
      </w:tblGrid>
      <w:tr>
        <w:trPr/>
        <w:tc>
          <w:tcPr>
            <w:tcW w:w="1533" w:type="dxa"/>
            <w:tcBorders/>
            <w:vAlign w:val="center"/>
          </w:tcPr>
          <w:p>
            <w:pPr>
              <w:pStyle w:val="TableContents"/>
              <w:bidi w:val="0"/>
              <w:spacing w:before="0" w:after="283"/>
              <w:jc w:val="left"/>
              <w:rPr>
                <w:sz w:val="4"/>
                <w:szCs w:val="4"/>
              </w:rPr>
            </w:pPr>
            <w:r>
              <w:rPr>
                <w:sz w:val="4"/>
                <w:szCs w:val="4"/>
              </w:rPr>
            </w:r>
          </w:p>
        </w:tc>
        <w:tc>
          <w:tcPr>
            <w:tcW w:w="1344"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123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123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r>
      <w:tr>
        <w:trPr/>
        <w:tc>
          <w:tcPr>
            <w:tcW w:w="8826" w:type="dxa"/>
            <w:gridSpan w:val="12"/>
            <w:tcBorders>
              <w:top w:val="single" w:sz="4" w:space="0" w:color="000000"/>
              <w:left w:val="single" w:sz="4" w:space="0" w:color="000000"/>
              <w:right w:val="single" w:sz="4" w:space="0" w:color="000000"/>
            </w:tcBorders>
            <w:shd w:fill="004C97" w:val="clear"/>
            <w:tcMar>
              <w:top w:w="30" w:type="dxa"/>
              <w:bottom w:w="0" w:type="dxa"/>
            </w:tcMar>
            <w:vAlign w:val="center"/>
          </w:tcPr>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SPX TECHNOLOGIES, INC. AND SUBSIDIARIES</w:t>
            </w:r>
          </w:p>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NON-GAAP RECONCILIATION - ADJUSTED OPERATING INCOME</w:t>
            </w:r>
          </w:p>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(Unaudited; in millions)</w:t>
            </w:r>
          </w:p>
        </w:tc>
      </w:tr>
      <w:tr>
        <w:trPr/>
        <w:tc>
          <w:tcPr>
            <w:tcW w:w="4229" w:type="dxa"/>
            <w:gridSpan w:val="3"/>
            <w:tcBorders>
              <w:top w:val="single" w:sz="4" w:space="0" w:color="000000"/>
              <w:left w:val="single" w:sz="4" w:space="0" w:color="000000"/>
            </w:tcBorders>
            <w:shd w:fill="004C97" w:val="clear"/>
            <w:tcMar>
              <w:bottom w:w="0" w:type="dxa"/>
              <w:right w:w="0" w:type="dxa"/>
            </w:tcMar>
            <w:vAlign w:val="center"/>
          </w:tcPr>
          <w:p>
            <w:pPr>
              <w:pStyle w:val="TableContents"/>
              <w:bidi w:val="0"/>
              <w:spacing w:before="0" w:after="283"/>
              <w:jc w:val="left"/>
              <w:rPr>
                <w:sz w:val="4"/>
                <w:szCs w:val="4"/>
              </w:rPr>
            </w:pPr>
            <w:r>
              <w:rPr>
                <w:sz w:val="4"/>
                <w:szCs w:val="4"/>
              </w:rPr>
            </w:r>
          </w:p>
        </w:tc>
        <w:tc>
          <w:tcPr>
            <w:tcW w:w="1896" w:type="dxa"/>
            <w:gridSpan w:val="3"/>
            <w:tcBorders>
              <w:top w:val="single" w:sz="4" w:space="0" w:color="000000"/>
              <w:left w:val="single" w:sz="4" w:space="0" w:color="000000"/>
            </w:tcBorders>
            <w:shd w:fill="004C97" w:val="clear"/>
            <w:tcMar>
              <w:top w:w="30" w:type="dxa"/>
              <w:bottom w:w="0" w:type="dxa"/>
              <w:right w:w="0" w:type="dxa"/>
            </w:tcMar>
            <w:vAlign w:val="center"/>
          </w:tcPr>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2023</w:t>
            </w:r>
          </w:p>
        </w:tc>
        <w:tc>
          <w:tcPr>
            <w:tcW w:w="1896" w:type="dxa"/>
            <w:gridSpan w:val="3"/>
            <w:tcBorders>
              <w:top w:val="single" w:sz="4" w:space="0" w:color="000000"/>
              <w:left w:val="single" w:sz="4" w:space="0" w:color="000000"/>
            </w:tcBorders>
            <w:shd w:fill="004C97" w:val="clear"/>
            <w:tcMar>
              <w:top w:w="30" w:type="dxa"/>
              <w:bottom w:w="0" w:type="dxa"/>
              <w:right w:w="0" w:type="dxa"/>
            </w:tcMar>
            <w:vAlign w:val="center"/>
          </w:tcPr>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2022</w:t>
            </w:r>
          </w:p>
        </w:tc>
        <w:tc>
          <w:tcPr>
            <w:tcW w:w="805" w:type="dxa"/>
            <w:gridSpan w:val="3"/>
            <w:tcBorders>
              <w:top w:val="single" w:sz="4" w:space="0" w:color="000000"/>
              <w:left w:val="single" w:sz="4" w:space="0" w:color="000000"/>
              <w:right w:val="single" w:sz="4" w:space="0" w:color="000000"/>
            </w:tcBorders>
            <w:shd w:fill="004C97" w:val="clear"/>
            <w:tcMar>
              <w:top w:w="30" w:type="dxa"/>
              <w:bottom w:w="0" w:type="dxa"/>
            </w:tcMar>
            <w:vAlign w:val="center"/>
          </w:tcPr>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 xml:space="preserve">% </w:t>
            </w:r>
          </w:p>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Change</w:t>
            </w:r>
          </w:p>
        </w:tc>
      </w:tr>
      <w:tr>
        <w:trPr/>
        <w:tc>
          <w:tcPr>
            <w:tcW w:w="4229" w:type="dxa"/>
            <w:gridSpan w:val="3"/>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Consolidated operating income</w:t>
            </w:r>
          </w:p>
        </w:tc>
        <w:tc>
          <w:tcPr>
            <w:tcW w:w="424" w:type="dxa"/>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1236" w:type="dxa"/>
            <w:tcBorders>
              <w:top w:val="single" w:sz="4" w:space="0" w:color="000000"/>
            </w:tcBorders>
            <w:shd w:fill="E6E7E8"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221.9 </w:t>
            </w:r>
          </w:p>
        </w:tc>
        <w:tc>
          <w:tcPr>
            <w:tcW w:w="236" w:type="dxa"/>
            <w:tcBorders>
              <w:top w:val="single" w:sz="4" w:space="0" w:color="000000"/>
            </w:tcBorders>
            <w:shd w:fill="E6E7E8"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1236" w:type="dxa"/>
            <w:tcBorders>
              <w:top w:val="single" w:sz="4" w:space="0" w:color="000000"/>
            </w:tcBorders>
            <w:shd w:fill="E6E7E8"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51.0 </w:t>
            </w:r>
          </w:p>
        </w:tc>
        <w:tc>
          <w:tcPr>
            <w:tcW w:w="236" w:type="dxa"/>
            <w:tcBorders>
              <w:top w:val="single" w:sz="4" w:space="0" w:color="000000"/>
            </w:tcBorders>
            <w:shd w:fill="E6E7E8"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top w:val="single" w:sz="4" w:space="0" w:color="000000"/>
              <w:left w:val="single" w:sz="4" w:space="0" w:color="000000"/>
              <w:right w:val="single" w:sz="4" w:space="0" w:color="000000"/>
            </w:tcBorders>
            <w:shd w:fill="E6E7E8" w:val="clear"/>
            <w:tcMar>
              <w:bottom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top w:val="single" w:sz="4" w:space="0" w:color="000000"/>
              <w:left w:val="single" w:sz="4" w:space="0" w:color="000000"/>
            </w:tcBorders>
            <w:shd w:fill="FFFFFF" w:val="clear"/>
            <w:tcMar>
              <w:top w:w="30" w:type="dxa"/>
              <w:left w:w="11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Adjustments – Include</w:t>
            </w:r>
          </w:p>
        </w:tc>
        <w:tc>
          <w:tcPr>
            <w:tcW w:w="1896"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896"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top w:val="single" w:sz="4" w:space="0" w:color="000000"/>
              <w:left w:val="single" w:sz="4" w:space="0" w:color="000000"/>
              <w:right w:val="single" w:sz="4" w:space="0" w:color="000000"/>
            </w:tcBorders>
            <w:shd w:fill="FFFFFF" w:val="clear"/>
            <w:tcMar>
              <w:bottom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TSA income</w:t>
            </w:r>
          </w:p>
        </w:tc>
        <w:tc>
          <w:tcPr>
            <w:tcW w:w="1660" w:type="dxa"/>
            <w:gridSpan w:val="2"/>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0.3 </w:t>
            </w:r>
          </w:p>
        </w:tc>
        <w:tc>
          <w:tcPr>
            <w:tcW w:w="236" w:type="dxa"/>
            <w:tcBorders>
              <w:top w:val="single" w:sz="4" w:space="0" w:color="000000"/>
            </w:tcBorders>
            <w:shd w:fill="E6E7E8"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0" w:type="dxa"/>
            <w:gridSpan w:val="2"/>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2.9 </w:t>
            </w:r>
          </w:p>
        </w:tc>
        <w:tc>
          <w:tcPr>
            <w:tcW w:w="236" w:type="dxa"/>
            <w:tcBorders>
              <w:top w:val="single" w:sz="4" w:space="0" w:color="000000"/>
            </w:tcBorders>
            <w:shd w:fill="E6E7E8"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top w:val="single" w:sz="4" w:space="0" w:color="000000"/>
              <w:left w:val="single" w:sz="4" w:space="0" w:color="000000"/>
              <w:right w:val="single" w:sz="4" w:space="0" w:color="000000"/>
            </w:tcBorders>
            <w:shd w:fill="E6E7E8" w:val="clear"/>
            <w:tcMar>
              <w:bottom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top w:val="single" w:sz="4" w:space="0" w:color="000000"/>
              <w:left w:val="single" w:sz="4" w:space="0" w:color="000000"/>
            </w:tcBorders>
            <w:shd w:fill="FFFFFF" w:val="clear"/>
            <w:tcMar>
              <w:top w:w="30" w:type="dxa"/>
              <w:left w:w="11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Adjustments – Exclude</w:t>
            </w:r>
          </w:p>
        </w:tc>
        <w:tc>
          <w:tcPr>
            <w:tcW w:w="1896"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0"/>
              <w:jc w:val="left"/>
              <w:rPr/>
            </w:pPr>
            <w:r>
              <w:rPr/>
            </w:r>
          </w:p>
        </w:tc>
        <w:tc>
          <w:tcPr>
            <w:tcW w:w="1896"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top w:val="single" w:sz="4" w:space="0" w:color="000000"/>
              <w:left w:val="single" w:sz="4" w:space="0" w:color="000000"/>
              <w:right w:val="single" w:sz="4" w:space="0" w:color="000000"/>
            </w:tcBorders>
            <w:shd w:fill="FFFFFF" w:val="clear"/>
            <w:tcMar>
              <w:bottom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6"/>
              </w:rPr>
              <w:t>Acquisition-related and other costs</w:t>
            </w:r>
            <w:r>
              <w:rPr>
                <w:rFonts w:ascii="Arial;sans-serif" w:hAnsi="Arial;sans-serif"/>
                <w:b w:val="false"/>
                <w:color w:val="000000"/>
                <w:sz w:val="10"/>
              </w:rPr>
              <w:t>(1)</w:t>
            </w:r>
          </w:p>
        </w:tc>
        <w:tc>
          <w:tcPr>
            <w:tcW w:w="1660" w:type="dxa"/>
            <w:gridSpan w:val="2"/>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(13.6)</w:t>
            </w:r>
          </w:p>
        </w:tc>
        <w:tc>
          <w:tcPr>
            <w:tcW w:w="236" w:type="dxa"/>
            <w:tcBorders>
              <w:top w:val="single" w:sz="4" w:space="0" w:color="000000"/>
            </w:tcBorders>
            <w:shd w:fill="E6E7E8"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0" w:type="dxa"/>
            <w:gridSpan w:val="2"/>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(16.7)</w:t>
            </w:r>
          </w:p>
        </w:tc>
        <w:tc>
          <w:tcPr>
            <w:tcW w:w="236" w:type="dxa"/>
            <w:tcBorders>
              <w:top w:val="single" w:sz="4" w:space="0" w:color="000000"/>
            </w:tcBorders>
            <w:shd w:fill="E6E7E8"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top w:val="single" w:sz="4" w:space="0" w:color="000000"/>
              <w:left w:val="single" w:sz="4" w:space="0" w:color="000000"/>
              <w:right w:val="single" w:sz="4" w:space="0" w:color="000000"/>
            </w:tcBorders>
            <w:shd w:fill="E6E7E8" w:val="clear"/>
            <w:tcMar>
              <w:bottom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top w:val="single" w:sz="4" w:space="0" w:color="000000"/>
              <w:left w:val="single" w:sz="4" w:space="0" w:color="000000"/>
            </w:tcBorders>
            <w:shd w:fill="FFFFFF" w:val="clear"/>
            <w:tcMar>
              <w:top w:w="30" w:type="dxa"/>
              <w:left w:w="29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Other operating expense, net</w:t>
            </w:r>
          </w:p>
        </w:tc>
        <w:tc>
          <w:tcPr>
            <w:tcW w:w="1660" w:type="dxa"/>
            <w:gridSpan w:val="2"/>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(9.0)</w:t>
            </w:r>
          </w:p>
        </w:tc>
        <w:tc>
          <w:tcPr>
            <w:tcW w:w="23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0" w:type="dxa"/>
            <w:gridSpan w:val="2"/>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(74.9)</w:t>
            </w:r>
          </w:p>
        </w:tc>
        <w:tc>
          <w:tcPr>
            <w:tcW w:w="23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top w:val="single" w:sz="4" w:space="0" w:color="000000"/>
              <w:left w:val="single" w:sz="4" w:space="0" w:color="000000"/>
              <w:right w:val="single" w:sz="4" w:space="0" w:color="000000"/>
            </w:tcBorders>
            <w:shd w:fill="FFFFFF" w:val="clear"/>
            <w:tcMar>
              <w:bottom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top w:val="single" w:sz="4" w:space="0" w:color="000000"/>
              <w:left w:val="single" w:sz="4" w:space="0" w:color="000000"/>
            </w:tcBorders>
            <w:shd w:fill="E6E7E8" w:val="clear"/>
            <w:tcMar>
              <w:top w:w="30" w:type="dxa"/>
              <w:left w:w="29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Amortization of acquired intangible assets</w:t>
            </w:r>
          </w:p>
        </w:tc>
        <w:tc>
          <w:tcPr>
            <w:tcW w:w="1660" w:type="dxa"/>
            <w:gridSpan w:val="2"/>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(43.9)</w:t>
            </w:r>
          </w:p>
        </w:tc>
        <w:tc>
          <w:tcPr>
            <w:tcW w:w="236" w:type="dxa"/>
            <w:tcBorders>
              <w:top w:val="single" w:sz="4" w:space="0" w:color="000000"/>
            </w:tcBorders>
            <w:shd w:fill="E6E7E8"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0" w:type="dxa"/>
            <w:gridSpan w:val="2"/>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(28.5)</w:t>
            </w:r>
          </w:p>
        </w:tc>
        <w:tc>
          <w:tcPr>
            <w:tcW w:w="236" w:type="dxa"/>
            <w:tcBorders>
              <w:top w:val="single" w:sz="4" w:space="0" w:color="000000"/>
            </w:tcBorders>
            <w:shd w:fill="E6E7E8"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top w:val="single" w:sz="4" w:space="0" w:color="000000"/>
              <w:left w:val="single" w:sz="4" w:space="0" w:color="000000"/>
              <w:right w:val="single" w:sz="4" w:space="0" w:color="000000"/>
            </w:tcBorders>
            <w:shd w:fill="E6E7E8" w:val="clear"/>
            <w:tcMar>
              <w:bottom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top w:val="single" w:sz="4" w:space="0" w:color="000000"/>
              <w:left w:val="single" w:sz="4" w:space="0" w:color="000000"/>
            </w:tcBorders>
            <w:shd w:fill="FFFFFF" w:val="clear"/>
            <w:tcMar>
              <w:top w:w="30" w:type="dxa"/>
              <w:left w:w="29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Impairment of goodwill and intangible assets</w:t>
            </w:r>
          </w:p>
        </w:tc>
        <w:tc>
          <w:tcPr>
            <w:tcW w:w="1660" w:type="dxa"/>
            <w:gridSpan w:val="2"/>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0" w:type="dxa"/>
            <w:gridSpan w:val="2"/>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(13.4)</w:t>
            </w:r>
          </w:p>
        </w:tc>
        <w:tc>
          <w:tcPr>
            <w:tcW w:w="23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top w:val="single" w:sz="4" w:space="0" w:color="000000"/>
              <w:left w:val="single" w:sz="4" w:space="0" w:color="000000"/>
              <w:right w:val="single" w:sz="4" w:space="0" w:color="000000"/>
            </w:tcBorders>
            <w:shd w:fill="FFFFFF" w:val="clear"/>
            <w:tcMar>
              <w:bottom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top w:val="single" w:sz="4" w:space="0" w:color="000000"/>
              <w:left w:val="single" w:sz="4" w:space="0" w:color="000000"/>
            </w:tcBorders>
            <w:shd w:fill="E6E7E8" w:val="clear"/>
            <w:tcMar>
              <w:top w:w="30" w:type="dxa"/>
              <w:left w:w="11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Adjusted operating income</w:t>
            </w:r>
          </w:p>
        </w:tc>
        <w:tc>
          <w:tcPr>
            <w:tcW w:w="1660" w:type="dxa"/>
            <w:gridSpan w:val="2"/>
            <w:tcBorders>
              <w:top w:val="single" w:sz="8"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288.7</w:t>
            </w:r>
            <w:r>
              <w:rPr>
                <w:color w:val="000000"/>
              </w:rPr>
              <w:t> </w:t>
            </w:r>
          </w:p>
        </w:tc>
        <w:tc>
          <w:tcPr>
            <w:tcW w:w="236" w:type="dxa"/>
            <w:tcBorders>
              <w:top w:val="single" w:sz="8" w:space="0" w:color="000000"/>
            </w:tcBorders>
            <w:shd w:fill="E6E7E8"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0" w:type="dxa"/>
            <w:gridSpan w:val="2"/>
            <w:tcBorders>
              <w:top w:val="single" w:sz="8"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187.4</w:t>
            </w:r>
            <w:r>
              <w:rPr>
                <w:color w:val="000000"/>
              </w:rPr>
              <w:t> </w:t>
            </w:r>
          </w:p>
        </w:tc>
        <w:tc>
          <w:tcPr>
            <w:tcW w:w="236" w:type="dxa"/>
            <w:tcBorders>
              <w:top w:val="single" w:sz="8" w:space="0" w:color="000000"/>
            </w:tcBorders>
            <w:shd w:fill="E6E7E8"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top w:val="single" w:sz="4" w:space="0" w:color="000000"/>
              <w:left w:val="single" w:sz="4" w:space="0" w:color="000000"/>
              <w:right w:val="single" w:sz="4" w:space="0" w:color="000000"/>
            </w:tcBorders>
            <w:shd w:fill="E6E7E8" w:val="clear"/>
            <w:tcMar>
              <w:top w:w="30" w:type="dxa"/>
              <w:bottom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54.1%</w:t>
            </w:r>
          </w:p>
        </w:tc>
      </w:tr>
      <w:tr>
        <w:trPr/>
        <w:tc>
          <w:tcPr>
            <w:tcW w:w="4229" w:type="dxa"/>
            <w:gridSpan w:val="3"/>
            <w:tcBorders>
              <w:top w:val="single" w:sz="4" w:space="0" w:color="000000"/>
              <w:left w:val="single" w:sz="4" w:space="0" w:color="000000"/>
            </w:tcBorders>
            <w:shd w:fill="FFFFFF" w:val="clear"/>
            <w:tcMar>
              <w:top w:w="30" w:type="dxa"/>
              <w:left w:w="11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Exclude:</w:t>
            </w:r>
          </w:p>
        </w:tc>
        <w:tc>
          <w:tcPr>
            <w:tcW w:w="1896"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0"/>
              <w:jc w:val="left"/>
              <w:rPr/>
            </w:pPr>
            <w:r>
              <w:rPr/>
            </w:r>
          </w:p>
        </w:tc>
        <w:tc>
          <w:tcPr>
            <w:tcW w:w="1896"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top w:val="single" w:sz="4" w:space="0" w:color="000000"/>
              <w:left w:val="single" w:sz="4" w:space="0" w:color="000000"/>
              <w:right w:val="single" w:sz="4" w:space="0" w:color="000000"/>
            </w:tcBorders>
            <w:shd w:fill="FFFFFF" w:val="clear"/>
            <w:tcMar>
              <w:bottom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6"/>
              </w:rPr>
              <w:t>Corporate annual incentive expense and other, net</w:t>
            </w:r>
            <w:r>
              <w:rPr>
                <w:rFonts w:ascii="Arial;sans-serif" w:hAnsi="Arial;sans-serif"/>
                <w:b w:val="false"/>
                <w:color w:val="000000"/>
                <w:sz w:val="10"/>
              </w:rPr>
              <w:t>(2)</w:t>
            </w:r>
          </w:p>
        </w:tc>
        <w:tc>
          <w:tcPr>
            <w:tcW w:w="1660" w:type="dxa"/>
            <w:gridSpan w:val="2"/>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(17.5)</w:t>
            </w:r>
          </w:p>
        </w:tc>
        <w:tc>
          <w:tcPr>
            <w:tcW w:w="236" w:type="dxa"/>
            <w:tcBorders>
              <w:top w:val="single" w:sz="4" w:space="0" w:color="000000"/>
            </w:tcBorders>
            <w:shd w:fill="E6E7E8"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0" w:type="dxa"/>
            <w:gridSpan w:val="2"/>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6.9 </w:t>
            </w:r>
          </w:p>
        </w:tc>
        <w:tc>
          <w:tcPr>
            <w:tcW w:w="236" w:type="dxa"/>
            <w:tcBorders>
              <w:top w:val="single" w:sz="4" w:space="0" w:color="000000"/>
            </w:tcBorders>
            <w:shd w:fill="E6E7E8"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top w:val="single" w:sz="4" w:space="0" w:color="000000"/>
              <w:left w:val="single" w:sz="4" w:space="0" w:color="000000"/>
              <w:right w:val="single" w:sz="4" w:space="0" w:color="000000"/>
            </w:tcBorders>
            <w:shd w:fill="E6E7E8" w:val="clear"/>
            <w:tcMar>
              <w:bottom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top w:val="single" w:sz="4" w:space="0" w:color="000000"/>
              <w:left w:val="single" w:sz="4" w:space="0" w:color="000000"/>
              <w:bottom w:val="single" w:sz="4" w:space="0" w:color="000000"/>
            </w:tcBorders>
            <w:shd w:fill="FFFFFF" w:val="clear"/>
            <w:tcMar>
              <w:top w:w="30" w:type="dxa"/>
              <w:left w:w="11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Adjusted operating income for annual incentive purposes</w:t>
            </w:r>
          </w:p>
        </w:tc>
        <w:tc>
          <w:tcPr>
            <w:tcW w:w="424" w:type="dxa"/>
            <w:tcBorders>
              <w:top w:val="single" w:sz="8" w:space="0" w:color="000000"/>
              <w:left w:val="single" w:sz="4" w:space="0" w:color="000000"/>
              <w:bottom w:val="double" w:sz="8" w:space="0" w:color="000000"/>
            </w:tcBorders>
            <w:shd w:fill="FFFFFF" w:val="clear"/>
            <w:tcMar>
              <w:top w:w="30" w:type="dxa"/>
              <w:bottom w:w="3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w:t>
            </w:r>
          </w:p>
        </w:tc>
        <w:tc>
          <w:tcPr>
            <w:tcW w:w="12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271.2</w:t>
            </w:r>
            <w:r>
              <w:rPr>
                <w:color w:val="000000"/>
              </w:rPr>
              <w:t> </w:t>
            </w:r>
          </w:p>
        </w:tc>
        <w:tc>
          <w:tcPr>
            <w:tcW w:w="2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4" w:type="dxa"/>
            <w:tcBorders>
              <w:top w:val="single" w:sz="8" w:space="0" w:color="000000"/>
              <w:left w:val="single" w:sz="4" w:space="0" w:color="000000"/>
              <w:bottom w:val="double" w:sz="8" w:space="0" w:color="000000"/>
            </w:tcBorders>
            <w:shd w:fill="FFFFFF" w:val="clear"/>
            <w:tcMar>
              <w:top w:w="30" w:type="dxa"/>
              <w:bottom w:w="3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w:t>
            </w:r>
          </w:p>
        </w:tc>
        <w:tc>
          <w:tcPr>
            <w:tcW w:w="12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194.3</w:t>
            </w:r>
            <w:r>
              <w:rPr>
                <w:color w:val="000000"/>
              </w:rPr>
              <w:t> </w:t>
            </w:r>
          </w:p>
        </w:tc>
        <w:tc>
          <w:tcPr>
            <w:tcW w:w="2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top w:val="single" w:sz="4" w:space="0" w:color="000000"/>
              <w:left w:val="single" w:sz="4" w:space="0" w:color="000000"/>
              <w:bottom w:val="single" w:sz="4" w:space="0" w:color="000000"/>
              <w:right w:val="single" w:sz="4" w:space="0" w:color="000000"/>
            </w:tcBorders>
            <w:shd w:fill="FFFFFF" w:val="clear"/>
            <w:tcMar>
              <w:top w:w="30" w:type="dxa"/>
              <w:bottom w:w="3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39.6%</w:t>
            </w:r>
          </w:p>
        </w:tc>
      </w:tr>
    </w:tbl>
    <w:p>
      <w:pPr>
        <w:pStyle w:val="TextBody"/>
        <w:bidi w:val="0"/>
        <w:spacing w:lineRule="auto" w:line="288" w:before="0" w:after="60"/>
        <w:ind w:left="0" w:right="0" w:hanging="360"/>
        <w:jc w:val="both"/>
        <w:rPr>
          <w:rFonts w:ascii="Arial;sans-serif" w:hAnsi="Arial;sans-serif"/>
          <w:b w:val="false"/>
          <w:color w:val="000000"/>
          <w:sz w:val="16"/>
        </w:rPr>
      </w:pPr>
      <w:r>
        <w:rPr>
          <w:rFonts w:ascii="Arial;sans-serif" w:hAnsi="Arial;sans-serif"/>
          <w:b w:val="false"/>
          <w:color w:val="000000"/>
          <w:sz w:val="16"/>
        </w:rPr>
        <w:t xml:space="preserve">(1)Relates primarily to acquisition and strategic/transformation related costs, integration costs, and inventory step-up charges incurred in connection with the acquisitions of TAMCO and ASPEQ in 2023 and ITL in 2022. </w:t>
      </w:r>
    </w:p>
    <w:p>
      <w:pPr>
        <w:pStyle w:val="TextBody"/>
        <w:bidi w:val="0"/>
        <w:spacing w:lineRule="auto" w:line="288" w:before="0" w:after="60"/>
        <w:ind w:left="0" w:right="0" w:hanging="360"/>
        <w:jc w:val="both"/>
        <w:rPr>
          <w:rFonts w:ascii="Arial;sans-serif" w:hAnsi="Arial;sans-serif"/>
          <w:b w:val="false"/>
          <w:color w:val="000000"/>
          <w:sz w:val="16"/>
        </w:rPr>
      </w:pPr>
      <w:r>
        <w:rPr>
          <w:rFonts w:ascii="Arial;sans-serif" w:hAnsi="Arial;sans-serif"/>
          <w:b w:val="false"/>
          <w:color w:val="000000"/>
          <w:sz w:val="16"/>
        </w:rPr>
        <w:t>(2)Includes, primarily, corporate annual incentive expense and the operating results of TAMCO and ASPEQ in 2023 and ITL in 2022.</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739140"/>
                <wp:effectExtent l="0" t="0" r="0" b="0"/>
                <wp:wrapNone/>
                <wp:docPr id="288" name="Frame88"/>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292" w:type="dxa"/>
                              <w:jc w:val="left"/>
                              <w:tblInd w:w="0" w:type="dxa"/>
                              <w:tblLayout w:type="fixed"/>
                              <w:tblCellMar>
                                <w:top w:w="28" w:type="dxa"/>
                                <w:left w:w="28" w:type="dxa"/>
                                <w:bottom w:w="28" w:type="dxa"/>
                                <w:right w:w="28" w:type="dxa"/>
                              </w:tblCellMar>
                            </w:tblPr>
                            <w:tblGrid>
                              <w:gridCol w:w="124"/>
                              <w:gridCol w:w="109"/>
                              <w:gridCol w:w="109"/>
                              <w:gridCol w:w="704"/>
                              <w:gridCol w:w="704"/>
                              <w:gridCol w:w="706"/>
                              <w:gridCol w:w="244"/>
                              <w:gridCol w:w="244"/>
                              <w:gridCol w:w="34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6"/>
                                    </w:rPr>
                                  </w:pPr>
                                  <w:r>
                                    <w:rPr>
                                      <w:rFonts w:ascii="Arial;sans-serif" w:hAnsi="Arial;sans-serif"/>
                                      <w:b/>
                                      <w:color w:val="000000"/>
                                      <w:sz w:val="16"/>
                                    </w:rPr>
                                    <w:t>82</w:t>
                                  </w:r>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2024 PROXY STATEMENT</w:t>
                                  </w:r>
                                </w:p>
                              </w:tc>
                              <w:tc>
                                <w:tcPr>
                                  <w:tcW w:w="83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289" name="Image1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9" name="Image120" descr=""/>
                                                <pic:cNvPicPr>
                                                  <a:picLocks noChangeAspect="1" noChangeArrowheads="1"/>
                                                </pic:cNvPicPr>
                                              </pic:nvPicPr>
                                              <pic:blipFill>
                                                <a:blip r:embed="rId202"/>
                                                <a:stretch>
                                                  <a:fillRect/>
                                                </a:stretch>
                                              </pic:blipFill>
                                              <pic:spPr bwMode="auto">
                                                <a:xfrm>
                                                  <a:off x="0" y="0"/>
                                                  <a:ext cx="447675" cy="161925"/>
                                                </a:xfrm>
                                                <a:prstGeom prst="rect">
                                                  <a:avLst/>
                                                </a:prstGeom>
                                              </pic:spPr>
                                            </pic:pic>
                                          </a:graphicData>
                                        </a:graphic>
                                      </wp:inline>
                                    </w:drawing>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292" w:type="dxa"/>
                        <w:jc w:val="left"/>
                        <w:tblInd w:w="0" w:type="dxa"/>
                        <w:tblLayout w:type="fixed"/>
                        <w:tblCellMar>
                          <w:top w:w="28" w:type="dxa"/>
                          <w:left w:w="28" w:type="dxa"/>
                          <w:bottom w:w="28" w:type="dxa"/>
                          <w:right w:w="28" w:type="dxa"/>
                        </w:tblCellMar>
                      </w:tblPr>
                      <w:tblGrid>
                        <w:gridCol w:w="124"/>
                        <w:gridCol w:w="109"/>
                        <w:gridCol w:w="109"/>
                        <w:gridCol w:w="704"/>
                        <w:gridCol w:w="704"/>
                        <w:gridCol w:w="706"/>
                        <w:gridCol w:w="244"/>
                        <w:gridCol w:w="244"/>
                        <w:gridCol w:w="34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6"/>
                              </w:rPr>
                            </w:pPr>
                            <w:r>
                              <w:rPr>
                                <w:rFonts w:ascii="Arial;sans-serif" w:hAnsi="Arial;sans-serif"/>
                                <w:b/>
                                <w:color w:val="000000"/>
                                <w:sz w:val="16"/>
                              </w:rPr>
                              <w:t>82</w:t>
                            </w:r>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2024 PROXY STATEMENT</w:t>
                            </w:r>
                          </w:p>
                        </w:tc>
                        <w:tc>
                          <w:tcPr>
                            <w:tcW w:w="83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290" name="Image1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0" name="Image120" descr=""/>
                                          <pic:cNvPicPr>
                                            <a:picLocks noChangeAspect="1" noChangeArrowheads="1"/>
                                          </pic:cNvPicPr>
                                        </pic:nvPicPr>
                                        <pic:blipFill>
                                          <a:blip r:embed="rId203"/>
                                          <a:stretch>
                                            <a:fillRect/>
                                          </a:stretch>
                                        </pic:blipFill>
                                        <pic:spPr bwMode="auto">
                                          <a:xfrm>
                                            <a:off x="0" y="0"/>
                                            <a:ext cx="447675" cy="161925"/>
                                          </a:xfrm>
                                          <a:prstGeom prst="rect">
                                            <a:avLst/>
                                          </a:prstGeom>
                                        </pic:spPr>
                                      </pic:pic>
                                    </a:graphicData>
                                  </a:graphic>
                                </wp:inline>
                              </w:drawing>
                            </w:r>
                          </w:p>
                        </w:tc>
                      </w:tr>
                    </w:tbl>
                    <w:p>
                      <w:pPr>
                        <w:pStyle w:val="TextBody"/>
                        <w:bidi w:val="0"/>
                        <w:spacing w:before="0" w:after="283"/>
                        <w:jc w:val="left"/>
                        <w:rPr/>
                      </w:pPr>
                      <w:r>
                        <w:rPr/>
                      </w:r>
                    </w:p>
                  </w:txbxContent>
                </v:textbox>
                <w10:wrap type="none"/>
              </v:rect>
            </w:pict>
          </mc:Fallback>
        </mc:AlternateContent>
      </w:r>
    </w:p>
    <w:tbl>
      <w:tblPr>
        <w:tblW w:w="1124" w:type="dxa"/>
        <w:jc w:val="right"/>
        <w:tblInd w:w="0" w:type="dxa"/>
        <w:tblLayout w:type="fixed"/>
        <w:tblCellMar>
          <w:top w:w="28" w:type="dxa"/>
          <w:left w:w="28" w:type="dxa"/>
          <w:bottom w:w="28" w:type="dxa"/>
          <w:right w:w="28" w:type="dxa"/>
        </w:tblCellMar>
      </w:tblPr>
      <w:tblGrid>
        <w:gridCol w:w="359"/>
        <w:gridCol w:w="316"/>
        <w:gridCol w:w="449"/>
      </w:tblGrid>
      <w:tr>
        <w:trPr/>
        <w:tc>
          <w:tcPr>
            <w:tcW w:w="35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r>
      <w:tr>
        <w:trPr/>
        <w:tc>
          <w:tcPr>
            <w:tcW w:w="1124" w:type="dxa"/>
            <w:gridSpan w:val="3"/>
            <w:tcBorders>
              <w:bottom w:val="single" w:sz="4" w:space="0" w:color="004C97"/>
            </w:tcBorders>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4C97"/>
                <w:sz w:val="16"/>
              </w:rPr>
            </w:pPr>
            <w:r>
              <w:rPr>
                <w:rFonts w:ascii="Arial;sans-serif" w:hAnsi="Arial;sans-serif"/>
                <w:b w:val="false"/>
                <w:color w:val="004C97"/>
                <w:sz w:val="16"/>
              </w:rPr>
              <w:t>APPENDIX E</w:t>
            </w:r>
          </w:p>
        </w:tc>
      </w:tr>
    </w:tbl>
    <w:p>
      <w:pPr>
        <w:pStyle w:val="TextBody"/>
        <w:bidi w:val="0"/>
        <w:spacing w:lineRule="auto" w:line="288" w:before="0" w:after="0"/>
        <w:jc w:val="left"/>
        <w:rPr>
          <w:rFonts w:ascii="Arial;sans-serif" w:hAnsi="Arial;sans-serif"/>
          <w:b w:val="false"/>
          <w:color w:val="000000"/>
          <w:sz w:val="32"/>
        </w:rPr>
      </w:pPr>
      <w:r>
        <w:rPr>
          <w:rFonts w:ascii="Arial;sans-serif" w:hAnsi="Arial;sans-serif"/>
          <w:b w:val="false"/>
          <w:color w:val="000000"/>
          <w:sz w:val="32"/>
        </w:rPr>
        <w:t>Consolidated Segment Income and Consolidated Segment Income Margin</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167"/>
        <w:gridCol w:w="1001"/>
        <w:gridCol w:w="1005"/>
        <w:gridCol w:w="575"/>
        <w:gridCol w:w="1631"/>
        <w:gridCol w:w="750"/>
        <w:gridCol w:w="575"/>
        <w:gridCol w:w="1631"/>
        <w:gridCol w:w="750"/>
        <w:gridCol w:w="335"/>
        <w:gridCol w:w="331"/>
        <w:gridCol w:w="454"/>
      </w:tblGrid>
      <w:tr>
        <w:trPr/>
        <w:tc>
          <w:tcPr>
            <w:tcW w:w="1167"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1631"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1631"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r>
      <w:tr>
        <w:trPr/>
        <w:tc>
          <w:tcPr>
            <w:tcW w:w="10205" w:type="dxa"/>
            <w:gridSpan w:val="12"/>
            <w:tcBorders>
              <w:top w:val="single" w:sz="4" w:space="0" w:color="000000"/>
              <w:left w:val="single" w:sz="4" w:space="0" w:color="000000"/>
              <w:right w:val="single" w:sz="4" w:space="0" w:color="000000"/>
            </w:tcBorders>
            <w:shd w:fill="004C97" w:val="clear"/>
            <w:tcMar>
              <w:top w:w="30" w:type="dxa"/>
              <w:bottom w:w="0" w:type="dxa"/>
            </w:tcMar>
            <w:vAlign w:val="center"/>
          </w:tcPr>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SPX TECHNOLOGIES, INC. AND SUBSIDIARIES</w:t>
            </w:r>
          </w:p>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NON-GAAP RECONCILIATION - Consolidated Segment Income &amp; Consolidated Segment Income Margin</w:t>
            </w:r>
          </w:p>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(Unaudited; in millions)</w:t>
            </w:r>
          </w:p>
        </w:tc>
      </w:tr>
      <w:tr>
        <w:trPr/>
        <w:tc>
          <w:tcPr>
            <w:tcW w:w="3173" w:type="dxa"/>
            <w:gridSpan w:val="3"/>
            <w:tcBorders>
              <w:top w:val="single" w:sz="4" w:space="0" w:color="000000"/>
              <w:left w:val="single" w:sz="4" w:space="0" w:color="000000"/>
            </w:tcBorders>
            <w:shd w:fill="004C97" w:val="clear"/>
            <w:tcMar>
              <w:bottom w:w="0" w:type="dxa"/>
              <w:right w:w="0" w:type="dxa"/>
            </w:tcMar>
            <w:vAlign w:val="center"/>
          </w:tcPr>
          <w:p>
            <w:pPr>
              <w:pStyle w:val="TableContents"/>
              <w:bidi w:val="0"/>
              <w:spacing w:before="0" w:after="283"/>
              <w:jc w:val="left"/>
              <w:rPr>
                <w:sz w:val="4"/>
                <w:szCs w:val="4"/>
              </w:rPr>
            </w:pPr>
            <w:r>
              <w:rPr>
                <w:sz w:val="4"/>
                <w:szCs w:val="4"/>
              </w:rPr>
            </w:r>
          </w:p>
        </w:tc>
        <w:tc>
          <w:tcPr>
            <w:tcW w:w="2956" w:type="dxa"/>
            <w:gridSpan w:val="3"/>
            <w:tcBorders>
              <w:top w:val="single" w:sz="4" w:space="0" w:color="000000"/>
              <w:left w:val="single" w:sz="4" w:space="0" w:color="000000"/>
            </w:tcBorders>
            <w:shd w:fill="004C97" w:val="clear"/>
            <w:tcMar>
              <w:top w:w="30" w:type="dxa"/>
              <w:bottom w:w="0" w:type="dxa"/>
              <w:right w:w="0" w:type="dxa"/>
            </w:tcMar>
            <w:vAlign w:val="center"/>
          </w:tcPr>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2023</w:t>
            </w:r>
          </w:p>
        </w:tc>
        <w:tc>
          <w:tcPr>
            <w:tcW w:w="2956" w:type="dxa"/>
            <w:gridSpan w:val="3"/>
            <w:tcBorders>
              <w:top w:val="single" w:sz="4" w:space="0" w:color="000000"/>
              <w:left w:val="single" w:sz="4" w:space="0" w:color="000000"/>
            </w:tcBorders>
            <w:shd w:fill="004C97" w:val="clear"/>
            <w:tcMar>
              <w:top w:w="30" w:type="dxa"/>
              <w:bottom w:w="0" w:type="dxa"/>
              <w:right w:w="0" w:type="dxa"/>
            </w:tcMar>
            <w:vAlign w:val="center"/>
          </w:tcPr>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2022</w:t>
            </w:r>
          </w:p>
        </w:tc>
        <w:tc>
          <w:tcPr>
            <w:tcW w:w="1120" w:type="dxa"/>
            <w:gridSpan w:val="3"/>
            <w:tcBorders>
              <w:top w:val="single" w:sz="4" w:space="0" w:color="000000"/>
              <w:left w:val="single" w:sz="4" w:space="0" w:color="000000"/>
              <w:right w:val="single" w:sz="4" w:space="0" w:color="000000"/>
            </w:tcBorders>
            <w:shd w:fill="004C97" w:val="clear"/>
            <w:tcMar>
              <w:top w:w="30" w:type="dxa"/>
              <w:bottom w:w="0" w:type="dxa"/>
            </w:tcMar>
            <w:vAlign w:val="center"/>
          </w:tcPr>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 xml:space="preserve">% </w:t>
            </w:r>
          </w:p>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Change</w:t>
            </w:r>
          </w:p>
        </w:tc>
      </w:tr>
      <w:tr>
        <w:trPr/>
        <w:tc>
          <w:tcPr>
            <w:tcW w:w="3173" w:type="dxa"/>
            <w:gridSpan w:val="3"/>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Consolidated operating income</w:t>
            </w:r>
          </w:p>
        </w:tc>
        <w:tc>
          <w:tcPr>
            <w:tcW w:w="575" w:type="dxa"/>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1631" w:type="dxa"/>
            <w:tcBorders>
              <w:top w:val="single" w:sz="4" w:space="0" w:color="000000"/>
            </w:tcBorders>
            <w:shd w:fill="E6E7E8"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221.9 </w:t>
            </w:r>
          </w:p>
        </w:tc>
        <w:tc>
          <w:tcPr>
            <w:tcW w:w="750" w:type="dxa"/>
            <w:tcBorders>
              <w:top w:val="single" w:sz="4" w:space="0" w:color="000000"/>
            </w:tcBorders>
            <w:shd w:fill="E6E7E8"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1631" w:type="dxa"/>
            <w:tcBorders>
              <w:top w:val="single" w:sz="4" w:space="0" w:color="000000"/>
            </w:tcBorders>
            <w:shd w:fill="E6E7E8"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51.0 </w:t>
            </w:r>
          </w:p>
        </w:tc>
        <w:tc>
          <w:tcPr>
            <w:tcW w:w="750" w:type="dxa"/>
            <w:tcBorders>
              <w:top w:val="single" w:sz="4" w:space="0" w:color="000000"/>
            </w:tcBorders>
            <w:shd w:fill="E6E7E8"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single" w:sz="4" w:space="0" w:color="000000"/>
              <w:left w:val="single" w:sz="4" w:space="0" w:color="000000"/>
              <w:right w:val="single" w:sz="4" w:space="0" w:color="000000"/>
            </w:tcBorders>
            <w:shd w:fill="E6E7E8" w:val="clear"/>
            <w:tcMar>
              <w:bottom w:w="0" w:type="dxa"/>
            </w:tcMar>
            <w:vAlign w:val="center"/>
          </w:tcPr>
          <w:p>
            <w:pPr>
              <w:pStyle w:val="TableContents"/>
              <w:bidi w:val="0"/>
              <w:spacing w:before="0" w:after="283"/>
              <w:jc w:val="left"/>
              <w:rPr>
                <w:sz w:val="4"/>
                <w:szCs w:val="4"/>
              </w:rPr>
            </w:pPr>
            <w:r>
              <w:rPr>
                <w:sz w:val="4"/>
                <w:szCs w:val="4"/>
              </w:rPr>
            </w:r>
          </w:p>
        </w:tc>
      </w:tr>
      <w:tr>
        <w:trPr/>
        <w:tc>
          <w:tcPr>
            <w:tcW w:w="3173" w:type="dxa"/>
            <w:gridSpan w:val="3"/>
            <w:tcBorders>
              <w:top w:val="single" w:sz="4" w:space="0" w:color="000000"/>
              <w:left w:val="single" w:sz="4" w:space="0" w:color="000000"/>
            </w:tcBorders>
            <w:shd w:fill="FFFFFF" w:val="clear"/>
            <w:tcMar>
              <w:top w:w="30" w:type="dxa"/>
              <w:left w:w="11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Exclude:</w:t>
            </w:r>
          </w:p>
        </w:tc>
        <w:tc>
          <w:tcPr>
            <w:tcW w:w="2956"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2956"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single" w:sz="4" w:space="0" w:color="000000"/>
              <w:left w:val="single" w:sz="4" w:space="0" w:color="000000"/>
              <w:right w:val="single" w:sz="4" w:space="0" w:color="000000"/>
            </w:tcBorders>
            <w:shd w:fill="FFFFFF" w:val="clear"/>
            <w:tcMar>
              <w:bottom w:w="0" w:type="dxa"/>
            </w:tcMar>
            <w:vAlign w:val="center"/>
          </w:tcPr>
          <w:p>
            <w:pPr>
              <w:pStyle w:val="TableContents"/>
              <w:bidi w:val="0"/>
              <w:spacing w:before="0" w:after="283"/>
              <w:jc w:val="left"/>
              <w:rPr>
                <w:sz w:val="4"/>
                <w:szCs w:val="4"/>
              </w:rPr>
            </w:pPr>
            <w:r>
              <w:rPr>
                <w:sz w:val="4"/>
                <w:szCs w:val="4"/>
              </w:rPr>
            </w:r>
          </w:p>
        </w:tc>
      </w:tr>
      <w:tr>
        <w:trPr/>
        <w:tc>
          <w:tcPr>
            <w:tcW w:w="3173" w:type="dxa"/>
            <w:gridSpan w:val="3"/>
            <w:tcBorders>
              <w:top w:val="single" w:sz="4" w:space="0" w:color="000000"/>
              <w:left w:val="single" w:sz="4" w:space="0" w:color="000000"/>
            </w:tcBorders>
            <w:shd w:fill="E6E7E8" w:val="clear"/>
            <w:tcMar>
              <w:top w:w="30" w:type="dxa"/>
              <w:left w:w="29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Corporate expense</w:t>
            </w:r>
          </w:p>
        </w:tc>
        <w:tc>
          <w:tcPr>
            <w:tcW w:w="2206" w:type="dxa"/>
            <w:gridSpan w:val="2"/>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58.4 </w:t>
            </w:r>
          </w:p>
        </w:tc>
        <w:tc>
          <w:tcPr>
            <w:tcW w:w="750" w:type="dxa"/>
            <w:tcBorders>
              <w:top w:val="single" w:sz="4" w:space="0" w:color="000000"/>
            </w:tcBorders>
            <w:shd w:fill="E6E7E8"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6" w:type="dxa"/>
            <w:gridSpan w:val="2"/>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68.6 </w:t>
            </w:r>
          </w:p>
        </w:tc>
        <w:tc>
          <w:tcPr>
            <w:tcW w:w="750" w:type="dxa"/>
            <w:tcBorders>
              <w:top w:val="single" w:sz="4" w:space="0" w:color="000000"/>
            </w:tcBorders>
            <w:shd w:fill="E6E7E8"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single" w:sz="4" w:space="0" w:color="000000"/>
              <w:left w:val="single" w:sz="4" w:space="0" w:color="000000"/>
              <w:right w:val="single" w:sz="4" w:space="0" w:color="000000"/>
            </w:tcBorders>
            <w:shd w:fill="E6E7E8" w:val="clear"/>
            <w:tcMar>
              <w:bottom w:w="0" w:type="dxa"/>
            </w:tcMar>
            <w:vAlign w:val="center"/>
          </w:tcPr>
          <w:p>
            <w:pPr>
              <w:pStyle w:val="TableContents"/>
              <w:bidi w:val="0"/>
              <w:spacing w:before="0" w:after="283"/>
              <w:jc w:val="left"/>
              <w:rPr>
                <w:sz w:val="4"/>
                <w:szCs w:val="4"/>
              </w:rPr>
            </w:pPr>
            <w:r>
              <w:rPr>
                <w:sz w:val="4"/>
                <w:szCs w:val="4"/>
              </w:rPr>
            </w:r>
          </w:p>
        </w:tc>
      </w:tr>
      <w:tr>
        <w:trPr/>
        <w:tc>
          <w:tcPr>
            <w:tcW w:w="3173"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6"/>
              </w:rPr>
              <w:t>Acquisition-related and other costs</w:t>
            </w:r>
            <w:r>
              <w:rPr>
                <w:rFonts w:ascii="Arial;sans-serif" w:hAnsi="Arial;sans-serif"/>
                <w:b w:val="false"/>
                <w:color w:val="000000"/>
                <w:sz w:val="10"/>
              </w:rPr>
              <w:t>(1)</w:t>
            </w:r>
          </w:p>
        </w:tc>
        <w:tc>
          <w:tcPr>
            <w:tcW w:w="2206" w:type="dxa"/>
            <w:gridSpan w:val="2"/>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5.8 </w:t>
            </w:r>
          </w:p>
        </w:tc>
        <w:tc>
          <w:tcPr>
            <w:tcW w:w="750"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6" w:type="dxa"/>
            <w:gridSpan w:val="2"/>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1.9 </w:t>
            </w:r>
          </w:p>
        </w:tc>
        <w:tc>
          <w:tcPr>
            <w:tcW w:w="750"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single" w:sz="4" w:space="0" w:color="000000"/>
              <w:left w:val="single" w:sz="4" w:space="0" w:color="000000"/>
              <w:right w:val="single" w:sz="4" w:space="0" w:color="000000"/>
            </w:tcBorders>
            <w:shd w:fill="FFFFFF" w:val="clear"/>
            <w:tcMar>
              <w:bottom w:w="0" w:type="dxa"/>
            </w:tcMar>
            <w:vAlign w:val="center"/>
          </w:tcPr>
          <w:p>
            <w:pPr>
              <w:pStyle w:val="TableContents"/>
              <w:bidi w:val="0"/>
              <w:spacing w:before="0" w:after="283"/>
              <w:jc w:val="left"/>
              <w:rPr>
                <w:sz w:val="4"/>
                <w:szCs w:val="4"/>
              </w:rPr>
            </w:pPr>
            <w:r>
              <w:rPr>
                <w:sz w:val="4"/>
                <w:szCs w:val="4"/>
              </w:rPr>
            </w:r>
          </w:p>
        </w:tc>
      </w:tr>
      <w:tr>
        <w:trPr/>
        <w:tc>
          <w:tcPr>
            <w:tcW w:w="3173" w:type="dxa"/>
            <w:gridSpan w:val="3"/>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Long-term incentive compensation expense</w:t>
            </w:r>
          </w:p>
        </w:tc>
        <w:tc>
          <w:tcPr>
            <w:tcW w:w="2206" w:type="dxa"/>
            <w:gridSpan w:val="2"/>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13.4 </w:t>
            </w:r>
          </w:p>
        </w:tc>
        <w:tc>
          <w:tcPr>
            <w:tcW w:w="750" w:type="dxa"/>
            <w:tcBorders>
              <w:top w:val="single" w:sz="4" w:space="0" w:color="000000"/>
            </w:tcBorders>
            <w:shd w:fill="E6E7E8"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6" w:type="dxa"/>
            <w:gridSpan w:val="2"/>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10.9 </w:t>
            </w:r>
          </w:p>
        </w:tc>
        <w:tc>
          <w:tcPr>
            <w:tcW w:w="750" w:type="dxa"/>
            <w:tcBorders>
              <w:top w:val="single" w:sz="4" w:space="0" w:color="000000"/>
            </w:tcBorders>
            <w:shd w:fill="E6E7E8"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single" w:sz="4" w:space="0" w:color="000000"/>
              <w:left w:val="single" w:sz="4" w:space="0" w:color="000000"/>
              <w:right w:val="single" w:sz="4" w:space="0" w:color="000000"/>
            </w:tcBorders>
            <w:shd w:fill="E6E7E8" w:val="clear"/>
            <w:tcMar>
              <w:bottom w:w="0" w:type="dxa"/>
            </w:tcMar>
            <w:vAlign w:val="center"/>
          </w:tcPr>
          <w:p>
            <w:pPr>
              <w:pStyle w:val="TableContents"/>
              <w:bidi w:val="0"/>
              <w:spacing w:before="0" w:after="283"/>
              <w:jc w:val="left"/>
              <w:rPr>
                <w:sz w:val="4"/>
                <w:szCs w:val="4"/>
              </w:rPr>
            </w:pPr>
            <w:r>
              <w:rPr>
                <w:sz w:val="4"/>
                <w:szCs w:val="4"/>
              </w:rPr>
            </w:r>
          </w:p>
        </w:tc>
      </w:tr>
      <w:tr>
        <w:trPr/>
        <w:tc>
          <w:tcPr>
            <w:tcW w:w="3173" w:type="dxa"/>
            <w:gridSpan w:val="3"/>
            <w:tcBorders>
              <w:top w:val="single" w:sz="4" w:space="0" w:color="000000"/>
              <w:left w:val="single" w:sz="4" w:space="0" w:color="000000"/>
            </w:tcBorders>
            <w:shd w:fill="FFFFFF" w:val="clear"/>
            <w:tcMar>
              <w:top w:w="30" w:type="dxa"/>
              <w:left w:w="29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Amortization of acquired intangible assets</w:t>
            </w:r>
          </w:p>
        </w:tc>
        <w:tc>
          <w:tcPr>
            <w:tcW w:w="2206" w:type="dxa"/>
            <w:gridSpan w:val="2"/>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43.9 </w:t>
            </w:r>
          </w:p>
        </w:tc>
        <w:tc>
          <w:tcPr>
            <w:tcW w:w="750"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6" w:type="dxa"/>
            <w:gridSpan w:val="2"/>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28.5 </w:t>
            </w:r>
          </w:p>
        </w:tc>
        <w:tc>
          <w:tcPr>
            <w:tcW w:w="750"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single" w:sz="4" w:space="0" w:color="000000"/>
              <w:left w:val="single" w:sz="4" w:space="0" w:color="000000"/>
              <w:right w:val="single" w:sz="4" w:space="0" w:color="000000"/>
            </w:tcBorders>
            <w:shd w:fill="FFFFFF" w:val="clear"/>
            <w:tcMar>
              <w:bottom w:w="0" w:type="dxa"/>
            </w:tcMar>
            <w:vAlign w:val="center"/>
          </w:tcPr>
          <w:p>
            <w:pPr>
              <w:pStyle w:val="TableContents"/>
              <w:bidi w:val="0"/>
              <w:spacing w:before="0" w:after="283"/>
              <w:jc w:val="left"/>
              <w:rPr>
                <w:sz w:val="4"/>
                <w:szCs w:val="4"/>
              </w:rPr>
            </w:pPr>
            <w:r>
              <w:rPr>
                <w:sz w:val="4"/>
                <w:szCs w:val="4"/>
              </w:rPr>
            </w:r>
          </w:p>
        </w:tc>
      </w:tr>
      <w:tr>
        <w:trPr/>
        <w:tc>
          <w:tcPr>
            <w:tcW w:w="3173" w:type="dxa"/>
            <w:gridSpan w:val="3"/>
            <w:tcBorders>
              <w:top w:val="single" w:sz="4" w:space="0" w:color="000000"/>
              <w:left w:val="single" w:sz="4" w:space="0" w:color="000000"/>
            </w:tcBorders>
            <w:shd w:fill="E6E7E8" w:val="clear"/>
            <w:tcMar>
              <w:top w:w="30" w:type="dxa"/>
              <w:left w:w="29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Impairment of goodwill and intangible assets</w:t>
            </w:r>
          </w:p>
        </w:tc>
        <w:tc>
          <w:tcPr>
            <w:tcW w:w="2206" w:type="dxa"/>
            <w:gridSpan w:val="2"/>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750" w:type="dxa"/>
            <w:tcBorders>
              <w:top w:val="single" w:sz="4" w:space="0" w:color="000000"/>
            </w:tcBorders>
            <w:shd w:fill="E6E7E8"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6" w:type="dxa"/>
            <w:gridSpan w:val="2"/>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13.4 </w:t>
            </w:r>
          </w:p>
        </w:tc>
        <w:tc>
          <w:tcPr>
            <w:tcW w:w="750" w:type="dxa"/>
            <w:tcBorders>
              <w:top w:val="single" w:sz="4" w:space="0" w:color="000000"/>
            </w:tcBorders>
            <w:shd w:fill="E6E7E8"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single" w:sz="4" w:space="0" w:color="000000"/>
              <w:left w:val="single" w:sz="4" w:space="0" w:color="000000"/>
              <w:right w:val="single" w:sz="4" w:space="0" w:color="000000"/>
            </w:tcBorders>
            <w:shd w:fill="E6E7E8" w:val="clear"/>
            <w:tcMar>
              <w:bottom w:w="0" w:type="dxa"/>
            </w:tcMar>
            <w:vAlign w:val="center"/>
          </w:tcPr>
          <w:p>
            <w:pPr>
              <w:pStyle w:val="TableContents"/>
              <w:bidi w:val="0"/>
              <w:spacing w:before="0" w:after="283"/>
              <w:jc w:val="left"/>
              <w:rPr>
                <w:sz w:val="4"/>
                <w:szCs w:val="4"/>
              </w:rPr>
            </w:pPr>
            <w:r>
              <w:rPr>
                <w:sz w:val="4"/>
                <w:szCs w:val="4"/>
              </w:rPr>
            </w:r>
          </w:p>
        </w:tc>
      </w:tr>
      <w:tr>
        <w:trPr/>
        <w:tc>
          <w:tcPr>
            <w:tcW w:w="3173" w:type="dxa"/>
            <w:gridSpan w:val="3"/>
            <w:tcBorders>
              <w:top w:val="single" w:sz="4" w:space="0" w:color="000000"/>
              <w:left w:val="single" w:sz="4" w:space="0" w:color="000000"/>
            </w:tcBorders>
            <w:shd w:fill="FFFFFF" w:val="clear"/>
            <w:tcMar>
              <w:top w:w="30" w:type="dxa"/>
              <w:left w:w="29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Special charges, net</w:t>
            </w:r>
          </w:p>
        </w:tc>
        <w:tc>
          <w:tcPr>
            <w:tcW w:w="2206" w:type="dxa"/>
            <w:gridSpan w:val="2"/>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0.8 </w:t>
            </w:r>
          </w:p>
        </w:tc>
        <w:tc>
          <w:tcPr>
            <w:tcW w:w="750"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6" w:type="dxa"/>
            <w:gridSpan w:val="2"/>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0.4 </w:t>
            </w:r>
          </w:p>
        </w:tc>
        <w:tc>
          <w:tcPr>
            <w:tcW w:w="750"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single" w:sz="4" w:space="0" w:color="000000"/>
              <w:left w:val="single" w:sz="4" w:space="0" w:color="000000"/>
              <w:right w:val="single" w:sz="4" w:space="0" w:color="000000"/>
            </w:tcBorders>
            <w:shd w:fill="FFFFFF" w:val="clear"/>
            <w:tcMar>
              <w:bottom w:w="0" w:type="dxa"/>
            </w:tcMar>
            <w:vAlign w:val="center"/>
          </w:tcPr>
          <w:p>
            <w:pPr>
              <w:pStyle w:val="TableContents"/>
              <w:bidi w:val="0"/>
              <w:spacing w:before="0" w:after="283"/>
              <w:jc w:val="left"/>
              <w:rPr>
                <w:sz w:val="4"/>
                <w:szCs w:val="4"/>
              </w:rPr>
            </w:pPr>
            <w:r>
              <w:rPr>
                <w:sz w:val="4"/>
                <w:szCs w:val="4"/>
              </w:rPr>
            </w:r>
          </w:p>
        </w:tc>
      </w:tr>
      <w:tr>
        <w:trPr/>
        <w:tc>
          <w:tcPr>
            <w:tcW w:w="3173" w:type="dxa"/>
            <w:gridSpan w:val="3"/>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6"/>
              </w:rPr>
              <w:t>Other operating expense, net</w:t>
            </w:r>
            <w:r>
              <w:rPr>
                <w:rFonts w:ascii="Arial;sans-serif" w:hAnsi="Arial;sans-serif"/>
                <w:b w:val="false"/>
                <w:color w:val="000000"/>
                <w:sz w:val="10"/>
              </w:rPr>
              <w:t>(2)</w:t>
            </w:r>
          </w:p>
        </w:tc>
        <w:tc>
          <w:tcPr>
            <w:tcW w:w="2206" w:type="dxa"/>
            <w:gridSpan w:val="2"/>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9.0 </w:t>
            </w:r>
          </w:p>
        </w:tc>
        <w:tc>
          <w:tcPr>
            <w:tcW w:w="750" w:type="dxa"/>
            <w:tcBorders>
              <w:top w:val="single" w:sz="4" w:space="0" w:color="000000"/>
            </w:tcBorders>
            <w:shd w:fill="E6E7E8"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6" w:type="dxa"/>
            <w:gridSpan w:val="2"/>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74.9 </w:t>
            </w:r>
          </w:p>
        </w:tc>
        <w:tc>
          <w:tcPr>
            <w:tcW w:w="750" w:type="dxa"/>
            <w:tcBorders>
              <w:top w:val="single" w:sz="4" w:space="0" w:color="000000"/>
            </w:tcBorders>
            <w:shd w:fill="E6E7E8"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single" w:sz="4" w:space="0" w:color="000000"/>
              <w:left w:val="single" w:sz="4" w:space="0" w:color="000000"/>
              <w:right w:val="single" w:sz="4" w:space="0" w:color="000000"/>
            </w:tcBorders>
            <w:shd w:fill="E6E7E8" w:val="clear"/>
            <w:tcMar>
              <w:bottom w:w="0" w:type="dxa"/>
            </w:tcMar>
            <w:vAlign w:val="center"/>
          </w:tcPr>
          <w:p>
            <w:pPr>
              <w:pStyle w:val="TableContents"/>
              <w:bidi w:val="0"/>
              <w:spacing w:before="0" w:after="283"/>
              <w:jc w:val="left"/>
              <w:rPr>
                <w:sz w:val="4"/>
                <w:szCs w:val="4"/>
              </w:rPr>
            </w:pPr>
            <w:r>
              <w:rPr>
                <w:sz w:val="4"/>
                <w:szCs w:val="4"/>
              </w:rPr>
            </w:r>
          </w:p>
        </w:tc>
      </w:tr>
      <w:tr>
        <w:trPr/>
        <w:tc>
          <w:tcPr>
            <w:tcW w:w="3173"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Consolidated segment income</w:t>
            </w:r>
          </w:p>
        </w:tc>
        <w:tc>
          <w:tcPr>
            <w:tcW w:w="575" w:type="dxa"/>
            <w:tcBorders>
              <w:top w:val="single" w:sz="8"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16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353.2 </w:t>
            </w:r>
          </w:p>
        </w:tc>
        <w:tc>
          <w:tcPr>
            <w:tcW w:w="7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tcBorders>
              <w:top w:val="single" w:sz="8"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16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249.6 </w:t>
            </w:r>
          </w:p>
        </w:tc>
        <w:tc>
          <w:tcPr>
            <w:tcW w:w="7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single" w:sz="4" w:space="0" w:color="000000"/>
              <w:left w:val="single" w:sz="4" w:space="0" w:color="000000"/>
              <w:right w:val="single" w:sz="4" w:space="0" w:color="000000"/>
            </w:tcBorders>
            <w:shd w:fill="FFFFFF" w:val="clear"/>
            <w:tcMar>
              <w:top w:w="30" w:type="dxa"/>
              <w:bottom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41.5%</w:t>
            </w:r>
          </w:p>
        </w:tc>
      </w:tr>
      <w:tr>
        <w:trPr/>
        <w:tc>
          <w:tcPr>
            <w:tcW w:w="3173" w:type="dxa"/>
            <w:gridSpan w:val="3"/>
            <w:tcBorders>
              <w:top w:val="single" w:sz="4" w:space="0" w:color="000000"/>
              <w:left w:val="single" w:sz="4" w:space="0" w:color="000000"/>
              <w:bottom w:val="single" w:sz="4" w:space="0" w:color="000000"/>
            </w:tcBorders>
            <w:shd w:fill="E6E7E8" w:val="clear"/>
            <w:tcMar>
              <w:top w:w="30" w:type="dxa"/>
              <w:bottom w:w="3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Consolidated segment income margin</w:t>
            </w:r>
          </w:p>
        </w:tc>
        <w:tc>
          <w:tcPr>
            <w:tcW w:w="2206" w:type="dxa"/>
            <w:gridSpan w:val="2"/>
            <w:tcBorders>
              <w:top w:val="double" w:sz="8" w:space="0" w:color="000000"/>
              <w:left w:val="single" w:sz="4" w:space="0" w:color="000000"/>
              <w:bottom w:val="single" w:sz="4" w:space="0" w:color="000000"/>
            </w:tcBorders>
            <w:shd w:fill="E6E7E8" w:val="clear"/>
            <w:tcMar>
              <w:top w:w="3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20.3 </w:t>
            </w:r>
          </w:p>
        </w:tc>
        <w:tc>
          <w:tcPr>
            <w:tcW w:w="750" w:type="dxa"/>
            <w:tcBorders>
              <w:top w:val="double" w:sz="8" w:space="0" w:color="000000"/>
              <w:bottom w:val="single" w:sz="4" w:space="0" w:color="000000"/>
            </w:tcBorders>
            <w:shd w:fill="E6E7E8"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2206" w:type="dxa"/>
            <w:gridSpan w:val="2"/>
            <w:tcBorders>
              <w:top w:val="double" w:sz="8" w:space="0" w:color="000000"/>
              <w:left w:val="single" w:sz="4" w:space="0" w:color="000000"/>
              <w:bottom w:val="single" w:sz="4" w:space="0" w:color="000000"/>
            </w:tcBorders>
            <w:shd w:fill="E6E7E8" w:val="clear"/>
            <w:tcMar>
              <w:top w:w="3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17.1 </w:t>
            </w:r>
          </w:p>
        </w:tc>
        <w:tc>
          <w:tcPr>
            <w:tcW w:w="750" w:type="dxa"/>
            <w:tcBorders>
              <w:top w:val="double" w:sz="8" w:space="0" w:color="000000"/>
              <w:bottom w:val="single" w:sz="4" w:space="0" w:color="000000"/>
            </w:tcBorders>
            <w:shd w:fill="E6E7E8"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1120" w:type="dxa"/>
            <w:gridSpan w:val="3"/>
            <w:tcBorders>
              <w:top w:val="single" w:sz="4" w:space="0" w:color="000000"/>
              <w:left w:val="single" w:sz="4" w:space="0" w:color="000000"/>
              <w:bottom w:val="single" w:sz="4" w:space="0" w:color="000000"/>
              <w:right w:val="single" w:sz="4" w:space="0" w:color="000000"/>
            </w:tcBorders>
            <w:shd w:fill="E6E7E8" w:val="cle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hanging="360"/>
        <w:jc w:val="both"/>
        <w:rPr>
          <w:rFonts w:ascii="Arial;sans-serif" w:hAnsi="Arial;sans-serif"/>
          <w:b w:val="false"/>
          <w:color w:val="000000"/>
          <w:sz w:val="16"/>
        </w:rPr>
      </w:pPr>
      <w:r>
        <w:rPr>
          <w:rFonts w:ascii="Arial;sans-serif" w:hAnsi="Arial;sans-serif"/>
          <w:b w:val="false"/>
          <w:color w:val="000000"/>
          <w:sz w:val="16"/>
        </w:rPr>
        <w:t>(1)Represents certain acquisition-related costs incurred of $5.8 during the year ended December 31, 2023 and $1.9 during the year ended December 31, 2022, including additional “Cost of products sold” related to the step up of inventory (to fair value) acquired in connection with the ASPEQ acquisition of $3.6 during the year ended December 31, 2023, and the ITL acquisition of $1.1 during the year ended December 31, 2022.</w:t>
      </w:r>
    </w:p>
    <w:p>
      <w:pPr>
        <w:pStyle w:val="TextBody"/>
        <w:bidi w:val="0"/>
        <w:spacing w:lineRule="auto" w:line="288" w:before="0" w:after="60"/>
        <w:ind w:left="0" w:right="0" w:hanging="360"/>
        <w:jc w:val="both"/>
        <w:rPr>
          <w:rFonts w:ascii="Arial;sans-serif" w:hAnsi="Arial;sans-serif"/>
          <w:b w:val="false"/>
          <w:color w:val="000000"/>
          <w:sz w:val="16"/>
        </w:rPr>
      </w:pPr>
      <w:r>
        <w:rPr>
          <w:rFonts w:ascii="Arial;sans-serif" w:hAnsi="Arial;sans-serif"/>
          <w:b w:val="false"/>
          <w:color w:val="000000"/>
          <w:sz w:val="16"/>
        </w:rPr>
        <w:t>(2)For the year ended December 31, 2023, represents a charge related to the resolution of a dispute with a former representative at one of our Detection &amp; Measurement reportable segment businesses of $9.0. For the year ended December 31, 2022, represents (i) the loss of $73.9 related to the Asbestos Portfolio Sale, (ii) asbestos-related charges of $2.3, partially offset by (iii) a gain of $1.3 related to the revision of a liability associated with contingent consideration on a recent acquisition.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739140"/>
                <wp:effectExtent l="0" t="0" r="0" b="0"/>
                <wp:wrapNone/>
                <wp:docPr id="291" name="Frame89"/>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292" w:type="dxa"/>
                              <w:jc w:val="right"/>
                              <w:tblInd w:w="0" w:type="dxa"/>
                              <w:tblLayout w:type="fixed"/>
                              <w:tblCellMar>
                                <w:top w:w="28" w:type="dxa"/>
                                <w:left w:w="28" w:type="dxa"/>
                                <w:bottom w:w="28" w:type="dxa"/>
                                <w:right w:w="28" w:type="dxa"/>
                              </w:tblCellMar>
                            </w:tblPr>
                            <w:tblGrid>
                              <w:gridCol w:w="292"/>
                              <w:gridCol w:w="256"/>
                              <w:gridCol w:w="258"/>
                              <w:gridCol w:w="704"/>
                              <w:gridCol w:w="704"/>
                              <w:gridCol w:w="706"/>
                              <w:gridCol w:w="109"/>
                              <w:gridCol w:w="109"/>
                              <w:gridCol w:w="154"/>
                            </w:tblGrid>
                            <w:tr>
                              <w:trPr/>
                              <w:tc>
                                <w:tcPr>
                                  <w:tcW w:w="29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0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292" name="Image1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2" name="Image121" descr=""/>
                                                <pic:cNvPicPr>
                                                  <a:picLocks noChangeAspect="1" noChangeArrowheads="1"/>
                                                </pic:cNvPicPr>
                                              </pic:nvPicPr>
                                              <pic:blipFill>
                                                <a:blip r:embed="rId204"/>
                                                <a:stretch>
                                                  <a:fillRect/>
                                                </a:stretch>
                                              </pic:blipFill>
                                              <pic:spPr bwMode="auto">
                                                <a:xfrm>
                                                  <a:off x="0" y="0"/>
                                                  <a:ext cx="447675" cy="161925"/>
                                                </a:xfrm>
                                                <a:prstGeom prst="rect">
                                                  <a:avLst/>
                                                </a:prstGeom>
                                              </pic:spPr>
                                            </pic:pic>
                                          </a:graphicData>
                                        </a:graphic>
                                      </wp:inline>
                                    </w:drawing>
                                  </w:r>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2024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000000"/>
                                      <w:sz w:val="16"/>
                                    </w:rPr>
                                  </w:pPr>
                                  <w:r>
                                    <w:rPr>
                                      <w:rFonts w:ascii="Arial;sans-serif" w:hAnsi="Arial;sans-serif"/>
                                      <w:b/>
                                      <w:color w:val="000000"/>
                                      <w:sz w:val="16"/>
                                    </w:rPr>
                                    <w:t>83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292" w:type="dxa"/>
                        <w:jc w:val="right"/>
                        <w:tblInd w:w="0" w:type="dxa"/>
                        <w:tblLayout w:type="fixed"/>
                        <w:tblCellMar>
                          <w:top w:w="28" w:type="dxa"/>
                          <w:left w:w="28" w:type="dxa"/>
                          <w:bottom w:w="28" w:type="dxa"/>
                          <w:right w:w="28" w:type="dxa"/>
                        </w:tblCellMar>
                      </w:tblPr>
                      <w:tblGrid>
                        <w:gridCol w:w="292"/>
                        <w:gridCol w:w="256"/>
                        <w:gridCol w:w="258"/>
                        <w:gridCol w:w="704"/>
                        <w:gridCol w:w="704"/>
                        <w:gridCol w:w="706"/>
                        <w:gridCol w:w="109"/>
                        <w:gridCol w:w="109"/>
                        <w:gridCol w:w="154"/>
                      </w:tblGrid>
                      <w:tr>
                        <w:trPr/>
                        <w:tc>
                          <w:tcPr>
                            <w:tcW w:w="29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0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293" name="Image1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3" name="Image121" descr=""/>
                                          <pic:cNvPicPr>
                                            <a:picLocks noChangeAspect="1" noChangeArrowheads="1"/>
                                          </pic:cNvPicPr>
                                        </pic:nvPicPr>
                                        <pic:blipFill>
                                          <a:blip r:embed="rId205"/>
                                          <a:stretch>
                                            <a:fillRect/>
                                          </a:stretch>
                                        </pic:blipFill>
                                        <pic:spPr bwMode="auto">
                                          <a:xfrm>
                                            <a:off x="0" y="0"/>
                                            <a:ext cx="447675" cy="161925"/>
                                          </a:xfrm>
                                          <a:prstGeom prst="rect">
                                            <a:avLst/>
                                          </a:prstGeom>
                                        </pic:spPr>
                                      </pic:pic>
                                    </a:graphicData>
                                  </a:graphic>
                                </wp:inline>
                              </w:drawing>
                            </w:r>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2024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000000"/>
                                <w:sz w:val="16"/>
                              </w:rPr>
                            </w:pPr>
                            <w:r>
                              <w:rPr>
                                <w:rFonts w:ascii="Arial;sans-serif" w:hAnsi="Arial;sans-serif"/>
                                <w:b/>
                                <w:color w:val="000000"/>
                                <w:sz w:val="16"/>
                              </w:rPr>
                              <w:t>83</w:t>
                            </w:r>
                          </w:p>
                        </w:tc>
                      </w:tr>
                    </w:tbl>
                    <w:p>
                      <w:pPr>
                        <w:pStyle w:val="TextBody"/>
                        <w:bidi w:val="0"/>
                        <w:spacing w:before="0" w:after="283"/>
                        <w:jc w:val="left"/>
                        <w:rPr/>
                      </w:pPr>
                      <w:r>
                        <w:rPr/>
                      </w:r>
                    </w:p>
                  </w:txbxContent>
                </v:textbox>
                <w10:wrap type="none"/>
              </v:rect>
            </w:pict>
          </mc:Fallback>
        </mc:AlternateContent>
      </w:r>
    </w:p>
    <w:tbl>
      <w:tblPr>
        <w:tblW w:w="1124" w:type="dxa"/>
        <w:jc w:val="right"/>
        <w:tblInd w:w="0" w:type="dxa"/>
        <w:tblLayout w:type="fixed"/>
        <w:tblCellMar>
          <w:top w:w="28" w:type="dxa"/>
          <w:left w:w="28" w:type="dxa"/>
          <w:bottom w:w="28" w:type="dxa"/>
          <w:right w:w="28" w:type="dxa"/>
        </w:tblCellMar>
      </w:tblPr>
      <w:tblGrid>
        <w:gridCol w:w="359"/>
        <w:gridCol w:w="316"/>
        <w:gridCol w:w="449"/>
      </w:tblGrid>
      <w:tr>
        <w:trPr/>
        <w:tc>
          <w:tcPr>
            <w:tcW w:w="35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r>
      <w:tr>
        <w:trPr/>
        <w:tc>
          <w:tcPr>
            <w:tcW w:w="1124" w:type="dxa"/>
            <w:gridSpan w:val="3"/>
            <w:tcBorders>
              <w:bottom w:val="single" w:sz="4" w:space="0" w:color="004C97"/>
            </w:tcBorders>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4C97"/>
                <w:sz w:val="16"/>
              </w:rPr>
            </w:pPr>
            <w:r>
              <w:rPr>
                <w:rFonts w:ascii="Arial;sans-serif" w:hAnsi="Arial;sans-serif"/>
                <w:b w:val="false"/>
                <w:color w:val="004C97"/>
                <w:sz w:val="16"/>
              </w:rPr>
              <w:t>APPENDIX E</w:t>
            </w:r>
          </w:p>
        </w:tc>
      </w:tr>
    </w:tbl>
    <w:p>
      <w:pPr>
        <w:pStyle w:val="TextBody"/>
        <w:bidi w:val="0"/>
        <w:spacing w:lineRule="auto" w:line="288" w:before="0" w:after="0"/>
        <w:jc w:val="left"/>
        <w:rPr>
          <w:rFonts w:ascii="Arial;sans-serif" w:hAnsi="Arial;sans-serif"/>
          <w:b w:val="false"/>
          <w:color w:val="000000"/>
          <w:sz w:val="32"/>
        </w:rPr>
      </w:pPr>
      <w:r>
        <w:rPr>
          <w:rFonts w:ascii="Arial;sans-serif" w:hAnsi="Arial;sans-serif"/>
          <w:b w:val="false"/>
          <w:color w:val="000000"/>
          <w:sz w:val="32"/>
        </w:rPr>
        <w:t>Adjusted Free Cash Flow</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8335" w:type="dxa"/>
        <w:jc w:val="left"/>
        <w:tblInd w:w="0" w:type="dxa"/>
        <w:tblLayout w:type="fixed"/>
        <w:tblCellMar>
          <w:top w:w="28" w:type="dxa"/>
          <w:left w:w="28" w:type="dxa"/>
          <w:bottom w:w="28" w:type="dxa"/>
          <w:right w:w="28" w:type="dxa"/>
        </w:tblCellMar>
      </w:tblPr>
      <w:tblGrid>
        <w:gridCol w:w="1451"/>
        <w:gridCol w:w="1274"/>
        <w:gridCol w:w="1279"/>
        <w:gridCol w:w="457"/>
        <w:gridCol w:w="1332"/>
        <w:gridCol w:w="254"/>
        <w:gridCol w:w="457"/>
        <w:gridCol w:w="1472"/>
        <w:gridCol w:w="359"/>
      </w:tblGrid>
      <w:tr>
        <w:trPr/>
        <w:tc>
          <w:tcPr>
            <w:tcW w:w="1451" w:type="dxa"/>
            <w:tcBorders/>
            <w:vAlign w:val="center"/>
          </w:tcPr>
          <w:p>
            <w:pPr>
              <w:pStyle w:val="TableContents"/>
              <w:bidi w:val="0"/>
              <w:spacing w:before="0" w:after="283"/>
              <w:jc w:val="left"/>
              <w:rPr>
                <w:sz w:val="4"/>
                <w:szCs w:val="4"/>
              </w:rPr>
            </w:pPr>
            <w:r>
              <w:rPr>
                <w:sz w:val="4"/>
                <w:szCs w:val="4"/>
              </w:rPr>
            </w:r>
          </w:p>
        </w:tc>
        <w:tc>
          <w:tcPr>
            <w:tcW w:w="1274"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1332"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1472"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r>
      <w:tr>
        <w:trPr/>
        <w:tc>
          <w:tcPr>
            <w:tcW w:w="8335" w:type="dxa"/>
            <w:gridSpan w:val="9"/>
            <w:tcBorders>
              <w:top w:val="single" w:sz="4" w:space="0" w:color="000000"/>
              <w:left w:val="single" w:sz="4" w:space="0" w:color="000000"/>
            </w:tcBorders>
            <w:shd w:fill="004C97" w:val="clear"/>
            <w:tcMar>
              <w:top w:w="30" w:type="dxa"/>
              <w:bottom w:w="0" w:type="dxa"/>
              <w:right w:w="0" w:type="dxa"/>
            </w:tcMar>
            <w:vAlign w:val="center"/>
          </w:tcPr>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SPX TECHNOLOGIES, INC. AND SUBSIDIARIES</w:t>
            </w:r>
          </w:p>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NON-GAAP RECONCILIATION - ADJUSTED FREE CASH FLOW</w:t>
            </w:r>
          </w:p>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(Unaudited; in millions)</w:t>
            </w:r>
          </w:p>
        </w:tc>
      </w:tr>
      <w:tr>
        <w:trPr/>
        <w:tc>
          <w:tcPr>
            <w:tcW w:w="4004" w:type="dxa"/>
            <w:gridSpan w:val="3"/>
            <w:tcBorders>
              <w:top w:val="single" w:sz="4" w:space="0" w:color="000000"/>
              <w:left w:val="single" w:sz="4" w:space="0" w:color="000000"/>
            </w:tcBorders>
            <w:shd w:fill="004C97" w:val="clear"/>
            <w:tcMar>
              <w:bottom w:w="0" w:type="dxa"/>
              <w:right w:w="0" w:type="dxa"/>
            </w:tcMar>
            <w:vAlign w:val="center"/>
          </w:tcPr>
          <w:p>
            <w:pPr>
              <w:pStyle w:val="TableContents"/>
              <w:bidi w:val="0"/>
              <w:spacing w:before="0" w:after="283"/>
              <w:jc w:val="left"/>
              <w:rPr>
                <w:sz w:val="4"/>
                <w:szCs w:val="4"/>
              </w:rPr>
            </w:pPr>
            <w:r>
              <w:rPr>
                <w:sz w:val="4"/>
                <w:szCs w:val="4"/>
              </w:rPr>
            </w:r>
          </w:p>
        </w:tc>
        <w:tc>
          <w:tcPr>
            <w:tcW w:w="2043" w:type="dxa"/>
            <w:gridSpan w:val="3"/>
            <w:tcBorders>
              <w:top w:val="single" w:sz="4" w:space="0" w:color="000000"/>
              <w:left w:val="single" w:sz="4" w:space="0" w:color="000000"/>
            </w:tcBorders>
            <w:shd w:fill="004C97" w:val="clear"/>
            <w:tcMar>
              <w:top w:w="30" w:type="dxa"/>
              <w:bottom w:w="0" w:type="dxa"/>
              <w:right w:w="0" w:type="dxa"/>
            </w:tcMar>
            <w:vAlign w:val="center"/>
          </w:tcPr>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2023</w:t>
            </w:r>
          </w:p>
        </w:tc>
        <w:tc>
          <w:tcPr>
            <w:tcW w:w="2288" w:type="dxa"/>
            <w:gridSpan w:val="3"/>
            <w:tcBorders>
              <w:top w:val="single" w:sz="4" w:space="0" w:color="000000"/>
              <w:left w:val="single" w:sz="4" w:space="0" w:color="000000"/>
              <w:right w:val="single" w:sz="4" w:space="0" w:color="000000"/>
            </w:tcBorders>
            <w:shd w:fill="004C97" w:val="clear"/>
            <w:tcMar>
              <w:top w:w="30" w:type="dxa"/>
              <w:bottom w:w="0" w:type="dxa"/>
            </w:tcMar>
            <w:vAlign w:val="center"/>
          </w:tcPr>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2022</w:t>
            </w:r>
          </w:p>
        </w:tc>
      </w:tr>
      <w:tr>
        <w:trPr/>
        <w:tc>
          <w:tcPr>
            <w:tcW w:w="4004" w:type="dxa"/>
            <w:gridSpan w:val="3"/>
            <w:tcBorders>
              <w:top w:val="single" w:sz="4" w:space="0" w:color="000000"/>
              <w:left w:val="single" w:sz="4" w:space="0" w:color="000000"/>
            </w:tcBorders>
            <w:shd w:fill="E6E7E8" w:val="clear"/>
            <w:tcMar>
              <w:top w:w="30" w:type="dxa"/>
              <w:left w:w="11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Net operating cash flows from continuing operations</w:t>
            </w:r>
          </w:p>
        </w:tc>
        <w:tc>
          <w:tcPr>
            <w:tcW w:w="457" w:type="dxa"/>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1332" w:type="dxa"/>
            <w:tcBorders>
              <w:top w:val="single" w:sz="4" w:space="0" w:color="000000"/>
            </w:tcBorders>
            <w:shd w:fill="E6E7E8"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243.8 </w:t>
            </w:r>
          </w:p>
        </w:tc>
        <w:tc>
          <w:tcPr>
            <w:tcW w:w="254" w:type="dxa"/>
            <w:tcBorders>
              <w:top w:val="single" w:sz="4" w:space="0" w:color="000000"/>
            </w:tcBorders>
            <w:shd w:fill="E6E7E8"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1472" w:type="dxa"/>
            <w:tcBorders>
              <w:top w:val="single" w:sz="4" w:space="0" w:color="000000"/>
            </w:tcBorders>
            <w:shd w:fill="E6E7E8"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(115.2)</w:t>
            </w:r>
          </w:p>
        </w:tc>
        <w:tc>
          <w:tcPr>
            <w:tcW w:w="359" w:type="dxa"/>
            <w:tcBorders>
              <w:top w:val="single" w:sz="4" w:space="0" w:color="000000"/>
              <w:right w:val="single" w:sz="4" w:space="0" w:color="000000"/>
            </w:tcBorders>
            <w:shd w:fill="E6E7E8"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top w:val="single" w:sz="4" w:space="0" w:color="000000"/>
              <w:left w:val="single" w:sz="4" w:space="0" w:color="000000"/>
            </w:tcBorders>
            <w:shd w:fill="FFFFFF" w:val="clear"/>
            <w:tcMar>
              <w:top w:w="30" w:type="dxa"/>
              <w:left w:w="29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Less: Capital expenditures</w:t>
            </w:r>
          </w:p>
        </w:tc>
        <w:tc>
          <w:tcPr>
            <w:tcW w:w="1789" w:type="dxa"/>
            <w:gridSpan w:val="2"/>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23.9 </w:t>
            </w:r>
          </w:p>
        </w:tc>
        <w:tc>
          <w:tcPr>
            <w:tcW w:w="25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9" w:type="dxa"/>
            <w:gridSpan w:val="2"/>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15.9 </w:t>
            </w:r>
          </w:p>
        </w:tc>
        <w:tc>
          <w:tcPr>
            <w:tcW w:w="359" w:type="dxa"/>
            <w:tcBorders>
              <w:top w:val="single" w:sz="4" w:space="0" w:color="000000"/>
              <w:right w:val="single" w:sz="4" w:space="0" w:color="000000"/>
            </w:tcBorders>
            <w:shd w:fill="FFFF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top w:val="single" w:sz="4" w:space="0" w:color="000000"/>
              <w:left w:val="single" w:sz="4" w:space="0" w:color="000000"/>
            </w:tcBorders>
            <w:shd w:fill="E6E7E8" w:val="clear"/>
            <w:tcMar>
              <w:top w:w="30" w:type="dxa"/>
              <w:left w:w="29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Free cash flow used in continuing operations</w:t>
            </w:r>
          </w:p>
        </w:tc>
        <w:tc>
          <w:tcPr>
            <w:tcW w:w="1789" w:type="dxa"/>
            <w:gridSpan w:val="2"/>
            <w:tcBorders>
              <w:top w:val="single" w:sz="8"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219.9 </w:t>
            </w:r>
          </w:p>
        </w:tc>
        <w:tc>
          <w:tcPr>
            <w:tcW w:w="254" w:type="dxa"/>
            <w:tcBorders>
              <w:top w:val="single" w:sz="8" w:space="0" w:color="000000"/>
            </w:tcBorders>
            <w:shd w:fill="E6E7E8"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9" w:type="dxa"/>
            <w:gridSpan w:val="2"/>
            <w:tcBorders>
              <w:top w:val="single" w:sz="8"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(131.1)</w:t>
            </w:r>
          </w:p>
        </w:tc>
        <w:tc>
          <w:tcPr>
            <w:tcW w:w="359" w:type="dxa"/>
            <w:tcBorders>
              <w:top w:val="single" w:sz="8" w:space="0" w:color="000000"/>
              <w:right w:val="single" w:sz="4" w:space="0" w:color="000000"/>
            </w:tcBorders>
            <w:shd w:fill="E6E7E8"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top w:val="single" w:sz="4" w:space="0" w:color="000000"/>
              <w:left w:val="single" w:sz="4" w:space="0" w:color="000000"/>
            </w:tcBorders>
            <w:shd w:fill="FFFFFF" w:val="clear"/>
            <w:tcMar>
              <w:top w:w="30" w:type="dxa"/>
              <w:left w:w="11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Exclude:</w:t>
            </w:r>
          </w:p>
        </w:tc>
        <w:tc>
          <w:tcPr>
            <w:tcW w:w="2043"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2288" w:type="dxa"/>
            <w:gridSpan w:val="3"/>
            <w:tcBorders>
              <w:top w:val="single" w:sz="4" w:space="0" w:color="000000"/>
              <w:left w:val="single" w:sz="4" w:space="0" w:color="000000"/>
              <w:right w:val="single" w:sz="4" w:space="0" w:color="000000"/>
            </w:tcBorders>
            <w:shd w:fill="FFFFFF" w:val="clear"/>
            <w:tcMar>
              <w:bottom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6"/>
              </w:rPr>
              <w:t>Acquisition-related and other costs</w:t>
            </w:r>
            <w:r>
              <w:rPr>
                <w:rFonts w:ascii="Arial;sans-serif" w:hAnsi="Arial;sans-serif"/>
                <w:b w:val="false"/>
                <w:color w:val="000000"/>
                <w:sz w:val="10"/>
              </w:rPr>
              <w:t>(1)</w:t>
            </w:r>
          </w:p>
        </w:tc>
        <w:tc>
          <w:tcPr>
            <w:tcW w:w="1789" w:type="dxa"/>
            <w:gridSpan w:val="2"/>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(10.2)</w:t>
            </w:r>
          </w:p>
        </w:tc>
        <w:tc>
          <w:tcPr>
            <w:tcW w:w="254" w:type="dxa"/>
            <w:tcBorders>
              <w:top w:val="single" w:sz="4" w:space="0" w:color="000000"/>
            </w:tcBorders>
            <w:shd w:fill="E6E7E8"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9" w:type="dxa"/>
            <w:gridSpan w:val="2"/>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(15.2)</w:t>
            </w:r>
          </w:p>
        </w:tc>
        <w:tc>
          <w:tcPr>
            <w:tcW w:w="359" w:type="dxa"/>
            <w:tcBorders>
              <w:top w:val="single" w:sz="4" w:space="0" w:color="000000"/>
              <w:right w:val="single" w:sz="4" w:space="0" w:color="000000"/>
            </w:tcBorders>
            <w:shd w:fill="E6E7E8"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6"/>
              </w:rPr>
              <w:t>Payments associated with Asbestos Portfolio Sale</w:t>
            </w:r>
            <w:r>
              <w:rPr>
                <w:rFonts w:ascii="Arial;sans-serif" w:hAnsi="Arial;sans-serif"/>
                <w:b w:val="false"/>
                <w:color w:val="000000"/>
                <w:sz w:val="10"/>
              </w:rPr>
              <w:t>(1)</w:t>
            </w:r>
          </w:p>
        </w:tc>
        <w:tc>
          <w:tcPr>
            <w:tcW w:w="1789" w:type="dxa"/>
            <w:gridSpan w:val="2"/>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9" w:type="dxa"/>
            <w:gridSpan w:val="2"/>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(143.3)</w:t>
            </w:r>
          </w:p>
        </w:tc>
        <w:tc>
          <w:tcPr>
            <w:tcW w:w="359" w:type="dxa"/>
            <w:tcBorders>
              <w:top w:val="single" w:sz="4" w:space="0" w:color="000000"/>
              <w:right w:val="single" w:sz="4" w:space="0" w:color="000000"/>
            </w:tcBorders>
            <w:shd w:fill="FFFF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6"/>
              </w:rPr>
              <w:t>Income tax payments</w:t>
            </w:r>
            <w:r>
              <w:rPr>
                <w:rFonts w:ascii="Arial;sans-serif" w:hAnsi="Arial;sans-serif"/>
                <w:b w:val="false"/>
                <w:color w:val="000000"/>
                <w:sz w:val="10"/>
              </w:rPr>
              <w:t>(2)</w:t>
            </w:r>
          </w:p>
        </w:tc>
        <w:tc>
          <w:tcPr>
            <w:tcW w:w="1789" w:type="dxa"/>
            <w:gridSpan w:val="2"/>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(58.4)</w:t>
            </w:r>
          </w:p>
        </w:tc>
        <w:tc>
          <w:tcPr>
            <w:tcW w:w="254" w:type="dxa"/>
            <w:tcBorders>
              <w:top w:val="single" w:sz="4" w:space="0" w:color="000000"/>
            </w:tcBorders>
            <w:shd w:fill="E6E7E8"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9" w:type="dxa"/>
            <w:gridSpan w:val="2"/>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(59.6)</w:t>
            </w:r>
          </w:p>
        </w:tc>
        <w:tc>
          <w:tcPr>
            <w:tcW w:w="359" w:type="dxa"/>
            <w:tcBorders>
              <w:top w:val="single" w:sz="4" w:space="0" w:color="000000"/>
              <w:right w:val="single" w:sz="4" w:space="0" w:color="000000"/>
            </w:tcBorders>
            <w:shd w:fill="E6E7E8"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6"/>
              </w:rPr>
              <w:t>Other, net</w:t>
            </w:r>
            <w:r>
              <w:rPr>
                <w:rFonts w:ascii="Arial;sans-serif" w:hAnsi="Arial;sans-serif"/>
                <w:b w:val="false"/>
                <w:color w:val="000000"/>
                <w:sz w:val="10"/>
              </w:rPr>
              <w:t>(3)</w:t>
            </w:r>
          </w:p>
        </w:tc>
        <w:tc>
          <w:tcPr>
            <w:tcW w:w="1789" w:type="dxa"/>
            <w:gridSpan w:val="2"/>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(6.8)</w:t>
            </w:r>
          </w:p>
        </w:tc>
        <w:tc>
          <w:tcPr>
            <w:tcW w:w="25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9" w:type="dxa"/>
            <w:gridSpan w:val="2"/>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(44.4)</w:t>
            </w:r>
          </w:p>
        </w:tc>
        <w:tc>
          <w:tcPr>
            <w:tcW w:w="359" w:type="dxa"/>
            <w:tcBorders>
              <w:top w:val="single" w:sz="4" w:space="0" w:color="000000"/>
              <w:right w:val="single" w:sz="4" w:space="0" w:color="000000"/>
            </w:tcBorders>
            <w:shd w:fill="FFFF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top w:val="single" w:sz="4" w:space="0" w:color="000000"/>
              <w:left w:val="single" w:sz="4" w:space="0" w:color="000000"/>
              <w:bottom w:val="single" w:sz="4" w:space="0" w:color="000000"/>
            </w:tcBorders>
            <w:shd w:fill="E6E7E8" w:val="clear"/>
            <w:tcMar>
              <w:top w:w="30" w:type="dxa"/>
              <w:left w:w="11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Adjusted free cash flow for annual incentive purposes</w:t>
            </w:r>
          </w:p>
        </w:tc>
        <w:tc>
          <w:tcPr>
            <w:tcW w:w="457" w:type="dxa"/>
            <w:tcBorders>
              <w:top w:val="single" w:sz="8" w:space="0" w:color="000000"/>
              <w:left w:val="single" w:sz="4" w:space="0" w:color="000000"/>
              <w:bottom w:val="double" w:sz="8" w:space="0" w:color="000000"/>
            </w:tcBorders>
            <w:shd w:fill="E6E7E8" w:val="clear"/>
            <w:tcMar>
              <w:top w:w="30" w:type="dxa"/>
              <w:bottom w:w="3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w:t>
            </w:r>
          </w:p>
        </w:tc>
        <w:tc>
          <w:tcPr>
            <w:tcW w:w="1332" w:type="dxa"/>
            <w:tcBorders>
              <w:top w:val="single" w:sz="8" w:space="0" w:color="000000"/>
              <w:bottom w:val="double" w:sz="8" w:space="0" w:color="000000"/>
            </w:tcBorders>
            <w:shd w:fill="E6E7E8"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295.3</w:t>
            </w:r>
            <w:r>
              <w:rPr>
                <w:color w:val="000000"/>
              </w:rPr>
              <w:t> </w:t>
            </w:r>
          </w:p>
        </w:tc>
        <w:tc>
          <w:tcPr>
            <w:tcW w:w="254" w:type="dxa"/>
            <w:tcBorders>
              <w:top w:val="single" w:sz="8" w:space="0" w:color="000000"/>
              <w:bottom w:val="double" w:sz="8" w:space="0" w:color="000000"/>
            </w:tcBorders>
            <w:shd w:fill="E6E7E8"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7" w:type="dxa"/>
            <w:tcBorders>
              <w:top w:val="single" w:sz="8" w:space="0" w:color="000000"/>
              <w:left w:val="single" w:sz="4" w:space="0" w:color="000000"/>
              <w:bottom w:val="double" w:sz="8" w:space="0" w:color="000000"/>
            </w:tcBorders>
            <w:shd w:fill="E6E7E8" w:val="clear"/>
            <w:tcMar>
              <w:top w:w="30" w:type="dxa"/>
              <w:bottom w:w="3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w:t>
            </w:r>
          </w:p>
        </w:tc>
        <w:tc>
          <w:tcPr>
            <w:tcW w:w="1472" w:type="dxa"/>
            <w:tcBorders>
              <w:top w:val="single" w:sz="8" w:space="0" w:color="000000"/>
              <w:bottom w:val="double" w:sz="8" w:space="0" w:color="000000"/>
            </w:tcBorders>
            <w:shd w:fill="E6E7E8"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131.4</w:t>
            </w:r>
            <w:r>
              <w:rPr>
                <w:color w:val="000000"/>
              </w:rPr>
              <w:t> </w:t>
            </w:r>
          </w:p>
        </w:tc>
        <w:tc>
          <w:tcPr>
            <w:tcW w:w="359" w:type="dxa"/>
            <w:tcBorders>
              <w:top w:val="single" w:sz="8" w:space="0" w:color="000000"/>
              <w:bottom w:val="double" w:sz="8" w:space="0" w:color="000000"/>
              <w:right w:val="single" w:sz="4" w:space="0" w:color="000000"/>
            </w:tcBorders>
            <w:shd w:fill="E6E7E8" w:val="clear"/>
            <w:tcMar>
              <w:top w:w="30" w:type="dxa"/>
              <w:left w:w="0" w:type="dxa"/>
              <w:bottom w:w="3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hanging="360"/>
        <w:jc w:val="both"/>
        <w:rPr>
          <w:rFonts w:ascii="Arial;sans-serif" w:hAnsi="Arial;sans-serif"/>
          <w:b w:val="false"/>
          <w:color w:val="000000"/>
          <w:sz w:val="16"/>
        </w:rPr>
      </w:pPr>
      <w:r>
        <w:rPr>
          <w:rFonts w:ascii="Arial;sans-serif" w:hAnsi="Arial;sans-serif"/>
          <w:b w:val="false"/>
          <w:color w:val="000000"/>
          <w:sz w:val="16"/>
        </w:rPr>
        <w:t>(1)Adjustment aligns with the adjustments in the GAAP to Adjusted EPS reconciliation.</w:t>
      </w:r>
    </w:p>
    <w:p>
      <w:pPr>
        <w:pStyle w:val="TextBody"/>
        <w:bidi w:val="0"/>
        <w:spacing w:lineRule="auto" w:line="288" w:before="0" w:after="60"/>
        <w:ind w:left="0" w:right="0" w:hanging="360"/>
        <w:jc w:val="both"/>
        <w:rPr>
          <w:rFonts w:ascii="Arial;sans-serif" w:hAnsi="Arial;sans-serif"/>
          <w:b w:val="false"/>
          <w:color w:val="000000"/>
          <w:sz w:val="16"/>
        </w:rPr>
      </w:pPr>
      <w:r>
        <w:rPr>
          <w:rFonts w:ascii="Arial;sans-serif" w:hAnsi="Arial;sans-serif"/>
          <w:b w:val="false"/>
          <w:color w:val="000000"/>
          <w:sz w:val="16"/>
        </w:rPr>
        <w:t>(2)Income tax refunds/payments are excluded from adjusted free cash flow targets and results for annual incentive purposes.</w:t>
      </w:r>
    </w:p>
    <w:p>
      <w:pPr>
        <w:pStyle w:val="TextBody"/>
        <w:bidi w:val="0"/>
        <w:spacing w:lineRule="auto" w:line="288" w:before="0" w:after="60"/>
        <w:ind w:left="0" w:right="0" w:hanging="360"/>
        <w:jc w:val="both"/>
        <w:rPr>
          <w:rFonts w:ascii="Arial;sans-serif" w:hAnsi="Arial;sans-serif"/>
          <w:b w:val="false"/>
          <w:color w:val="000000"/>
          <w:sz w:val="16"/>
        </w:rPr>
      </w:pPr>
      <w:r>
        <w:rPr>
          <w:rFonts w:ascii="Arial;sans-serif" w:hAnsi="Arial;sans-serif"/>
          <w:b w:val="false"/>
          <w:color w:val="000000"/>
          <w:sz w:val="16"/>
        </w:rPr>
        <w:t>(3)In addition to the items noted in (1) and (2) above, adjusted free cash flow targets and results for annual incentive purposes exclude the cash flows generated by TAMCO and ASPEQ, acquisition-related interest payments, and legacy liability payments (asbestos, environmental, and pension).</w:t>
      </w:r>
    </w:p>
    <w:p>
      <w:pPr>
        <w:pStyle w:val="TextBody"/>
        <w:bidi w:val="0"/>
        <w:spacing w:before="0" w:after="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739140"/>
                <wp:effectExtent l="0" t="0" r="0" b="0"/>
                <wp:wrapNone/>
                <wp:docPr id="294" name="Frame90"/>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292" w:type="dxa"/>
                              <w:jc w:val="left"/>
                              <w:tblInd w:w="0" w:type="dxa"/>
                              <w:tblLayout w:type="fixed"/>
                              <w:tblCellMar>
                                <w:top w:w="28" w:type="dxa"/>
                                <w:left w:w="28" w:type="dxa"/>
                                <w:bottom w:w="28" w:type="dxa"/>
                                <w:right w:w="28" w:type="dxa"/>
                              </w:tblCellMar>
                            </w:tblPr>
                            <w:tblGrid>
                              <w:gridCol w:w="124"/>
                              <w:gridCol w:w="109"/>
                              <w:gridCol w:w="109"/>
                              <w:gridCol w:w="704"/>
                              <w:gridCol w:w="704"/>
                              <w:gridCol w:w="706"/>
                              <w:gridCol w:w="244"/>
                              <w:gridCol w:w="244"/>
                              <w:gridCol w:w="34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6"/>
                                    </w:rPr>
                                  </w:pPr>
                                  <w:r>
                                    <w:rPr>
                                      <w:rFonts w:ascii="Arial;sans-serif" w:hAnsi="Arial;sans-serif"/>
                                      <w:b/>
                                      <w:color w:val="000000"/>
                                      <w:sz w:val="16"/>
                                    </w:rPr>
                                    <w:t>84</w:t>
                                  </w:r>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2024 PROXY STATEMENT</w:t>
                                  </w:r>
                                </w:p>
                              </w:tc>
                              <w:tc>
                                <w:tcPr>
                                  <w:tcW w:w="83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295" name="Image1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5" name="Image122" descr=""/>
                                                <pic:cNvPicPr>
                                                  <a:picLocks noChangeAspect="1" noChangeArrowheads="1"/>
                                                </pic:cNvPicPr>
                                              </pic:nvPicPr>
                                              <pic:blipFill>
                                                <a:blip r:embed="rId206"/>
                                                <a:stretch>
                                                  <a:fillRect/>
                                                </a:stretch>
                                              </pic:blipFill>
                                              <pic:spPr bwMode="auto">
                                                <a:xfrm>
                                                  <a:off x="0" y="0"/>
                                                  <a:ext cx="447675" cy="161925"/>
                                                </a:xfrm>
                                                <a:prstGeom prst="rect">
                                                  <a:avLst/>
                                                </a:prstGeom>
                                              </pic:spPr>
                                            </pic:pic>
                                          </a:graphicData>
                                        </a:graphic>
                                      </wp:inline>
                                    </w:drawing>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292" w:type="dxa"/>
                        <w:jc w:val="left"/>
                        <w:tblInd w:w="0" w:type="dxa"/>
                        <w:tblLayout w:type="fixed"/>
                        <w:tblCellMar>
                          <w:top w:w="28" w:type="dxa"/>
                          <w:left w:w="28" w:type="dxa"/>
                          <w:bottom w:w="28" w:type="dxa"/>
                          <w:right w:w="28" w:type="dxa"/>
                        </w:tblCellMar>
                      </w:tblPr>
                      <w:tblGrid>
                        <w:gridCol w:w="124"/>
                        <w:gridCol w:w="109"/>
                        <w:gridCol w:w="109"/>
                        <w:gridCol w:w="704"/>
                        <w:gridCol w:w="704"/>
                        <w:gridCol w:w="706"/>
                        <w:gridCol w:w="244"/>
                        <w:gridCol w:w="244"/>
                        <w:gridCol w:w="34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6"/>
                              </w:rPr>
                            </w:pPr>
                            <w:r>
                              <w:rPr>
                                <w:rFonts w:ascii="Arial;sans-serif" w:hAnsi="Arial;sans-serif"/>
                                <w:b/>
                                <w:color w:val="000000"/>
                                <w:sz w:val="16"/>
                              </w:rPr>
                              <w:t>84</w:t>
                            </w:r>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2024 PROXY STATEMENT</w:t>
                            </w:r>
                          </w:p>
                        </w:tc>
                        <w:tc>
                          <w:tcPr>
                            <w:tcW w:w="83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296" name="Image1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6" name="Image122" descr=""/>
                                          <pic:cNvPicPr>
                                            <a:picLocks noChangeAspect="1" noChangeArrowheads="1"/>
                                          </pic:cNvPicPr>
                                        </pic:nvPicPr>
                                        <pic:blipFill>
                                          <a:blip r:embed="rId207"/>
                                          <a:stretch>
                                            <a:fillRect/>
                                          </a:stretch>
                                        </pic:blipFill>
                                        <pic:spPr bwMode="auto">
                                          <a:xfrm>
                                            <a:off x="0" y="0"/>
                                            <a:ext cx="447675" cy="161925"/>
                                          </a:xfrm>
                                          <a:prstGeom prst="rect">
                                            <a:avLst/>
                                          </a:prstGeom>
                                        </pic:spPr>
                                      </pic:pic>
                                    </a:graphicData>
                                  </a:graphic>
                                </wp:inline>
                              </w:drawing>
                            </w:r>
                          </w:p>
                        </w:tc>
                      </w:tr>
                    </w:tbl>
                    <w:p>
                      <w:pPr>
                        <w:pStyle w:val="TextBody"/>
                        <w:bidi w:val="0"/>
                        <w:spacing w:before="0" w:after="283"/>
                        <w:jc w:val="left"/>
                        <w:rPr/>
                      </w:pPr>
                      <w:r>
                        <w:rPr/>
                      </w:r>
                    </w:p>
                  </w:txbxContent>
                </v:textbox>
                <w10:wrap type="none"/>
              </v:rect>
            </w:pict>
          </mc:Fallback>
        </mc:AlternateContent>
      </w:r>
    </w:p>
    <w:tbl>
      <w:tblPr>
        <w:tblW w:w="1124" w:type="dxa"/>
        <w:jc w:val="right"/>
        <w:tblInd w:w="0" w:type="dxa"/>
        <w:tblLayout w:type="fixed"/>
        <w:tblCellMar>
          <w:top w:w="28" w:type="dxa"/>
          <w:left w:w="28" w:type="dxa"/>
          <w:bottom w:w="28" w:type="dxa"/>
          <w:right w:w="28" w:type="dxa"/>
        </w:tblCellMar>
      </w:tblPr>
      <w:tblGrid>
        <w:gridCol w:w="359"/>
        <w:gridCol w:w="316"/>
        <w:gridCol w:w="449"/>
      </w:tblGrid>
      <w:tr>
        <w:trPr/>
        <w:tc>
          <w:tcPr>
            <w:tcW w:w="35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r>
      <w:tr>
        <w:trPr/>
        <w:tc>
          <w:tcPr>
            <w:tcW w:w="1124" w:type="dxa"/>
            <w:gridSpan w:val="3"/>
            <w:tcBorders>
              <w:bottom w:val="single" w:sz="4" w:space="0" w:color="004C97"/>
            </w:tcBorders>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4C97"/>
                <w:sz w:val="16"/>
              </w:rPr>
            </w:pPr>
            <w:r>
              <w:rPr>
                <w:rFonts w:ascii="Arial;sans-serif" w:hAnsi="Arial;sans-serif"/>
                <w:b w:val="false"/>
                <w:color w:val="004C97"/>
                <w:sz w:val="16"/>
              </w:rPr>
              <w:t>APPENDIX E</w:t>
            </w:r>
          </w:p>
        </w:tc>
      </w:tr>
    </w:tbl>
    <w:p>
      <w:pPr>
        <w:pStyle w:val="TextBody"/>
        <w:bidi w:val="0"/>
        <w:spacing w:lineRule="auto" w:line="288" w:before="0" w:after="0"/>
        <w:jc w:val="left"/>
        <w:rPr>
          <w:rFonts w:ascii="Arial;sans-serif" w:hAnsi="Arial;sans-serif"/>
          <w:b w:val="false"/>
          <w:color w:val="000000"/>
          <w:sz w:val="32"/>
        </w:rPr>
      </w:pPr>
      <w:r>
        <w:rPr>
          <w:rFonts w:ascii="Arial;sans-serif" w:hAnsi="Arial;sans-serif"/>
          <w:b w:val="false"/>
          <w:color w:val="000000"/>
          <w:sz w:val="32"/>
        </w:rPr>
        <w:t>Adjusted EBITDA</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8185" w:type="dxa"/>
        <w:jc w:val="left"/>
        <w:tblInd w:w="0" w:type="dxa"/>
        <w:tblLayout w:type="fixed"/>
        <w:tblCellMar>
          <w:top w:w="28" w:type="dxa"/>
          <w:left w:w="28" w:type="dxa"/>
          <w:bottom w:w="28" w:type="dxa"/>
          <w:right w:w="28" w:type="dxa"/>
        </w:tblCellMar>
      </w:tblPr>
      <w:tblGrid>
        <w:gridCol w:w="1588"/>
        <w:gridCol w:w="1398"/>
        <w:gridCol w:w="1409"/>
        <w:gridCol w:w="338"/>
        <w:gridCol w:w="986"/>
        <w:gridCol w:w="188"/>
        <w:gridCol w:w="338"/>
        <w:gridCol w:w="986"/>
        <w:gridCol w:w="188"/>
        <w:gridCol w:w="224"/>
        <w:gridCol w:w="224"/>
        <w:gridCol w:w="318"/>
      </w:tblGrid>
      <w:tr>
        <w:trPr/>
        <w:tc>
          <w:tcPr>
            <w:tcW w:w="1588" w:type="dxa"/>
            <w:tcBorders/>
            <w:vAlign w:val="center"/>
          </w:tcPr>
          <w:p>
            <w:pPr>
              <w:pStyle w:val="TableContents"/>
              <w:bidi w:val="0"/>
              <w:spacing w:before="0" w:after="283"/>
              <w:jc w:val="left"/>
              <w:rPr>
                <w:sz w:val="4"/>
                <w:szCs w:val="4"/>
              </w:rPr>
            </w:pPr>
            <w:r>
              <w:rPr>
                <w:sz w:val="4"/>
                <w:szCs w:val="4"/>
              </w:rPr>
            </w:r>
          </w:p>
        </w:tc>
        <w:tc>
          <w:tcPr>
            <w:tcW w:w="1398" w:type="dxa"/>
            <w:tcBorders/>
            <w:vAlign w:val="center"/>
          </w:tcPr>
          <w:p>
            <w:pPr>
              <w:pStyle w:val="TableContents"/>
              <w:bidi w:val="0"/>
              <w:spacing w:before="0" w:after="283"/>
              <w:jc w:val="left"/>
              <w:rPr>
                <w:sz w:val="4"/>
                <w:szCs w:val="4"/>
              </w:rPr>
            </w:pPr>
            <w:r>
              <w:rPr>
                <w:sz w:val="4"/>
                <w:szCs w:val="4"/>
              </w:rPr>
            </w:r>
          </w:p>
        </w:tc>
        <w:tc>
          <w:tcPr>
            <w:tcW w:w="14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r>
      <w:tr>
        <w:trPr/>
        <w:tc>
          <w:tcPr>
            <w:tcW w:w="8185" w:type="dxa"/>
            <w:gridSpan w:val="12"/>
            <w:tcBorders>
              <w:top w:val="single" w:sz="4" w:space="0" w:color="000000"/>
              <w:left w:val="single" w:sz="4" w:space="0" w:color="000000"/>
              <w:right w:val="single" w:sz="4" w:space="0" w:color="000000"/>
            </w:tcBorders>
            <w:shd w:fill="004C97" w:val="clear"/>
            <w:tcMar>
              <w:top w:w="30" w:type="dxa"/>
              <w:bottom w:w="0" w:type="dxa"/>
            </w:tcMar>
            <w:vAlign w:val="center"/>
          </w:tcPr>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SPX TECHNOLOGIES, INC. AND SUBSIDIARIES</w:t>
            </w:r>
          </w:p>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NON-GAAP RECONCILIATION - ADJUSTED EBITDA</w:t>
            </w:r>
          </w:p>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(Unaudited; in millions)</w:t>
            </w:r>
          </w:p>
        </w:tc>
      </w:tr>
      <w:tr>
        <w:trPr/>
        <w:tc>
          <w:tcPr>
            <w:tcW w:w="4395" w:type="dxa"/>
            <w:gridSpan w:val="3"/>
            <w:tcBorders>
              <w:top w:val="single" w:sz="4" w:space="0" w:color="000000"/>
              <w:left w:val="single" w:sz="4" w:space="0" w:color="000000"/>
            </w:tcBorders>
            <w:shd w:fill="004C97" w:val="clear"/>
            <w:tcMar>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3"/>
            <w:tcBorders>
              <w:top w:val="single" w:sz="4" w:space="0" w:color="000000"/>
              <w:left w:val="single" w:sz="4" w:space="0" w:color="000000"/>
            </w:tcBorders>
            <w:shd w:fill="004C97" w:val="clear"/>
            <w:tcMar>
              <w:top w:w="30" w:type="dxa"/>
              <w:bottom w:w="0" w:type="dxa"/>
              <w:right w:w="0" w:type="dxa"/>
            </w:tcMar>
            <w:vAlign w:val="center"/>
          </w:tcPr>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2023</w:t>
            </w:r>
          </w:p>
        </w:tc>
        <w:tc>
          <w:tcPr>
            <w:tcW w:w="1512" w:type="dxa"/>
            <w:gridSpan w:val="3"/>
            <w:tcBorders>
              <w:top w:val="single" w:sz="4" w:space="0" w:color="000000"/>
              <w:left w:val="single" w:sz="4" w:space="0" w:color="000000"/>
            </w:tcBorders>
            <w:shd w:fill="004C97" w:val="clear"/>
            <w:tcMar>
              <w:top w:w="30" w:type="dxa"/>
              <w:bottom w:w="0" w:type="dxa"/>
              <w:right w:w="0" w:type="dxa"/>
            </w:tcMar>
            <w:vAlign w:val="center"/>
          </w:tcPr>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2022</w:t>
            </w:r>
          </w:p>
        </w:tc>
        <w:tc>
          <w:tcPr>
            <w:tcW w:w="766" w:type="dxa"/>
            <w:gridSpan w:val="3"/>
            <w:tcBorders>
              <w:top w:val="single" w:sz="4" w:space="0" w:color="000000"/>
              <w:left w:val="single" w:sz="4" w:space="0" w:color="000000"/>
              <w:right w:val="single" w:sz="4" w:space="0" w:color="000000"/>
            </w:tcBorders>
            <w:shd w:fill="004C97" w:val="clear"/>
            <w:tcMar>
              <w:top w:w="30" w:type="dxa"/>
              <w:bottom w:w="0" w:type="dxa"/>
            </w:tcMar>
            <w:vAlign w:val="center"/>
          </w:tcPr>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 xml:space="preserve">% </w:t>
            </w:r>
          </w:p>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Change</w:t>
            </w:r>
          </w:p>
        </w:tc>
      </w:tr>
      <w:tr>
        <w:trPr/>
        <w:tc>
          <w:tcPr>
            <w:tcW w:w="4395" w:type="dxa"/>
            <w:gridSpan w:val="3"/>
            <w:tcBorders>
              <w:top w:val="single" w:sz="4" w:space="0" w:color="000000"/>
              <w:left w:val="single" w:sz="4" w:space="0" w:color="000000"/>
            </w:tcBorders>
            <w:shd w:fill="E6E7E8" w:val="clear"/>
            <w:tcMar>
              <w:top w:w="30" w:type="dxa"/>
              <w:left w:w="11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Net Income</w:t>
            </w:r>
          </w:p>
        </w:tc>
        <w:tc>
          <w:tcPr>
            <w:tcW w:w="338" w:type="dxa"/>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986" w:type="dxa"/>
            <w:tcBorders>
              <w:top w:val="single" w:sz="4" w:space="0" w:color="000000"/>
            </w:tcBorders>
            <w:shd w:fill="E6E7E8"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89.9 </w:t>
            </w:r>
          </w:p>
        </w:tc>
        <w:tc>
          <w:tcPr>
            <w:tcW w:w="188" w:type="dxa"/>
            <w:tcBorders>
              <w:top w:val="single" w:sz="4" w:space="0" w:color="000000"/>
            </w:tcBorders>
            <w:shd w:fill="E6E7E8"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986" w:type="dxa"/>
            <w:tcBorders>
              <w:top w:val="single" w:sz="4" w:space="0" w:color="000000"/>
            </w:tcBorders>
            <w:shd w:fill="E6E7E8"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0.2 </w:t>
            </w:r>
          </w:p>
        </w:tc>
        <w:tc>
          <w:tcPr>
            <w:tcW w:w="188" w:type="dxa"/>
            <w:tcBorders>
              <w:top w:val="single" w:sz="4" w:space="0" w:color="000000"/>
            </w:tcBorders>
            <w:shd w:fill="E6E7E8"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4" w:space="0" w:color="000000"/>
              <w:left w:val="single" w:sz="4" w:space="0" w:color="000000"/>
              <w:right w:val="single" w:sz="4" w:space="0" w:color="000000"/>
            </w:tcBorders>
            <w:shd w:fill="E6E7E8" w:val="clear"/>
            <w:tcMar>
              <w:bottom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top w:val="single" w:sz="4" w:space="0" w:color="000000"/>
              <w:left w:val="single" w:sz="4" w:space="0" w:color="000000"/>
            </w:tcBorders>
            <w:shd w:fill="FFFFFF" w:val="clear"/>
            <w:tcMar>
              <w:top w:w="30" w:type="dxa"/>
              <w:left w:w="11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Exclude:</w:t>
            </w:r>
          </w:p>
        </w:tc>
        <w:tc>
          <w:tcPr>
            <w:tcW w:w="1512"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4" w:space="0" w:color="000000"/>
              <w:left w:val="single" w:sz="4" w:space="0" w:color="000000"/>
              <w:right w:val="single" w:sz="4" w:space="0" w:color="000000"/>
            </w:tcBorders>
            <w:shd w:fill="FFFFFF" w:val="clear"/>
            <w:tcMar>
              <w:bottom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top w:val="single" w:sz="4" w:space="0" w:color="000000"/>
              <w:left w:val="single" w:sz="4" w:space="0" w:color="000000"/>
            </w:tcBorders>
            <w:shd w:fill="E6E7E8" w:val="clear"/>
            <w:tcMar>
              <w:top w:w="30" w:type="dxa"/>
              <w:left w:w="29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Income tax provision</w:t>
            </w:r>
          </w:p>
        </w:tc>
        <w:tc>
          <w:tcPr>
            <w:tcW w:w="1324" w:type="dxa"/>
            <w:gridSpan w:val="2"/>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(41.6)</w:t>
            </w:r>
          </w:p>
        </w:tc>
        <w:tc>
          <w:tcPr>
            <w:tcW w:w="188" w:type="dxa"/>
            <w:tcBorders>
              <w:top w:val="single" w:sz="4" w:space="0" w:color="000000"/>
            </w:tcBorders>
            <w:shd w:fill="E6E7E8"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(7.3)</w:t>
            </w:r>
          </w:p>
        </w:tc>
        <w:tc>
          <w:tcPr>
            <w:tcW w:w="188" w:type="dxa"/>
            <w:tcBorders>
              <w:top w:val="single" w:sz="4" w:space="0" w:color="000000"/>
            </w:tcBorders>
            <w:shd w:fill="E6E7E8"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4" w:space="0" w:color="000000"/>
              <w:left w:val="single" w:sz="4" w:space="0" w:color="000000"/>
              <w:right w:val="single" w:sz="4" w:space="0" w:color="000000"/>
            </w:tcBorders>
            <w:shd w:fill="E6E7E8" w:val="clear"/>
            <w:tcMar>
              <w:bottom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top w:val="single" w:sz="4" w:space="0" w:color="000000"/>
              <w:left w:val="single" w:sz="4" w:space="0" w:color="000000"/>
            </w:tcBorders>
            <w:shd w:fill="FFFFFF" w:val="clear"/>
            <w:tcMar>
              <w:top w:w="30" w:type="dxa"/>
              <w:left w:w="29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Interest expense, net</w:t>
            </w:r>
          </w:p>
        </w:tc>
        <w:tc>
          <w:tcPr>
            <w:tcW w:w="1324" w:type="dxa"/>
            <w:gridSpan w:val="2"/>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(25.5)</w:t>
            </w:r>
          </w:p>
        </w:tc>
        <w:tc>
          <w:tcPr>
            <w:tcW w:w="188"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(7.6)</w:t>
            </w:r>
          </w:p>
        </w:tc>
        <w:tc>
          <w:tcPr>
            <w:tcW w:w="188"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4" w:space="0" w:color="000000"/>
              <w:left w:val="single" w:sz="4" w:space="0" w:color="000000"/>
              <w:right w:val="single" w:sz="4" w:space="0" w:color="000000"/>
            </w:tcBorders>
            <w:shd w:fill="FFFFFF" w:val="clear"/>
            <w:tcMar>
              <w:bottom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6"/>
              </w:rPr>
              <w:t xml:space="preserve">Amortization expense </w:t>
            </w:r>
            <w:r>
              <w:rPr>
                <w:rFonts w:ascii="Arial;sans-serif" w:hAnsi="Arial;sans-serif"/>
                <w:b w:val="false"/>
                <w:color w:val="000000"/>
                <w:sz w:val="10"/>
              </w:rPr>
              <w:t>(1)</w:t>
            </w:r>
          </w:p>
        </w:tc>
        <w:tc>
          <w:tcPr>
            <w:tcW w:w="1324" w:type="dxa"/>
            <w:gridSpan w:val="2"/>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(44.0)</w:t>
            </w:r>
          </w:p>
        </w:tc>
        <w:tc>
          <w:tcPr>
            <w:tcW w:w="188" w:type="dxa"/>
            <w:tcBorders>
              <w:top w:val="single" w:sz="4" w:space="0" w:color="000000"/>
            </w:tcBorders>
            <w:shd w:fill="E6E7E8"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(28.6)</w:t>
            </w:r>
          </w:p>
        </w:tc>
        <w:tc>
          <w:tcPr>
            <w:tcW w:w="188" w:type="dxa"/>
            <w:tcBorders>
              <w:top w:val="single" w:sz="4" w:space="0" w:color="000000"/>
            </w:tcBorders>
            <w:shd w:fill="E6E7E8"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4" w:space="0" w:color="000000"/>
              <w:left w:val="single" w:sz="4" w:space="0" w:color="000000"/>
              <w:right w:val="single" w:sz="4" w:space="0" w:color="000000"/>
            </w:tcBorders>
            <w:shd w:fill="E6E7E8" w:val="clear"/>
            <w:tcMar>
              <w:bottom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top w:val="single" w:sz="4" w:space="0" w:color="000000"/>
              <w:left w:val="single" w:sz="4" w:space="0" w:color="000000"/>
            </w:tcBorders>
            <w:shd w:fill="FFFFFF" w:val="clear"/>
            <w:tcMar>
              <w:top w:w="30" w:type="dxa"/>
              <w:left w:w="29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Depreciation expense</w:t>
            </w:r>
          </w:p>
        </w:tc>
        <w:tc>
          <w:tcPr>
            <w:tcW w:w="1324" w:type="dxa"/>
            <w:gridSpan w:val="2"/>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(19.2)</w:t>
            </w:r>
          </w:p>
        </w:tc>
        <w:tc>
          <w:tcPr>
            <w:tcW w:w="188"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(17.8)</w:t>
            </w:r>
          </w:p>
        </w:tc>
        <w:tc>
          <w:tcPr>
            <w:tcW w:w="188"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4" w:space="0" w:color="000000"/>
              <w:left w:val="single" w:sz="4" w:space="0" w:color="000000"/>
              <w:right w:val="single" w:sz="4" w:space="0" w:color="000000"/>
            </w:tcBorders>
            <w:shd w:fill="FFFFFF" w:val="clear"/>
            <w:tcMar>
              <w:bottom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top w:val="single" w:sz="4" w:space="0" w:color="000000"/>
              <w:left w:val="single" w:sz="4" w:space="0" w:color="000000"/>
            </w:tcBorders>
            <w:shd w:fill="E6E7E8" w:val="clear"/>
            <w:tcMar>
              <w:top w:w="30" w:type="dxa"/>
              <w:left w:w="29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Loss from discontinued operations, net of tax</w:t>
            </w:r>
          </w:p>
        </w:tc>
        <w:tc>
          <w:tcPr>
            <w:tcW w:w="1324" w:type="dxa"/>
            <w:gridSpan w:val="2"/>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(54.8)</w:t>
            </w:r>
          </w:p>
        </w:tc>
        <w:tc>
          <w:tcPr>
            <w:tcW w:w="188" w:type="dxa"/>
            <w:tcBorders>
              <w:top w:val="single" w:sz="4" w:space="0" w:color="000000"/>
            </w:tcBorders>
            <w:shd w:fill="E6E7E8"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(19.6)</w:t>
            </w:r>
          </w:p>
        </w:tc>
        <w:tc>
          <w:tcPr>
            <w:tcW w:w="188" w:type="dxa"/>
            <w:tcBorders>
              <w:top w:val="single" w:sz="4" w:space="0" w:color="000000"/>
            </w:tcBorders>
            <w:shd w:fill="E6E7E8"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4" w:space="0" w:color="000000"/>
              <w:left w:val="single" w:sz="4" w:space="0" w:color="000000"/>
              <w:right w:val="single" w:sz="4" w:space="0" w:color="000000"/>
            </w:tcBorders>
            <w:shd w:fill="E6E7E8" w:val="clear"/>
            <w:tcMar>
              <w:bottom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top w:val="single" w:sz="4" w:space="0" w:color="000000"/>
              <w:left w:val="single" w:sz="4" w:space="0" w:color="000000"/>
            </w:tcBorders>
            <w:shd w:fill="FFFFFF" w:val="clear"/>
            <w:tcMar>
              <w:top w:w="30" w:type="dxa"/>
              <w:left w:w="11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EBITDA</w:t>
            </w:r>
          </w:p>
        </w:tc>
        <w:tc>
          <w:tcPr>
            <w:tcW w:w="1324" w:type="dxa"/>
            <w:gridSpan w:val="2"/>
            <w:tcBorders>
              <w:top w:val="single" w:sz="8"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275.0</w:t>
            </w:r>
            <w:r>
              <w:rPr>
                <w:color w:val="000000"/>
              </w:rPr>
              <w:t> </w:t>
            </w:r>
          </w:p>
        </w:tc>
        <w:tc>
          <w:tcPr>
            <w:tcW w:w="18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top w:val="single" w:sz="8"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81.1</w:t>
            </w:r>
            <w:r>
              <w:rPr>
                <w:color w:val="000000"/>
              </w:rPr>
              <w:t> </w:t>
            </w:r>
          </w:p>
        </w:tc>
        <w:tc>
          <w:tcPr>
            <w:tcW w:w="18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4" w:space="0" w:color="000000"/>
              <w:left w:val="single" w:sz="4" w:space="0" w:color="000000"/>
              <w:right w:val="single" w:sz="4" w:space="0" w:color="000000"/>
            </w:tcBorders>
            <w:shd w:fill="FFFFFF" w:val="clear"/>
            <w:tcMar>
              <w:top w:w="30" w:type="dxa"/>
              <w:bottom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239.1%</w:t>
            </w:r>
          </w:p>
        </w:tc>
      </w:tr>
      <w:tr>
        <w:trPr/>
        <w:tc>
          <w:tcPr>
            <w:tcW w:w="4395" w:type="dxa"/>
            <w:gridSpan w:val="3"/>
            <w:tcBorders>
              <w:top w:val="single" w:sz="4" w:space="0" w:color="000000"/>
              <w:left w:val="single" w:sz="4" w:space="0" w:color="000000"/>
            </w:tcBorders>
            <w:shd w:fill="E6E7E8" w:val="clear"/>
            <w:tcMar>
              <w:top w:w="30" w:type="dxa"/>
              <w:left w:w="11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Exclude:</w:t>
            </w:r>
          </w:p>
        </w:tc>
        <w:tc>
          <w:tcPr>
            <w:tcW w:w="1512" w:type="dxa"/>
            <w:gridSpan w:val="3"/>
            <w:tcBorders>
              <w:top w:val="single" w:sz="4" w:space="0" w:color="000000"/>
              <w:left w:val="single" w:sz="4" w:space="0" w:color="000000"/>
            </w:tcBorders>
            <w:shd w:fill="E6E7E8" w:val="clear"/>
            <w:tcMar>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3"/>
            <w:tcBorders>
              <w:top w:val="single" w:sz="4" w:space="0" w:color="000000"/>
              <w:left w:val="single" w:sz="4" w:space="0" w:color="000000"/>
            </w:tcBorders>
            <w:shd w:fill="E6E7E8" w:val="clear"/>
            <w:tcMar>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4" w:space="0" w:color="000000"/>
              <w:left w:val="single" w:sz="4" w:space="0" w:color="000000"/>
              <w:right w:val="single" w:sz="4" w:space="0" w:color="000000"/>
            </w:tcBorders>
            <w:shd w:fill="E6E7E8" w:val="clear"/>
            <w:tcMar>
              <w:bottom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6"/>
              </w:rPr>
              <w:t xml:space="preserve">Acquisition and strategic/transformation related costs </w:t>
            </w:r>
            <w:r>
              <w:rPr>
                <w:rFonts w:ascii="Arial;sans-serif" w:hAnsi="Arial;sans-serif"/>
                <w:b w:val="false"/>
                <w:color w:val="000000"/>
                <w:sz w:val="10"/>
              </w:rPr>
              <w:t>(2)</w:t>
            </w:r>
          </w:p>
        </w:tc>
        <w:tc>
          <w:tcPr>
            <w:tcW w:w="1324" w:type="dxa"/>
            <w:gridSpan w:val="2"/>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(7.8)</w:t>
            </w:r>
          </w:p>
        </w:tc>
        <w:tc>
          <w:tcPr>
            <w:tcW w:w="188"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(15.3)</w:t>
            </w:r>
          </w:p>
        </w:tc>
        <w:tc>
          <w:tcPr>
            <w:tcW w:w="188"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4" w:space="0" w:color="000000"/>
              <w:left w:val="single" w:sz="4" w:space="0" w:color="000000"/>
              <w:right w:val="single" w:sz="4" w:space="0" w:color="000000"/>
            </w:tcBorders>
            <w:shd w:fill="FFFFFF" w:val="clear"/>
            <w:tcMar>
              <w:bottom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6"/>
              </w:rPr>
              <w:t xml:space="preserve">Acquisition-related and other costs </w:t>
            </w:r>
            <w:r>
              <w:rPr>
                <w:rFonts w:ascii="Arial;sans-serif" w:hAnsi="Arial;sans-serif"/>
                <w:b w:val="false"/>
                <w:color w:val="000000"/>
                <w:sz w:val="10"/>
              </w:rPr>
              <w:t>(3)</w:t>
            </w:r>
          </w:p>
        </w:tc>
        <w:tc>
          <w:tcPr>
            <w:tcW w:w="1324" w:type="dxa"/>
            <w:gridSpan w:val="2"/>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(5.8)</w:t>
            </w:r>
          </w:p>
        </w:tc>
        <w:tc>
          <w:tcPr>
            <w:tcW w:w="188" w:type="dxa"/>
            <w:tcBorders>
              <w:top w:val="single" w:sz="4" w:space="0" w:color="000000"/>
            </w:tcBorders>
            <w:shd w:fill="E6E7E8"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(1.9)</w:t>
            </w:r>
          </w:p>
        </w:tc>
        <w:tc>
          <w:tcPr>
            <w:tcW w:w="188" w:type="dxa"/>
            <w:tcBorders>
              <w:top w:val="single" w:sz="4" w:space="0" w:color="000000"/>
            </w:tcBorders>
            <w:shd w:fill="E6E7E8"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4" w:space="0" w:color="000000"/>
              <w:left w:val="single" w:sz="4" w:space="0" w:color="000000"/>
              <w:right w:val="single" w:sz="4" w:space="0" w:color="000000"/>
            </w:tcBorders>
            <w:shd w:fill="E6E7E8" w:val="clear"/>
            <w:tcMar>
              <w:bottom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6"/>
              </w:rPr>
              <w:t xml:space="preserve">Long-term incentive compensation expense forfeitures </w:t>
            </w:r>
            <w:r>
              <w:rPr>
                <w:rFonts w:ascii="Arial;sans-serif" w:hAnsi="Arial;sans-serif"/>
                <w:b w:val="false"/>
                <w:color w:val="000000"/>
                <w:sz w:val="10"/>
              </w:rPr>
              <w:t>(4)</w:t>
            </w:r>
          </w:p>
        </w:tc>
        <w:tc>
          <w:tcPr>
            <w:tcW w:w="1324" w:type="dxa"/>
            <w:gridSpan w:val="2"/>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8"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0.8 </w:t>
            </w:r>
          </w:p>
        </w:tc>
        <w:tc>
          <w:tcPr>
            <w:tcW w:w="188"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4" w:space="0" w:color="000000"/>
              <w:left w:val="single" w:sz="4" w:space="0" w:color="000000"/>
              <w:right w:val="single" w:sz="4" w:space="0" w:color="000000"/>
            </w:tcBorders>
            <w:shd w:fill="FFFFFF" w:val="clear"/>
            <w:tcMar>
              <w:bottom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top w:val="single" w:sz="4" w:space="0" w:color="000000"/>
              <w:left w:val="single" w:sz="4" w:space="0" w:color="000000"/>
            </w:tcBorders>
            <w:shd w:fill="E6E7E8" w:val="clear"/>
            <w:tcMar>
              <w:top w:w="30" w:type="dxa"/>
              <w:left w:w="29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Impairment of goodwill and intangible assets</w:t>
            </w:r>
          </w:p>
        </w:tc>
        <w:tc>
          <w:tcPr>
            <w:tcW w:w="1324" w:type="dxa"/>
            <w:gridSpan w:val="2"/>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8" w:type="dxa"/>
            <w:tcBorders>
              <w:top w:val="single" w:sz="4" w:space="0" w:color="000000"/>
            </w:tcBorders>
            <w:shd w:fill="E6E7E8"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(13.4)</w:t>
            </w:r>
          </w:p>
        </w:tc>
        <w:tc>
          <w:tcPr>
            <w:tcW w:w="188" w:type="dxa"/>
            <w:tcBorders>
              <w:top w:val="single" w:sz="4" w:space="0" w:color="000000"/>
            </w:tcBorders>
            <w:shd w:fill="E6E7E8"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4" w:space="0" w:color="000000"/>
              <w:left w:val="single" w:sz="4" w:space="0" w:color="000000"/>
              <w:right w:val="single" w:sz="4" w:space="0" w:color="000000"/>
            </w:tcBorders>
            <w:shd w:fill="E6E7E8" w:val="clear"/>
            <w:tcMar>
              <w:bottom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6"/>
              </w:rPr>
              <w:t xml:space="preserve">Special charges, net </w:t>
            </w:r>
            <w:r>
              <w:rPr>
                <w:rFonts w:ascii="Arial;sans-serif" w:hAnsi="Arial;sans-serif"/>
                <w:b w:val="false"/>
                <w:color w:val="000000"/>
                <w:sz w:val="10"/>
              </w:rPr>
              <w:t>(5)</w:t>
            </w:r>
          </w:p>
        </w:tc>
        <w:tc>
          <w:tcPr>
            <w:tcW w:w="1324" w:type="dxa"/>
            <w:gridSpan w:val="2"/>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8"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(0.3)</w:t>
            </w:r>
          </w:p>
        </w:tc>
        <w:tc>
          <w:tcPr>
            <w:tcW w:w="188"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4" w:space="0" w:color="000000"/>
              <w:left w:val="single" w:sz="4" w:space="0" w:color="000000"/>
              <w:right w:val="single" w:sz="4" w:space="0" w:color="000000"/>
            </w:tcBorders>
            <w:shd w:fill="FFFFFF" w:val="clear"/>
            <w:tcMar>
              <w:bottom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6"/>
              </w:rPr>
              <w:t xml:space="preserve">Other operating expense, net </w:t>
            </w:r>
            <w:r>
              <w:rPr>
                <w:rFonts w:ascii="Arial;sans-serif" w:hAnsi="Arial;sans-serif"/>
                <w:b w:val="false"/>
                <w:color w:val="000000"/>
                <w:sz w:val="10"/>
              </w:rPr>
              <w:t>(6)</w:t>
            </w:r>
          </w:p>
        </w:tc>
        <w:tc>
          <w:tcPr>
            <w:tcW w:w="1324" w:type="dxa"/>
            <w:gridSpan w:val="2"/>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(9.0)</w:t>
            </w:r>
          </w:p>
        </w:tc>
        <w:tc>
          <w:tcPr>
            <w:tcW w:w="188" w:type="dxa"/>
            <w:tcBorders>
              <w:top w:val="single" w:sz="4" w:space="0" w:color="000000"/>
            </w:tcBorders>
            <w:shd w:fill="E6E7E8"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(74.9)</w:t>
            </w:r>
          </w:p>
        </w:tc>
        <w:tc>
          <w:tcPr>
            <w:tcW w:w="188" w:type="dxa"/>
            <w:tcBorders>
              <w:top w:val="single" w:sz="4" w:space="0" w:color="000000"/>
            </w:tcBorders>
            <w:shd w:fill="E6E7E8"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4" w:space="0" w:color="000000"/>
              <w:left w:val="single" w:sz="4" w:space="0" w:color="000000"/>
              <w:right w:val="single" w:sz="4" w:space="0" w:color="000000"/>
            </w:tcBorders>
            <w:shd w:fill="E6E7E8" w:val="clear"/>
            <w:tcMar>
              <w:bottom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top w:val="single" w:sz="4" w:space="0" w:color="000000"/>
              <w:left w:val="single" w:sz="4" w:space="0" w:color="000000"/>
            </w:tcBorders>
            <w:shd w:fill="FFFFFF" w:val="clear"/>
            <w:tcMar>
              <w:top w:w="30" w:type="dxa"/>
              <w:left w:w="29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Non-service pension and postretirement losses</w:t>
            </w:r>
          </w:p>
        </w:tc>
        <w:tc>
          <w:tcPr>
            <w:tcW w:w="1324" w:type="dxa"/>
            <w:gridSpan w:val="2"/>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(16.1)</w:t>
            </w:r>
          </w:p>
        </w:tc>
        <w:tc>
          <w:tcPr>
            <w:tcW w:w="188"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(0.1)</w:t>
            </w:r>
          </w:p>
        </w:tc>
        <w:tc>
          <w:tcPr>
            <w:tcW w:w="188"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4" w:space="0" w:color="000000"/>
              <w:left w:val="single" w:sz="4" w:space="0" w:color="000000"/>
              <w:right w:val="single" w:sz="4" w:space="0" w:color="000000"/>
            </w:tcBorders>
            <w:shd w:fill="FFFFFF" w:val="clear"/>
            <w:tcMar>
              <w:bottom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top w:val="single" w:sz="4" w:space="0" w:color="000000"/>
              <w:left w:val="single" w:sz="4" w:space="0" w:color="000000"/>
            </w:tcBorders>
            <w:shd w:fill="E6E7E8" w:val="clear"/>
            <w:tcMar>
              <w:top w:w="30" w:type="dxa"/>
              <w:left w:w="29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Asbestos-related charges</w:t>
            </w:r>
          </w:p>
        </w:tc>
        <w:tc>
          <w:tcPr>
            <w:tcW w:w="1324" w:type="dxa"/>
            <w:gridSpan w:val="2"/>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(0.2)</w:t>
            </w:r>
          </w:p>
        </w:tc>
        <w:tc>
          <w:tcPr>
            <w:tcW w:w="188" w:type="dxa"/>
            <w:tcBorders>
              <w:top w:val="single" w:sz="4" w:space="0" w:color="000000"/>
            </w:tcBorders>
            <w:shd w:fill="E6E7E8"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(16.5)</w:t>
            </w:r>
          </w:p>
        </w:tc>
        <w:tc>
          <w:tcPr>
            <w:tcW w:w="188" w:type="dxa"/>
            <w:tcBorders>
              <w:top w:val="single" w:sz="4" w:space="0" w:color="000000"/>
            </w:tcBorders>
            <w:shd w:fill="E6E7E8"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4" w:space="0" w:color="000000"/>
              <w:left w:val="single" w:sz="4" w:space="0" w:color="000000"/>
              <w:right w:val="single" w:sz="4" w:space="0" w:color="000000"/>
            </w:tcBorders>
            <w:shd w:fill="E6E7E8" w:val="clear"/>
            <w:tcMar>
              <w:bottom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top w:val="single" w:sz="4" w:space="0" w:color="000000"/>
              <w:left w:val="single" w:sz="4" w:space="0" w:color="000000"/>
            </w:tcBorders>
            <w:shd w:fill="FFFFFF" w:val="clear"/>
            <w:tcMar>
              <w:top w:w="30" w:type="dxa"/>
              <w:left w:w="29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Fair value adjustments on an equity security</w:t>
            </w:r>
          </w:p>
        </w:tc>
        <w:tc>
          <w:tcPr>
            <w:tcW w:w="1324" w:type="dxa"/>
            <w:gridSpan w:val="2"/>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3.6 </w:t>
            </w:r>
          </w:p>
        </w:tc>
        <w:tc>
          <w:tcPr>
            <w:tcW w:w="188"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(3.0)</w:t>
            </w:r>
          </w:p>
        </w:tc>
        <w:tc>
          <w:tcPr>
            <w:tcW w:w="188"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4" w:space="0" w:color="000000"/>
              <w:left w:val="single" w:sz="4" w:space="0" w:color="000000"/>
              <w:right w:val="single" w:sz="4" w:space="0" w:color="000000"/>
            </w:tcBorders>
            <w:shd w:fill="FFFFFF" w:val="clear"/>
            <w:tcMar>
              <w:bottom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top w:val="single" w:sz="4" w:space="0" w:color="000000"/>
              <w:left w:val="single" w:sz="4" w:space="0" w:color="000000"/>
            </w:tcBorders>
            <w:shd w:fill="E6E7E8" w:val="clear"/>
            <w:tcMar>
              <w:top w:w="30" w:type="dxa"/>
              <w:left w:w="29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Loss on amendment/refinancing of senior credit agreement</w:t>
            </w:r>
          </w:p>
        </w:tc>
        <w:tc>
          <w:tcPr>
            <w:tcW w:w="1324" w:type="dxa"/>
            <w:gridSpan w:val="2"/>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8" w:type="dxa"/>
            <w:tcBorders>
              <w:top w:val="single" w:sz="4" w:space="0" w:color="000000"/>
            </w:tcBorders>
            <w:shd w:fill="E6E7E8"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(1.1)</w:t>
            </w:r>
          </w:p>
        </w:tc>
        <w:tc>
          <w:tcPr>
            <w:tcW w:w="188" w:type="dxa"/>
            <w:tcBorders>
              <w:top w:val="single" w:sz="4" w:space="0" w:color="000000"/>
            </w:tcBorders>
            <w:shd w:fill="E6E7E8"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4" w:space="0" w:color="000000"/>
              <w:left w:val="single" w:sz="4" w:space="0" w:color="000000"/>
              <w:right w:val="single" w:sz="4" w:space="0" w:color="000000"/>
            </w:tcBorders>
            <w:shd w:fill="E6E7E8" w:val="clear"/>
            <w:tcMar>
              <w:bottom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top w:val="single" w:sz="4" w:space="0" w:color="000000"/>
              <w:left w:val="single" w:sz="4" w:space="0" w:color="000000"/>
              <w:bottom w:val="single" w:sz="4" w:space="0" w:color="000000"/>
            </w:tcBorders>
            <w:shd w:fill="FFFFFF" w:val="clear"/>
            <w:tcMar>
              <w:top w:w="30" w:type="dxa"/>
              <w:left w:w="11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Adjusted EBITDA</w:t>
            </w:r>
          </w:p>
        </w:tc>
        <w:tc>
          <w:tcPr>
            <w:tcW w:w="338" w:type="dxa"/>
            <w:tcBorders>
              <w:top w:val="single" w:sz="8" w:space="0" w:color="000000"/>
              <w:left w:val="single" w:sz="4" w:space="0" w:color="000000"/>
              <w:bottom w:val="double" w:sz="8" w:space="0" w:color="000000"/>
            </w:tcBorders>
            <w:shd w:fill="FFFFFF" w:val="clear"/>
            <w:tcMar>
              <w:top w:w="30" w:type="dxa"/>
              <w:bottom w:w="3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w:t>
            </w:r>
          </w:p>
        </w:tc>
        <w:tc>
          <w:tcPr>
            <w:tcW w:w="9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310.3</w:t>
            </w:r>
            <w:r>
              <w:rPr>
                <w:color w:val="000000"/>
              </w:rPr>
              <w:t> </w:t>
            </w:r>
          </w:p>
        </w:tc>
        <w:tc>
          <w:tcPr>
            <w:tcW w:w="1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single" w:sz="8" w:space="0" w:color="000000"/>
              <w:left w:val="single" w:sz="4" w:space="0" w:color="000000"/>
              <w:bottom w:val="double" w:sz="8" w:space="0" w:color="000000"/>
            </w:tcBorders>
            <w:shd w:fill="FFFFFF" w:val="clear"/>
            <w:tcMar>
              <w:top w:w="30" w:type="dxa"/>
              <w:bottom w:w="3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w:t>
            </w:r>
          </w:p>
        </w:tc>
        <w:tc>
          <w:tcPr>
            <w:tcW w:w="9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206.8</w:t>
            </w:r>
            <w:r>
              <w:rPr>
                <w:color w:val="000000"/>
              </w:rPr>
              <w:t> </w:t>
            </w:r>
          </w:p>
        </w:tc>
        <w:tc>
          <w:tcPr>
            <w:tcW w:w="1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4" w:space="0" w:color="000000"/>
              <w:left w:val="single" w:sz="4" w:space="0" w:color="000000"/>
              <w:bottom w:val="single" w:sz="4" w:space="0" w:color="000000"/>
              <w:right w:val="single" w:sz="4" w:space="0" w:color="000000"/>
            </w:tcBorders>
            <w:shd w:fill="FFFFFF" w:val="clear"/>
            <w:tcMar>
              <w:top w:w="30" w:type="dxa"/>
              <w:bottom w:w="3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50.0%</w:t>
            </w:r>
          </w:p>
        </w:tc>
      </w:tr>
    </w:tbl>
    <w:p>
      <w:pPr>
        <w:pStyle w:val="TextBody"/>
        <w:bidi w:val="0"/>
        <w:spacing w:lineRule="auto" w:line="288" w:before="0" w:after="60"/>
        <w:ind w:left="0" w:right="0" w:hanging="360"/>
        <w:jc w:val="both"/>
        <w:rPr>
          <w:rFonts w:ascii="Arial;sans-serif" w:hAnsi="Arial;sans-serif"/>
          <w:b w:val="false"/>
          <w:color w:val="000000"/>
          <w:sz w:val="16"/>
        </w:rPr>
      </w:pPr>
      <w:r>
        <w:rPr>
          <w:rFonts w:ascii="Arial;sans-serif" w:hAnsi="Arial;sans-serif"/>
          <w:b w:val="false"/>
          <w:color w:val="000000"/>
          <w:sz w:val="16"/>
        </w:rPr>
        <w:t>(1)Represents amortization expense associated with acquired intangible assets recorded within “Intangible amortization” and amortization of capitalized software costs recorded within “Cost of products sold.”</w:t>
      </w:r>
    </w:p>
    <w:p>
      <w:pPr>
        <w:pStyle w:val="TextBody"/>
        <w:bidi w:val="0"/>
        <w:spacing w:lineRule="auto" w:line="288" w:before="0" w:after="60"/>
        <w:ind w:left="0" w:right="0" w:hanging="360"/>
        <w:jc w:val="both"/>
        <w:rPr>
          <w:rFonts w:ascii="Arial;sans-serif" w:hAnsi="Arial;sans-serif"/>
          <w:b w:val="false"/>
          <w:color w:val="000000"/>
          <w:sz w:val="16"/>
        </w:rPr>
      </w:pPr>
      <w:r>
        <w:rPr>
          <w:rFonts w:ascii="Arial;sans-serif" w:hAnsi="Arial;sans-serif"/>
          <w:b w:val="false"/>
          <w:color w:val="000000"/>
          <w:sz w:val="16"/>
        </w:rPr>
        <w:t>(2)For the twelve months ended December 31, 2023 and 2022, adjustment represents the removal of acquisition and strategic/transformation related costs of $7.8 and $14.5, respectively and during the twelve months ended December 31, 2022, costs associated with our South Africa business that could not be allocated to discontinued operations for GAAP purposes ($0.8).</w:t>
      </w:r>
    </w:p>
    <w:p>
      <w:pPr>
        <w:pStyle w:val="TextBody"/>
        <w:bidi w:val="0"/>
        <w:spacing w:lineRule="auto" w:line="288" w:before="0" w:after="60"/>
        <w:ind w:left="0" w:right="0" w:hanging="360"/>
        <w:jc w:val="both"/>
        <w:rPr>
          <w:rFonts w:ascii="Arial;sans-serif" w:hAnsi="Arial;sans-serif"/>
          <w:b w:val="false"/>
          <w:color w:val="000000"/>
          <w:sz w:val="16"/>
        </w:rPr>
      </w:pPr>
      <w:r>
        <w:rPr>
          <w:rFonts w:ascii="Arial;sans-serif" w:hAnsi="Arial;sans-serif"/>
          <w:b w:val="false"/>
          <w:color w:val="000000"/>
          <w:sz w:val="16"/>
        </w:rPr>
        <w:t>(3)During the twelve months ended December 31, 2023, adjustment represents the removal of (i) an inventory step-up charge of $3.6 related to the ASPEQ acquisition within the HVAC reportable segment and (ii) integration costs of $1.7 and $0.5 within the HVAC and Detection &amp; Measurement reportable segments, respectively. During the twelve months ended December 31, 2022, adjustment represents the removal of (i) an inventory step-up charge related to the ITL acquisition of $1.1 within the Detection &amp; Measurement reportable segment and (ii) integration costs of $0.4 and $0.4 within the HVAC and Detection &amp; Measurement reportable segments, respectively.</w:t>
      </w:r>
    </w:p>
    <w:p>
      <w:pPr>
        <w:pStyle w:val="TextBody"/>
        <w:bidi w:val="0"/>
        <w:spacing w:lineRule="auto" w:line="288" w:before="0" w:after="60"/>
        <w:ind w:left="0" w:right="0" w:hanging="360"/>
        <w:jc w:val="both"/>
        <w:rPr/>
      </w:pPr>
      <w:r>
        <w:rPr>
          <w:rFonts w:ascii="Arial;sans-serif" w:hAnsi="Arial;sans-serif"/>
          <w:b w:val="false"/>
          <w:color w:val="000000"/>
          <w:sz w:val="16"/>
        </w:rPr>
        <w:t>(4)</w:t>
      </w:r>
      <w:r>
        <w:rPr>
          <w:color w:val="000000"/>
        </w:rPr>
        <w:t xml:space="preserve"> </w:t>
      </w:r>
      <w:r>
        <w:rPr>
          <w:rFonts w:ascii="Arial;sans-serif" w:hAnsi="Arial;sans-serif"/>
          <w:b w:val="false"/>
          <w:color w:val="000000"/>
          <w:sz w:val="16"/>
        </w:rPr>
        <w:t>Adjustment represents the removal of a gain of $0.8 related to long-term incentive compensation forfeitures.</w:t>
      </w:r>
    </w:p>
    <w:p>
      <w:pPr>
        <w:pStyle w:val="TextBody"/>
        <w:bidi w:val="0"/>
        <w:spacing w:lineRule="auto" w:line="288" w:before="0" w:after="60"/>
        <w:ind w:left="0" w:right="0" w:hanging="360"/>
        <w:jc w:val="both"/>
        <w:rPr>
          <w:rFonts w:ascii="Arial;sans-serif" w:hAnsi="Arial;sans-serif"/>
          <w:b w:val="false"/>
          <w:color w:val="000000"/>
          <w:sz w:val="16"/>
        </w:rPr>
      </w:pPr>
      <w:r>
        <w:rPr>
          <w:rFonts w:ascii="Arial;sans-serif" w:hAnsi="Arial;sans-serif"/>
          <w:b w:val="false"/>
          <w:color w:val="000000"/>
          <w:sz w:val="16"/>
        </w:rPr>
        <w:t>(5)Adjustment represents the removal of a non-cash asset write-down associated with acquisition integration activities.</w:t>
      </w:r>
    </w:p>
    <w:p>
      <w:pPr>
        <w:pStyle w:val="TextBody"/>
        <w:bidi w:val="0"/>
        <w:spacing w:lineRule="auto" w:line="288" w:before="0" w:after="60"/>
        <w:ind w:left="0" w:right="0" w:hanging="360"/>
        <w:jc w:val="both"/>
        <w:rPr>
          <w:rFonts w:ascii="Arial;sans-serif" w:hAnsi="Arial;sans-serif"/>
          <w:b w:val="false"/>
          <w:color w:val="000000"/>
          <w:sz w:val="16"/>
        </w:rPr>
      </w:pPr>
      <w:r>
        <w:rPr>
          <w:rFonts w:ascii="Arial;sans-serif" w:hAnsi="Arial;sans-serif"/>
          <w:b w:val="false"/>
          <w:color w:val="000000"/>
          <w:sz w:val="16"/>
        </w:rPr>
        <w:t>(6)For the twelve months ended December 31, 2023, adjustment represents the removal of a charge related to the resolution of a dispute with a former representative at one of our Detection &amp; Measurement reportable segment businesses of $9.0. For the twelve months ended December 31, 2022, adjustment represents the removal of (i) the loss related to the Asbestos Portfolio Sale ($73.9), (ii) a charge of ($2.3) related to revisions of recorded liabilities for asbestos-related claims, and (iii) a gain of ($1.3) related to a revision of the liability associated with contingent consideration on a recent acquisition.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739140"/>
                <wp:effectExtent l="0" t="0" r="0" b="0"/>
                <wp:wrapNone/>
                <wp:docPr id="297" name="Frame91"/>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292" w:type="dxa"/>
                              <w:jc w:val="right"/>
                              <w:tblInd w:w="0" w:type="dxa"/>
                              <w:tblLayout w:type="fixed"/>
                              <w:tblCellMar>
                                <w:top w:w="28" w:type="dxa"/>
                                <w:left w:w="28" w:type="dxa"/>
                                <w:bottom w:w="28" w:type="dxa"/>
                                <w:right w:w="28" w:type="dxa"/>
                              </w:tblCellMar>
                            </w:tblPr>
                            <w:tblGrid>
                              <w:gridCol w:w="292"/>
                              <w:gridCol w:w="256"/>
                              <w:gridCol w:w="258"/>
                              <w:gridCol w:w="704"/>
                              <w:gridCol w:w="704"/>
                              <w:gridCol w:w="706"/>
                              <w:gridCol w:w="109"/>
                              <w:gridCol w:w="109"/>
                              <w:gridCol w:w="154"/>
                            </w:tblGrid>
                            <w:tr>
                              <w:trPr/>
                              <w:tc>
                                <w:tcPr>
                                  <w:tcW w:w="29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0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298" name="Image1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8" name="Image123" descr=""/>
                                                <pic:cNvPicPr>
                                                  <a:picLocks noChangeAspect="1" noChangeArrowheads="1"/>
                                                </pic:cNvPicPr>
                                              </pic:nvPicPr>
                                              <pic:blipFill>
                                                <a:blip r:embed="rId208"/>
                                                <a:stretch>
                                                  <a:fillRect/>
                                                </a:stretch>
                                              </pic:blipFill>
                                              <pic:spPr bwMode="auto">
                                                <a:xfrm>
                                                  <a:off x="0" y="0"/>
                                                  <a:ext cx="447675" cy="161925"/>
                                                </a:xfrm>
                                                <a:prstGeom prst="rect">
                                                  <a:avLst/>
                                                </a:prstGeom>
                                              </pic:spPr>
                                            </pic:pic>
                                          </a:graphicData>
                                        </a:graphic>
                                      </wp:inline>
                                    </w:drawing>
                                  </w:r>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2024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000000"/>
                                      <w:sz w:val="16"/>
                                    </w:rPr>
                                  </w:pPr>
                                  <w:r>
                                    <w:rPr>
                                      <w:rFonts w:ascii="Arial;sans-serif" w:hAnsi="Arial;sans-serif"/>
                                      <w:b/>
                                      <w:color w:val="000000"/>
                                      <w:sz w:val="16"/>
                                    </w:rPr>
                                    <w:t>85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292" w:type="dxa"/>
                        <w:jc w:val="right"/>
                        <w:tblInd w:w="0" w:type="dxa"/>
                        <w:tblLayout w:type="fixed"/>
                        <w:tblCellMar>
                          <w:top w:w="28" w:type="dxa"/>
                          <w:left w:w="28" w:type="dxa"/>
                          <w:bottom w:w="28" w:type="dxa"/>
                          <w:right w:w="28" w:type="dxa"/>
                        </w:tblCellMar>
                      </w:tblPr>
                      <w:tblGrid>
                        <w:gridCol w:w="292"/>
                        <w:gridCol w:w="256"/>
                        <w:gridCol w:w="258"/>
                        <w:gridCol w:w="704"/>
                        <w:gridCol w:w="704"/>
                        <w:gridCol w:w="706"/>
                        <w:gridCol w:w="109"/>
                        <w:gridCol w:w="109"/>
                        <w:gridCol w:w="154"/>
                      </w:tblGrid>
                      <w:tr>
                        <w:trPr/>
                        <w:tc>
                          <w:tcPr>
                            <w:tcW w:w="29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0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299" name="Image1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9" name="Image123" descr=""/>
                                          <pic:cNvPicPr>
                                            <a:picLocks noChangeAspect="1" noChangeArrowheads="1"/>
                                          </pic:cNvPicPr>
                                        </pic:nvPicPr>
                                        <pic:blipFill>
                                          <a:blip r:embed="rId209"/>
                                          <a:stretch>
                                            <a:fillRect/>
                                          </a:stretch>
                                        </pic:blipFill>
                                        <pic:spPr bwMode="auto">
                                          <a:xfrm>
                                            <a:off x="0" y="0"/>
                                            <a:ext cx="447675" cy="161925"/>
                                          </a:xfrm>
                                          <a:prstGeom prst="rect">
                                            <a:avLst/>
                                          </a:prstGeom>
                                        </pic:spPr>
                                      </pic:pic>
                                    </a:graphicData>
                                  </a:graphic>
                                </wp:inline>
                              </w:drawing>
                            </w:r>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2024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000000"/>
                                <w:sz w:val="16"/>
                              </w:rPr>
                            </w:pPr>
                            <w:r>
                              <w:rPr>
                                <w:rFonts w:ascii="Arial;sans-serif" w:hAnsi="Arial;sans-serif"/>
                                <w:b/>
                                <w:color w:val="000000"/>
                                <w:sz w:val="16"/>
                              </w:rPr>
                              <w:t>85</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tbl>
      <w:tblPr>
        <w:tblW w:w="6266" w:type="dxa"/>
        <w:jc w:val="left"/>
        <w:tblInd w:w="0" w:type="dxa"/>
        <w:tblLayout w:type="fixed"/>
        <w:tblCellMar>
          <w:top w:w="28" w:type="dxa"/>
          <w:left w:w="28" w:type="dxa"/>
          <w:bottom w:w="28" w:type="dxa"/>
          <w:right w:w="28" w:type="dxa"/>
        </w:tblCellMar>
      </w:tblPr>
      <w:tblGrid>
        <w:gridCol w:w="2007"/>
        <w:gridCol w:w="1764"/>
        <w:gridCol w:w="2495"/>
      </w:tblGrid>
      <w:tr>
        <w:trPr/>
        <w:tc>
          <w:tcPr>
            <w:tcW w:w="2007" w:type="dxa"/>
            <w:tcBorders/>
            <w:vAlign w:val="center"/>
          </w:tcPr>
          <w:p>
            <w:pPr>
              <w:pStyle w:val="TableContents"/>
              <w:bidi w:val="0"/>
              <w:spacing w:before="0" w:after="283"/>
              <w:jc w:val="left"/>
              <w:rPr>
                <w:sz w:val="4"/>
                <w:szCs w:val="4"/>
              </w:rPr>
            </w:pPr>
            <w:r>
              <w:rPr>
                <w:sz w:val="4"/>
                <w:szCs w:val="4"/>
              </w:rPr>
            </w:r>
          </w:p>
        </w:tc>
        <w:tc>
          <w:tcPr>
            <w:tcW w:w="1764" w:type="dxa"/>
            <w:tcBorders/>
            <w:vAlign w:val="center"/>
          </w:tcPr>
          <w:p>
            <w:pPr>
              <w:pStyle w:val="TableContents"/>
              <w:bidi w:val="0"/>
              <w:spacing w:before="0" w:after="283"/>
              <w:jc w:val="left"/>
              <w:rPr>
                <w:sz w:val="4"/>
                <w:szCs w:val="4"/>
              </w:rPr>
            </w:pPr>
            <w:r>
              <w:rPr>
                <w:sz w:val="4"/>
                <w:szCs w:val="4"/>
              </w:rPr>
            </w:r>
          </w:p>
        </w:tc>
        <w:tc>
          <w:tcPr>
            <w:tcW w:w="2495" w:type="dxa"/>
            <w:tcBorders/>
            <w:vAlign w:val="center"/>
          </w:tcPr>
          <w:p>
            <w:pPr>
              <w:pStyle w:val="TableContents"/>
              <w:bidi w:val="0"/>
              <w:spacing w:before="0" w:after="283"/>
              <w:jc w:val="left"/>
              <w:rPr>
                <w:sz w:val="4"/>
                <w:szCs w:val="4"/>
              </w:rPr>
            </w:pPr>
            <w:r>
              <w:rPr>
                <w:sz w:val="4"/>
                <w:szCs w:val="4"/>
              </w:rPr>
            </w:r>
          </w:p>
        </w:tc>
      </w:tr>
      <w:tr>
        <w:trPr/>
        <w:tc>
          <w:tcPr>
            <w:tcW w:w="6266" w:type="dxa"/>
            <w:gridSpan w:val="3"/>
            <w:tcBorders/>
            <w:tcMar>
              <w:top w:w="0" w:type="dxa"/>
              <w:left w:w="0" w:type="dxa"/>
              <w:bottom w:w="0" w:type="dxa"/>
              <w:right w:w="0" w:type="dxa"/>
            </w:tcMar>
            <w:vAlign w:val="center"/>
          </w:tcPr>
          <w:p>
            <w:pPr>
              <w:pStyle w:val="TableContents"/>
              <w:bidi w:val="0"/>
              <w:spacing w:before="0" w:after="1000"/>
              <w:jc w:val="center"/>
              <w:rPr/>
            </w:pPr>
            <w:r>
              <w:rPr/>
              <w:drawing>
                <wp:inline distT="0" distB="0" distL="0" distR="0">
                  <wp:extent cx="3886200" cy="1323975"/>
                  <wp:effectExtent l="0" t="0" r="0" b="0"/>
                  <wp:docPr id="300" name="Image1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 name="Image124" descr=""/>
                          <pic:cNvPicPr>
                            <a:picLocks noChangeAspect="1" noChangeArrowheads="1"/>
                          </pic:cNvPicPr>
                        </pic:nvPicPr>
                        <pic:blipFill>
                          <a:blip r:embed="rId210"/>
                          <a:stretch>
                            <a:fillRect/>
                          </a:stretch>
                        </pic:blipFill>
                        <pic:spPr bwMode="auto">
                          <a:xfrm>
                            <a:off x="0" y="0"/>
                            <a:ext cx="3886200" cy="1323975"/>
                          </a:xfrm>
                          <a:prstGeom prst="rect">
                            <a:avLst/>
                          </a:prstGeom>
                        </pic:spPr>
                      </pic:pic>
                    </a:graphicData>
                  </a:graphic>
                </wp:inline>
              </w:drawing>
            </w:r>
          </w:p>
          <w:p>
            <w:pPr>
              <w:pStyle w:val="TableContents"/>
              <w:bidi w:val="0"/>
              <w:spacing w:lineRule="auto" w:line="417" w:before="0" w:after="0"/>
              <w:jc w:val="center"/>
              <w:rPr>
                <w:rFonts w:ascii="Arial;sans-serif" w:hAnsi="Arial;sans-serif"/>
                <w:b w:val="false"/>
                <w:color w:val="004C97"/>
                <w:sz w:val="22"/>
              </w:rPr>
            </w:pPr>
            <w:r>
              <w:rPr>
                <w:rFonts w:ascii="Arial;sans-serif" w:hAnsi="Arial;sans-serif"/>
                <w:b w:val="false"/>
                <w:color w:val="004C97"/>
                <w:sz w:val="22"/>
              </w:rPr>
              <w:t>6325 Ardrey Kell Rd, Suite 400 ● Charlotte, NC 28277 ● USA</w:t>
            </w:r>
          </w:p>
          <w:p>
            <w:pPr>
              <w:pStyle w:val="TableContents"/>
              <w:bidi w:val="0"/>
              <w:spacing w:lineRule="auto" w:line="417" w:before="0" w:after="0"/>
              <w:jc w:val="center"/>
              <w:rPr>
                <w:rFonts w:ascii="Arial;sans-serif" w:hAnsi="Arial;sans-serif"/>
                <w:b w:val="false"/>
                <w:color w:val="004C97"/>
                <w:sz w:val="22"/>
              </w:rPr>
            </w:pPr>
            <w:r>
              <w:rPr>
                <w:rFonts w:ascii="Arial;sans-serif" w:hAnsi="Arial;sans-serif"/>
                <w:b w:val="false"/>
                <w:color w:val="004C97"/>
                <w:sz w:val="22"/>
              </w:rPr>
              <w:t>980-474-3700 ● www.spx.com</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6480175" cy="175260"/>
                <wp:effectExtent l="0" t="0" r="0" b="0"/>
                <wp:wrapNone/>
                <wp:docPr id="301" name="Frame9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10541" w:type="dxa"/>
        <w:jc w:val="left"/>
        <w:tblInd w:w="0" w:type="dxa"/>
        <w:tblLayout w:type="fixed"/>
        <w:tblCellMar>
          <w:top w:w="28" w:type="dxa"/>
          <w:left w:w="28" w:type="dxa"/>
          <w:bottom w:w="28" w:type="dxa"/>
          <w:right w:w="28" w:type="dxa"/>
        </w:tblCellMar>
      </w:tblPr>
      <w:tblGrid>
        <w:gridCol w:w="3377"/>
        <w:gridCol w:w="2968"/>
        <w:gridCol w:w="4196"/>
      </w:tblGrid>
      <w:tr>
        <w:trPr/>
        <w:tc>
          <w:tcPr>
            <w:tcW w:w="3377" w:type="dxa"/>
            <w:tcBorders/>
            <w:vAlign w:val="center"/>
          </w:tcPr>
          <w:p>
            <w:pPr>
              <w:pStyle w:val="TableContents"/>
              <w:bidi w:val="0"/>
              <w:spacing w:before="0" w:after="283"/>
              <w:jc w:val="left"/>
              <w:rPr>
                <w:sz w:val="4"/>
                <w:szCs w:val="4"/>
              </w:rPr>
            </w:pPr>
            <w:r>
              <w:rPr>
                <w:sz w:val="4"/>
                <w:szCs w:val="4"/>
              </w:rPr>
            </w:r>
          </w:p>
        </w:tc>
        <w:tc>
          <w:tcPr>
            <w:tcW w:w="2968" w:type="dxa"/>
            <w:tcBorders/>
            <w:vAlign w:val="center"/>
          </w:tcPr>
          <w:p>
            <w:pPr>
              <w:pStyle w:val="TableContents"/>
              <w:bidi w:val="0"/>
              <w:spacing w:before="0" w:after="283"/>
              <w:jc w:val="left"/>
              <w:rPr>
                <w:sz w:val="4"/>
                <w:szCs w:val="4"/>
              </w:rPr>
            </w:pPr>
            <w:r>
              <w:rPr>
                <w:sz w:val="4"/>
                <w:szCs w:val="4"/>
              </w:rPr>
            </w:r>
          </w:p>
        </w:tc>
        <w:tc>
          <w:tcPr>
            <w:tcW w:w="4196" w:type="dxa"/>
            <w:tcBorders/>
            <w:vAlign w:val="center"/>
          </w:tcPr>
          <w:p>
            <w:pPr>
              <w:pStyle w:val="TableContents"/>
              <w:bidi w:val="0"/>
              <w:spacing w:before="0" w:after="283"/>
              <w:jc w:val="left"/>
              <w:rPr>
                <w:sz w:val="4"/>
                <w:szCs w:val="4"/>
              </w:rPr>
            </w:pPr>
            <w:r>
              <w:rPr>
                <w:sz w:val="4"/>
                <w:szCs w:val="4"/>
              </w:rPr>
            </w:r>
          </w:p>
        </w:tc>
      </w:tr>
      <w:tr>
        <w:trPr/>
        <w:tc>
          <w:tcPr>
            <w:tcW w:w="10541"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6600825" cy="8553450"/>
                  <wp:effectExtent l="0" t="0" r="0" b="0"/>
                  <wp:docPr id="302" name="Image1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 name="Image125" descr=""/>
                          <pic:cNvPicPr>
                            <a:picLocks noChangeAspect="1" noChangeArrowheads="1"/>
                          </pic:cNvPicPr>
                        </pic:nvPicPr>
                        <pic:blipFill>
                          <a:blip r:embed="rId211"/>
                          <a:stretch>
                            <a:fillRect/>
                          </a:stretch>
                        </pic:blipFill>
                        <pic:spPr bwMode="auto">
                          <a:xfrm>
                            <a:off x="0" y="0"/>
                            <a:ext cx="6600825" cy="8553450"/>
                          </a:xfrm>
                          <a:prstGeom prst="rect">
                            <a:avLst/>
                          </a:prstGeom>
                        </pic:spPr>
                      </pic:pic>
                    </a:graphicData>
                  </a:graphic>
                </wp:inline>
              </w:drawing>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6480175" cy="175260"/>
                <wp:effectExtent l="0" t="0" r="0" b="0"/>
                <wp:wrapNone/>
                <wp:docPr id="303" name="Frame9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10466" w:type="dxa"/>
        <w:jc w:val="left"/>
        <w:tblInd w:w="0" w:type="dxa"/>
        <w:tblLayout w:type="fixed"/>
        <w:tblCellMar>
          <w:top w:w="28" w:type="dxa"/>
          <w:left w:w="28" w:type="dxa"/>
          <w:bottom w:w="28" w:type="dxa"/>
          <w:right w:w="28" w:type="dxa"/>
        </w:tblCellMar>
      </w:tblPr>
      <w:tblGrid>
        <w:gridCol w:w="3353"/>
        <w:gridCol w:w="2947"/>
        <w:gridCol w:w="4166"/>
      </w:tblGrid>
      <w:tr>
        <w:trPr/>
        <w:tc>
          <w:tcPr>
            <w:tcW w:w="3353" w:type="dxa"/>
            <w:tcBorders/>
            <w:vAlign w:val="center"/>
          </w:tcPr>
          <w:p>
            <w:pPr>
              <w:pStyle w:val="TableContents"/>
              <w:bidi w:val="0"/>
              <w:spacing w:before="0" w:after="283"/>
              <w:jc w:val="left"/>
              <w:rPr>
                <w:sz w:val="4"/>
                <w:szCs w:val="4"/>
              </w:rPr>
            </w:pPr>
            <w:r>
              <w:rPr>
                <w:sz w:val="4"/>
                <w:szCs w:val="4"/>
              </w:rPr>
            </w:r>
          </w:p>
        </w:tc>
        <w:tc>
          <w:tcPr>
            <w:tcW w:w="2947" w:type="dxa"/>
            <w:tcBorders/>
            <w:vAlign w:val="center"/>
          </w:tcPr>
          <w:p>
            <w:pPr>
              <w:pStyle w:val="TableContents"/>
              <w:bidi w:val="0"/>
              <w:spacing w:before="0" w:after="283"/>
              <w:jc w:val="left"/>
              <w:rPr>
                <w:sz w:val="4"/>
                <w:szCs w:val="4"/>
              </w:rPr>
            </w:pPr>
            <w:r>
              <w:rPr>
                <w:sz w:val="4"/>
                <w:szCs w:val="4"/>
              </w:rPr>
            </w:r>
          </w:p>
        </w:tc>
        <w:tc>
          <w:tcPr>
            <w:tcW w:w="4166" w:type="dxa"/>
            <w:tcBorders/>
            <w:vAlign w:val="center"/>
          </w:tcPr>
          <w:p>
            <w:pPr>
              <w:pStyle w:val="TableContents"/>
              <w:bidi w:val="0"/>
              <w:spacing w:before="0" w:after="283"/>
              <w:jc w:val="left"/>
              <w:rPr>
                <w:sz w:val="4"/>
                <w:szCs w:val="4"/>
              </w:rPr>
            </w:pPr>
            <w:r>
              <w:rPr>
                <w:sz w:val="4"/>
                <w:szCs w:val="4"/>
              </w:rPr>
            </w:r>
          </w:p>
        </w:tc>
      </w:tr>
      <w:tr>
        <w:trPr/>
        <w:tc>
          <w:tcPr>
            <w:tcW w:w="1046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6553200" cy="8439150"/>
                  <wp:effectExtent l="0" t="0" r="0" b="0"/>
                  <wp:docPr id="304" name="Image1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4" name="Image126" descr=""/>
                          <pic:cNvPicPr>
                            <a:picLocks noChangeAspect="1" noChangeArrowheads="1"/>
                          </pic:cNvPicPr>
                        </pic:nvPicPr>
                        <pic:blipFill>
                          <a:blip r:embed="rId212"/>
                          <a:stretch>
                            <a:fillRect/>
                          </a:stretch>
                        </pic:blipFill>
                        <pic:spPr bwMode="auto">
                          <a:xfrm>
                            <a:off x="0" y="0"/>
                            <a:ext cx="6553200" cy="8439150"/>
                          </a:xfrm>
                          <a:prstGeom prst="rect">
                            <a:avLst/>
                          </a:prstGeom>
                        </pic:spPr>
                      </pic:pic>
                    </a:graphicData>
                  </a:graphic>
                </wp:inline>
              </w:drawing>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6480175" cy="175260"/>
                <wp:effectExtent l="0" t="0" r="0" b="0"/>
                <wp:wrapNone/>
                <wp:docPr id="305" name="Frame9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 w:name="Wingdings 2">
    <w:altName w:val="sans-serif"/>
    <w:charset w:val="01"/>
    <w:family w:val="auto"/>
    <w:pitch w:val="default"/>
  </w:font>
  <w:font w:name="Web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4.jpeg"/><Relationship Id="rId7" Type="http://schemas.openxmlformats.org/officeDocument/2006/relationships/image" Target="media/image4.jpeg"/><Relationship Id="rId8" Type="http://schemas.openxmlformats.org/officeDocument/2006/relationships/image" Target="media/image5.gif"/><Relationship Id="rId9" Type="http://schemas.openxmlformats.org/officeDocument/2006/relationships/image" Target="media/image5.gif"/><Relationship Id="rId10" Type="http://schemas.openxmlformats.org/officeDocument/2006/relationships/image" Target="media/image5.gif"/><Relationship Id="rId11" Type="http://schemas.openxmlformats.org/officeDocument/2006/relationships/image" Target="media/image5.gif"/><Relationship Id="rId12" Type="http://schemas.openxmlformats.org/officeDocument/2006/relationships/image" Target="media/image6.jpeg"/><Relationship Id="rId13" Type="http://schemas.openxmlformats.org/officeDocument/2006/relationships/image" Target="media/image7.jpeg"/><Relationship Id="rId14" Type="http://schemas.openxmlformats.org/officeDocument/2006/relationships/image" Target="media/image8.jpeg"/><Relationship Id="rId15" Type="http://schemas.openxmlformats.org/officeDocument/2006/relationships/image" Target="media/image9.jpeg"/><Relationship Id="rId16" Type="http://schemas.openxmlformats.org/officeDocument/2006/relationships/image" Target="media/image10.jpeg"/><Relationship Id="rId17" Type="http://schemas.openxmlformats.org/officeDocument/2006/relationships/image" Target="media/image11.jpeg"/><Relationship Id="rId18" Type="http://schemas.openxmlformats.org/officeDocument/2006/relationships/image" Target="media/image5.gif"/><Relationship Id="rId19" Type="http://schemas.openxmlformats.org/officeDocument/2006/relationships/image" Target="media/image5.gif"/><Relationship Id="rId20" Type="http://schemas.openxmlformats.org/officeDocument/2006/relationships/image" Target="media/image5.gif"/><Relationship Id="rId21" Type="http://schemas.openxmlformats.org/officeDocument/2006/relationships/image" Target="media/image5.gif"/><Relationship Id="rId22" Type="http://schemas.openxmlformats.org/officeDocument/2006/relationships/image" Target="media/image5.gif"/><Relationship Id="rId23" Type="http://schemas.openxmlformats.org/officeDocument/2006/relationships/image" Target="media/image5.gif"/><Relationship Id="rId24" Type="http://schemas.openxmlformats.org/officeDocument/2006/relationships/image" Target="media/image5.gif"/><Relationship Id="rId25" Type="http://schemas.openxmlformats.org/officeDocument/2006/relationships/image" Target="media/image5.gif"/><Relationship Id="rId26" Type="http://schemas.openxmlformats.org/officeDocument/2006/relationships/image" Target="media/image5.gif"/><Relationship Id="rId27" Type="http://schemas.openxmlformats.org/officeDocument/2006/relationships/image" Target="media/image5.gif"/><Relationship Id="rId28" Type="http://schemas.openxmlformats.org/officeDocument/2006/relationships/image" Target="media/image5.gif"/><Relationship Id="rId29" Type="http://schemas.openxmlformats.org/officeDocument/2006/relationships/image" Target="media/image5.gif"/><Relationship Id="rId30" Type="http://schemas.openxmlformats.org/officeDocument/2006/relationships/image" Target="media/image5.gif"/><Relationship Id="rId31" Type="http://schemas.openxmlformats.org/officeDocument/2006/relationships/image" Target="media/image5.gif"/><Relationship Id="rId32" Type="http://schemas.openxmlformats.org/officeDocument/2006/relationships/image" Target="media/image5.gif"/><Relationship Id="rId33" Type="http://schemas.openxmlformats.org/officeDocument/2006/relationships/image" Target="media/image5.gif"/><Relationship Id="rId34" Type="http://schemas.openxmlformats.org/officeDocument/2006/relationships/image" Target="media/image5.gif"/><Relationship Id="rId35" Type="http://schemas.openxmlformats.org/officeDocument/2006/relationships/image" Target="media/image5.gif"/><Relationship Id="rId36" Type="http://schemas.openxmlformats.org/officeDocument/2006/relationships/image" Target="media/image5.gif"/><Relationship Id="rId37" Type="http://schemas.openxmlformats.org/officeDocument/2006/relationships/image" Target="media/image5.gif"/><Relationship Id="rId38" Type="http://schemas.openxmlformats.org/officeDocument/2006/relationships/image" Target="media/image5.gif"/><Relationship Id="rId39" Type="http://schemas.openxmlformats.org/officeDocument/2006/relationships/image" Target="media/image5.gif"/><Relationship Id="rId40" Type="http://schemas.openxmlformats.org/officeDocument/2006/relationships/image" Target="media/image12.jpeg"/><Relationship Id="rId41" Type="http://schemas.openxmlformats.org/officeDocument/2006/relationships/image" Target="media/image13.jpeg"/><Relationship Id="rId42" Type="http://schemas.openxmlformats.org/officeDocument/2006/relationships/image" Target="media/image5.gif"/><Relationship Id="rId43" Type="http://schemas.openxmlformats.org/officeDocument/2006/relationships/image" Target="media/image5.gif"/><Relationship Id="rId44" Type="http://schemas.openxmlformats.org/officeDocument/2006/relationships/image" Target="media/image14.jpeg"/><Relationship Id="rId45" Type="http://schemas.openxmlformats.org/officeDocument/2006/relationships/image" Target="media/image15.jpeg"/><Relationship Id="rId46" Type="http://schemas.openxmlformats.org/officeDocument/2006/relationships/image" Target="media/image5.gif"/><Relationship Id="rId47" Type="http://schemas.openxmlformats.org/officeDocument/2006/relationships/image" Target="media/image5.gif"/><Relationship Id="rId48" Type="http://schemas.openxmlformats.org/officeDocument/2006/relationships/image" Target="media/image16.jpeg"/><Relationship Id="rId49" Type="http://schemas.openxmlformats.org/officeDocument/2006/relationships/image" Target="media/image17.jpeg"/><Relationship Id="rId50" Type="http://schemas.openxmlformats.org/officeDocument/2006/relationships/image" Target="media/image5.gif"/><Relationship Id="rId51" Type="http://schemas.openxmlformats.org/officeDocument/2006/relationships/image" Target="media/image5.gif"/><Relationship Id="rId52" Type="http://schemas.openxmlformats.org/officeDocument/2006/relationships/image" Target="media/image18.jpeg"/><Relationship Id="rId53" Type="http://schemas.openxmlformats.org/officeDocument/2006/relationships/image" Target="media/image19.jpeg"/><Relationship Id="rId54" Type="http://schemas.openxmlformats.org/officeDocument/2006/relationships/image" Target="media/image5.gif"/><Relationship Id="rId55" Type="http://schemas.openxmlformats.org/officeDocument/2006/relationships/image" Target="media/image5.gif"/><Relationship Id="rId56" Type="http://schemas.openxmlformats.org/officeDocument/2006/relationships/image" Target="media/image20.jpeg"/><Relationship Id="rId57" Type="http://schemas.openxmlformats.org/officeDocument/2006/relationships/image" Target="media/image21.jpeg"/><Relationship Id="rId58" Type="http://schemas.openxmlformats.org/officeDocument/2006/relationships/image" Target="media/image5.gif"/><Relationship Id="rId59" Type="http://schemas.openxmlformats.org/officeDocument/2006/relationships/image" Target="media/image5.gif"/><Relationship Id="rId60" Type="http://schemas.openxmlformats.org/officeDocument/2006/relationships/image" Target="media/image22.jpeg"/><Relationship Id="rId61" Type="http://schemas.openxmlformats.org/officeDocument/2006/relationships/image" Target="media/image23.jpeg"/><Relationship Id="rId62" Type="http://schemas.openxmlformats.org/officeDocument/2006/relationships/image" Target="media/image24.jpeg"/><Relationship Id="rId63" Type="http://schemas.openxmlformats.org/officeDocument/2006/relationships/image" Target="media/image5.gif"/><Relationship Id="rId64" Type="http://schemas.openxmlformats.org/officeDocument/2006/relationships/image" Target="media/image5.gif"/><Relationship Id="rId65" Type="http://schemas.openxmlformats.org/officeDocument/2006/relationships/image" Target="media/image5.gif"/><Relationship Id="rId66" Type="http://schemas.openxmlformats.org/officeDocument/2006/relationships/image" Target="media/image5.gif"/><Relationship Id="rId67" Type="http://schemas.openxmlformats.org/officeDocument/2006/relationships/image" Target="media/image5.gif"/><Relationship Id="rId68" Type="http://schemas.openxmlformats.org/officeDocument/2006/relationships/image" Target="media/image5.gif"/><Relationship Id="rId69" Type="http://schemas.openxmlformats.org/officeDocument/2006/relationships/image" Target="media/image5.gif"/><Relationship Id="rId70" Type="http://schemas.openxmlformats.org/officeDocument/2006/relationships/image" Target="media/image5.gif"/><Relationship Id="rId71" Type="http://schemas.openxmlformats.org/officeDocument/2006/relationships/image" Target="media/image5.gif"/><Relationship Id="rId72" Type="http://schemas.openxmlformats.org/officeDocument/2006/relationships/image" Target="media/image5.gif"/><Relationship Id="rId73" Type="http://schemas.openxmlformats.org/officeDocument/2006/relationships/image" Target="media/image5.gif"/><Relationship Id="rId74" Type="http://schemas.openxmlformats.org/officeDocument/2006/relationships/image" Target="media/image5.gif"/><Relationship Id="rId75" Type="http://schemas.openxmlformats.org/officeDocument/2006/relationships/image" Target="media/image15.jpeg"/><Relationship Id="rId76" Type="http://schemas.openxmlformats.org/officeDocument/2006/relationships/image" Target="media/image5.gif"/><Relationship Id="rId77" Type="http://schemas.openxmlformats.org/officeDocument/2006/relationships/image" Target="media/image5.gif"/><Relationship Id="rId78" Type="http://schemas.openxmlformats.org/officeDocument/2006/relationships/image" Target="media/image5.gif"/><Relationship Id="rId79" Type="http://schemas.openxmlformats.org/officeDocument/2006/relationships/image" Target="media/image5.gif"/><Relationship Id="rId80" Type="http://schemas.openxmlformats.org/officeDocument/2006/relationships/image" Target="media/image25.jpeg"/><Relationship Id="rId81" Type="http://schemas.openxmlformats.org/officeDocument/2006/relationships/image" Target="media/image26.jpeg"/><Relationship Id="rId82" Type="http://schemas.openxmlformats.org/officeDocument/2006/relationships/image" Target="media/image5.gif"/><Relationship Id="rId83" Type="http://schemas.openxmlformats.org/officeDocument/2006/relationships/image" Target="media/image5.gif"/><Relationship Id="rId84" Type="http://schemas.openxmlformats.org/officeDocument/2006/relationships/image" Target="media/image27.jpeg"/><Relationship Id="rId85" Type="http://schemas.openxmlformats.org/officeDocument/2006/relationships/image" Target="media/image5.gif"/><Relationship Id="rId86" Type="http://schemas.openxmlformats.org/officeDocument/2006/relationships/image" Target="media/image5.gif"/><Relationship Id="rId87" Type="http://schemas.openxmlformats.org/officeDocument/2006/relationships/image" Target="media/image5.gif"/><Relationship Id="rId88" Type="http://schemas.openxmlformats.org/officeDocument/2006/relationships/image" Target="media/image5.gif"/><Relationship Id="rId89" Type="http://schemas.openxmlformats.org/officeDocument/2006/relationships/image" Target="media/image5.gif"/><Relationship Id="rId90" Type="http://schemas.openxmlformats.org/officeDocument/2006/relationships/image" Target="media/image5.gif"/><Relationship Id="rId91" Type="http://schemas.openxmlformats.org/officeDocument/2006/relationships/image" Target="media/image5.gif"/><Relationship Id="rId92" Type="http://schemas.openxmlformats.org/officeDocument/2006/relationships/image" Target="media/image5.gif"/><Relationship Id="rId93" Type="http://schemas.openxmlformats.org/officeDocument/2006/relationships/image" Target="media/image5.gif"/><Relationship Id="rId94" Type="http://schemas.openxmlformats.org/officeDocument/2006/relationships/image" Target="media/image5.gif"/><Relationship Id="rId95" Type="http://schemas.openxmlformats.org/officeDocument/2006/relationships/image" Target="media/image5.gif"/><Relationship Id="rId96" Type="http://schemas.openxmlformats.org/officeDocument/2006/relationships/image" Target="media/image5.gif"/><Relationship Id="rId97" Type="http://schemas.openxmlformats.org/officeDocument/2006/relationships/image" Target="media/image5.gif"/><Relationship Id="rId98" Type="http://schemas.openxmlformats.org/officeDocument/2006/relationships/image" Target="media/image5.gif"/><Relationship Id="rId99" Type="http://schemas.openxmlformats.org/officeDocument/2006/relationships/image" Target="media/image5.gif"/><Relationship Id="rId100" Type="http://schemas.openxmlformats.org/officeDocument/2006/relationships/image" Target="media/image5.gif"/><Relationship Id="rId101" Type="http://schemas.openxmlformats.org/officeDocument/2006/relationships/image" Target="media/image5.gif"/><Relationship Id="rId102" Type="http://schemas.openxmlformats.org/officeDocument/2006/relationships/image" Target="media/image5.gif"/><Relationship Id="rId103" Type="http://schemas.openxmlformats.org/officeDocument/2006/relationships/image" Target="media/image5.gif"/><Relationship Id="rId104" Type="http://schemas.openxmlformats.org/officeDocument/2006/relationships/image" Target="media/image5.gif"/><Relationship Id="rId105" Type="http://schemas.openxmlformats.org/officeDocument/2006/relationships/image" Target="media/image5.gif"/><Relationship Id="rId106" Type="http://schemas.openxmlformats.org/officeDocument/2006/relationships/image" Target="media/image5.gif"/><Relationship Id="rId107" Type="http://schemas.openxmlformats.org/officeDocument/2006/relationships/image" Target="media/image5.gif"/><Relationship Id="rId108" Type="http://schemas.openxmlformats.org/officeDocument/2006/relationships/image" Target="media/image5.gif"/><Relationship Id="rId109" Type="http://schemas.openxmlformats.org/officeDocument/2006/relationships/image" Target="media/image5.gif"/><Relationship Id="rId110" Type="http://schemas.openxmlformats.org/officeDocument/2006/relationships/image" Target="media/image5.gif"/><Relationship Id="rId111" Type="http://schemas.openxmlformats.org/officeDocument/2006/relationships/image" Target="media/image5.gif"/><Relationship Id="rId112" Type="http://schemas.openxmlformats.org/officeDocument/2006/relationships/image" Target="media/image5.gif"/><Relationship Id="rId113" Type="http://schemas.openxmlformats.org/officeDocument/2006/relationships/image" Target="media/image5.gif"/><Relationship Id="rId114" Type="http://schemas.openxmlformats.org/officeDocument/2006/relationships/image" Target="media/image5.gif"/><Relationship Id="rId115" Type="http://schemas.openxmlformats.org/officeDocument/2006/relationships/image" Target="media/image5.gif"/><Relationship Id="rId116" Type="http://schemas.openxmlformats.org/officeDocument/2006/relationships/image" Target="media/image5.gif"/><Relationship Id="rId117" Type="http://schemas.openxmlformats.org/officeDocument/2006/relationships/image" Target="media/image5.gif"/><Relationship Id="rId118" Type="http://schemas.openxmlformats.org/officeDocument/2006/relationships/image" Target="media/image5.gif"/><Relationship Id="rId119" Type="http://schemas.openxmlformats.org/officeDocument/2006/relationships/image" Target="media/image5.gif"/><Relationship Id="rId120" Type="http://schemas.openxmlformats.org/officeDocument/2006/relationships/image" Target="media/image5.gif"/><Relationship Id="rId121" Type="http://schemas.openxmlformats.org/officeDocument/2006/relationships/image" Target="media/image5.gif"/><Relationship Id="rId122" Type="http://schemas.openxmlformats.org/officeDocument/2006/relationships/image" Target="media/image5.gif"/><Relationship Id="rId123" Type="http://schemas.openxmlformats.org/officeDocument/2006/relationships/image" Target="media/image5.gif"/><Relationship Id="rId124" Type="http://schemas.openxmlformats.org/officeDocument/2006/relationships/image" Target="media/image5.gif"/><Relationship Id="rId125" Type="http://schemas.openxmlformats.org/officeDocument/2006/relationships/image" Target="media/image5.gif"/><Relationship Id="rId126" Type="http://schemas.openxmlformats.org/officeDocument/2006/relationships/image" Target="media/image5.gif"/><Relationship Id="rId127" Type="http://schemas.openxmlformats.org/officeDocument/2006/relationships/image" Target="media/image5.gif"/><Relationship Id="rId128" Type="http://schemas.openxmlformats.org/officeDocument/2006/relationships/image" Target="media/image5.gif"/><Relationship Id="rId129" Type="http://schemas.openxmlformats.org/officeDocument/2006/relationships/image" Target="media/image5.gif"/><Relationship Id="rId130" Type="http://schemas.openxmlformats.org/officeDocument/2006/relationships/image" Target="media/image5.gif"/><Relationship Id="rId131" Type="http://schemas.openxmlformats.org/officeDocument/2006/relationships/image" Target="media/image5.gif"/><Relationship Id="rId132" Type="http://schemas.openxmlformats.org/officeDocument/2006/relationships/image" Target="media/image5.gif"/><Relationship Id="rId133" Type="http://schemas.openxmlformats.org/officeDocument/2006/relationships/image" Target="media/image28.jpeg"/><Relationship Id="rId134" Type="http://schemas.openxmlformats.org/officeDocument/2006/relationships/image" Target="media/image5.gif"/><Relationship Id="rId135" Type="http://schemas.openxmlformats.org/officeDocument/2006/relationships/image" Target="media/image5.gif"/><Relationship Id="rId136" Type="http://schemas.openxmlformats.org/officeDocument/2006/relationships/image" Target="media/image29.jpeg"/><Relationship Id="rId137" Type="http://schemas.openxmlformats.org/officeDocument/2006/relationships/image" Target="media/image30.jpeg"/><Relationship Id="rId138" Type="http://schemas.openxmlformats.org/officeDocument/2006/relationships/image" Target="media/image5.gif"/><Relationship Id="rId139" Type="http://schemas.openxmlformats.org/officeDocument/2006/relationships/image" Target="media/image5.gif"/><Relationship Id="rId140" Type="http://schemas.openxmlformats.org/officeDocument/2006/relationships/image" Target="media/image5.gif"/><Relationship Id="rId141" Type="http://schemas.openxmlformats.org/officeDocument/2006/relationships/image" Target="media/image5.gif"/><Relationship Id="rId142" Type="http://schemas.openxmlformats.org/officeDocument/2006/relationships/image" Target="media/image15.jpeg"/><Relationship Id="rId143" Type="http://schemas.openxmlformats.org/officeDocument/2006/relationships/image" Target="media/image5.gif"/><Relationship Id="rId144" Type="http://schemas.openxmlformats.org/officeDocument/2006/relationships/image" Target="media/image5.gif"/><Relationship Id="rId145" Type="http://schemas.openxmlformats.org/officeDocument/2006/relationships/image" Target="media/image5.gif"/><Relationship Id="rId146" Type="http://schemas.openxmlformats.org/officeDocument/2006/relationships/image" Target="media/image5.gif"/><Relationship Id="rId147" Type="http://schemas.openxmlformats.org/officeDocument/2006/relationships/image" Target="media/image15.jpeg"/><Relationship Id="rId148" Type="http://schemas.openxmlformats.org/officeDocument/2006/relationships/image" Target="media/image5.gif"/><Relationship Id="rId149" Type="http://schemas.openxmlformats.org/officeDocument/2006/relationships/image" Target="media/image5.gif"/><Relationship Id="rId150" Type="http://schemas.openxmlformats.org/officeDocument/2006/relationships/image" Target="media/image5.gif"/><Relationship Id="rId151" Type="http://schemas.openxmlformats.org/officeDocument/2006/relationships/image" Target="media/image5.gif"/><Relationship Id="rId152" Type="http://schemas.openxmlformats.org/officeDocument/2006/relationships/image" Target="media/image15.jpeg"/><Relationship Id="rId153" Type="http://schemas.openxmlformats.org/officeDocument/2006/relationships/image" Target="media/image5.gif"/><Relationship Id="rId154" Type="http://schemas.openxmlformats.org/officeDocument/2006/relationships/image" Target="media/image5.gif"/><Relationship Id="rId155" Type="http://schemas.openxmlformats.org/officeDocument/2006/relationships/image" Target="media/image5.gif"/><Relationship Id="rId156" Type="http://schemas.openxmlformats.org/officeDocument/2006/relationships/image" Target="media/image5.gif"/><Relationship Id="rId157" Type="http://schemas.openxmlformats.org/officeDocument/2006/relationships/image" Target="media/image5.gif"/><Relationship Id="rId158" Type="http://schemas.openxmlformats.org/officeDocument/2006/relationships/image" Target="media/image5.gif"/><Relationship Id="rId159" Type="http://schemas.openxmlformats.org/officeDocument/2006/relationships/image" Target="media/image15.jpeg"/><Relationship Id="rId160" Type="http://schemas.openxmlformats.org/officeDocument/2006/relationships/image" Target="media/image5.gif"/><Relationship Id="rId161" Type="http://schemas.openxmlformats.org/officeDocument/2006/relationships/image" Target="media/image5.gif"/><Relationship Id="rId162" Type="http://schemas.openxmlformats.org/officeDocument/2006/relationships/image" Target="media/image5.gif"/><Relationship Id="rId163" Type="http://schemas.openxmlformats.org/officeDocument/2006/relationships/image" Target="media/image5.gif"/><Relationship Id="rId164" Type="http://schemas.openxmlformats.org/officeDocument/2006/relationships/image" Target="media/image15.jpeg"/><Relationship Id="rId165" Type="http://schemas.openxmlformats.org/officeDocument/2006/relationships/image" Target="media/image5.gif"/><Relationship Id="rId166" Type="http://schemas.openxmlformats.org/officeDocument/2006/relationships/image" Target="media/image5.gif"/><Relationship Id="rId167" Type="http://schemas.openxmlformats.org/officeDocument/2006/relationships/image" Target="media/image5.gif"/><Relationship Id="rId168" Type="http://schemas.openxmlformats.org/officeDocument/2006/relationships/image" Target="media/image5.gif"/><Relationship Id="rId169" Type="http://schemas.openxmlformats.org/officeDocument/2006/relationships/image" Target="media/image5.gif"/><Relationship Id="rId170" Type="http://schemas.openxmlformats.org/officeDocument/2006/relationships/image" Target="media/image5.gif"/><Relationship Id="rId171" Type="http://schemas.openxmlformats.org/officeDocument/2006/relationships/image" Target="media/image15.jpeg"/><Relationship Id="rId172" Type="http://schemas.openxmlformats.org/officeDocument/2006/relationships/image" Target="media/image5.gif"/><Relationship Id="rId173" Type="http://schemas.openxmlformats.org/officeDocument/2006/relationships/image" Target="media/image5.gif"/><Relationship Id="rId174" Type="http://schemas.openxmlformats.org/officeDocument/2006/relationships/image" Target="media/image5.gif"/><Relationship Id="rId175" Type="http://schemas.openxmlformats.org/officeDocument/2006/relationships/image" Target="media/image5.gif"/><Relationship Id="rId176" Type="http://schemas.openxmlformats.org/officeDocument/2006/relationships/image" Target="media/image5.gif"/><Relationship Id="rId177" Type="http://schemas.openxmlformats.org/officeDocument/2006/relationships/image" Target="media/image5.gif"/><Relationship Id="rId178" Type="http://schemas.openxmlformats.org/officeDocument/2006/relationships/image" Target="media/image5.gif"/><Relationship Id="rId179" Type="http://schemas.openxmlformats.org/officeDocument/2006/relationships/image" Target="media/image5.gif"/><Relationship Id="rId180" Type="http://schemas.openxmlformats.org/officeDocument/2006/relationships/image" Target="media/image5.gif"/><Relationship Id="rId181" Type="http://schemas.openxmlformats.org/officeDocument/2006/relationships/image" Target="media/image5.gif"/><Relationship Id="rId182" Type="http://schemas.openxmlformats.org/officeDocument/2006/relationships/image" Target="media/image5.gif"/><Relationship Id="rId183" Type="http://schemas.openxmlformats.org/officeDocument/2006/relationships/image" Target="media/image5.gif"/><Relationship Id="rId184" Type="http://schemas.openxmlformats.org/officeDocument/2006/relationships/image" Target="media/image5.gif"/><Relationship Id="rId185" Type="http://schemas.openxmlformats.org/officeDocument/2006/relationships/image" Target="media/image5.gif"/><Relationship Id="rId186" Type="http://schemas.openxmlformats.org/officeDocument/2006/relationships/image" Target="media/image5.gif"/><Relationship Id="rId187" Type="http://schemas.openxmlformats.org/officeDocument/2006/relationships/image" Target="media/image5.gif"/><Relationship Id="rId188" Type="http://schemas.openxmlformats.org/officeDocument/2006/relationships/image" Target="media/image5.gif"/><Relationship Id="rId189" Type="http://schemas.openxmlformats.org/officeDocument/2006/relationships/image" Target="media/image5.gif"/><Relationship Id="rId190" Type="http://schemas.openxmlformats.org/officeDocument/2006/relationships/image" Target="media/image5.gif"/><Relationship Id="rId191" Type="http://schemas.openxmlformats.org/officeDocument/2006/relationships/image" Target="media/image5.gif"/><Relationship Id="rId192" Type="http://schemas.openxmlformats.org/officeDocument/2006/relationships/image" Target="media/image5.gif"/><Relationship Id="rId193" Type="http://schemas.openxmlformats.org/officeDocument/2006/relationships/image" Target="media/image5.gif"/><Relationship Id="rId194" Type="http://schemas.openxmlformats.org/officeDocument/2006/relationships/image" Target="media/image5.gif"/><Relationship Id="rId195" Type="http://schemas.openxmlformats.org/officeDocument/2006/relationships/image" Target="media/image5.gif"/><Relationship Id="rId196" Type="http://schemas.openxmlformats.org/officeDocument/2006/relationships/image" Target="media/image5.gif"/><Relationship Id="rId197" Type="http://schemas.openxmlformats.org/officeDocument/2006/relationships/image" Target="media/image5.gif"/><Relationship Id="rId198" Type="http://schemas.openxmlformats.org/officeDocument/2006/relationships/image" Target="media/image5.gif"/><Relationship Id="rId199" Type="http://schemas.openxmlformats.org/officeDocument/2006/relationships/image" Target="media/image5.gif"/><Relationship Id="rId200" Type="http://schemas.openxmlformats.org/officeDocument/2006/relationships/image" Target="media/image5.gif"/><Relationship Id="rId201" Type="http://schemas.openxmlformats.org/officeDocument/2006/relationships/image" Target="media/image5.gif"/><Relationship Id="rId202" Type="http://schemas.openxmlformats.org/officeDocument/2006/relationships/image" Target="media/image5.gif"/><Relationship Id="rId203" Type="http://schemas.openxmlformats.org/officeDocument/2006/relationships/image" Target="media/image5.gif"/><Relationship Id="rId204" Type="http://schemas.openxmlformats.org/officeDocument/2006/relationships/image" Target="media/image5.gif"/><Relationship Id="rId205" Type="http://schemas.openxmlformats.org/officeDocument/2006/relationships/image" Target="media/image5.gif"/><Relationship Id="rId206" Type="http://schemas.openxmlformats.org/officeDocument/2006/relationships/image" Target="media/image5.gif"/><Relationship Id="rId207" Type="http://schemas.openxmlformats.org/officeDocument/2006/relationships/image" Target="media/image5.gif"/><Relationship Id="rId208" Type="http://schemas.openxmlformats.org/officeDocument/2006/relationships/image" Target="media/image5.gif"/><Relationship Id="rId209" Type="http://schemas.openxmlformats.org/officeDocument/2006/relationships/image" Target="media/image5.gif"/><Relationship Id="rId210" Type="http://schemas.openxmlformats.org/officeDocument/2006/relationships/image" Target="media/image31.jpeg"/><Relationship Id="rId211" Type="http://schemas.openxmlformats.org/officeDocument/2006/relationships/image" Target="media/image32.jpeg"/><Relationship Id="rId212" Type="http://schemas.openxmlformats.org/officeDocument/2006/relationships/image" Target="media/image33.jpeg"/><Relationship Id="rId213" Type="http://schemas.openxmlformats.org/officeDocument/2006/relationships/fontTable" Target="fontTable.xml"/><Relationship Id="rId21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41435</Words>
  <Characters>231635</Characters>
  <CharactersWithSpaces>270931</CharactersWithSpaces>
  <Paragraphs>3536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