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100" w:after="10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00" w:after="100"/>
        <w:jc w:val="center"/>
        <w:rPr>
          <w:rFonts w:ascii="Times New Roman;serif" w:hAnsi="Times New Roman;serif"/>
          <w:b/>
          <w:color w:val="000000"/>
          <w:sz w:val="36"/>
        </w:rPr>
      </w:pPr>
      <w:r>
        <w:rPr>
          <w:rFonts w:ascii="Times New Roman;serif" w:hAnsi="Times New Roman;serif"/>
          <w:b/>
          <w:color w:val="000000"/>
          <w:sz w:val="36"/>
        </w:rPr>
        <w:t>FORM 11-K</w:t>
      </w:r>
    </w:p>
    <w:tbl>
      <w:tblPr>
        <w:tblW w:w="9791" w:type="dxa"/>
        <w:jc w:val="center"/>
        <w:tblInd w:w="0" w:type="dxa"/>
        <w:tblLayout w:type="fixed"/>
        <w:tblCellMar>
          <w:top w:w="28" w:type="dxa"/>
          <w:left w:w="28" w:type="dxa"/>
          <w:bottom w:w="28" w:type="dxa"/>
          <w:right w:w="28" w:type="dxa"/>
        </w:tblCellMar>
      </w:tblPr>
      <w:tblGrid>
        <w:gridCol w:w="124"/>
        <w:gridCol w:w="109"/>
        <w:gridCol w:w="109"/>
        <w:gridCol w:w="2768"/>
        <w:gridCol w:w="2768"/>
        <w:gridCol w:w="3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8" w:type="dxa"/>
            <w:tcBorders/>
            <w:vAlign w:val="center"/>
          </w:tcPr>
          <w:p>
            <w:pPr>
              <w:pStyle w:val="TableContents"/>
              <w:bidi w:val="0"/>
              <w:spacing w:before="0" w:after="283"/>
              <w:jc w:val="left"/>
              <w:rPr>
                <w:sz w:val="4"/>
                <w:szCs w:val="4"/>
              </w:rPr>
            </w:pPr>
            <w:r>
              <w:rPr>
                <w:sz w:val="4"/>
                <w:szCs w:val="4"/>
              </w:rPr>
            </w:r>
          </w:p>
        </w:tc>
        <w:tc>
          <w:tcPr>
            <w:tcW w:w="2768" w:type="dxa"/>
            <w:tcBorders/>
            <w:vAlign w:val="center"/>
          </w:tcPr>
          <w:p>
            <w:pPr>
              <w:pStyle w:val="TableContents"/>
              <w:bidi w:val="0"/>
              <w:spacing w:before="0" w:after="283"/>
              <w:jc w:val="left"/>
              <w:rPr>
                <w:sz w:val="4"/>
                <w:szCs w:val="4"/>
              </w:rPr>
            </w:pPr>
            <w:r>
              <w:rPr>
                <w:sz w:val="4"/>
                <w:szCs w:val="4"/>
              </w:rPr>
            </w:r>
          </w:p>
        </w:tc>
        <w:tc>
          <w:tcPr>
            <w:tcW w:w="3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20"/>
              </w:rPr>
            </w:pPr>
            <w:r>
              <w:rPr>
                <w:rFonts w:ascii="Wingdings;sans-serif" w:hAnsi="Wingdings;sans-serif"/>
                <w:b/>
                <w:color w:val="000000"/>
                <w:sz w:val="20"/>
              </w:rPr>
              <w:t>x</w:t>
            </w:r>
          </w:p>
        </w:tc>
        <w:tc>
          <w:tcPr>
            <w:tcW w:w="9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ANNUAL REPORT PURSUANT TO SECTION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fiscal year ended December 31,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20"/>
              </w:rPr>
            </w:pPr>
            <w:r>
              <w:rPr>
                <w:rFonts w:ascii="Wingdings;sans-serif" w:hAnsi="Wingdings;sans-serif"/>
                <w:b/>
                <w:color w:val="000000"/>
                <w:sz w:val="20"/>
              </w:rPr>
              <w:t>o</w:t>
            </w:r>
          </w:p>
        </w:tc>
        <w:tc>
          <w:tcPr>
            <w:tcW w:w="9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 the transition period from to</w:t>
            </w:r>
          </w:p>
        </w:tc>
      </w:tr>
    </w:tbl>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Commission file number 1-6948</w:t>
      </w:r>
    </w:p>
    <w:tbl>
      <w:tblPr>
        <w:tblW w:w="9555" w:type="dxa"/>
        <w:jc w:val="center"/>
        <w:tblInd w:w="0" w:type="dxa"/>
        <w:tblLayout w:type="fixed"/>
        <w:tblCellMar>
          <w:top w:w="28" w:type="dxa"/>
          <w:left w:w="28" w:type="dxa"/>
          <w:bottom w:w="28" w:type="dxa"/>
          <w:right w:w="28" w:type="dxa"/>
        </w:tblCellMar>
      </w:tblPr>
      <w:tblGrid>
        <w:gridCol w:w="1652"/>
        <w:gridCol w:w="1451"/>
        <w:gridCol w:w="1451"/>
        <w:gridCol w:w="1451"/>
        <w:gridCol w:w="1451"/>
        <w:gridCol w:w="2099"/>
      </w:tblGrid>
      <w:tr>
        <w:trPr/>
        <w:tc>
          <w:tcPr>
            <w:tcW w:w="1652"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r>
      <w:tr>
        <w:trPr/>
        <w:tc>
          <w:tcPr>
            <w:tcW w:w="9555"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 Full title of the plan and the address of the plan, if different from that of the issuer named below:</w:t>
            </w:r>
          </w:p>
        </w:tc>
      </w:tr>
      <w:tr>
        <w:trPr/>
        <w:tc>
          <w:tcPr>
            <w:tcW w:w="9555"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SPX</w:t>
            </w:r>
          </w:p>
        </w:tc>
      </w:tr>
      <w:tr>
        <w:trPr/>
        <w:tc>
          <w:tcPr>
            <w:tcW w:w="9555"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Retirement Savings and Stock Ownership Plan</w:t>
            </w:r>
          </w:p>
        </w:tc>
      </w:tr>
      <w:tr>
        <w:trPr/>
        <w:tc>
          <w:tcPr>
            <w:tcW w:w="9555"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 Name of the issuer of the securities held pursuant to the plan and the address of its principal executive office:</w:t>
            </w:r>
          </w:p>
        </w:tc>
      </w:tr>
    </w:tbl>
    <w:tbl>
      <w:tblPr>
        <w:tblW w:w="4334" w:type="dxa"/>
        <w:jc w:val="center"/>
        <w:tblInd w:w="0" w:type="dxa"/>
        <w:tblLayout w:type="fixed"/>
        <w:tblCellMar>
          <w:top w:w="28" w:type="dxa"/>
          <w:left w:w="28" w:type="dxa"/>
          <w:bottom w:w="28" w:type="dxa"/>
          <w:right w:w="28" w:type="dxa"/>
        </w:tblCellMar>
      </w:tblPr>
      <w:tblGrid>
        <w:gridCol w:w="1387"/>
        <w:gridCol w:w="1219"/>
        <w:gridCol w:w="1728"/>
      </w:tblGrid>
      <w:tr>
        <w:trPr/>
        <w:tc>
          <w:tcPr>
            <w:tcW w:w="1387"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100" w:after="100"/>
              <w:jc w:val="center"/>
              <w:rPr>
                <w:rFonts w:ascii="Times New Roman;serif" w:hAnsi="Times New Roman;serif"/>
                <w:b/>
                <w:color w:val="000000"/>
                <w:sz w:val="28"/>
              </w:rPr>
            </w:pPr>
            <w:r>
              <w:rPr>
                <w:rFonts w:ascii="Times New Roman;serif" w:hAnsi="Times New Roman;serif"/>
                <w:b/>
                <w:color w:val="000000"/>
                <w:sz w:val="28"/>
              </w:rPr>
              <w:t>SPX Technologies, Inc.</w:t>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100" w:after="100"/>
              <w:jc w:val="center"/>
              <w:rPr>
                <w:rFonts w:ascii="Times New Roman;serif" w:hAnsi="Times New Roman;serif"/>
                <w:b/>
                <w:color w:val="000000"/>
                <w:sz w:val="28"/>
              </w:rPr>
            </w:pPr>
            <w:r>
              <w:rPr>
                <w:rFonts w:ascii="Times New Roman;serif" w:hAnsi="Times New Roman;serif"/>
                <w:b/>
                <w:color w:val="000000"/>
                <w:sz w:val="28"/>
              </w:rPr>
              <w:t>6325 Ardrey Kell Road, Suite 400</w:t>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100" w:after="100"/>
              <w:jc w:val="center"/>
              <w:rPr>
                <w:rFonts w:ascii="Times New Roman;serif" w:hAnsi="Times New Roman;serif"/>
                <w:b/>
                <w:color w:val="000000"/>
                <w:sz w:val="28"/>
              </w:rPr>
            </w:pPr>
            <w:r>
              <w:rPr>
                <w:rFonts w:ascii="Times New Roman;serif" w:hAnsi="Times New Roman;serif"/>
                <w:b/>
                <w:color w:val="000000"/>
                <w:sz w:val="28"/>
              </w:rPr>
              <w:t>Charlotte, North Carolina 28277</w:t>
            </w:r>
          </w:p>
        </w:tc>
      </w:tr>
    </w:tbl>
    <w:p>
      <w:pPr>
        <w:pStyle w:val="TextBody"/>
        <w:bidi w:val="0"/>
        <w:spacing w:before="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6765" w:type="dxa"/>
        <w:jc w:val="center"/>
        <w:tblInd w:w="0" w:type="dxa"/>
        <w:tblLayout w:type="fixed"/>
        <w:tblCellMar>
          <w:top w:w="28" w:type="dxa"/>
          <w:left w:w="28" w:type="dxa"/>
          <w:bottom w:w="28" w:type="dxa"/>
          <w:right w:w="28" w:type="dxa"/>
        </w:tblCellMar>
      </w:tblPr>
      <w:tblGrid>
        <w:gridCol w:w="2023"/>
        <w:gridCol w:w="1776"/>
        <w:gridCol w:w="1781"/>
        <w:gridCol w:w="347"/>
        <w:gridCol w:w="347"/>
        <w:gridCol w:w="491"/>
      </w:tblGrid>
      <w:tr>
        <w:trPr/>
        <w:tc>
          <w:tcPr>
            <w:tcW w:w="2023"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Contents</w:t>
            </w:r>
          </w:p>
        </w:tc>
      </w:tr>
      <w:tr>
        <w:trPr/>
        <w:tc>
          <w:tcPr>
            <w:tcW w:w="55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e8d6a38663429b942697582b163c46_7">
              <w:r>
                <w:rPr>
                  <w:rStyle w:val="InternetLink"/>
                  <w:rFonts w:ascii="Times New Roman;serif" w:hAnsi="Times New Roman;serif"/>
                  <w:b w:val="false"/>
                  <w:color w:val="0000FF"/>
                  <w:sz w:val="22"/>
                  <w:u w:val="single"/>
                </w:rPr>
                <w:t>Report of Independent Registered Public Accounting Firm</w:t>
              </w:r>
            </w:hyperlink>
          </w:p>
        </w:tc>
        <w:tc>
          <w:tcPr>
            <w:tcW w:w="118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7e8d6a38663429b942697582b163c46_7">
              <w:r>
                <w:rPr>
                  <w:rStyle w:val="InternetLink"/>
                  <w:rFonts w:ascii="Times New Roman;serif" w:hAnsi="Times New Roman;serif"/>
                  <w:b w:val="false"/>
                  <w:color w:val="0000FF"/>
                  <w:sz w:val="22"/>
                  <w:u w:val="single"/>
                </w:rPr>
                <w:t>1-2</w:t>
              </w:r>
            </w:hyperlink>
          </w:p>
        </w:tc>
      </w:tr>
      <w:tr>
        <w:trPr/>
        <w:tc>
          <w:tcPr>
            <w:tcW w:w="55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e8d6a38663429b942697582b163c46_13">
              <w:r>
                <w:rPr>
                  <w:rStyle w:val="InternetLink"/>
                  <w:rFonts w:ascii="Times New Roman;serif" w:hAnsi="Times New Roman;serif"/>
                  <w:b w:val="false"/>
                  <w:color w:val="0000FF"/>
                  <w:sz w:val="22"/>
                  <w:u w:val="single"/>
                </w:rPr>
                <w:t>Statements of Net Assets Available for Benefits</w:t>
              </w:r>
            </w:hyperlink>
          </w:p>
        </w:tc>
        <w:tc>
          <w:tcPr>
            <w:tcW w:w="118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7e8d6a38663429b942697582b163c46_13">
              <w:r>
                <w:rPr>
                  <w:rStyle w:val="InternetLink"/>
                  <w:rFonts w:ascii="Times New Roman;serif" w:hAnsi="Times New Roman;serif"/>
                  <w:b w:val="false"/>
                  <w:color w:val="0000FF"/>
                  <w:sz w:val="22"/>
                  <w:u w:val="single"/>
                </w:rPr>
                <w:t>3</w:t>
              </w:r>
            </w:hyperlink>
          </w:p>
        </w:tc>
      </w:tr>
      <w:tr>
        <w:trPr/>
        <w:tc>
          <w:tcPr>
            <w:tcW w:w="55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e8d6a38663429b942697582b163c46_16">
              <w:r>
                <w:rPr>
                  <w:rStyle w:val="InternetLink"/>
                  <w:rFonts w:ascii="Times New Roman;serif" w:hAnsi="Times New Roman;serif"/>
                  <w:b w:val="false"/>
                  <w:color w:val="0000FF"/>
                  <w:sz w:val="22"/>
                  <w:u w:val="single"/>
                </w:rPr>
                <w:t>Statement of Changes in Net Assets Available for Benefits</w:t>
              </w:r>
            </w:hyperlink>
          </w:p>
        </w:tc>
        <w:tc>
          <w:tcPr>
            <w:tcW w:w="118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7e8d6a38663429b942697582b163c46_16">
              <w:r>
                <w:rPr>
                  <w:rStyle w:val="InternetLink"/>
                  <w:rFonts w:ascii="Times New Roman;serif" w:hAnsi="Times New Roman;serif"/>
                  <w:b w:val="false"/>
                  <w:color w:val="0000FF"/>
                  <w:sz w:val="22"/>
                  <w:u w:val="single"/>
                </w:rPr>
                <w:t>4</w:t>
              </w:r>
            </w:hyperlink>
          </w:p>
        </w:tc>
      </w:tr>
      <w:tr>
        <w:trPr/>
        <w:tc>
          <w:tcPr>
            <w:tcW w:w="55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e8d6a38663429b942697582b163c46_19">
              <w:r>
                <w:rPr>
                  <w:rStyle w:val="InternetLink"/>
                  <w:rFonts w:ascii="Times New Roman;serif" w:hAnsi="Times New Roman;serif"/>
                  <w:b w:val="false"/>
                  <w:color w:val="0000FF"/>
                  <w:sz w:val="22"/>
                  <w:u w:val="single"/>
                </w:rPr>
                <w:t>Notes to Financial Statements</w:t>
              </w:r>
            </w:hyperlink>
          </w:p>
        </w:tc>
        <w:tc>
          <w:tcPr>
            <w:tcW w:w="118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7e8d6a38663429b942697582b163c46_19">
              <w:r>
                <w:rPr>
                  <w:rStyle w:val="InternetLink"/>
                  <w:rFonts w:ascii="Times New Roman;serif" w:hAnsi="Times New Roman;serif"/>
                  <w:b w:val="false"/>
                  <w:color w:val="0000FF"/>
                  <w:sz w:val="22"/>
                  <w:u w:val="single"/>
                </w:rPr>
                <w:t>5-10</w:t>
              </w:r>
            </w:hyperlink>
          </w:p>
        </w:tc>
      </w:tr>
      <w:tr>
        <w:trPr/>
        <w:tc>
          <w:tcPr>
            <w:tcW w:w="55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e8d6a38663429b942697582b163c46_22">
              <w:r>
                <w:rPr>
                  <w:rStyle w:val="InternetLink"/>
                  <w:rFonts w:ascii="Times New Roman;serif" w:hAnsi="Times New Roman;serif"/>
                  <w:b w:val="false"/>
                  <w:color w:val="0000FF"/>
                  <w:sz w:val="22"/>
                  <w:u w:val="single"/>
                </w:rPr>
                <w:t>Schedule of Assets (Held at End of Year)</w:t>
              </w:r>
            </w:hyperlink>
          </w:p>
        </w:tc>
        <w:tc>
          <w:tcPr>
            <w:tcW w:w="118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7e8d6a38663429b942697582b163c46_22">
              <w:r>
                <w:rPr>
                  <w:rStyle w:val="InternetLink"/>
                  <w:rFonts w:ascii="Times New Roman;serif" w:hAnsi="Times New Roman;serif"/>
                  <w:b w:val="false"/>
                  <w:color w:val="0000FF"/>
                  <w:sz w:val="22"/>
                  <w:u w:val="single"/>
                </w:rPr>
                <w:t>Schedule 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Report of Independent Registered Public Accounting Firm</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Plan Administrator and Participants</w:t>
      </w:r>
    </w:p>
    <w:p>
      <w:pPr>
        <w:pStyle w:val="TextBody"/>
        <w:bidi w:val="0"/>
        <w:spacing w:lineRule="auto" w:line="256" w:before="0" w:after="0"/>
        <w:jc w:val="left"/>
        <w:rPr>
          <w:rFonts w:ascii="Times New Roman;serif" w:hAnsi="Times New Roman;serif"/>
          <w:b w:val="false"/>
          <w:color w:val="000000"/>
          <w:sz w:val="24"/>
        </w:rPr>
      </w:pPr>
      <w:r>
        <w:rPr>
          <w:rFonts w:ascii="Times New Roman;serif" w:hAnsi="Times New Roman;serif"/>
          <w:b w:val="false"/>
          <w:color w:val="000000"/>
          <w:sz w:val="24"/>
        </w:rPr>
        <w:t>SPX Retirement Savings and Stock Ownership Plan</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Charlotte, North Carolina</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Opinion on the Financial Statements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We have audited the accompanying statements of net assets available for benefits of the SPX Retirement Savings and Stock Ownership Plan (the “Plan”) as of December 31, 2025 and 2024, the related statement of changes in net assets available for benefits for the year ended December 31, 2025, and the related notes (collectively,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Basis for Opinion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Our audits included performing procedures to assess the risk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the Plan’s management, as well as evaluating the overall presentation of the financial statements. We believe that our audits provide a reasonable basis for our opinion.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Supplemental Information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supplemental information in the accompanying schedule of assets (held at end of year) as of December 31, 2025 has been subjected to audit procedures performed in conjunction with the audit of the Plan’s financial statements. The supplemental information is presented for the purpose of additional analysis and is not a required part of the financial statements but included supplemental information required by the Department of Labor’s Rules and Regulations for Reporting and Disclosure under the Employee Retirement Income Security Act of 1974.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701675"/>
                <wp:effectExtent l="0" t="0" r="0" b="0"/>
                <wp:wrapNone/>
                <wp:docPr id="3" name="Frame3"/>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/s/ BDO USA, P.C.</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We have served as the Plan’s auditor since 2025.</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New York, New York</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June 12,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701675"/>
                <wp:effectExtent l="0" t="0" r="0" b="0"/>
                <wp:wrapNone/>
                <wp:docPr id="4" name="Frame4"/>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SPX Retirement Savings and</w:t>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Stock Ownership Plan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color w:val="000000"/>
          <w:sz w:val="26"/>
        </w:rPr>
      </w:pPr>
      <w:r>
        <w:rPr>
          <w:rFonts w:ascii="Times New Roman;serif" w:hAnsi="Times New Roman;serif"/>
          <w:b/>
          <w:color w:val="000000"/>
          <w:sz w:val="26"/>
        </w:rPr>
        <w:t>Statements of Net Assets Available for Benefits</w:t>
      </w:r>
    </w:p>
    <w:tbl>
      <w:tblPr>
        <w:tblW w:w="7674" w:type="dxa"/>
        <w:jc w:val="left"/>
        <w:tblInd w:w="0" w:type="dxa"/>
        <w:tblLayout w:type="fixed"/>
        <w:tblCellMar>
          <w:top w:w="28" w:type="dxa"/>
          <w:left w:w="28" w:type="dxa"/>
          <w:bottom w:w="28" w:type="dxa"/>
          <w:right w:w="28" w:type="dxa"/>
        </w:tblCellMar>
      </w:tblPr>
      <w:tblGrid>
        <w:gridCol w:w="1457"/>
        <w:gridCol w:w="1281"/>
        <w:gridCol w:w="1297"/>
        <w:gridCol w:w="211"/>
        <w:gridCol w:w="1396"/>
        <w:gridCol w:w="109"/>
        <w:gridCol w:w="109"/>
        <w:gridCol w:w="109"/>
        <w:gridCol w:w="109"/>
        <w:gridCol w:w="211"/>
        <w:gridCol w:w="1231"/>
        <w:gridCol w:w="154"/>
      </w:tblGrid>
      <w:tr>
        <w:trPr/>
        <w:tc>
          <w:tcPr>
            <w:tcW w:w="1457"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9"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1"/>
              </w:rPr>
              <w:t>December 31,</w:t>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1"/>
              </w:rPr>
            </w:pPr>
            <w:r>
              <w:rPr>
                <w:rFonts w:ascii="Times New Roman;serif" w:hAnsi="Times New Roman;serif"/>
                <w:b/>
                <w:color w:val="000000"/>
                <w:sz w:val="21"/>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1"/>
              </w:rPr>
            </w:pPr>
            <w:r>
              <w:rPr>
                <w:rFonts w:ascii="Times New Roman;serif" w:hAnsi="Times New Roman;serif"/>
                <w:b/>
                <w:color w:val="000000"/>
                <w:sz w:val="21"/>
              </w:rPr>
              <w:t>2024</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1"/>
              </w:rPr>
            </w:pPr>
            <w:r>
              <w:rPr>
                <w:rFonts w:ascii="Times New Roman;serif" w:hAnsi="Times New Roman;serif"/>
                <w:b/>
                <w:color w:val="000000"/>
                <w:sz w:val="21"/>
              </w:rPr>
              <w:t>Assets</w:t>
            </w:r>
          </w:p>
        </w:tc>
        <w:tc>
          <w:tcPr>
            <w:tcW w:w="17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Participant-directed investments, at fair value:</w:t>
            </w:r>
          </w:p>
        </w:tc>
        <w:tc>
          <w:tcPr>
            <w:tcW w:w="1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Money market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t>
            </w:r>
          </w:p>
        </w:tc>
        <w:tc>
          <w:tcPr>
            <w:tcW w:w="13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7,505,185 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t>
            </w:r>
          </w:p>
        </w:tc>
        <w:tc>
          <w:tcPr>
            <w:tcW w:w="12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6,392,366 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Mutual funds</w:t>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252,101,862 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230,333,902 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Common stock - SPX Technologies, Inc.</w:t>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249,252,699 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196,604,436 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Common collective trust funds</w:t>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588,107,175 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531,887,724 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Total participant-directed investments</w:t>
            </w:r>
          </w:p>
        </w:tc>
        <w:tc>
          <w:tcPr>
            <w:tcW w:w="16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1,096,966,921 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965,218,428 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Notes receivable from participants</w:t>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7,963,397 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7,703,367 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Contributions receivable</w:t>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15,380 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37,893 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1"/>
              </w:rPr>
            </w:pPr>
            <w:r>
              <w:rPr>
                <w:rFonts w:ascii="Times New Roman;serif" w:hAnsi="Times New Roman;serif"/>
                <w:b/>
                <w:color w:val="000000"/>
                <w:sz w:val="21"/>
              </w:rPr>
              <w:t>Net assets available for benefits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1"/>
              </w:rPr>
            </w:pPr>
            <w:r>
              <w:rPr>
                <w:rFonts w:ascii="Times New Roman;serif" w:hAnsi="Times New Roman;serif"/>
                <w:b/>
                <w:color w:val="000000"/>
                <w:sz w:val="21"/>
              </w:rPr>
              <w:t>$</w:t>
            </w:r>
          </w:p>
        </w:tc>
        <w:tc>
          <w:tcPr>
            <w:tcW w:w="1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1"/>
              </w:rPr>
              <w:t>1,104,945,698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1"/>
              </w:rPr>
            </w:pPr>
            <w:r>
              <w:rPr>
                <w:rFonts w:ascii="Times New Roman;serif" w:hAnsi="Times New Roman;serif"/>
                <w:b/>
                <w:color w:val="000000"/>
                <w:sz w:val="21"/>
              </w:rPr>
              <w:t>$</w:t>
            </w:r>
          </w:p>
        </w:tc>
        <w:tc>
          <w:tcPr>
            <w:tcW w:w="1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1"/>
              </w:rPr>
              <w:t>972,959,688</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3"/>
        </w:rPr>
      </w:pPr>
      <w:r>
        <w:rPr>
          <w:rFonts w:ascii="Times New Roman;serif" w:hAnsi="Times New Roman;serif"/>
          <w:b w:val="false"/>
          <w:color w:val="000000"/>
          <w:sz w:val="23"/>
        </w:rPr>
        <w:t>The accompanying notes are an integral part of these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01675"/>
                <wp:effectExtent l="0" t="0" r="0" b="0"/>
                <wp:wrapNone/>
                <wp:docPr id="5" name="Frame5"/>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SPX Retirement Savings and</w:t>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Stock Ownership Plan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color w:val="000000"/>
          <w:sz w:val="26"/>
        </w:rPr>
      </w:pPr>
      <w:r>
        <w:rPr>
          <w:rFonts w:ascii="Times New Roman;serif" w:hAnsi="Times New Roman;serif"/>
          <w:b/>
          <w:color w:val="000000"/>
          <w:sz w:val="26"/>
        </w:rPr>
        <w:t>Statement of Changes in Net Assets Available for Benefits</w:t>
      </w:r>
    </w:p>
    <w:p>
      <w:pPr>
        <w:pStyle w:val="TextBody"/>
        <w:bidi w:val="0"/>
        <w:spacing w:lineRule="auto" w:line="288" w:before="0" w:after="0"/>
        <w:jc w:val="right"/>
        <w:rPr>
          <w:rFonts w:ascii="Times New Roman;serif" w:hAnsi="Times New Roman;serif"/>
          <w:b/>
          <w:color w:val="000000"/>
          <w:sz w:val="25"/>
        </w:rPr>
      </w:pPr>
      <w:r>
        <w:rPr>
          <w:rFonts w:ascii="Times New Roman;serif" w:hAnsi="Times New Roman;serif"/>
          <w:b/>
          <w:color w:val="000000"/>
          <w:sz w:val="25"/>
        </w:rPr>
        <w:t>Year Ended December 31, 2025</w:t>
      </w:r>
    </w:p>
    <w:tbl>
      <w:tblPr>
        <w:tblW w:w="6381" w:type="dxa"/>
        <w:jc w:val="left"/>
        <w:tblInd w:w="0" w:type="dxa"/>
        <w:tblLayout w:type="fixed"/>
        <w:tblCellMar>
          <w:top w:w="28" w:type="dxa"/>
          <w:left w:w="28" w:type="dxa"/>
          <w:bottom w:w="28" w:type="dxa"/>
          <w:right w:w="28" w:type="dxa"/>
        </w:tblCellMar>
      </w:tblPr>
      <w:tblGrid>
        <w:gridCol w:w="1671"/>
        <w:gridCol w:w="1467"/>
        <w:gridCol w:w="1482"/>
        <w:gridCol w:w="211"/>
        <w:gridCol w:w="1396"/>
        <w:gridCol w:w="154"/>
      </w:tblGrid>
      <w:tr>
        <w:trPr/>
        <w:tc>
          <w:tcPr>
            <w:tcW w:w="1671"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1"/>
              </w:rPr>
            </w:pPr>
            <w:r>
              <w:rPr>
                <w:rFonts w:ascii="Times New Roman;serif" w:hAnsi="Times New Roman;serif"/>
                <w:b/>
                <w:color w:val="000000"/>
                <w:sz w:val="21"/>
              </w:rPr>
              <w:t>Additions</w:t>
            </w:r>
          </w:p>
        </w:tc>
        <w:tc>
          <w:tcPr>
            <w:tcW w:w="1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Net appreciation in fair value of investments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t>
            </w:r>
          </w:p>
        </w:tc>
        <w:tc>
          <w:tcPr>
            <w:tcW w:w="13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191,104,186 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Interest and dividends</w:t>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9,286,643 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Interest income on notes receivable from participants</w:t>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736,019 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Contributions:</w:t>
            </w:r>
          </w:p>
        </w:tc>
        <w:tc>
          <w:tcPr>
            <w:tcW w:w="1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Employer</w:t>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11,836,837 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Participants</w:t>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21,114,250 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Rollovers</w:t>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2,594,674 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Total contributions</w:t>
            </w:r>
          </w:p>
        </w:tc>
        <w:tc>
          <w:tcPr>
            <w:tcW w:w="16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35,545,761 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Total additions</w:t>
            </w:r>
          </w:p>
        </w:tc>
        <w:tc>
          <w:tcPr>
            <w:tcW w:w="16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236,672,609 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1"/>
              </w:rPr>
            </w:pPr>
            <w:r>
              <w:rPr>
                <w:rFonts w:ascii="Times New Roman;serif" w:hAnsi="Times New Roman;serif"/>
                <w:b/>
                <w:color w:val="000000"/>
                <w:sz w:val="21"/>
              </w:rPr>
              <w:t>Deductions</w:t>
            </w:r>
          </w:p>
        </w:tc>
        <w:tc>
          <w:tcPr>
            <w:tcW w:w="1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Distributions to participants or beneficiaries</w:t>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(104,190,666)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Administrative expenses</w:t>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(495,933)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Total deductions</w:t>
            </w:r>
          </w:p>
        </w:tc>
        <w:tc>
          <w:tcPr>
            <w:tcW w:w="16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(104,686,599)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761"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761"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1"/>
              </w:rPr>
            </w:pPr>
            <w:r>
              <w:rPr>
                <w:rFonts w:ascii="Times New Roman;serif" w:hAnsi="Times New Roman;serif"/>
                <w:b/>
                <w:color w:val="000000"/>
                <w:sz w:val="21"/>
              </w:rPr>
              <w:t>Total net increase</w:t>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131,986,010 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1"/>
              </w:rPr>
            </w:pPr>
            <w:r>
              <w:rPr>
                <w:rFonts w:ascii="Times New Roman;serif" w:hAnsi="Times New Roman;serif"/>
                <w:b/>
                <w:color w:val="000000"/>
                <w:sz w:val="21"/>
              </w:rPr>
              <w:t>Net assets available for benefits</w:t>
            </w:r>
          </w:p>
        </w:tc>
        <w:tc>
          <w:tcPr>
            <w:tcW w:w="1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Beginning of year</w:t>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972,959,688 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End of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1"/>
              </w:rPr>
            </w:pPr>
            <w:r>
              <w:rPr>
                <w:rFonts w:ascii="Times New Roman;serif" w:hAnsi="Times New Roman;serif"/>
                <w:b/>
                <w:color w:val="000000"/>
                <w:sz w:val="21"/>
              </w:rPr>
              <w:t>$</w:t>
            </w:r>
          </w:p>
        </w:tc>
        <w:tc>
          <w:tcPr>
            <w:tcW w:w="1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1"/>
              </w:rPr>
              <w:t>1,104,945,698</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3"/>
        </w:rPr>
      </w:pPr>
      <w:r>
        <w:rPr>
          <w:rFonts w:ascii="Times New Roman;serif" w:hAnsi="Times New Roman;serif"/>
          <w:b w:val="false"/>
          <w:color w:val="000000"/>
          <w:sz w:val="23"/>
        </w:rPr>
        <w:t>The accompanying notes are an integral part of this statement.</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01675"/>
                <wp:effectExtent l="0" t="0" r="0" b="0"/>
                <wp:wrapNone/>
                <wp:docPr id="6" name="Frame6"/>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SPX Retirement Savings and</w:t>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Stock Ownership Plan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Notes to Financial Statements</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December 31, 2025 and 2024</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000000"/>
          <w:sz w:val="24"/>
        </w:rPr>
      </w:pPr>
      <w:r>
        <w:rPr>
          <w:rFonts w:ascii="Times New Roman;serif" w:hAnsi="Times New Roman;serif"/>
          <w:b/>
          <w:color w:val="000000"/>
          <w:sz w:val="24"/>
        </w:rPr>
        <w:t>Note 1 - Description of the Plan</w:t>
      </w:r>
    </w:p>
    <w:p>
      <w:pPr>
        <w:pStyle w:val="TextBody"/>
        <w:bidi w:val="0"/>
        <w:spacing w:lineRule="auto" w:line="288" w:before="0" w:after="200"/>
        <w:jc w:val="both"/>
        <w:rPr>
          <w:rFonts w:ascii="Times New Roman;serif" w:hAnsi="Times New Roman;serif"/>
          <w:b w:val="false"/>
          <w:color w:val="000000"/>
          <w:sz w:val="24"/>
        </w:rPr>
      </w:pPr>
      <w:r>
        <w:rPr>
          <w:rFonts w:ascii="Times New Roman;serif" w:hAnsi="Times New Roman;serif"/>
          <w:b w:val="false"/>
          <w:color w:val="000000"/>
          <w:sz w:val="24"/>
        </w:rPr>
        <w:t>The following description of the SPX Retirement Savings and Stock Ownership Plan (the “Plan”), as amended and restated effective January 1, 2023, provides only general information. Participants should refer to the Plan document for a complete description of the Plan’s provisions. The Plan became effective January 1, 1952 and is subject to the provisions of the Employee Retirement Income Security Act of 1974 (“ERISA”).</w:t>
      </w:r>
    </w:p>
    <w:p>
      <w:pPr>
        <w:pStyle w:val="TextBody"/>
        <w:bidi w:val="0"/>
        <w:spacing w:lineRule="auto" w:line="288" w:before="0" w:after="200"/>
        <w:jc w:val="both"/>
        <w:rPr/>
      </w:pPr>
      <w:r>
        <w:rPr>
          <w:rFonts w:ascii="Times New Roman;serif" w:hAnsi="Times New Roman;serif"/>
          <w:b/>
          <w:color w:val="000000"/>
          <w:sz w:val="24"/>
        </w:rPr>
        <w:t xml:space="preserve">General </w:t>
      </w:r>
      <w:r>
        <w:rPr>
          <w:rFonts w:ascii="Times New Roman;serif" w:hAnsi="Times New Roman;serif"/>
          <w:b w:val="false"/>
          <w:color w:val="000000"/>
          <w:sz w:val="24"/>
        </w:rPr>
        <w:t>- The Plan is a defined contribution plan that benefits employees of SPX Technologies, Inc. (“SPX,” the “Employer,” or the “Company”) who have met eligibility requirements. The Plan sponsor, SPX Enterprises, LLC, is a direct subsidiary of SPX.</w:t>
      </w:r>
    </w:p>
    <w:p>
      <w:pPr>
        <w:pStyle w:val="TextBody"/>
        <w:bidi w:val="0"/>
        <w:spacing w:lineRule="auto" w:line="268" w:before="0" w:after="200"/>
        <w:jc w:val="both"/>
        <w:rPr/>
      </w:pPr>
      <w:r>
        <w:rPr>
          <w:rFonts w:ascii="Times New Roman;serif" w:hAnsi="Times New Roman;serif"/>
          <w:b/>
          <w:color w:val="000000"/>
          <w:sz w:val="24"/>
        </w:rPr>
        <w:t xml:space="preserve">Contributions </w:t>
      </w:r>
      <w:r>
        <w:rPr>
          <w:rFonts w:ascii="Times New Roman;serif" w:hAnsi="Times New Roman;serif"/>
          <w:b w:val="false"/>
          <w:color w:val="000000"/>
          <w:sz w:val="24"/>
        </w:rPr>
        <w:t>- Participants can elect to defer a portion of their compensation as</w:t>
      </w:r>
      <w:r>
        <w:rPr>
          <w:color w:val="000000"/>
        </w:rPr>
        <w:t xml:space="preserve"> </w:t>
      </w:r>
      <w:r>
        <w:rPr>
          <w:rFonts w:ascii="Times New Roman;serif" w:hAnsi="Times New Roman;serif"/>
          <w:b w:val="false"/>
          <w:color w:val="000000"/>
          <w:sz w:val="24"/>
        </w:rPr>
        <w:t>pre-tax contributions or Roth contributions in the Plan, up to the maximum allowed under the Plan and the Internal Revenue Code (“Code”).</w:t>
      </w:r>
    </w:p>
    <w:p>
      <w:pPr>
        <w:pStyle w:val="TextBody"/>
        <w:bidi w:val="0"/>
        <w:spacing w:lineRule="auto" w:line="280" w:before="0" w:after="200"/>
        <w:jc w:val="both"/>
        <w:rPr>
          <w:rFonts w:ascii="Times New Roman;serif" w:hAnsi="Times New Roman;serif"/>
          <w:b w:val="false"/>
          <w:color w:val="000000"/>
          <w:sz w:val="24"/>
        </w:rPr>
      </w:pPr>
      <w:r>
        <w:rPr>
          <w:rFonts w:ascii="Times New Roman;serif" w:hAnsi="Times New Roman;serif"/>
          <w:b w:val="false"/>
          <w:color w:val="000000"/>
          <w:sz w:val="24"/>
        </w:rPr>
        <w:t xml:space="preserve">As outlined in the Plan document, employer contributions are dependent upon the business unit or division of the Company where the participant is employed. In general, for participants other than those related to certain plans that have been previously merged into the Plan, the Company makes matching contributions equal to 100 percent of the participant’s pre-tax and Roth contributions up to the first 4 percent of compensation deferred and 50 percent of the participant’s pre-tax and Roth contributions in excess of 4 percent of compensation deferred up to a maximum of 6 percent of compensation deferred. </w:t>
      </w:r>
    </w:p>
    <w:p>
      <w:pPr>
        <w:pStyle w:val="TextBody"/>
        <w:bidi w:val="0"/>
        <w:spacing w:lineRule="auto" w:line="280" w:before="0" w:after="200"/>
        <w:jc w:val="both"/>
        <w:rPr>
          <w:rFonts w:ascii="Times New Roman;serif" w:hAnsi="Times New Roman;serif"/>
          <w:b w:val="false"/>
          <w:color w:val="000000"/>
          <w:sz w:val="24"/>
        </w:rPr>
      </w:pPr>
      <w:r>
        <w:rPr>
          <w:rFonts w:ascii="Times New Roman;serif" w:hAnsi="Times New Roman;serif"/>
          <w:b w:val="false"/>
          <w:color w:val="000000"/>
          <w:sz w:val="24"/>
        </w:rPr>
        <w:t xml:space="preserve">Effective January 1, 2025, the Plan implemented automatic enrollment for all newly eligible employees, with an initial default contribution of 3 percent of eligible compensation with an automatic increase to the default contribution rate of 0.5 percent annually until reaching a maximum of 6 percent. Employees may opt-out of the enrollment and automatic annual increase at any time. </w:t>
      </w:r>
    </w:p>
    <w:p>
      <w:pPr>
        <w:pStyle w:val="TextBody"/>
        <w:bidi w:val="0"/>
        <w:spacing w:lineRule="auto" w:line="280" w:before="0" w:after="200"/>
        <w:jc w:val="both"/>
        <w:rPr>
          <w:rFonts w:ascii="Times New Roman;serif" w:hAnsi="Times New Roman;serif"/>
          <w:b w:val="false"/>
          <w:color w:val="000000"/>
          <w:sz w:val="24"/>
        </w:rPr>
      </w:pPr>
      <w:r>
        <w:rPr>
          <w:rFonts w:ascii="Times New Roman;serif" w:hAnsi="Times New Roman;serif"/>
          <w:b w:val="false"/>
          <w:color w:val="000000"/>
          <w:sz w:val="24"/>
        </w:rPr>
        <w:t>Employer contributions are in the form of SPX Technologies, Inc. common stock, are immediately vested and can be transferred to other investment options at any time, subject to certain trading restrictions.</w:t>
      </w:r>
    </w:p>
    <w:p>
      <w:pPr>
        <w:pStyle w:val="TextBody"/>
        <w:bidi w:val="0"/>
        <w:spacing w:lineRule="auto" w:line="268" w:before="0" w:after="200"/>
        <w:jc w:val="both"/>
        <w:rPr>
          <w:rFonts w:ascii="Times New Roman;serif" w:hAnsi="Times New Roman;serif"/>
          <w:b w:val="false"/>
          <w:color w:val="000000"/>
          <w:sz w:val="24"/>
        </w:rPr>
      </w:pPr>
      <w:r>
        <w:rPr>
          <w:rFonts w:ascii="Times New Roman;serif" w:hAnsi="Times New Roman;serif"/>
          <w:b w:val="false"/>
          <w:color w:val="000000"/>
          <w:sz w:val="24"/>
        </w:rPr>
        <w:t>Employer contributions for participants related to certain plans that have been previously merged into the Plan are determined based on the respective collective bargaining agreements.</w:t>
      </w:r>
    </w:p>
    <w:p>
      <w:pPr>
        <w:pStyle w:val="TextBody"/>
        <w:bidi w:val="0"/>
        <w:spacing w:lineRule="auto" w:line="266" w:before="0" w:after="200"/>
        <w:jc w:val="both"/>
        <w:rPr/>
      </w:pPr>
      <w:r>
        <w:rPr>
          <w:rFonts w:ascii="Times New Roman;serif" w:hAnsi="Times New Roman;serif"/>
          <w:b/>
          <w:color w:val="000000"/>
          <w:sz w:val="24"/>
        </w:rPr>
        <w:t xml:space="preserve">Participant Accounts </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Each participant’s account is credited with the participant’s</w:t>
      </w:r>
      <w:r>
        <w:rPr>
          <w:color w:val="000000"/>
        </w:rPr>
        <w:t xml:space="preserve"> </w:t>
      </w:r>
      <w:r>
        <w:rPr>
          <w:rFonts w:ascii="Times New Roman;serif" w:hAnsi="Times New Roman;serif"/>
          <w:b w:val="false"/>
          <w:color w:val="000000"/>
          <w:sz w:val="24"/>
        </w:rPr>
        <w:t>contributions, the Employer’s contributions, if any, and an allocation of Plan earnings.</w:t>
      </w:r>
    </w:p>
    <w:p>
      <w:pPr>
        <w:pStyle w:val="TextBody"/>
        <w:bidi w:val="0"/>
        <w:spacing w:before="0" w:after="200"/>
        <w:jc w:val="both"/>
        <w:rPr/>
      </w:pPr>
      <w:r>
        <w:rPr/>
      </w:r>
    </w:p>
    <w:p>
      <w:pPr>
        <w:pStyle w:val="TextBody"/>
        <w:bidi w:val="0"/>
        <w:spacing w:before="0" w:after="20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01675"/>
                <wp:effectExtent l="0" t="0" r="0" b="0"/>
                <wp:wrapNone/>
                <wp:docPr id="7" name="Frame7"/>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SPX Retirement Savings and</w:t>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Stock Ownership Plan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Notes to Financial Statements</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December 31, 2025 and 2024</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000000"/>
          <w:sz w:val="24"/>
        </w:rPr>
      </w:pPr>
      <w:r>
        <w:rPr>
          <w:rFonts w:ascii="Times New Roman;serif" w:hAnsi="Times New Roman;serif"/>
          <w:b/>
          <w:color w:val="000000"/>
          <w:sz w:val="24"/>
        </w:rPr>
        <w:t>Note 1 - Description of the Plan (Continued)</w:t>
      </w:r>
    </w:p>
    <w:p>
      <w:pPr>
        <w:pStyle w:val="TextBody"/>
        <w:bidi w:val="0"/>
        <w:spacing w:lineRule="auto" w:line="254" w:before="0" w:after="200"/>
        <w:jc w:val="both"/>
        <w:rPr>
          <w:rFonts w:ascii="Times New Roman;serif" w:hAnsi="Times New Roman;serif"/>
          <w:b w:val="false"/>
          <w:color w:val="000000"/>
          <w:sz w:val="24"/>
        </w:rPr>
      </w:pPr>
      <w:r>
        <w:rPr>
          <w:rFonts w:ascii="Times New Roman;serif" w:hAnsi="Times New Roman;serif"/>
          <w:b w:val="false"/>
          <w:color w:val="000000"/>
          <w:sz w:val="24"/>
        </w:rPr>
        <w:t>Allocation of Plan earnings to participant accounts is based on the participant’s proportionate share of funds in each of the investment accounts. The benefit to which a participant is entitled is the benefit that can be provided from the participant’s account.</w:t>
      </w:r>
    </w:p>
    <w:p>
      <w:pPr>
        <w:pStyle w:val="TextBody"/>
        <w:bidi w:val="0"/>
        <w:spacing w:lineRule="auto" w:line="256" w:before="0" w:after="200"/>
        <w:jc w:val="both"/>
        <w:rPr>
          <w:rFonts w:ascii="Times New Roman;serif" w:hAnsi="Times New Roman;serif"/>
          <w:b w:val="false"/>
          <w:color w:val="000000"/>
          <w:sz w:val="24"/>
        </w:rPr>
      </w:pPr>
      <w:r>
        <w:rPr>
          <w:rFonts w:ascii="Times New Roman;serif" w:hAnsi="Times New Roman;serif"/>
          <w:b w:val="false"/>
          <w:color w:val="000000"/>
          <w:sz w:val="24"/>
        </w:rPr>
        <w:t>Participants elect to invest their account balances and contributions among various investment options selected by the SPX Retirement and Welfare Plan Administrative Committee (the “Committee”), including an option to invest in SPX Technologies, Inc. common stock.</w:t>
      </w:r>
    </w:p>
    <w:p>
      <w:pPr>
        <w:pStyle w:val="TextBody"/>
        <w:bidi w:val="0"/>
        <w:spacing w:lineRule="auto" w:line="256" w:before="0" w:after="200"/>
        <w:jc w:val="both"/>
        <w:rPr/>
      </w:pPr>
      <w:r>
        <w:rPr>
          <w:rFonts w:ascii="Times New Roman;serif" w:hAnsi="Times New Roman;serif"/>
          <w:b/>
          <w:color w:val="000000"/>
          <w:sz w:val="24"/>
        </w:rPr>
        <w:t xml:space="preserve">Vesting </w:t>
      </w:r>
      <w:r>
        <w:rPr>
          <w:rFonts w:ascii="Times New Roman;serif" w:hAnsi="Times New Roman;serif"/>
          <w:b w:val="false"/>
          <w:color w:val="000000"/>
          <w:sz w:val="24"/>
        </w:rPr>
        <w:t>- Participants in the Plan are at all times 100 percent vested in their</w:t>
      </w:r>
      <w:r>
        <w:rPr>
          <w:color w:val="000000"/>
        </w:rPr>
        <w:t xml:space="preserve"> </w:t>
      </w:r>
      <w:r>
        <w:rPr>
          <w:rFonts w:ascii="Times New Roman;serif" w:hAnsi="Times New Roman;serif"/>
          <w:b w:val="false"/>
          <w:color w:val="000000"/>
          <w:sz w:val="24"/>
        </w:rPr>
        <w:t xml:space="preserve">contributions and earnings thereon. Vesting in employer contributions is dependent upon the business unit or division of the Company where the participant is employed. In general, participants are 100 percent vested in employer contributions; however, there are certain employer contributions that vest over a three to six years period. Any forfeitures may be used to pay expenses of the Plan or reduce the employer contributions in the year the forfeitures occur or in future years. During 2025, forfeitures were used to pay expenses of the Plan. </w:t>
      </w:r>
    </w:p>
    <w:p>
      <w:pPr>
        <w:pStyle w:val="TextBody"/>
        <w:bidi w:val="0"/>
        <w:spacing w:lineRule="auto" w:line="280" w:before="0" w:after="200"/>
        <w:jc w:val="both"/>
        <w:rPr/>
      </w:pPr>
      <w:r>
        <w:rPr>
          <w:rFonts w:ascii="Times New Roman;serif" w:hAnsi="Times New Roman;serif"/>
          <w:b/>
          <w:color w:val="000000"/>
          <w:sz w:val="24"/>
        </w:rPr>
        <w:t xml:space="preserve">Payment of Benefits </w:t>
      </w:r>
      <w:r>
        <w:rPr>
          <w:rFonts w:ascii="Times New Roman;serif" w:hAnsi="Times New Roman;serif"/>
          <w:b w:val="false"/>
          <w:color w:val="000000"/>
          <w:sz w:val="24"/>
        </w:rPr>
        <w:t>- Upon termination of service, a participant may elect to receive</w:t>
      </w:r>
      <w:r>
        <w:rPr>
          <w:color w:val="000000"/>
        </w:rPr>
        <w:t xml:space="preserve"> </w:t>
      </w:r>
      <w:r>
        <w:rPr>
          <w:rFonts w:ascii="Times New Roman;serif" w:hAnsi="Times New Roman;serif"/>
          <w:b w:val="false"/>
          <w:color w:val="000000"/>
          <w:sz w:val="24"/>
        </w:rPr>
        <w:t>either a lump-sum distribution or monthly or yearly payments equal to the value of their account. Terminated participants with account balances in excess of $7,000 can also elect to wait until retirement age to receive benefits. A participant who experiences a financial hardship is eligible to receive a distribution from their plan account. The Plan also allows participants to withdraw certain portions of their balances attributed to certain benefit plans that have been previously merged into the Plan. All withdrawal payments are made by Fidelity Management Trust Company (the “Trustee” or “Fidelity”).</w:t>
      </w:r>
    </w:p>
    <w:p>
      <w:pPr>
        <w:pStyle w:val="TextBody"/>
        <w:bidi w:val="0"/>
        <w:spacing w:lineRule="auto" w:line="276" w:before="0" w:after="200"/>
        <w:jc w:val="both"/>
        <w:rPr/>
      </w:pPr>
      <w:r>
        <w:rPr>
          <w:rFonts w:ascii="Times New Roman;serif" w:hAnsi="Times New Roman;serif"/>
          <w:b/>
          <w:color w:val="000000"/>
          <w:sz w:val="24"/>
        </w:rPr>
        <w:t xml:space="preserve">Employer Securities </w:t>
      </w:r>
      <w:r>
        <w:rPr>
          <w:rFonts w:ascii="Times New Roman;serif" w:hAnsi="Times New Roman;serif"/>
          <w:b w:val="false"/>
          <w:color w:val="000000"/>
          <w:sz w:val="24"/>
        </w:rPr>
        <w:t>- Investment in SPX Technologies, Inc. stock transferred to participants’ accounts by reason of the merger of the SPX Stock Ownership Plan on January 1, 1994 and stock allocated to participants’ accounts by reason of matching contributions as discussed above can be redirected to other investment options, subject to certain trading restrictions.</w:t>
      </w:r>
    </w:p>
    <w:p>
      <w:pPr>
        <w:pStyle w:val="TextBody"/>
        <w:bidi w:val="0"/>
        <w:spacing w:lineRule="auto" w:line="276" w:before="0" w:after="200"/>
        <w:jc w:val="both"/>
        <w:rPr/>
      </w:pPr>
      <w:r>
        <w:rPr>
          <w:rFonts w:ascii="Times New Roman;serif" w:hAnsi="Times New Roman;serif"/>
          <w:b/>
          <w:color w:val="000000"/>
          <w:sz w:val="24"/>
        </w:rPr>
        <w:t xml:space="preserve">Notes Receivable from Participants </w:t>
      </w:r>
      <w:r>
        <w:rPr>
          <w:rFonts w:ascii="Times New Roman;serif" w:hAnsi="Times New Roman;serif"/>
          <w:b w:val="false"/>
          <w:color w:val="000000"/>
          <w:sz w:val="24"/>
        </w:rPr>
        <w:t>- A participant can borrow from the Plan an amount not to exceed the lesser of $50,000 or 50 percent of the participant’s vested account balance. The term of the note receivable from participants may not exceed five years unless used in the purchase of a primary residence, in which case the term may be up to 15 years.</w:t>
      </w:r>
    </w:p>
    <w:p>
      <w:pPr>
        <w:pStyle w:val="TextBody"/>
        <w:bidi w:val="0"/>
        <w:spacing w:lineRule="auto" w:line="273" w:before="0" w:after="200"/>
        <w:jc w:val="both"/>
        <w:rPr>
          <w:rFonts w:ascii="Times New Roman;serif" w:hAnsi="Times New Roman;serif"/>
          <w:b w:val="false"/>
          <w:color w:val="000000"/>
          <w:sz w:val="24"/>
        </w:rPr>
      </w:pPr>
      <w:r>
        <w:rPr>
          <w:rFonts w:ascii="Times New Roman;serif" w:hAnsi="Times New Roman;serif"/>
          <w:b w:val="false"/>
          <w:color w:val="000000"/>
          <w:sz w:val="24"/>
        </w:rPr>
        <w:t>Notes receivable from participants are collateralized by the balance in the participant’s account and bear interest at market rates as outlined in the Plan document. Principal and interest are paid ratably through payroll deductions. Other notes receivable from participants provisions are outlined in the Plan document.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01675"/>
                <wp:effectExtent l="0" t="0" r="0" b="0"/>
                <wp:wrapNone/>
                <wp:docPr id="8" name="Frame8"/>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SPX Retirement Savings and</w:t>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Stock Ownership Plan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Notes to Financial Statements</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December 31, 2025 and 2024</w:t>
      </w:r>
    </w:p>
    <w:p>
      <w:pPr>
        <w:pStyle w:val="TextBody"/>
        <w:bidi w:val="0"/>
        <w:spacing w:before="0" w:after="0"/>
        <w:jc w:val="left"/>
        <w:rPr/>
      </w:pPr>
      <w:r>
        <w:rPr/>
      </w:r>
    </w:p>
    <w:p>
      <w:pPr>
        <w:pStyle w:val="TextBody"/>
        <w:bidi w:val="0"/>
        <w:spacing w:lineRule="auto" w:line="254" w:before="0" w:after="200"/>
        <w:jc w:val="both"/>
        <w:rPr>
          <w:rFonts w:ascii="Times New Roman;serif" w:hAnsi="Times New Roman;serif"/>
          <w:b/>
          <w:color w:val="000000"/>
          <w:sz w:val="24"/>
        </w:rPr>
      </w:pPr>
      <w:r>
        <w:rPr>
          <w:rFonts w:ascii="Times New Roman;serif" w:hAnsi="Times New Roman;serif"/>
          <w:b/>
          <w:color w:val="000000"/>
          <w:sz w:val="24"/>
        </w:rPr>
        <w:t>Note 1 - Description of the Plan (Continued)</w:t>
      </w:r>
    </w:p>
    <w:p>
      <w:pPr>
        <w:pStyle w:val="TextBody"/>
        <w:bidi w:val="0"/>
        <w:spacing w:lineRule="auto" w:line="276" w:before="0" w:after="200"/>
        <w:jc w:val="both"/>
        <w:rPr/>
      </w:pPr>
      <w:r>
        <w:rPr>
          <w:rFonts w:ascii="Times New Roman;serif" w:hAnsi="Times New Roman;serif"/>
          <w:b/>
          <w:color w:val="000000"/>
          <w:sz w:val="24"/>
        </w:rPr>
        <w:t xml:space="preserve">Voting Rights </w:t>
      </w:r>
      <w:r>
        <w:rPr>
          <w:rFonts w:ascii="Times New Roman;serif" w:hAnsi="Times New Roman;serif"/>
          <w:b w:val="false"/>
          <w:color w:val="000000"/>
          <w:sz w:val="24"/>
        </w:rPr>
        <w:t>- Each participant is entitled to exercise voting rights attributable to the</w:t>
      </w:r>
      <w:r>
        <w:rPr>
          <w:color w:val="000000"/>
        </w:rPr>
        <w:t xml:space="preserve"> </w:t>
      </w:r>
      <w:r>
        <w:rPr>
          <w:rFonts w:ascii="Times New Roman;serif" w:hAnsi="Times New Roman;serif"/>
          <w:b w:val="false"/>
          <w:color w:val="000000"/>
          <w:sz w:val="24"/>
        </w:rPr>
        <w:t>shares of SPX Technologies, Inc. common stock allocated to their account. The Trustee is required to vote shares of common stock that have been allocated to participants, but for which the Trustee received no voting instructions, in the same manner and in the same proportion as the shares for which the Trustee received timely voting instructions.</w:t>
      </w:r>
    </w:p>
    <w:p>
      <w:pPr>
        <w:pStyle w:val="TextBody"/>
        <w:bidi w:val="0"/>
        <w:spacing w:lineRule="auto" w:line="256" w:before="0" w:after="200"/>
        <w:jc w:val="both"/>
        <w:rPr/>
      </w:pPr>
      <w:r>
        <w:rPr>
          <w:rFonts w:ascii="Times New Roman;serif" w:hAnsi="Times New Roman;serif"/>
          <w:b/>
          <w:color w:val="000000"/>
          <w:sz w:val="24"/>
        </w:rPr>
        <w:t xml:space="preserve">Administration </w:t>
      </w:r>
      <w:r>
        <w:rPr>
          <w:rFonts w:ascii="Times New Roman;serif" w:hAnsi="Times New Roman;serif"/>
          <w:b w:val="false"/>
          <w:color w:val="000000"/>
          <w:sz w:val="24"/>
        </w:rPr>
        <w:t>- SPX Enterprises, LLC is the sponsor of the Plan. The Committee, as</w:t>
      </w:r>
      <w:r>
        <w:rPr>
          <w:color w:val="000000"/>
        </w:rPr>
        <w:t xml:space="preserve"> </w:t>
      </w:r>
      <w:r>
        <w:rPr>
          <w:rFonts w:ascii="Times New Roman;serif" w:hAnsi="Times New Roman;serif"/>
          <w:b w:val="false"/>
          <w:color w:val="000000"/>
          <w:sz w:val="24"/>
        </w:rPr>
        <w:t>provided in the Plan document, is the plan administrator. The Trustee also functions as the investment manager.</w:t>
      </w:r>
    </w:p>
    <w:p>
      <w:pPr>
        <w:pStyle w:val="TextBody"/>
        <w:bidi w:val="0"/>
        <w:spacing w:lineRule="auto" w:line="259" w:before="0" w:after="200"/>
        <w:jc w:val="both"/>
        <w:rPr>
          <w:rFonts w:ascii="Times New Roman;serif" w:hAnsi="Times New Roman;serif"/>
          <w:b w:val="false"/>
          <w:color w:val="000000"/>
          <w:sz w:val="24"/>
        </w:rPr>
      </w:pPr>
      <w:r>
        <w:rPr>
          <w:rFonts w:ascii="Times New Roman;serif" w:hAnsi="Times New Roman;serif"/>
          <w:b w:val="false"/>
          <w:color w:val="000000"/>
          <w:sz w:val="24"/>
        </w:rPr>
        <w:t>Investment management fees and trustee fees are paid by the Plan in accordance with the Plan document.</w:t>
      </w:r>
    </w:p>
    <w:p>
      <w:pPr>
        <w:pStyle w:val="TextBody"/>
        <w:bidi w:val="0"/>
        <w:spacing w:lineRule="auto" w:line="273" w:before="0" w:after="200"/>
        <w:jc w:val="both"/>
        <w:rPr/>
      </w:pPr>
      <w:r>
        <w:rPr>
          <w:rFonts w:ascii="Times New Roman;serif" w:hAnsi="Times New Roman;serif"/>
          <w:b/>
          <w:color w:val="000000"/>
          <w:sz w:val="24"/>
        </w:rPr>
        <w:t>Party-in-interest Transactions</w:t>
      </w:r>
      <w:r>
        <w:rPr>
          <w:color w:val="000000"/>
        </w:rPr>
        <w:t xml:space="preserve"> </w:t>
      </w:r>
      <w:r>
        <w:rPr>
          <w:rFonts w:ascii="Times New Roman;serif" w:hAnsi="Times New Roman;serif"/>
          <w:b w:val="false"/>
          <w:color w:val="000000"/>
          <w:sz w:val="24"/>
        </w:rPr>
        <w:t>- Certain plan assets are in investment funds managed by Fidelity or its affiliates. Fidelity is the custodian of the Plan and, therefore, these transactions qualify as party-in-interest transactions as defined under ERISA guidelines. The Plan also issues loans to participants which are secured by the vested balance of the participants' accounts. For the year ended December 31, 2025, transactions involving SPX Technologies, Inc. common stock included sales of approximately $26,000,000.</w:t>
      </w:r>
    </w:p>
    <w:p>
      <w:pPr>
        <w:pStyle w:val="TextBody"/>
        <w:bidi w:val="0"/>
        <w:spacing w:lineRule="auto" w:line="273" w:before="0" w:after="200"/>
        <w:jc w:val="both"/>
        <w:rPr/>
      </w:pPr>
      <w:r>
        <w:rPr>
          <w:rFonts w:ascii="Times New Roman;serif" w:hAnsi="Times New Roman;serif"/>
          <w:b/>
          <w:color w:val="000000"/>
          <w:sz w:val="24"/>
        </w:rPr>
        <w:t xml:space="preserve">Termination </w:t>
      </w:r>
      <w:r>
        <w:rPr>
          <w:rFonts w:ascii="Times New Roman;serif" w:hAnsi="Times New Roman;serif"/>
          <w:b w:val="false"/>
          <w:color w:val="000000"/>
          <w:sz w:val="24"/>
        </w:rPr>
        <w:t>- Although it has not expressed any intent to do so, the Company has the</w:t>
      </w:r>
      <w:r>
        <w:rPr>
          <w:color w:val="000000"/>
        </w:rPr>
        <w:t xml:space="preserve"> </w:t>
      </w:r>
      <w:r>
        <w:rPr>
          <w:rFonts w:ascii="Times New Roman;serif" w:hAnsi="Times New Roman;serif"/>
          <w:b w:val="false"/>
          <w:color w:val="000000"/>
          <w:sz w:val="24"/>
        </w:rPr>
        <w:t>right to discontinue its contributions at any time and to terminate the Plan subject to the provisions of ERISA. Upon termination of the Plan, participants become fully vested in their account balances.</w:t>
      </w:r>
    </w:p>
    <w:p>
      <w:pPr>
        <w:pStyle w:val="TextBody"/>
        <w:bidi w:val="0"/>
        <w:spacing w:lineRule="auto" w:line="288" w:before="0" w:after="200"/>
        <w:jc w:val="left"/>
        <w:rPr>
          <w:rFonts w:ascii="Times New Roman;serif" w:hAnsi="Times New Roman;serif"/>
          <w:b/>
          <w:color w:val="000000"/>
          <w:sz w:val="24"/>
        </w:rPr>
      </w:pPr>
      <w:r>
        <w:rPr>
          <w:rFonts w:ascii="Times New Roman;serif" w:hAnsi="Times New Roman;serif"/>
          <w:b/>
          <w:color w:val="000000"/>
          <w:sz w:val="24"/>
        </w:rPr>
        <w:t>Note 2 - Summary of Significant Accounting Policies</w:t>
      </w:r>
    </w:p>
    <w:p>
      <w:pPr>
        <w:pStyle w:val="TextBody"/>
        <w:bidi w:val="0"/>
        <w:spacing w:lineRule="auto" w:line="268" w:before="0" w:after="200"/>
        <w:jc w:val="both"/>
        <w:rPr/>
      </w:pPr>
      <w:r>
        <w:rPr>
          <w:rFonts w:ascii="Times New Roman;serif" w:hAnsi="Times New Roman;serif"/>
          <w:b/>
          <w:color w:val="000000"/>
          <w:sz w:val="24"/>
        </w:rPr>
        <w:t xml:space="preserve">Basis of Accounting </w:t>
      </w:r>
      <w:r>
        <w:rPr>
          <w:rFonts w:ascii="Times New Roman;serif" w:hAnsi="Times New Roman;serif"/>
          <w:b w:val="false"/>
          <w:color w:val="000000"/>
          <w:sz w:val="24"/>
        </w:rPr>
        <w:t xml:space="preserve">- The accompanying financial statements of the Plan are prepared on the accrual basis of accounting. </w:t>
      </w:r>
    </w:p>
    <w:p>
      <w:pPr>
        <w:pStyle w:val="TextBody"/>
        <w:bidi w:val="0"/>
        <w:spacing w:lineRule="auto" w:line="268" w:before="0" w:after="200"/>
        <w:jc w:val="both"/>
        <w:rPr/>
      </w:pPr>
      <w:r>
        <w:rPr>
          <w:rFonts w:ascii="Times New Roman;serif" w:hAnsi="Times New Roman;serif"/>
          <w:b/>
          <w:color w:val="000000"/>
          <w:sz w:val="24"/>
        </w:rPr>
        <w:t xml:space="preserve">Notes Receivable from Participants </w:t>
      </w:r>
      <w:r>
        <w:rPr>
          <w:rFonts w:ascii="Times New Roman;serif" w:hAnsi="Times New Roman;serif"/>
          <w:b w:val="false"/>
          <w:color w:val="000000"/>
          <w:sz w:val="24"/>
        </w:rPr>
        <w:t>- Notes receivable from participants are recorded at their</w:t>
      </w:r>
      <w:r>
        <w:rPr>
          <w:color w:val="000000"/>
        </w:rPr>
        <w:t xml:space="preserve"> </w:t>
      </w:r>
      <w:r>
        <w:rPr>
          <w:rFonts w:ascii="Times New Roman;serif" w:hAnsi="Times New Roman;serif"/>
          <w:b w:val="false"/>
          <w:color w:val="000000"/>
          <w:sz w:val="24"/>
        </w:rPr>
        <w:t>unpaid principal balances plus any accrued interest. Notes receivable from participants are written off when deemed uncollectible.</w:t>
      </w:r>
    </w:p>
    <w:p>
      <w:pPr>
        <w:pStyle w:val="TextBody"/>
        <w:bidi w:val="0"/>
        <w:spacing w:lineRule="auto" w:line="268" w:before="0" w:after="200"/>
        <w:jc w:val="both"/>
        <w:rPr/>
      </w:pPr>
      <w:r>
        <w:rPr>
          <w:rFonts w:ascii="Times New Roman;serif" w:hAnsi="Times New Roman;serif"/>
          <w:b/>
          <w:color w:val="000000"/>
          <w:sz w:val="24"/>
        </w:rPr>
        <w:t xml:space="preserve">Investments </w:t>
      </w:r>
      <w:r>
        <w:rPr>
          <w:rFonts w:ascii="Times New Roman;serif" w:hAnsi="Times New Roman;serif"/>
          <w:b w:val="false"/>
          <w:color w:val="000000"/>
          <w:sz w:val="24"/>
        </w:rPr>
        <w:t>- The Plan’s investments are stated at fair value. Common collective trust fund investments are valued at net asset value per share (“NAV”), which is based on the fair value of the underlying assets. There are no unfunded commitments or other redemption notice requirements related to these investments. All other investments are valued based on quoted market prices. See Note 4 for additional information. Purchases and sales of securities are recorded on a trade-date basis. Interest income is recorded on the accrual basis. Net appreciation in the fair value of investments includes the Plan's gains and losses on investments bought and sold as well as held during the year. Dividend income is accrued on the ex-dividend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01675"/>
                <wp:effectExtent l="0" t="0" r="0" b="0"/>
                <wp:wrapNone/>
                <wp:docPr id="9" name="Frame9"/>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SPX Retirement Savings and</w:t>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Stock Ownership Plan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Notes to Financial Statements</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December 31, 2025 and 2024</w:t>
      </w:r>
    </w:p>
    <w:p>
      <w:pPr>
        <w:pStyle w:val="TextBody"/>
        <w:bidi w:val="0"/>
        <w:spacing w:before="0" w:after="0"/>
        <w:jc w:val="left"/>
        <w:rPr/>
      </w:pPr>
      <w:r>
        <w:rPr/>
      </w:r>
    </w:p>
    <w:p>
      <w:pPr>
        <w:pStyle w:val="TextBody"/>
        <w:bidi w:val="0"/>
        <w:spacing w:lineRule="auto" w:line="278" w:before="0" w:after="200"/>
        <w:jc w:val="both"/>
        <w:rPr>
          <w:rFonts w:ascii="Times New Roman;serif" w:hAnsi="Times New Roman;serif"/>
          <w:b/>
          <w:color w:val="000000"/>
          <w:sz w:val="24"/>
        </w:rPr>
      </w:pPr>
      <w:r>
        <w:rPr>
          <w:rFonts w:ascii="Times New Roman;serif" w:hAnsi="Times New Roman;serif"/>
          <w:b/>
          <w:color w:val="000000"/>
          <w:sz w:val="24"/>
        </w:rPr>
        <w:t>Note 2 - Summary of Significant Accounting Policies (Continued)</w:t>
      </w:r>
    </w:p>
    <w:p>
      <w:pPr>
        <w:pStyle w:val="TextBody"/>
        <w:bidi w:val="0"/>
        <w:spacing w:lineRule="auto" w:line="278" w:before="0" w:after="200"/>
        <w:jc w:val="both"/>
        <w:rPr>
          <w:rFonts w:ascii="Times New Roman;serif" w:hAnsi="Times New Roman;serif"/>
          <w:b w:val="false"/>
          <w:color w:val="000000"/>
          <w:sz w:val="24"/>
        </w:rPr>
      </w:pPr>
      <w:r>
        <w:rPr>
          <w:rFonts w:ascii="Times New Roman;serif" w:hAnsi="Times New Roman;serif"/>
          <w:b w:val="false"/>
          <w:color w:val="000000"/>
          <w:sz w:val="24"/>
        </w:rPr>
        <w:t>The methods described above may produce a fair value calculation that may not be indicative of net realizable value or reflective of future fair values. Furthermore, while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pStyle w:val="TextBody"/>
        <w:bidi w:val="0"/>
        <w:spacing w:lineRule="auto" w:line="254" w:before="0" w:after="200"/>
        <w:jc w:val="left"/>
        <w:rPr/>
      </w:pPr>
      <w:r>
        <w:rPr>
          <w:rFonts w:ascii="Times New Roman;serif" w:hAnsi="Times New Roman;serif"/>
          <w:b/>
          <w:color w:val="000000"/>
          <w:sz w:val="24"/>
        </w:rPr>
        <w:t xml:space="preserve">Benefit Payments </w:t>
      </w:r>
      <w:r>
        <w:rPr>
          <w:rFonts w:ascii="Times New Roman;serif" w:hAnsi="Times New Roman;serif"/>
          <w:b w:val="false"/>
          <w:color w:val="000000"/>
          <w:sz w:val="24"/>
        </w:rPr>
        <w:t>- Distributions to participants are recorded when paid.</w:t>
      </w:r>
    </w:p>
    <w:p>
      <w:pPr>
        <w:pStyle w:val="TextBody"/>
        <w:bidi w:val="0"/>
        <w:spacing w:lineRule="auto" w:line="278" w:before="0" w:after="200"/>
        <w:jc w:val="both"/>
        <w:rPr/>
      </w:pPr>
      <w:r>
        <w:rPr>
          <w:rFonts w:ascii="Times New Roman;serif" w:hAnsi="Times New Roman;serif"/>
          <w:b/>
          <w:color w:val="000000"/>
          <w:sz w:val="24"/>
        </w:rPr>
        <w:t xml:space="preserve">Income Tax Status </w:t>
      </w:r>
      <w:r>
        <w:rPr>
          <w:rFonts w:ascii="Times New Roman;serif" w:hAnsi="Times New Roman;serif"/>
          <w:b w:val="false"/>
          <w:color w:val="000000"/>
          <w:sz w:val="24"/>
        </w:rPr>
        <w:t>- The Plan constitutes a qualified plan under Sections 401(a) and</w:t>
      </w:r>
      <w:r>
        <w:rPr>
          <w:color w:val="000000"/>
        </w:rPr>
        <w:t xml:space="preserve"> </w:t>
      </w:r>
      <w:r>
        <w:rPr>
          <w:rFonts w:ascii="Times New Roman;serif" w:hAnsi="Times New Roman;serif"/>
          <w:b w:val="false"/>
          <w:color w:val="000000"/>
          <w:sz w:val="24"/>
        </w:rPr>
        <w:t xml:space="preserve">401(k) of the Code and the related trust is exempt from federal income tax under Section 501(a) of the Code. The Plan obtained its determination letter dated May 3, 2017, in which the Internal Revenue Service stated that the Plan, as designed, was in compliance with the applicable requirements of the Code. Although the Plan has been amended subsequently, the plan administrator believes the Plan is being operated in compliance with the applicable requirements of the Code. Therefore, no provision for income taxes has been included in the Plan’s financial statements. The Plan is subject to routine audits by taxing jurisdictions; however, there are currently no Internal Revenue Service examinations for any tax periods in progress. </w:t>
      </w:r>
    </w:p>
    <w:p>
      <w:pPr>
        <w:pStyle w:val="TextBody"/>
        <w:bidi w:val="0"/>
        <w:spacing w:lineRule="auto" w:line="278" w:before="0" w:after="200"/>
        <w:jc w:val="both"/>
        <w:rPr/>
      </w:pPr>
      <w:r>
        <w:rPr>
          <w:rFonts w:ascii="Times New Roman;serif" w:hAnsi="Times New Roman;serif"/>
          <w:b/>
          <w:color w:val="000000"/>
          <w:sz w:val="24"/>
        </w:rPr>
        <w:t xml:space="preserve">Use of Estimates </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 preparation of financial statements in conformity with</w:t>
      </w:r>
      <w:r>
        <w:rPr>
          <w:color w:val="000000"/>
        </w:rPr>
        <w:t xml:space="preserve"> </w:t>
      </w:r>
      <w:r>
        <w:rPr>
          <w:rFonts w:ascii="Times New Roman;serif" w:hAnsi="Times New Roman;serif"/>
          <w:b w:val="false"/>
          <w:color w:val="000000"/>
          <w:sz w:val="24"/>
        </w:rPr>
        <w:t>accounting principles generally accepted in the United States of America requires management to make estimates and assumptions that affect the reported amounts of assets and liabilities and the disclosure of contingent assets and liabilities at the date of the financial statements and the reported amounts of additions and deductions during the reporting period. Actual results could differ from those estimates.</w:t>
      </w:r>
    </w:p>
    <w:p>
      <w:pPr>
        <w:pStyle w:val="TextBody"/>
        <w:bidi w:val="0"/>
        <w:spacing w:lineRule="auto" w:line="278" w:before="0" w:after="200"/>
        <w:jc w:val="both"/>
        <w:rPr/>
      </w:pPr>
      <w:r>
        <w:rPr>
          <w:rFonts w:ascii="Times New Roman;serif" w:hAnsi="Times New Roman;serif"/>
          <w:b/>
          <w:color w:val="000000"/>
          <w:sz w:val="24"/>
        </w:rPr>
        <w:t xml:space="preserve">Risks and Uncertainties </w:t>
      </w:r>
      <w:r>
        <w:rPr>
          <w:rFonts w:ascii="Times New Roman;serif" w:hAnsi="Times New Roman;serif"/>
          <w:b w:val="false"/>
          <w:color w:val="000000"/>
          <w:sz w:val="24"/>
        </w:rPr>
        <w:t>- The Plan invests in various investment securities.</w:t>
      </w:r>
      <w:r>
        <w:rPr>
          <w:color w:val="000000"/>
        </w:rPr>
        <w:t xml:space="preserve"> </w:t>
      </w:r>
      <w:r>
        <w:rPr>
          <w:rFonts w:ascii="Times New Roman;serif" w:hAnsi="Times New Roman;serif"/>
          <w:b w:val="false"/>
          <w:color w:val="000000"/>
          <w:sz w:val="24"/>
        </w:rPr>
        <w:t>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 of net assets available for benefits.</w:t>
      </w:r>
    </w:p>
    <w:p>
      <w:pPr>
        <w:pStyle w:val="TextBody"/>
        <w:bidi w:val="0"/>
        <w:spacing w:lineRule="auto" w:line="278" w:before="0" w:after="200"/>
        <w:jc w:val="both"/>
        <w:rPr>
          <w:rFonts w:ascii="Times New Roman;serif" w:hAnsi="Times New Roman;serif"/>
          <w:b w:val="false"/>
          <w:color w:val="000000"/>
          <w:sz w:val="24"/>
        </w:rPr>
      </w:pPr>
      <w:r>
        <w:rPr>
          <w:rFonts w:ascii="Times New Roman;serif" w:hAnsi="Times New Roman;serif"/>
          <w:b w:val="false"/>
          <w:color w:val="000000"/>
          <w:sz w:val="24"/>
        </w:rPr>
        <w:t>The Plan’s investments include shares of SPX Technologies, Inc. common stock, which represent a concentration of investments in securities issued by the Plan sponsor. As a result, the value of these investments is subject to risks associated with the Company’s financial performance, industry conditions, and overall market volatility.</w:t>
      </w:r>
    </w:p>
    <w:p>
      <w:pPr>
        <w:pStyle w:val="TextBody"/>
        <w:bidi w:val="0"/>
        <w:spacing w:lineRule="auto" w:line="278" w:before="0" w:after="200"/>
        <w:jc w:val="both"/>
        <w:rPr>
          <w:rFonts w:ascii="Times New Roman;serif" w:hAnsi="Times New Roman;serif"/>
          <w:b w:val="false"/>
          <w:color w:val="000000"/>
          <w:sz w:val="24"/>
        </w:rPr>
      </w:pPr>
      <w:r>
        <w:rPr>
          <w:rFonts w:ascii="Times New Roman;serif" w:hAnsi="Times New Roman;serif"/>
          <w:b w:val="false"/>
          <w:color w:val="000000"/>
          <w:sz w:val="24"/>
        </w:rPr>
        <w:t xml:space="preserve">Participants may direct their investments among the Plan’s available options and may transfer amounts invested in SPX Technologies, Inc. common stock into other investment alternatives, subject to certain trading restrictions. However, participant investment decisions may result in a continued concentration in employer securities.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01675"/>
                <wp:effectExtent l="0" t="0" r="0" b="0"/>
                <wp:wrapNone/>
                <wp:docPr id="10" name="Frame10"/>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SPX Retirement Savings and</w:t>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Stock Ownership Plan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Notes to Financial Statements</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December 31, 2025 and 2024</w:t>
      </w:r>
    </w:p>
    <w:p>
      <w:pPr>
        <w:pStyle w:val="TextBody"/>
        <w:bidi w:val="0"/>
        <w:spacing w:before="0" w:after="0"/>
        <w:jc w:val="left"/>
        <w:rPr/>
      </w:pPr>
      <w:r>
        <w:rPr/>
      </w:r>
    </w:p>
    <w:p>
      <w:pPr>
        <w:pStyle w:val="TextBody"/>
        <w:bidi w:val="0"/>
        <w:spacing w:lineRule="auto" w:line="278" w:before="0" w:after="200"/>
        <w:jc w:val="both"/>
        <w:rPr>
          <w:rFonts w:ascii="Times New Roman;serif" w:hAnsi="Times New Roman;serif"/>
          <w:b/>
          <w:color w:val="000000"/>
          <w:sz w:val="24"/>
        </w:rPr>
      </w:pPr>
      <w:r>
        <w:rPr>
          <w:rFonts w:ascii="Times New Roman;serif" w:hAnsi="Times New Roman;serif"/>
          <w:b/>
          <w:color w:val="000000"/>
          <w:sz w:val="24"/>
        </w:rPr>
        <w:t>Note 2 - Summary of Significant Accounting Policies (Continued)</w:t>
      </w:r>
    </w:p>
    <w:p>
      <w:pPr>
        <w:pStyle w:val="TextBody"/>
        <w:bidi w:val="0"/>
        <w:spacing w:lineRule="auto" w:line="278" w:before="0" w:after="200"/>
        <w:jc w:val="both"/>
        <w:rPr>
          <w:rFonts w:ascii="Times New Roman;serif" w:hAnsi="Times New Roman;serif"/>
          <w:b w:val="false"/>
          <w:color w:val="000000"/>
          <w:sz w:val="24"/>
        </w:rPr>
      </w:pPr>
      <w:r>
        <w:rPr>
          <w:rFonts w:ascii="Times New Roman;serif" w:hAnsi="Times New Roman;serif"/>
          <w:b w:val="false"/>
          <w:color w:val="000000"/>
          <w:sz w:val="24"/>
        </w:rPr>
        <w:t>Accordingly, it is at least reasonably possible that changes in the fair value of SPX Technologies, Inc. common stock could materially affect participants’ account balances and the Plan’s net assets available for benefits.</w:t>
      </w:r>
    </w:p>
    <w:p>
      <w:pPr>
        <w:pStyle w:val="TextBody"/>
        <w:bidi w:val="0"/>
        <w:spacing w:lineRule="auto" w:line="278" w:before="0" w:after="200"/>
        <w:jc w:val="both"/>
        <w:rPr/>
      </w:pPr>
      <w:r>
        <w:rPr>
          <w:rFonts w:ascii="Times New Roman;serif" w:hAnsi="Times New Roman;serif"/>
          <w:b/>
          <w:color w:val="000000"/>
          <w:sz w:val="24"/>
        </w:rPr>
        <w:t xml:space="preserve">Contributions Receivable </w:t>
      </w:r>
      <w:r>
        <w:rPr>
          <w:rFonts w:ascii="Times New Roman;serif" w:hAnsi="Times New Roman;serif"/>
          <w:b w:val="false"/>
          <w:color w:val="000000"/>
          <w:sz w:val="24"/>
        </w:rPr>
        <w:t>- Participant contributions and any related matching contributions are recognized in the period during which the Company makes the respective payroll deduction for the participant's compensation.</w:t>
      </w:r>
    </w:p>
    <w:p>
      <w:pPr>
        <w:pStyle w:val="TextBody"/>
        <w:bidi w:val="0"/>
        <w:spacing w:lineRule="auto" w:line="254" w:before="0" w:after="200"/>
        <w:jc w:val="left"/>
        <w:rPr>
          <w:rFonts w:ascii="Times New Roman;serif" w:hAnsi="Times New Roman;serif"/>
          <w:b/>
          <w:color w:val="000000"/>
          <w:sz w:val="24"/>
        </w:rPr>
      </w:pPr>
      <w:r>
        <w:rPr>
          <w:rFonts w:ascii="Times New Roman;serif" w:hAnsi="Times New Roman;serif"/>
          <w:b/>
          <w:color w:val="000000"/>
          <w:sz w:val="24"/>
        </w:rPr>
        <w:t>Note 3 - Reconciliation of Financial Statements to Form 5500</w:t>
      </w:r>
    </w:p>
    <w:p>
      <w:pPr>
        <w:pStyle w:val="TextBody"/>
        <w:bidi w:val="0"/>
        <w:spacing w:lineRule="auto" w:line="276" w:before="0" w:after="200"/>
        <w:jc w:val="both"/>
        <w:rPr>
          <w:rFonts w:ascii="Times New Roman;serif" w:hAnsi="Times New Roman;serif"/>
          <w:b w:val="false"/>
          <w:color w:val="000000"/>
          <w:sz w:val="24"/>
        </w:rPr>
      </w:pPr>
      <w:r>
        <w:rPr>
          <w:rFonts w:ascii="Times New Roman;serif" w:hAnsi="Times New Roman;serif"/>
          <w:b w:val="false"/>
          <w:color w:val="000000"/>
          <w:sz w:val="24"/>
        </w:rPr>
        <w:t>The net assets on the financial statements differ from the net assets on Form 5500 due to a common collective trust fund, specifically a stable value fund, which is recorded at NAV on the financial statements and at fair value on Form 5500. The net assets on the financial statements were higher than Form 5500 by $1,696,172 and $3,583,633 at December 31, 2025 and 2024, respectively. Accordingly, the net increase in the net assets available for benefits on the financial statements is $1,887,461 lower than as reported on Form 5500 for the year ended December 31, 2025.</w:t>
      </w:r>
    </w:p>
    <w:p>
      <w:pPr>
        <w:pStyle w:val="TextBody"/>
        <w:bidi w:val="0"/>
        <w:spacing w:lineRule="auto" w:line="288" w:before="0" w:after="200"/>
        <w:jc w:val="left"/>
        <w:rPr>
          <w:rFonts w:ascii="Times New Roman;serif" w:hAnsi="Times New Roman;serif"/>
          <w:b/>
          <w:color w:val="000000"/>
          <w:sz w:val="24"/>
        </w:rPr>
      </w:pPr>
      <w:r>
        <w:rPr>
          <w:rFonts w:ascii="Times New Roman;serif" w:hAnsi="Times New Roman;serif"/>
          <w:b/>
          <w:color w:val="000000"/>
          <w:sz w:val="24"/>
        </w:rPr>
        <w:t>Note 4 - Fair Value Measurements</w:t>
      </w:r>
    </w:p>
    <w:p>
      <w:pPr>
        <w:pStyle w:val="TextBody"/>
        <w:bidi w:val="0"/>
        <w:spacing w:lineRule="auto" w:line="278" w:before="0" w:after="200"/>
        <w:jc w:val="both"/>
        <w:rPr>
          <w:rFonts w:ascii="Times New Roman;serif" w:hAnsi="Times New Roman;serif"/>
          <w:b w:val="false"/>
          <w:color w:val="000000"/>
          <w:sz w:val="24"/>
        </w:rPr>
      </w:pPr>
      <w:r>
        <w:rPr>
          <w:rFonts w:ascii="Times New Roman;serif" w:hAnsi="Times New Roman;serif"/>
          <w:b w:val="false"/>
          <w:color w:val="000000"/>
          <w:sz w:val="24"/>
        </w:rPr>
        <w:t xml:space="preserve">Fair value is the price that would be received to sell an asset or paid to transfer a liability in an orderly transaction between market participants at the measurement date. </w:t>
      </w:r>
    </w:p>
    <w:p>
      <w:pPr>
        <w:pStyle w:val="TextBody"/>
        <w:bidi w:val="0"/>
        <w:spacing w:lineRule="auto" w:line="278" w:before="0" w:after="200"/>
        <w:jc w:val="both"/>
        <w:rPr>
          <w:rFonts w:ascii="Times New Roman;serif" w:hAnsi="Times New Roman;serif"/>
          <w:b w:val="false"/>
          <w:color w:val="000000"/>
          <w:sz w:val="24"/>
        </w:rPr>
      </w:pPr>
      <w:r>
        <w:rPr>
          <w:rFonts w:ascii="Times New Roman;serif" w:hAnsi="Times New Roman;serif"/>
          <w:b w:val="false"/>
          <w:color w:val="000000"/>
          <w:sz w:val="24"/>
        </w:rPr>
        <w:t>Accounting standards require certain assets and liabilities be reported at fair value in the financial statements and provide a framework for establishing that fair value. The framework for determining fair value is based on a hierarchy that prioritizes the inputs and valuation techniques used to measure fair value.</w:t>
      </w:r>
    </w:p>
    <w:p>
      <w:pPr>
        <w:pStyle w:val="TextBody"/>
        <w:bidi w:val="0"/>
        <w:spacing w:lineRule="auto" w:line="276" w:before="0" w:after="200"/>
        <w:jc w:val="both"/>
        <w:rPr>
          <w:rFonts w:ascii="Times New Roman;serif" w:hAnsi="Times New Roman;serif"/>
          <w:b w:val="false"/>
          <w:color w:val="000000"/>
          <w:sz w:val="24"/>
        </w:rPr>
      </w:pPr>
      <w:r>
        <w:rPr>
          <w:rFonts w:ascii="Times New Roman;serif" w:hAnsi="Times New Roman;serif"/>
          <w:b w:val="false"/>
          <w:color w:val="000000"/>
          <w:sz w:val="24"/>
        </w:rPr>
        <w:t>The Plan utilizes market data or assumptions that it believes market participants would use in pricing the asset or liability, including assumptions about risk and the risks inherent in the inputs to the valuation technique. These inputs can include readily observable quoted prices in active markets for identical assets or liabilities (“Level 1”), significant other observable inputs (“Level 2”) or significant unobservable inputs (“Level 3”). The Plan’s assessment of the significance of particular inputs to these fair value measurements requires judgment and considers factors specific to each asset or liability. In instances where inputs used to measure fair value fall into different levels in the fair value hierarchy, fair value measurements in their entirety are categorized based on the lowest input that is significant to the valuation.</w: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Mutual funds and money markets are valued at daily closing prices from an active market, which represents the NAV, as reported by the fund.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01675"/>
                <wp:effectExtent l="0" t="0" r="0" b="0"/>
                <wp:wrapNone/>
                <wp:docPr id="11" name="Frame11"/>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SPX Retirement Savings and</w:t>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Stock Ownership Plan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Notes to Financial Statements</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December 31, 2025 and 2024</w:t>
      </w:r>
    </w:p>
    <w:p>
      <w:pPr>
        <w:pStyle w:val="TextBody"/>
        <w:bidi w:val="0"/>
        <w:spacing w:before="0" w:after="0"/>
        <w:jc w:val="left"/>
        <w:rPr/>
      </w:pPr>
      <w:r>
        <w:rPr/>
      </w:r>
    </w:p>
    <w:p>
      <w:pPr>
        <w:pStyle w:val="TextBody"/>
        <w:bidi w:val="0"/>
        <w:spacing w:lineRule="auto" w:line="276" w:before="0" w:after="200"/>
        <w:jc w:val="both"/>
        <w:rPr>
          <w:rFonts w:ascii="Times New Roman;serif" w:hAnsi="Times New Roman;serif"/>
          <w:b/>
          <w:color w:val="000000"/>
          <w:sz w:val="24"/>
        </w:rPr>
      </w:pPr>
      <w:r>
        <w:rPr>
          <w:rFonts w:ascii="Times New Roman;serif" w:hAnsi="Times New Roman;serif"/>
          <w:b/>
          <w:color w:val="000000"/>
          <w:sz w:val="24"/>
        </w:rPr>
        <w:t>Note 4 - Fair Value Measurements (Continued)</w: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SPX Technologies, Inc. common stock is tracked on a unitized basis, which consists primarily of common stock of SPX Technologies, Inc. and a money market fund that is sufficient to meet daily cash needs. The common stock is valued at daily closing prices from an active market on which the individual securities are traded.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Common collective trust funds are based as of the last day of the Plan year on the NAV share price of each respective fund. The NAV, as provided by the trustee of the common collective trust funds, is used as a practical expedient to estimate fair value. The NAV is based on the fair value of the underlying investments held by the fund that are traded in an active market, less its liabilities. </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val="false"/>
          <w:color w:val="000000"/>
          <w:sz w:val="24"/>
        </w:rPr>
      </w:pPr>
      <w:r>
        <w:rPr>
          <w:rFonts w:ascii="Times New Roman;serif" w:hAnsi="Times New Roman;serif"/>
          <w:b w:val="false"/>
          <w:color w:val="000000"/>
          <w:sz w:val="24"/>
        </w:rPr>
        <w:t>Assets measured at fair value on a recurring basis are as follows:</w:t>
      </w:r>
    </w:p>
    <w:tbl>
      <w:tblPr>
        <w:tblW w:w="8714" w:type="dxa"/>
        <w:jc w:val="left"/>
        <w:tblInd w:w="0" w:type="dxa"/>
        <w:tblLayout w:type="fixed"/>
        <w:tblCellMar>
          <w:top w:w="28" w:type="dxa"/>
          <w:left w:w="28" w:type="dxa"/>
          <w:bottom w:w="28" w:type="dxa"/>
          <w:right w:w="28" w:type="dxa"/>
        </w:tblCellMar>
      </w:tblPr>
      <w:tblGrid>
        <w:gridCol w:w="1290"/>
        <w:gridCol w:w="1134"/>
        <w:gridCol w:w="1146"/>
        <w:gridCol w:w="196"/>
        <w:gridCol w:w="1186"/>
        <w:gridCol w:w="109"/>
        <w:gridCol w:w="109"/>
        <w:gridCol w:w="109"/>
        <w:gridCol w:w="109"/>
        <w:gridCol w:w="196"/>
        <w:gridCol w:w="1051"/>
        <w:gridCol w:w="109"/>
        <w:gridCol w:w="109"/>
        <w:gridCol w:w="109"/>
        <w:gridCol w:w="109"/>
        <w:gridCol w:w="209"/>
        <w:gridCol w:w="209"/>
        <w:gridCol w:w="211"/>
        <w:gridCol w:w="109"/>
        <w:gridCol w:w="109"/>
        <w:gridCol w:w="109"/>
        <w:gridCol w:w="203"/>
        <w:gridCol w:w="203"/>
        <w:gridCol w:w="281"/>
      </w:tblGrid>
      <w:tr>
        <w:trPr/>
        <w:tc>
          <w:tcPr>
            <w:tcW w:w="1290"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Assets Measured at Fair Value at December 31, 2025</w:t>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Investments</w:t>
              <w:br/>
              <w:t>(at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Level 3</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Mutual funds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252,101,862 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252,101,862 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 SPX Technologies, Inc. stock</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249,252,699 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249,252,699 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Money market</w:t>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7,505,185 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7,505,185 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 in the fair value hierarchy</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508,859,746 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508,859,746 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Investments measured at net asset value per share:</w:t>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collective trust funds</w:t>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588,107,175 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investments at fair value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1,096,966,921 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579" w:type="dxa"/>
        <w:jc w:val="left"/>
        <w:tblInd w:w="0" w:type="dxa"/>
        <w:tblLayout w:type="fixed"/>
        <w:tblCellMar>
          <w:top w:w="28" w:type="dxa"/>
          <w:left w:w="28" w:type="dxa"/>
          <w:bottom w:w="28" w:type="dxa"/>
          <w:right w:w="28" w:type="dxa"/>
        </w:tblCellMar>
      </w:tblPr>
      <w:tblGrid>
        <w:gridCol w:w="1290"/>
        <w:gridCol w:w="1134"/>
        <w:gridCol w:w="1146"/>
        <w:gridCol w:w="196"/>
        <w:gridCol w:w="1051"/>
        <w:gridCol w:w="109"/>
        <w:gridCol w:w="109"/>
        <w:gridCol w:w="109"/>
        <w:gridCol w:w="109"/>
        <w:gridCol w:w="196"/>
        <w:gridCol w:w="1051"/>
        <w:gridCol w:w="109"/>
        <w:gridCol w:w="109"/>
        <w:gridCol w:w="109"/>
        <w:gridCol w:w="109"/>
        <w:gridCol w:w="209"/>
        <w:gridCol w:w="209"/>
        <w:gridCol w:w="211"/>
        <w:gridCol w:w="109"/>
        <w:gridCol w:w="109"/>
        <w:gridCol w:w="109"/>
        <w:gridCol w:w="203"/>
        <w:gridCol w:w="203"/>
        <w:gridCol w:w="281"/>
      </w:tblGrid>
      <w:tr>
        <w:trPr/>
        <w:tc>
          <w:tcPr>
            <w:tcW w:w="1290"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Assets Measured at Fair Value at December 31, 2024</w:t>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Investments</w:t>
              <w:br/>
              <w:t>(at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Level 3</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Mutual funds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230,333,902 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230,333,902 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 SPX Technologies, Inc. stock</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196,604,436 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196,604,436 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Money market and cash investments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6,392,366 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6,392,366 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 in the fair value hierarchy</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433,330,704 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433,330,704 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Investments measured at net asset value per share:</w:t>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collective trust funds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531,887,724 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investments at fair value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965,218,428 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both"/>
        <w:rPr/>
      </w:pPr>
      <w:r>
        <w:rPr/>
      </w:r>
    </w:p>
    <w:p>
      <w:pPr>
        <w:pStyle w:val="TextBody"/>
        <w:bidi w:val="0"/>
        <w:spacing w:lineRule="auto" w:line="276" w:before="0" w:after="200"/>
        <w:jc w:val="both"/>
        <w:rPr>
          <w:rFonts w:ascii="Times New Roman;serif" w:hAnsi="Times New Roman;serif"/>
          <w:b/>
          <w:color w:val="000000"/>
          <w:sz w:val="24"/>
        </w:rPr>
      </w:pPr>
      <w:r>
        <w:rPr>
          <w:rFonts w:ascii="Times New Roman;serif" w:hAnsi="Times New Roman;serif"/>
          <w:b/>
          <w:color w:val="000000"/>
          <w:sz w:val="24"/>
        </w:rPr>
        <w:t>Note 5 - Subsequent Events</w:t>
      </w:r>
    </w:p>
    <w:p>
      <w:pPr>
        <w:pStyle w:val="TextBody"/>
        <w:bidi w:val="0"/>
        <w:spacing w:lineRule="auto" w:line="276" w:before="0" w:after="200"/>
        <w:jc w:val="both"/>
        <w:rPr>
          <w:rFonts w:ascii="Times New Roman;serif" w:hAnsi="Times New Roman;serif"/>
          <w:b w:val="false"/>
          <w:color w:val="000000"/>
          <w:sz w:val="24"/>
        </w:rPr>
      </w:pPr>
      <w:r>
        <w:rPr>
          <w:rFonts w:ascii="Times New Roman;serif" w:hAnsi="Times New Roman;serif"/>
          <w:b w:val="false"/>
          <w:color w:val="000000"/>
          <w:sz w:val="24"/>
        </w:rPr>
        <w:t>The Plan has evaluated subsequent events through June 12, 2026, the date the financial statements were issued.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01675"/>
                <wp:effectExtent l="0" t="0" r="0" b="0"/>
                <wp:wrapNone/>
                <wp:docPr id="12" name="Frame12"/>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6"/>
        </w:rPr>
      </w:pPr>
      <w:r>
        <w:rPr>
          <w:rFonts w:ascii="Times New Roman;serif" w:hAnsi="Times New Roman;serif"/>
          <w:b/>
          <w:color w:val="000000"/>
          <w:sz w:val="26"/>
        </w:rPr>
        <w:t>SPX Retirement Savings and Stock Ownership Plan</w:t>
      </w:r>
    </w:p>
    <w:p>
      <w:pPr>
        <w:pStyle w:val="TextBody"/>
        <w:bidi w:val="0"/>
        <w:spacing w:lineRule="auto" w:line="288" w:before="0" w:after="0"/>
        <w:jc w:val="right"/>
        <w:rPr>
          <w:rFonts w:ascii="Times New Roman;serif" w:hAnsi="Times New Roman;serif"/>
          <w:b/>
          <w:color w:val="000000"/>
          <w:sz w:val="26"/>
        </w:rPr>
      </w:pPr>
      <w:r>
        <w:rPr>
          <w:rFonts w:ascii="Times New Roman;serif" w:hAnsi="Times New Roman;serif"/>
          <w:b/>
          <w:color w:val="000000"/>
          <w:sz w:val="26"/>
        </w:rPr>
        <w:t>Schedule of Assets (Held at End of Year)</w:t>
      </w:r>
    </w:p>
    <w:p>
      <w:pPr>
        <w:pStyle w:val="TextBody"/>
        <w:bidi w:val="0"/>
        <w:spacing w:lineRule="auto" w:line="285" w:before="0" w:after="0"/>
        <w:jc w:val="right"/>
        <w:rPr>
          <w:rFonts w:ascii="Times New Roman;serif" w:hAnsi="Times New Roman;serif"/>
          <w:b/>
          <w:color w:val="000000"/>
          <w:sz w:val="26"/>
        </w:rPr>
      </w:pPr>
      <w:r>
        <w:rPr>
          <w:rFonts w:ascii="Times New Roman;serif" w:hAnsi="Times New Roman;serif"/>
          <w:b/>
          <w:color w:val="000000"/>
          <w:sz w:val="26"/>
        </w:rPr>
        <w:t>Form 5500, Schedule H, Line 4i</w:t>
      </w:r>
    </w:p>
    <w:p>
      <w:pPr>
        <w:pStyle w:val="TextBody"/>
        <w:bidi w:val="0"/>
        <w:spacing w:lineRule="auto" w:line="288" w:before="0" w:after="0"/>
        <w:jc w:val="right"/>
        <w:rPr>
          <w:rFonts w:ascii="Times New Roman;serif" w:hAnsi="Times New Roman;serif"/>
          <w:b/>
          <w:color w:val="000000"/>
          <w:sz w:val="26"/>
        </w:rPr>
      </w:pPr>
      <w:r>
        <w:rPr>
          <w:rFonts w:ascii="Times New Roman;serif" w:hAnsi="Times New Roman;serif"/>
          <w:b/>
          <w:color w:val="000000"/>
          <w:sz w:val="26"/>
        </w:rPr>
        <w:t>EIN 88-1769617, Plan 005</w:t>
      </w:r>
    </w:p>
    <w:p>
      <w:pPr>
        <w:pStyle w:val="TextBody"/>
        <w:bidi w:val="0"/>
        <w:spacing w:lineRule="auto" w:line="285" w:before="0" w:after="0"/>
        <w:jc w:val="right"/>
        <w:rPr>
          <w:rFonts w:ascii="Times New Roman;serif" w:hAnsi="Times New Roman;serif"/>
          <w:b/>
          <w:color w:val="000000"/>
          <w:sz w:val="26"/>
        </w:rPr>
      </w:pPr>
      <w:r>
        <w:rPr>
          <w:rFonts w:ascii="Times New Roman;serif" w:hAnsi="Times New Roman;serif"/>
          <w:b/>
          <w:color w:val="000000"/>
          <w:sz w:val="26"/>
        </w:rPr>
        <w:t>December 31, 2025</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57"/>
        <w:gridCol w:w="681"/>
        <w:gridCol w:w="684"/>
        <w:gridCol w:w="109"/>
        <w:gridCol w:w="109"/>
        <w:gridCol w:w="109"/>
        <w:gridCol w:w="1401"/>
        <w:gridCol w:w="1261"/>
        <w:gridCol w:w="1264"/>
        <w:gridCol w:w="109"/>
        <w:gridCol w:w="109"/>
        <w:gridCol w:w="109"/>
        <w:gridCol w:w="162"/>
        <w:gridCol w:w="162"/>
        <w:gridCol w:w="163"/>
        <w:gridCol w:w="109"/>
        <w:gridCol w:w="109"/>
        <w:gridCol w:w="109"/>
        <w:gridCol w:w="211"/>
        <w:gridCol w:w="1351"/>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 Identity of issue, borrower, lessor, or similar 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 Description of investment, including maturity date, rate of interest, collateral par, or maturity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 Current Value</w:t>
            </w:r>
          </w:p>
        </w:tc>
      </w:tr>
      <w:tr>
        <w:trPr/>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Mutual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Fidelity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Fidelity U.S. Bond Index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15,786,478 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Fidelity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Fidelity 500 Index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112,085,772 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Fidelity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Fidelity Extended Market Index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9,050,975 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Fidelity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Fidelity International Index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10,975,838 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Fidelity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Fidelity International Discovery K6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21,890,886 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DFA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DFA U.S. Targeted Value Portfolio Institutional Class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35,451,044 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American Beacon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American Beacon Large Cap Value Fund R5 Class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31,988,696 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PIMCO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PIMCO Total Return Fund Institutional Class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14,872,173 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SPX Technologies,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Common stock - SPX Technologies, Inc.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249,252,699 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Common collective trust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Fidelity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Fidelity Managed Income Portfolio II Class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59,589,044 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Fidelity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Fidelity Growth Company Commingled Pool Class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247,212,161 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Fidelity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Fidelity Freedom Index Income Commingled Pool Class 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2,860,652 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Fidelity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Fidelity Freedom Index 2010 Commingled Pool Class 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2,509,778 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Fidelity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Fidelity Freedom Index 2015 Commingled Pool Class 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5,337,212 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Fidelity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Fidelity Freedom Index 2020 Commingled Pool Class 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19,425,462 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Fidelity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Fidelity Freedom Index 2025 Commingled Pool Class 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37,238,975 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Fidelity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Fidelity Freedom Index 2030 Commingled Pool Class 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55,363,177 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Fidelity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Fidelity Freedom Index 2035 Commingled Pool Class 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46,386,277 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Fidelity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Fidelity Freedom Index 2040 Commingled Pool Class 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31,560,471 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Fidelity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Fidelity Freedom Index 2045 Commingled Pool Class 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24,547,877 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Fidelity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Fidelity Freedom Index 2050 Commingled Pool Class 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17,203,701 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Fidelity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Fidelity Freedom Index 2055 Commingled Pool Class 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13,148,419 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Fidelity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Fidelity Freedom Index 2060 Commingled Pool Class 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5,689,686 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Fidelity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Fidelity Freedom Index 2065 Commingled Pool Class 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4,823,232 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Fidelity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Fidelity Freedom Index 2070 Commingled Pool Class 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69,355 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Blair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Blair Small-Mid Cap Growth CIT Class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13,445,524 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Fidelity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Money 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7,505,185 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Participants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Participant loans bearing interest at rates from 4.25 percent to 10.50 percent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7,963,397 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1,103,234,146</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lineRule="auto" w:line="288" w:before="6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 Party-in-interest as defined by ERISA. </w:t>
      </w:r>
    </w:p>
    <w:p>
      <w:pPr>
        <w:pStyle w:val="TextBody"/>
        <w:bidi w:val="0"/>
        <w:spacing w:lineRule="auto" w:line="288" w:before="60" w:after="283"/>
        <w:jc w:val="left"/>
        <w:rPr>
          <w:rFonts w:ascii="Times New Roman;serif" w:hAnsi="Times New Roman;serif"/>
          <w:b w:val="false"/>
          <w:color w:val="000000"/>
          <w:sz w:val="24"/>
        </w:rPr>
      </w:pPr>
      <w:r>
        <w:rPr>
          <w:rFonts w:ascii="Times New Roman;serif" w:hAnsi="Times New Roman;serif"/>
          <w:b w:val="false"/>
          <w:color w:val="000000"/>
          <w:sz w:val="24"/>
        </w:rPr>
        <w:t>** The cost of participant-directed investments is not required to be disclosed.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014095"/>
                <wp:effectExtent l="0" t="0" r="0" b="0"/>
                <wp:wrapNone/>
                <wp:docPr id="13" name="Frame13"/>
                <a:graphic xmlns:a="http://schemas.openxmlformats.org/drawingml/2006/main">
                  <a:graphicData uri="http://schemas.microsoft.com/office/word/2010/wordprocessingShape">
                    <wps:wsp>
                      <wps:cNvSpPr txBox="1"/>
                      <wps:spPr>
                        <a:xfrm>
                          <a:off x="0" y="0"/>
                          <a:ext cx="6480175" cy="1014095"/>
                        </a:xfrm>
                        <a:prstGeom prst="rect"/>
                        <a:solidFill>
                          <a:srgbClr val="FFFFFF"/>
                        </a:solidFill>
                      </wps:spPr>
                      <wps:txbx>
                        <w:txbxContent>
                          <w:tbl>
                            <w:tblPr>
                              <w:tblW w:w="1869"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Schedule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85pt;mso-wrap-distance-left:0pt;mso-wrap-distance-right:0pt;mso-wrap-distance-top:0pt;mso-wrap-distance-bottom:0pt;margin-top:0pt;mso-position-vertical:top;mso-position-vertical-relative:text;margin-left:0pt;mso-position-horizontal:left;mso-position-horizontal-relative:text">
                <v:textbox>
                  <w:txbxContent>
                    <w:tbl>
                      <w:tblPr>
                        <w:tblW w:w="1869"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Schedule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before="0" w:after="0"/>
        <w:jc w:val="left"/>
        <w:rPr/>
      </w:pPr>
      <w:r>
        <w:rPr/>
      </w:r>
    </w:p>
    <w:p>
      <w:pPr>
        <w:pStyle w:val="TextBody"/>
        <w:bidi w:val="0"/>
        <w:spacing w:lineRule="auto" w:line="266" w:before="0" w:after="0"/>
        <w:jc w:val="both"/>
        <w:rPr/>
      </w:pPr>
      <w:r>
        <w:rPr>
          <w:rFonts w:ascii="Times New Roman;serif" w:hAnsi="Times New Roman;serif"/>
          <w:b w:val="false"/>
          <w:i/>
          <w:color w:val="000000"/>
          <w:sz w:val="24"/>
        </w:rPr>
        <w:t xml:space="preserve">The Plan. </w:t>
      </w:r>
      <w:r>
        <w:rPr>
          <w:rFonts w:ascii="Times New Roman;serif" w:hAnsi="Times New Roman;serif"/>
          <w:b w:val="false"/>
          <w:color w:val="000000"/>
          <w:sz w:val="24"/>
        </w:rPr>
        <w:t>Pursuant to the requirements of the Securities Exchange Act of 1934, the trustees (or other persons</w:t>
      </w:r>
      <w:r>
        <w:rPr>
          <w:color w:val="000000"/>
        </w:rPr>
        <w:t xml:space="preserve"> </w:t>
      </w:r>
      <w:r>
        <w:rPr>
          <w:rFonts w:ascii="Times New Roman;serif" w:hAnsi="Times New Roman;serif"/>
          <w:b w:val="false"/>
          <w:color w:val="000000"/>
          <w:sz w:val="24"/>
        </w:rPr>
        <w:t>who administer the employee benefit plan) have duly caused this annual report to be signed on its behalf by the undersigned hereunto duly authorized.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5"/>
        <w:gridCol w:w="188"/>
        <w:gridCol w:w="190"/>
        <w:gridCol w:w="297"/>
        <w:gridCol w:w="297"/>
        <w:gridCol w:w="299"/>
        <w:gridCol w:w="400"/>
        <w:gridCol w:w="400"/>
        <w:gridCol w:w="400"/>
        <w:gridCol w:w="2289"/>
        <w:gridCol w:w="2258"/>
        <w:gridCol w:w="2972"/>
      </w:tblGrid>
      <w:tr>
        <w:trPr/>
        <w:tc>
          <w:tcPr>
            <w:tcW w:w="21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2972" w:type="dxa"/>
            <w:tcBorders/>
            <w:vAlign w:val="center"/>
          </w:tcPr>
          <w:p>
            <w:pPr>
              <w:pStyle w:val="TableContents"/>
              <w:bidi w:val="0"/>
              <w:spacing w:before="0" w:after="283"/>
              <w:jc w:val="left"/>
              <w:rPr>
                <w:sz w:val="4"/>
                <w:szCs w:val="4"/>
              </w:rPr>
            </w:pPr>
            <w:r>
              <w:rPr>
                <w:sz w:val="4"/>
                <w:szCs w:val="4"/>
              </w:rPr>
            </w:r>
          </w:p>
        </w:tc>
      </w:tr>
      <w:tr>
        <w:trPr/>
        <w:tc>
          <w:tcPr>
            <w:tcW w:w="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SPX RETIREMENT SAVINGS AND</w:t>
            </w:r>
          </w:p>
        </w:tc>
      </w:tr>
      <w:tr>
        <w:trPr/>
        <w:tc>
          <w:tcPr>
            <w:tcW w:w="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STOCK OWNERSHIP PLAN</w:t>
            </w:r>
          </w:p>
        </w:tc>
      </w:tr>
      <w:tr>
        <w:trPr/>
        <w:tc>
          <w:tcPr>
            <w:tcW w:w="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7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SPX Retirement and Welfare Plan Administrative Committee</w:t>
            </w:r>
          </w:p>
        </w:tc>
      </w:tr>
      <w:tr>
        <w:trPr/>
        <w:tc>
          <w:tcPr>
            <w:tcW w:w="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June 12, 2026</w:t>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7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Wayne M. McLaren</w:t>
            </w:r>
          </w:p>
        </w:tc>
      </w:tr>
      <w:tr>
        <w:trPr/>
        <w:tc>
          <w:tcPr>
            <w:tcW w:w="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Wayne M. McLaren</w:t>
            </w:r>
          </w:p>
        </w:tc>
      </w:tr>
      <w:tr>
        <w:trPr/>
        <w:tc>
          <w:tcPr>
            <w:tcW w:w="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Vice President, Chief Accounting Officer and Corporate Controller, SPX Technologies, Inc., and Member of the SPX Retirement and Welfare Plan Administrative Committee</w:t>
            </w:r>
          </w:p>
        </w:tc>
      </w:tr>
      <w:tr>
        <w:trPr/>
        <w:tc>
          <w:tcPr>
            <w:tcW w:w="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Exhibit Index</w:t>
      </w:r>
    </w:p>
    <w:tbl>
      <w:tblPr>
        <w:tblW w:w="4153" w:type="dxa"/>
        <w:jc w:val="center"/>
        <w:tblInd w:w="0" w:type="dxa"/>
        <w:tblLayout w:type="fixed"/>
        <w:tblCellMar>
          <w:top w:w="28" w:type="dxa"/>
          <w:left w:w="28" w:type="dxa"/>
          <w:bottom w:w="28" w:type="dxa"/>
          <w:right w:w="28" w:type="dxa"/>
        </w:tblCellMar>
      </w:tblPr>
      <w:tblGrid>
        <w:gridCol w:w="466"/>
        <w:gridCol w:w="410"/>
        <w:gridCol w:w="413"/>
        <w:gridCol w:w="839"/>
        <w:gridCol w:w="839"/>
        <w:gridCol w:w="1186"/>
      </w:tblGrid>
      <w:tr>
        <w:trPr/>
        <w:tc>
          <w:tcPr>
            <w:tcW w:w="46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Exhibit No.</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Description</w:t>
            </w:r>
          </w:p>
        </w:tc>
      </w:tr>
      <w:tr>
        <w:trPr/>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23.1</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a202511-kexhibit231.htm">
              <w:r>
                <w:rPr>
                  <w:rStyle w:val="InternetLink"/>
                  <w:rFonts w:ascii="Times New Roman;serif" w:hAnsi="Times New Roman;serif"/>
                  <w:b w:val="false"/>
                  <w:color w:val="0000FF"/>
                  <w:sz w:val="24"/>
                  <w:u w:val="single"/>
                </w:rPr>
                <w:t>Consent of BDO USA, P.C.</w:t>
              </w:r>
            </w:hyperlink>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48" w:before="240" w:after="283"/>
        <w:jc w:val="right"/>
        <w:rPr>
          <w:rFonts w:ascii="Times New Roman;serif" w:hAnsi="Times New Roman;serif"/>
          <w:b/>
          <w:color w:val="000000"/>
          <w:sz w:val="24"/>
        </w:rPr>
      </w:pPr>
      <w:r>
        <w:rPr>
          <w:rFonts w:ascii="Times New Roman;serif" w:hAnsi="Times New Roman;serif"/>
          <w:b/>
          <w:color w:val="000000"/>
          <w:sz w:val="24"/>
        </w:rPr>
        <w:t>Exhibit 23.1</w:t>
      </w:r>
    </w:p>
    <w:p>
      <w:pPr>
        <w:pStyle w:val="TextBody"/>
        <w:bidi w:val="0"/>
        <w:spacing w:before="240" w:after="283"/>
        <w:jc w:val="center"/>
        <w:rPr/>
      </w:pPr>
      <w:r>
        <w:rPr/>
      </w:r>
    </w:p>
    <w:p>
      <w:pPr>
        <w:pStyle w:val="TextBody"/>
        <w:bidi w:val="0"/>
        <w:spacing w:lineRule="auto" w:line="268" w:before="0" w:after="0"/>
        <w:jc w:val="center"/>
        <w:rPr>
          <w:rFonts w:ascii="Times New Roman;serif" w:hAnsi="Times New Roman;serif"/>
          <w:b w:val="false"/>
          <w:color w:val="000000"/>
          <w:sz w:val="21"/>
          <w:u w:val="single"/>
        </w:rPr>
      </w:pPr>
      <w:r>
        <w:rPr>
          <w:rFonts w:ascii="Times New Roman;serif" w:hAnsi="Times New Roman;serif"/>
          <w:b w:val="false"/>
          <w:color w:val="000000"/>
          <w:sz w:val="21"/>
          <w:u w:val="single"/>
        </w:rPr>
        <w:t>Consent of Independent Registered Public Accounting Firm</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1"/>
        </w:rPr>
      </w:pPr>
      <w:r>
        <w:rPr>
          <w:rFonts w:ascii="Times New Roman;serif" w:hAnsi="Times New Roman;serif"/>
          <w:b w:val="false"/>
          <w:color w:val="000000"/>
          <w:sz w:val="21"/>
        </w:rPr>
        <w:t>We hereby consent to the incorporation by reference in the Registration Statement on Form S-8 (333-186817, 333-139351, 333-106897, 333-69252, 333-70245, 333-29843, and 333-267024) of SPX Technologies, Inc. of our report dated June 12, 2026, relating to the financial statements and supplemental schedule of the SPX Retirement Savings and Stock Ownership Plan which appear in this Form 11-K for the year ended December 31, 2025.</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1"/>
        </w:rPr>
      </w:pPr>
      <w:r>
        <w:rPr>
          <w:rFonts w:ascii="Times New Roman;serif" w:hAnsi="Times New Roman;serif"/>
          <w:b w:val="false"/>
          <w:color w:val="000000"/>
          <w:sz w:val="21"/>
        </w:rPr>
        <w:t>/s/ BDO USA, P.C.</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1"/>
        </w:rPr>
      </w:pPr>
      <w:r>
        <w:rPr>
          <w:rFonts w:ascii="Times New Roman;serif" w:hAnsi="Times New Roman;serif"/>
          <w:b w:val="false"/>
          <w:color w:val="000000"/>
          <w:sz w:val="21"/>
        </w:rPr>
        <w:t>New York, New York</w:t>
      </w:r>
    </w:p>
    <w:p>
      <w:pPr>
        <w:pStyle w:val="TextBody"/>
        <w:bidi w:val="0"/>
        <w:spacing w:lineRule="auto" w:line="268"/>
        <w:jc w:val="both"/>
        <w:rPr>
          <w:rFonts w:ascii="Times New Roman;serif" w:hAnsi="Times New Roman;serif"/>
          <w:b w:val="false"/>
          <w:color w:val="000000"/>
          <w:sz w:val="21"/>
        </w:rPr>
      </w:pPr>
      <w:r>
        <w:rPr>
          <w:rFonts w:ascii="Times New Roman;serif" w:hAnsi="Times New Roman;serif"/>
          <w:b w:val="false"/>
          <w:color w:val="000000"/>
          <w:sz w:val="21"/>
        </w:rPr>
        <w:t>June 12, 2026</w:t>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525780"/>
                <wp:effectExtent l="0" t="0" r="0" b="0"/>
                <wp:wrapNone/>
                <wp:docPr id="16" name="Frame16"/>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4107</Words>
  <Characters>22816</Characters>
  <CharactersWithSpaces>26601</CharactersWithSpaces>
  <Paragraphs>456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