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20"/>
        </w:rPr>
        <w:t>For the quarterly period ended</w:t>
      </w:r>
      <w:r>
        <w:rPr>
          <w:color w:val="000000"/>
        </w:rPr>
        <w:t xml:space="preserve"> </w:t>
      </w:r>
      <w:r>
        <w:rPr>
          <w:rFonts w:ascii="Times New Roman;sans-serif" w:hAnsi="Times New Roman;sans-serif"/>
          <w:b/>
          <w:color w:val="000000"/>
          <w:sz w:val="20"/>
        </w:rPr>
        <w:t>July 1, 2023</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1-6948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SPX TECHNOLOGIES,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7181" w:type="dxa"/>
        <w:jc w:val="center"/>
        <w:tblInd w:w="0" w:type="dxa"/>
        <w:tblLayout w:type="fixed"/>
        <w:tblCellMar>
          <w:top w:w="28" w:type="dxa"/>
          <w:left w:w="28" w:type="dxa"/>
          <w:bottom w:w="28" w:type="dxa"/>
          <w:right w:w="28" w:type="dxa"/>
        </w:tblCellMar>
      </w:tblPr>
      <w:tblGrid>
        <w:gridCol w:w="1383"/>
        <w:gridCol w:w="1215"/>
        <w:gridCol w:w="1227"/>
        <w:gridCol w:w="109"/>
        <w:gridCol w:w="109"/>
        <w:gridCol w:w="109"/>
        <w:gridCol w:w="884"/>
        <w:gridCol w:w="884"/>
        <w:gridCol w:w="1261"/>
      </w:tblGrid>
      <w:tr>
        <w:trPr/>
        <w:tc>
          <w:tcPr>
            <w:tcW w:w="1383"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88-3567996</w:t>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w:t>
              <w:br/>
              <w:t>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6325 Ardrey Kell Road, Suite 400, Charlotte, North Carolina 28277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(980) 474-3700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219" w:type="dxa"/>
        <w:jc w:val="left"/>
        <w:tblInd w:w="0" w:type="dxa"/>
        <w:tblLayout w:type="fixed"/>
        <w:tblCellMar>
          <w:top w:w="28" w:type="dxa"/>
          <w:left w:w="28" w:type="dxa"/>
          <w:bottom w:w="28" w:type="dxa"/>
          <w:right w:w="28" w:type="dxa"/>
        </w:tblCellMar>
      </w:tblPr>
      <w:tblGrid>
        <w:gridCol w:w="1021"/>
        <w:gridCol w:w="894"/>
        <w:gridCol w:w="905"/>
        <w:gridCol w:w="564"/>
        <w:gridCol w:w="564"/>
        <w:gridCol w:w="566"/>
        <w:gridCol w:w="1085"/>
        <w:gridCol w:w="1085"/>
        <w:gridCol w:w="1535"/>
      </w:tblGrid>
      <w:tr>
        <w:trPr/>
        <w:tc>
          <w:tcPr>
            <w:tcW w:w="102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$0.01</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SPXC</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bl>
    <w:p>
      <w:pPr>
        <w:pStyle w:val="TextBody"/>
        <w:bidi w:val="0"/>
        <w:spacing w:lineRule="auto" w:line="288" w:before="0" w:after="0"/>
        <w:ind w:left="0" w:right="0" w:firstLine="36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ans-serif" w:hAnsi="Times New Roman;sans-serif"/>
          <w:b w:val="false"/>
          <w:color w:val="000000"/>
          <w:sz w:val="20"/>
        </w:rPr>
        <w:t xml:space="preserve">Yes </w:t>
      </w:r>
      <w:r>
        <w:rPr>
          <w:color w:val="000000"/>
        </w:rPr>
        <w:t xml:space="preserve">☐ </w:t>
      </w:r>
      <w:r>
        <w:rPr>
          <w:rFonts w:ascii="Times New Roman;sans-serif" w:hAnsi="Times New Roman;sans-serif"/>
          <w:b w:val="false"/>
          <w:color w:val="000000"/>
          <w:sz w:val="20"/>
        </w:rPr>
        <w:t>No</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tbl>
      <w:tblPr>
        <w:tblW w:w="530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84"/>
        <w:gridCol w:w="784"/>
        <w:gridCol w:w="787"/>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Accelerated filer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Non-accelerated filer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Smaller reporting company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360"/>
        <w:jc w:val="left"/>
        <w:rPr>
          <w:color w:val="000000"/>
        </w:rPr>
      </w:pPr>
      <w:r>
        <w:rPr>
          <w:color w:val="000000"/>
        </w:rPr>
        <w:t xml:space="preserve">  </w:t>
      </w:r>
    </w:p>
    <w:p>
      <w:pPr>
        <w:pStyle w:val="TextBody"/>
        <w:bidi w:val="0"/>
        <w:spacing w:lineRule="auto" w:line="288"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Indicate by check mark whether the registrant is a shell company (as defined in Rule 12b-2 of the Exchange Act). </w:t>
      </w:r>
      <w:r>
        <w:rPr>
          <w:color w:val="000000"/>
        </w:rPr>
        <w:t>☐ </w:t>
      </w:r>
      <w:r>
        <w:rPr>
          <w:rFonts w:ascii="Times New Roman;sans-serif" w:hAnsi="Times New Roman;sans-serif"/>
          <w:b w:val="false"/>
          <w:color w:val="000000"/>
          <w:sz w:val="20"/>
        </w:rPr>
        <w:t xml:space="preserve">Yes </w:t>
      </w:r>
      <w:r>
        <w:rPr>
          <w:color w:val="000000"/>
        </w:rPr>
        <w:t>☒ </w:t>
      </w:r>
      <w:r>
        <w:rPr>
          <w:rFonts w:ascii="Times New Roman;sans-serif" w:hAnsi="Times New Roman;sans-serif"/>
          <w:b w:val="false"/>
          <w:color w:val="000000"/>
          <w:sz w:val="20"/>
        </w:rPr>
        <w:t>No.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shares outstanding July 28, 2023, 45,590,461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SPX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 INDEX</w:t>
      </w:r>
    </w:p>
    <w:tbl>
      <w:tblPr>
        <w:tblW w:w="8934" w:type="dxa"/>
        <w:jc w:val="center"/>
        <w:tblInd w:w="0" w:type="dxa"/>
        <w:tblLayout w:type="fixed"/>
        <w:tblCellMar>
          <w:top w:w="28" w:type="dxa"/>
          <w:left w:w="28" w:type="dxa"/>
          <w:bottom w:w="28" w:type="dxa"/>
          <w:right w:w="28" w:type="dxa"/>
        </w:tblCellMar>
      </w:tblPr>
      <w:tblGrid>
        <w:gridCol w:w="2980"/>
        <w:gridCol w:w="2625"/>
        <w:gridCol w:w="2630"/>
        <w:gridCol w:w="109"/>
        <w:gridCol w:w="109"/>
        <w:gridCol w:w="109"/>
        <w:gridCol w:w="109"/>
        <w:gridCol w:w="109"/>
        <w:gridCol w:w="154"/>
      </w:tblGrid>
      <w:tr>
        <w:trPr/>
        <w:tc>
          <w:tcPr>
            <w:tcW w:w="2980"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24c176c8a463cb3fefe8481d89e37_10">
              <w:r>
                <w:rPr>
                  <w:rStyle w:val="InternetLink"/>
                  <w:rFonts w:ascii="Times New Roman;sans-serif" w:hAnsi="Times New Roman;sans-serif"/>
                  <w:b w:val="false"/>
                  <w:color w:val="0000FF"/>
                  <w:sz w:val="20"/>
                  <w:u w:val="single"/>
                </w:rPr>
                <w:t>PART 1 – 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94d24c176c8a463cb3fefe8481d89e37_13">
              <w:r>
                <w:rPr>
                  <w:rStyle w:val="InternetLink"/>
                  <w:rFonts w:ascii="Times New Roman;sans-serif" w:hAnsi="Times New Roman;sans-serif"/>
                  <w:b w:val="false"/>
                  <w:color w:val="0000FF"/>
                  <w:sz w:val="20"/>
                  <w:u w:val="single"/>
                </w:rPr>
                <w:t>Item 1 –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94d24c176c8a463cb3fefe8481d89e37_16">
              <w:r>
                <w:rPr>
                  <w:rStyle w:val="InternetLink"/>
                  <w:rFonts w:ascii="Times New Roman;sans-serif" w:hAnsi="Times New Roman;sans-serif"/>
                  <w:b w:val="false"/>
                  <w:color w:val="0000FF"/>
                  <w:sz w:val="20"/>
                  <w:u w:val="single"/>
                </w:rPr>
                <w:t>Condensed Consolidated Statements of Operations and Comprehensive Income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24c176c8a463cb3fefe8481d89e37_16">
              <w:r>
                <w:rPr>
                  <w:rStyle w:val="InternetLink"/>
                  <w:rFonts w:ascii="Times New Roman;sans-serif" w:hAnsi="Times New Roman;sans-serif"/>
                  <w:b w:val="false"/>
                  <w:color w:val="0000FF"/>
                  <w:sz w:val="20"/>
                  <w:u w:val="single"/>
                </w:rPr>
                <w:t>3</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94d24c176c8a463cb3fefe8481d89e37_19">
              <w:r>
                <w:rPr>
                  <w:rStyle w:val="InternetLink"/>
                  <w:rFonts w:ascii="Times New Roman;sans-serif" w:hAnsi="Times New Roman;sans-serif"/>
                  <w:b w:val="false"/>
                  <w:color w:val="0000FF"/>
                  <w:sz w:val="20"/>
                  <w:u w:val="single"/>
                </w:rPr>
                <w:t>Condensed Consolidated Balance Sheets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24c176c8a463cb3fefe8481d89e37_19">
              <w:r>
                <w:rPr>
                  <w:rStyle w:val="InternetLink"/>
                  <w:rFonts w:ascii="Times New Roman;sans-serif" w:hAnsi="Times New Roman;sans-serif"/>
                  <w:b w:val="false"/>
                  <w:color w:val="0000FF"/>
                  <w:sz w:val="20"/>
                  <w:u w:val="single"/>
                </w:rPr>
                <w:t>4</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24c176c8a463cb3fefe8481d89e37_22">
              <w:r>
                <w:rPr>
                  <w:rStyle w:val="InternetLink"/>
                  <w:rFonts w:ascii="Times New Roman;sans-serif" w:hAnsi="Times New Roman;sans-serif"/>
                  <w:b w:val="false"/>
                  <w:color w:val="0000FF"/>
                  <w:sz w:val="20"/>
                  <w:u w:val="single"/>
                </w:rPr>
                <w:t>Condensed Consolidated Statements of Stockholders' Equity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24c176c8a463cb3fefe8481d89e37_22">
              <w:r>
                <w:rPr>
                  <w:rStyle w:val="InternetLink"/>
                  <w:rFonts w:ascii="Times New Roman;sans-serif" w:hAnsi="Times New Roman;sans-serif"/>
                  <w:b w:val="false"/>
                  <w:color w:val="0000FF"/>
                  <w:sz w:val="20"/>
                  <w:u w:val="single"/>
                </w:rPr>
                <w:t>5</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94d24c176c8a463cb3fefe8481d89e37_25">
              <w:r>
                <w:rPr>
                  <w:rStyle w:val="InternetLink"/>
                  <w:rFonts w:ascii="Times New Roman;sans-serif" w:hAnsi="Times New Roman;sans-serif"/>
                  <w:b w:val="false"/>
                  <w:color w:val="0000FF"/>
                  <w:sz w:val="20"/>
                  <w:u w:val="single"/>
                </w:rPr>
                <w:t>Condensed 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24c176c8a463cb3fefe8481d89e37_25">
              <w:r>
                <w:rPr>
                  <w:rStyle w:val="InternetLink"/>
                  <w:rFonts w:ascii="Times New Roman;sans-serif" w:hAnsi="Times New Roman;sans-serif"/>
                  <w:b w:val="false"/>
                  <w:color w:val="0000FF"/>
                  <w:sz w:val="20"/>
                  <w:u w:val="single"/>
                </w:rPr>
                <w:t>6</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94d24c176c8a463cb3fefe8481d89e37_28">
              <w:r>
                <w:rPr>
                  <w:rStyle w:val="InternetLink"/>
                  <w:rFonts w:ascii="Times New Roman;sans-serif" w:hAnsi="Times New Roman;sans-serif"/>
                  <w:b w:val="false"/>
                  <w:color w:val="0000FF"/>
                  <w:sz w:val="20"/>
                  <w:u w:val="single"/>
                </w:rPr>
                <w:t>Notes to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24c176c8a463cb3fefe8481d89e37_28">
              <w:r>
                <w:rPr>
                  <w:rStyle w:val="InternetLink"/>
                  <w:rFonts w:ascii="Times New Roman;sans-serif" w:hAnsi="Times New Roman;sans-serif"/>
                  <w:b w:val="false"/>
                  <w:color w:val="0000FF"/>
                  <w:sz w:val="20"/>
                  <w:u w:val="single"/>
                </w:rPr>
                <w:t>7</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94d24c176c8a463cb3fefe8481d89e37_88">
              <w:r>
                <w:rPr>
                  <w:rStyle w:val="InternetLink"/>
                  <w:rFonts w:ascii="Times New Roman;sans-serif" w:hAnsi="Times New Roman;sans-serif"/>
                  <w:b w:val="false"/>
                  <w:color w:val="0000FF"/>
                  <w:sz w:val="20"/>
                  <w:u w:val="single"/>
                </w:rPr>
                <w:t>Item 2 – 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24c176c8a463cb3fefe8481d89e37_88">
              <w:r>
                <w:rPr>
                  <w:rStyle w:val="InternetLink"/>
                  <w:rFonts w:ascii="Times New Roman;sans-serif" w:hAnsi="Times New Roman;sans-serif"/>
                  <w:b w:val="false"/>
                  <w:color w:val="0000FF"/>
                  <w:sz w:val="20"/>
                  <w:u w:val="single"/>
                </w:rPr>
                <w:t>32</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94d24c176c8a463cb3fefe8481d89e37_109">
              <w:r>
                <w:rPr>
                  <w:rStyle w:val="InternetLink"/>
                  <w:rFonts w:ascii="Times New Roman;sans-serif" w:hAnsi="Times New Roman;sans-serif"/>
                  <w:b w:val="false"/>
                  <w:color w:val="0000FF"/>
                  <w:sz w:val="20"/>
                  <w:u w:val="single"/>
                </w:rPr>
                <w:t>Item 3 – 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24c176c8a463cb3fefe8481d89e37_109">
              <w:r>
                <w:rPr>
                  <w:rStyle w:val="InternetLink"/>
                  <w:rFonts w:ascii="Times New Roman;sans-serif" w:hAnsi="Times New Roman;sans-serif"/>
                  <w:b w:val="false"/>
                  <w:color w:val="0000FF"/>
                  <w:sz w:val="20"/>
                  <w:u w:val="single"/>
                </w:rPr>
                <w:t>43</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94d24c176c8a463cb3fefe8481d89e37_112">
              <w:r>
                <w:rPr>
                  <w:rStyle w:val="InternetLink"/>
                  <w:rFonts w:ascii="Times New Roman;sans-serif" w:hAnsi="Times New Roman;sans-serif"/>
                  <w:b w:val="false"/>
                  <w:color w:val="0000FF"/>
                  <w:sz w:val="20"/>
                  <w:u w:val="single"/>
                </w:rPr>
                <w:t>Item 4 – 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24c176c8a463cb3fefe8481d89e37_112">
              <w:r>
                <w:rPr>
                  <w:rStyle w:val="InternetLink"/>
                  <w:rFonts w:ascii="Times New Roman;sans-serif" w:hAnsi="Times New Roman;sans-serif"/>
                  <w:b w:val="false"/>
                  <w:color w:val="0000FF"/>
                  <w:sz w:val="20"/>
                  <w:u w:val="single"/>
                </w:rPr>
                <w:t>43</w:t>
              </w:r>
            </w:hyperlink>
          </w:p>
        </w:tc>
      </w:tr>
      <w:tr>
        <w:trPr/>
        <w:tc>
          <w:tcPr>
            <w:tcW w:w="8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24c176c8a463cb3fefe8481d89e37_115">
              <w:r>
                <w:rPr>
                  <w:rStyle w:val="InternetLink"/>
                  <w:rFonts w:ascii="Times New Roman;sans-serif" w:hAnsi="Times New Roman;sans-serif"/>
                  <w:b w:val="false"/>
                  <w:color w:val="0000FF"/>
                  <w:sz w:val="20"/>
                  <w:u w:val="single"/>
                </w:rPr>
                <w:t>PART 2 –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94d24c176c8a463cb3fefe8481d89e37_118">
              <w:r>
                <w:rPr>
                  <w:rStyle w:val="InternetLink"/>
                  <w:rFonts w:ascii="Times New Roman;sans-serif" w:hAnsi="Times New Roman;sans-serif"/>
                  <w:b w:val="false"/>
                  <w:color w:val="0000FF"/>
                  <w:sz w:val="20"/>
                  <w:u w:val="single"/>
                </w:rPr>
                <w:t>Item 1 – 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24c176c8a463cb3fefe8481d89e37_118">
              <w:r>
                <w:rPr>
                  <w:rStyle w:val="InternetLink"/>
                  <w:rFonts w:ascii="Times New Roman;sans-serif" w:hAnsi="Times New Roman;sans-serif"/>
                  <w:b w:val="false"/>
                  <w:color w:val="0000FF"/>
                  <w:sz w:val="20"/>
                  <w:u w:val="single"/>
                </w:rPr>
                <w:t>44</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94d24c176c8a463cb3fefe8481d89e37_121">
              <w:r>
                <w:rPr>
                  <w:rStyle w:val="InternetLink"/>
                  <w:rFonts w:ascii="Times New Roman;sans-serif" w:hAnsi="Times New Roman;sans-serif"/>
                  <w:b w:val="false"/>
                  <w:color w:val="0000FF"/>
                  <w:sz w:val="20"/>
                  <w:u w:val="single"/>
                </w:rPr>
                <w:t>Item 1A – 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24c176c8a463cb3fefe8481d89e37_121">
              <w:r>
                <w:rPr>
                  <w:rStyle w:val="InternetLink"/>
                  <w:rFonts w:ascii="Times New Roman;sans-serif" w:hAnsi="Times New Roman;sans-serif"/>
                  <w:b w:val="false"/>
                  <w:color w:val="0000FF"/>
                  <w:sz w:val="20"/>
                  <w:u w:val="single"/>
                </w:rPr>
                <w:t>44</w:t>
              </w:r>
            </w:hyperlink>
          </w:p>
        </w:tc>
      </w:tr>
      <w:tr>
        <w:trPr/>
        <w:tc>
          <w:tcPr>
            <w:tcW w:w="8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94d24c176c8a463cb3fefe8481d89e37_1266">
              <w:r>
                <w:rPr>
                  <w:rStyle w:val="InternetLink"/>
                  <w:rFonts w:ascii="Times New Roman;sans-serif" w:hAnsi="Times New Roman;sans-serif"/>
                  <w:b w:val="false"/>
                  <w:color w:val="0000FF"/>
                  <w:sz w:val="20"/>
                  <w:u w:val="single"/>
                </w:rPr>
                <w:t>Item 5 -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24c176c8a463cb3fefe8481d89e37_1266">
              <w:r>
                <w:rPr>
                  <w:rStyle w:val="InternetLink"/>
                  <w:rFonts w:ascii="Times New Roman;sans-serif" w:hAnsi="Times New Roman;sans-serif"/>
                  <w:b w:val="false"/>
                  <w:color w:val="0000FF"/>
                  <w:sz w:val="20"/>
                  <w:u w:val="single"/>
                </w:rPr>
                <w:t>44</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94d24c176c8a463cb3fefe8481d89e37_127">
              <w:r>
                <w:rPr>
                  <w:rStyle w:val="InternetLink"/>
                  <w:rFonts w:ascii="Times New Roman;sans-serif" w:hAnsi="Times New Roman;sans-serif"/>
                  <w:b w:val="false"/>
                  <w:color w:val="0000FF"/>
                  <w:sz w:val="20"/>
                  <w:u w:val="single"/>
                </w:rPr>
                <w:t>Item 6 – 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24c176c8a463cb3fefe8481d89e37_127">
              <w:r>
                <w:rPr>
                  <w:rStyle w:val="InternetLink"/>
                  <w:rFonts w:ascii="Times New Roman;sans-serif" w:hAnsi="Times New Roman;sans-serif"/>
                  <w:b w:val="false"/>
                  <w:color w:val="0000FF"/>
                  <w:sz w:val="20"/>
                  <w:u w:val="single"/>
                </w:rPr>
                <w:t>45</w:t>
              </w:r>
            </w:hyperlink>
          </w:p>
        </w:tc>
      </w:tr>
      <w:tr>
        <w:trPr/>
        <w:tc>
          <w:tcPr>
            <w:tcW w:w="8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d24c176c8a463cb3fefe8481d89e37_130">
              <w:r>
                <w:rPr>
                  <w:rStyle w:val="InternetLink"/>
                  <w:rFonts w:ascii="Times New Roman;sans-serif" w:hAnsi="Times New Roman;sans-serif"/>
                  <w:b w:val="false"/>
                  <w:color w:val="0000FF"/>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24c176c8a463cb3fefe8481d89e37_130">
              <w:r>
                <w:rPr>
                  <w:rStyle w:val="InternetLink"/>
                  <w:rFonts w:ascii="Times New Roman;sans-serif" w:hAnsi="Times New Roman;sans-serif"/>
                  <w:b w:val="false"/>
                  <w:color w:val="0000FF"/>
                  <w:sz w:val="20"/>
                  <w:u w:val="single"/>
                </w:rPr>
                <w:t>46</w:t>
              </w:r>
            </w:hyperlink>
          </w:p>
        </w:tc>
      </w:tr>
      <w:tr>
        <w:trPr/>
        <w:tc>
          <w:tcPr>
            <w:tcW w:w="8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SPX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AND COMPREHENSIVE INCOME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 except per share amounts)</w:t>
      </w:r>
    </w:p>
    <w:tbl>
      <w:tblPr>
        <w:tblW w:w="9419" w:type="dxa"/>
        <w:jc w:val="center"/>
        <w:tblInd w:w="0" w:type="dxa"/>
        <w:tblLayout w:type="fixed"/>
        <w:tblCellMar>
          <w:top w:w="28" w:type="dxa"/>
          <w:left w:w="28" w:type="dxa"/>
          <w:bottom w:w="28" w:type="dxa"/>
          <w:right w:w="28" w:type="dxa"/>
        </w:tblCellMar>
      </w:tblPr>
      <w:tblGrid>
        <w:gridCol w:w="1795"/>
        <w:gridCol w:w="1574"/>
        <w:gridCol w:w="1580"/>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795"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products sold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charges,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income </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 before income taxes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discontinued operations, net of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disposition of discontinued operations, net of tax</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discontinued operations, net of tax</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income per share of common stock:</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discontinued operations, net of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share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common shares outstanding — basic</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income per share of common stock:</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Income from continuing operations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discontinued operations, net of tax</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share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common shares outstanding — diluted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Comprehensive income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SPX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 except share data)</w:t>
      </w:r>
    </w:p>
    <w:tbl>
      <w:tblPr>
        <w:tblW w:w="10205" w:type="dxa"/>
        <w:jc w:val="center"/>
        <w:tblInd w:w="0" w:type="dxa"/>
        <w:tblLayout w:type="fixed"/>
        <w:tblCellMar>
          <w:top w:w="28" w:type="dxa"/>
          <w:left w:w="28" w:type="dxa"/>
          <w:bottom w:w="28" w:type="dxa"/>
          <w:right w:w="28" w:type="dxa"/>
        </w:tblCellMar>
      </w:tblPr>
      <w:tblGrid>
        <w:gridCol w:w="3074"/>
        <w:gridCol w:w="2350"/>
        <w:gridCol w:w="2365"/>
        <w:gridCol w:w="196"/>
        <w:gridCol w:w="691"/>
        <w:gridCol w:w="109"/>
        <w:gridCol w:w="109"/>
        <w:gridCol w:w="109"/>
        <w:gridCol w:w="109"/>
        <w:gridCol w:w="205"/>
        <w:gridCol w:w="725"/>
        <w:gridCol w:w="163"/>
      </w:tblGrid>
      <w:tr>
        <w:trPr/>
        <w:tc>
          <w:tcPr>
            <w:tcW w:w="3074"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8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8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w:t>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 and leasehold improvements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Machinery and equipment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depreciation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Assets of DBT and Heat Transfer (includes cash and equivalents of $8.5 and $9.3 at July 1, 2023 and December 31, 2022, respectively) (Note 3)</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1,930.9 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AND STOCKHOLDERS' EQUITY</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debt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maturities of long-term debt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8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and other income taxes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of DBT and Heat Transfer (Note 3)</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liabilities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contingent liabilities (Note 15)</w:t>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8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(53,529,856 and 45,581,485 issued and outstanding at July 1, 2023, respectively, and 53,350,918 and 45,291,989 issued and outstanding at December 31, 2022, respectively)</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 capital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1,338.3 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 (deficit)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in treasury (7,948,371 and 8,058,929 shares at July 1, 2023 and December 31, 2022, respectively)</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8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1,930.9 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SPX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57"/>
        <w:gridCol w:w="448"/>
        <w:gridCol w:w="379"/>
        <w:gridCol w:w="246"/>
        <w:gridCol w:w="473"/>
        <w:gridCol w:w="139"/>
        <w:gridCol w:w="109"/>
        <w:gridCol w:w="109"/>
        <w:gridCol w:w="109"/>
        <w:gridCol w:w="205"/>
        <w:gridCol w:w="725"/>
        <w:gridCol w:w="114"/>
        <w:gridCol w:w="109"/>
        <w:gridCol w:w="109"/>
        <w:gridCol w:w="109"/>
        <w:gridCol w:w="265"/>
        <w:gridCol w:w="632"/>
        <w:gridCol w:w="147"/>
        <w:gridCol w:w="109"/>
        <w:gridCol w:w="109"/>
        <w:gridCol w:w="109"/>
        <w:gridCol w:w="353"/>
        <w:gridCol w:w="1005"/>
        <w:gridCol w:w="198"/>
        <w:gridCol w:w="109"/>
        <w:gridCol w:w="109"/>
        <w:gridCol w:w="109"/>
        <w:gridCol w:w="247"/>
        <w:gridCol w:w="749"/>
        <w:gridCol w:w="137"/>
        <w:gridCol w:w="109"/>
        <w:gridCol w:w="109"/>
        <w:gridCol w:w="109"/>
        <w:gridCol w:w="251"/>
        <w:gridCol w:w="890"/>
        <w:gridCol w:w="210"/>
      </w:tblGrid>
      <w:tr>
        <w:trPr/>
        <w:tc>
          <w:tcPr>
            <w:tcW w:w="75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July 1, 2023</w:t>
            </w:r>
          </w:p>
        </w:tc>
      </w:tr>
      <w:tr>
        <w:trPr/>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In 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April 1, 2023</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1,335.3 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259.3 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(460.2)</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1,126.1 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36.0 </w:t>
            </w:r>
          </w:p>
        </w:tc>
        <w:tc>
          <w:tcPr>
            <w:tcW w:w="21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w:t>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Incentive plan activity</w:t>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Long-term incentive compensation expense</w:t>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21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unit vesting</w:t>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July 1, 2023</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1,341.5 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262.5 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(459.1)</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1,172.6 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47"/>
        <w:gridCol w:w="416"/>
        <w:gridCol w:w="418"/>
        <w:gridCol w:w="246"/>
        <w:gridCol w:w="473"/>
        <w:gridCol w:w="138"/>
        <w:gridCol w:w="109"/>
        <w:gridCol w:w="109"/>
        <w:gridCol w:w="109"/>
        <w:gridCol w:w="205"/>
        <w:gridCol w:w="724"/>
        <w:gridCol w:w="114"/>
        <w:gridCol w:w="109"/>
        <w:gridCol w:w="109"/>
        <w:gridCol w:w="109"/>
        <w:gridCol w:w="255"/>
        <w:gridCol w:w="657"/>
        <w:gridCol w:w="142"/>
        <w:gridCol w:w="109"/>
        <w:gridCol w:w="109"/>
        <w:gridCol w:w="109"/>
        <w:gridCol w:w="353"/>
        <w:gridCol w:w="1004"/>
        <w:gridCol w:w="198"/>
        <w:gridCol w:w="109"/>
        <w:gridCol w:w="109"/>
        <w:gridCol w:w="109"/>
        <w:gridCol w:w="247"/>
        <w:gridCol w:w="748"/>
        <w:gridCol w:w="137"/>
        <w:gridCol w:w="109"/>
        <w:gridCol w:w="109"/>
        <w:gridCol w:w="109"/>
        <w:gridCol w:w="251"/>
        <w:gridCol w:w="889"/>
        <w:gridCol w:w="208"/>
      </w:tblGrid>
      <w:tr>
        <w:trPr/>
        <w:tc>
          <w:tcPr>
            <w:tcW w:w="74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July 1, 2023</w:t>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In 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1,338.3 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257.5 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(465.5)</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1,079.2 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78.8 </w:t>
            </w:r>
          </w:p>
        </w:tc>
        <w:tc>
          <w:tcPr>
            <w:tcW w:w="2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w:t>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Incentive plan activity</w:t>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Long-term incentive compensation expense</w:t>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20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unit vesting</w:t>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July 1, 2023</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1,341.5 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262.5 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(459.1)</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1,172.6 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67"/>
        <w:gridCol w:w="464"/>
        <w:gridCol w:w="396"/>
        <w:gridCol w:w="249"/>
        <w:gridCol w:w="479"/>
        <w:gridCol w:w="140"/>
        <w:gridCol w:w="109"/>
        <w:gridCol w:w="109"/>
        <w:gridCol w:w="109"/>
        <w:gridCol w:w="206"/>
        <w:gridCol w:w="728"/>
        <w:gridCol w:w="114"/>
        <w:gridCol w:w="109"/>
        <w:gridCol w:w="109"/>
        <w:gridCol w:w="109"/>
        <w:gridCol w:w="218"/>
        <w:gridCol w:w="558"/>
        <w:gridCol w:w="121"/>
        <w:gridCol w:w="109"/>
        <w:gridCol w:w="109"/>
        <w:gridCol w:w="109"/>
        <w:gridCol w:w="361"/>
        <w:gridCol w:w="1029"/>
        <w:gridCol w:w="203"/>
        <w:gridCol w:w="109"/>
        <w:gridCol w:w="109"/>
        <w:gridCol w:w="109"/>
        <w:gridCol w:w="253"/>
        <w:gridCol w:w="769"/>
        <w:gridCol w:w="140"/>
        <w:gridCol w:w="109"/>
        <w:gridCol w:w="109"/>
        <w:gridCol w:w="109"/>
        <w:gridCol w:w="255"/>
        <w:gridCol w:w="904"/>
        <w:gridCol w:w="216"/>
      </w:tblGrid>
      <w:tr>
        <w:trPr/>
        <w:tc>
          <w:tcPr>
            <w:tcW w:w="76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July 2, 2022</w:t>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In 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April 2, 2022</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1,321.2 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266.9 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(432.4)</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1,115.8 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13.0 </w:t>
            </w:r>
          </w:p>
        </w:tc>
        <w:tc>
          <w:tcPr>
            <w:tcW w:w="2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net</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Incentive plan activity</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Long-term incentive compensation expense</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21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unit vesting</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2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repurchases</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July 2, 2022</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1,327.3 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254.0 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(465.8)</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1,088.6 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58"/>
        <w:gridCol w:w="434"/>
        <w:gridCol w:w="436"/>
        <w:gridCol w:w="249"/>
        <w:gridCol w:w="479"/>
        <w:gridCol w:w="140"/>
        <w:gridCol w:w="109"/>
        <w:gridCol w:w="109"/>
        <w:gridCol w:w="109"/>
        <w:gridCol w:w="206"/>
        <w:gridCol w:w="728"/>
        <w:gridCol w:w="114"/>
        <w:gridCol w:w="109"/>
        <w:gridCol w:w="109"/>
        <w:gridCol w:w="109"/>
        <w:gridCol w:w="218"/>
        <w:gridCol w:w="558"/>
        <w:gridCol w:w="121"/>
        <w:gridCol w:w="109"/>
        <w:gridCol w:w="109"/>
        <w:gridCol w:w="109"/>
        <w:gridCol w:w="361"/>
        <w:gridCol w:w="1029"/>
        <w:gridCol w:w="203"/>
        <w:gridCol w:w="109"/>
        <w:gridCol w:w="109"/>
        <w:gridCol w:w="109"/>
        <w:gridCol w:w="253"/>
        <w:gridCol w:w="769"/>
        <w:gridCol w:w="140"/>
        <w:gridCol w:w="109"/>
        <w:gridCol w:w="109"/>
        <w:gridCol w:w="109"/>
        <w:gridCol w:w="255"/>
        <w:gridCol w:w="904"/>
        <w:gridCol w:w="215"/>
      </w:tblGrid>
      <w:tr>
        <w:trPr/>
        <w:tc>
          <w:tcPr>
            <w:tcW w:w="75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July 2, 2022</w:t>
            </w:r>
          </w:p>
        </w:tc>
      </w:tr>
      <w:tr>
        <w:trPr/>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In 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2021</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1,334.2 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263.9 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(443.9)</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1,102.9 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24.4 </w:t>
            </w:r>
          </w:p>
        </w:tc>
        <w:tc>
          <w:tcPr>
            <w:tcW w:w="21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net</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Incentive plan activity</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Long-term incentive compensation expense</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21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unit vesting</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w:t>
            </w:r>
          </w:p>
        </w:tc>
        <w:tc>
          <w:tcPr>
            <w:tcW w:w="21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repurchases</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July 2, 2022</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1,327.3 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254.0 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(465.8)</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1,088.6 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SPX TECHNOLOGIES, INC. AND SUBSIDIARIES</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w:t>
      </w:r>
    </w:p>
    <w:tbl>
      <w:tblPr>
        <w:tblW w:w="10205" w:type="dxa"/>
        <w:jc w:val="center"/>
        <w:tblInd w:w="0" w:type="dxa"/>
        <w:tblLayout w:type="fixed"/>
        <w:tblCellMar>
          <w:top w:w="28" w:type="dxa"/>
          <w:left w:w="28" w:type="dxa"/>
          <w:bottom w:w="28" w:type="dxa"/>
          <w:right w:w="28" w:type="dxa"/>
        </w:tblCellMar>
      </w:tblPr>
      <w:tblGrid>
        <w:gridCol w:w="3039"/>
        <w:gridCol w:w="2570"/>
        <w:gridCol w:w="2590"/>
        <w:gridCol w:w="196"/>
        <w:gridCol w:w="466"/>
        <w:gridCol w:w="109"/>
        <w:gridCol w:w="109"/>
        <w:gridCol w:w="109"/>
        <w:gridCol w:w="109"/>
        <w:gridCol w:w="196"/>
        <w:gridCol w:w="556"/>
        <w:gridCol w:w="156"/>
      </w:tblGrid>
      <w:tr>
        <w:trPr/>
        <w:tc>
          <w:tcPr>
            <w:tcW w:w="3039"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8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(used in) operating activities:</w:t>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Gain (loss) from discontinued operations, net of tax</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income from continuing operations to net cash from (used in) operating activities:</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charges, net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change in fair value of equity security</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9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and other income taxes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and other employee benefits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incentive compensation</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effects from acquisitions and divestitures:</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and other assets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accrued expenses and other</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spending on restructuring actions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from (used in) continuing operations</w:t>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discontinued operations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from (used in) operating activities</w:t>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(used in) investing activities:</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related to company-owned life insurance policies, net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acquisitions, net of cash acquired</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continuing operations</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discontinued operations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(used in) financing activities:</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under senior credit facilities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under senior credit facilities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under trade receivables arrangement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under trade receivables arrangement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repayments under other financing arrangements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contingent consideration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Minimum withholdings paid on behalf of employees for net share settlements, net of proceeds from the exercise of employee stock options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Fees Paid</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of common stock</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9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9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from (used in) continuing operations</w:t>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from discontinued operations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from (used in) financing activities</w:t>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cash and equivalents due to changes in foreign currency exchange rates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and equivalents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cash and equivalents, beginning of period</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cash and equivalents,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833" w:type="dxa"/>
        <w:jc w:val="center"/>
        <w:tblInd w:w="0" w:type="dxa"/>
        <w:tblLayout w:type="fixed"/>
        <w:tblCellMar>
          <w:top w:w="28" w:type="dxa"/>
          <w:left w:w="28" w:type="dxa"/>
          <w:bottom w:w="28" w:type="dxa"/>
          <w:right w:w="28" w:type="dxa"/>
        </w:tblCellMar>
      </w:tblPr>
      <w:tblGrid>
        <w:gridCol w:w="1748"/>
        <w:gridCol w:w="1538"/>
        <w:gridCol w:w="1543"/>
        <w:gridCol w:w="196"/>
        <w:gridCol w:w="466"/>
        <w:gridCol w:w="109"/>
        <w:gridCol w:w="109"/>
        <w:gridCol w:w="109"/>
        <w:gridCol w:w="109"/>
        <w:gridCol w:w="196"/>
        <w:gridCol w:w="556"/>
        <w:gridCol w:w="154"/>
      </w:tblGrid>
      <w:tr>
        <w:trPr/>
        <w:tc>
          <w:tcPr>
            <w:tcW w:w="1748"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Components of cash and equivalents:</w:t>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equivalents included in assets of DBT and Heat Transfer</w:t>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and equivalents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SPX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 except per share data)</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(1)    BASIS OF PRESENTATION</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indicated, “we,” “us” and “our” mean SPX Technologies, Inc. and its consolidated subsidiaries (“SPX”).</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prepared the condensed consolidated financial statements pursuant to the rules and regulations of the Securities and Exchange Commission (“SEC”) for interim reporting. As permitted under those rules and regulations, certain footnotes or other financial information normally required by accounting principles generally accepted in the United States (“GAAP”) can be condensed or omitted. The financial statements represent our accounts after the elimination of intercompany transactions and, in our opinion, include the adjustments (consisting only of normal and recurring items) necessary for their presentation. Unless otherwise indicated, amounts provided in these Notes pertain to continuing operations only (see Note 3 for information on discontinued operations).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investments in unconsolidated companies where we exercise significant influence but do not have control using the equity method. In determining whether we are the primary beneficiary of a variable interest entity (“VIE”), we perform a qualitative analysis that considers the design of the VIE, the nature of our involvement and the variable interests held by other parties to determine which party has the power to direct the activities of the VIE that most significantly impact the entity’s economic performance, and which party has the obligation to absorb losses or the right to receive benefits that could potentially be significant to the VIE. All of our VIE’s are immaterial, individually and in aggregate, to our condensed consolidated financial statements.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Merger and Consummation of Holding Company Reorganization</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August 15, 2022, SPX Technologies, Inc. (the “Company”) is the successor registrant pursuant to Rule 12g-3(a) under the Securities Exchange Act of 1934, as amended, to SPX Corporation (“Legacy SPX”) as a result of the completion on August 15, 2022 of a holding company reorganization (the “Holding Company Reorganization”) effected as a merger of Legacy SPX with and into SPX Merger, LLC, a subsidiary of the Company. Each share of Legacy SPX’s common stock, par value $0.01 per share, issued and outstanding immediately prior to the consummation of the Holding Company Reorganization was automatically converted into an equivalent corresponding share of the Company’s common stock having the same designations, rights, powers and preferences and the qualifications, limitations and restrictions as the corresponding share of Legacy SPX common stock being converted. Accordingly, upon consummation of the Holding Company Reorganization, Legacy SPX stockholders became stockholders of the Company. The terms “SPX,” “we” and “our” include Legacy SPX for periods prior to the consummation of the Holding Company Reorganization as the context requires.</w:t>
      </w:r>
    </w:p>
    <w:p>
      <w:pPr>
        <w:pStyle w:val="TextBody"/>
        <w:bidi w:val="0"/>
        <w:spacing w:before="0" w:after="0"/>
        <w:jc w:val="left"/>
        <w:rPr/>
      </w:pPr>
      <w:r>
        <w:rPr/>
      </w:r>
    </w:p>
    <w:p>
      <w:pPr>
        <w:pStyle w:val="TextBody"/>
        <w:bidi w:val="0"/>
        <w:spacing w:lineRule="auto" w:line="276" w:before="0" w:after="200"/>
        <w:jc w:val="both"/>
        <w:rPr>
          <w:rFonts w:ascii="Times New Roman;sans-serif" w:hAnsi="Times New Roman;sans-serif"/>
          <w:b/>
          <w:color w:val="000000"/>
          <w:sz w:val="20"/>
        </w:rPr>
      </w:pPr>
      <w:r>
        <w:rPr>
          <w:rFonts w:ascii="Times New Roman;sans-serif" w:hAnsi="Times New Roman;sans-serif"/>
          <w:b/>
          <w:color w:val="000000"/>
          <w:sz w:val="20"/>
        </w:rPr>
        <w:t>Divestiture of Asbestos Liabilities and Certain Assets</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2022, we divested three wholly-owned subsidiaries that hold asbestos liabilities and certain assets, including related insurance assets, to Canvas Holdco LLC (“Canvas”), an entity formed by a joint venture of Global Risk Capital LLC and an affiliate of Premia Holdings Ltd. In connection with the divestiture (the “Asbestos Portfolio Sale”), the divested subsidiaries have agreed to indemnify us and our affiliates for their asbestos-related liabilities, which encompassed all of our consolidated asbestos-related liabilities and contingent liabilities immediately prior to the divestiture. These indemnification obligations are not subject to any cap or time limitation. As a result of this transaction, the Company divested all obligations with respect to pending and future asbestos claims relating to these matters. The board of managers of the divested subsidiaries each received a solvency opinion from an independent advisory firm that the divested subsidiaries were solvent after giving effect to the Asbestos Portfolio Sale.</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agreement for the Asbestos Portfolio Sale contains customary representations and warranties with respect to the divested subsidiaries, the Company, and Canvas. Pursuant to the agreement, the Company and Canvas will each indemnify the other for breaches of representation and warranties or breaches of covenants, subject to certain limitations as set forth in the agreement. Refer to Note 15 for additional details.</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Acquisition of Cincinnati Fan</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On December 15, 2021, we completed the acquisition of Cincinnati Fan &amp; Ventilator Co., Inc. (“Cincinnati Fan”), a leader in engineered air movement solutions, including blowers and critical exhaust systems. W</w:t>
      </w:r>
      <w:r>
        <w:rPr>
          <w:rFonts w:ascii="Times New Roman;sans-serif" w:hAnsi="Times New Roman;sans-serif"/>
          <w:b w:val="false"/>
          <w:color w:val="000000"/>
          <w:sz w:val="20"/>
        </w:rPr>
        <w:t>e purchased Cincinnati Fan for cash consideration of $145.2, net of (i) cash acquired of $2.5 and (ii) an adjustment to the purchase price received during the second quarter of 2022 related to acquired working capital of $0.4. The post-acquisition operating results of Cincinnati Fan are reflected within our HVAC reportable segment.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Acquisition of ITL</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On March 31, 2022, we completed the acquisition of International Tower Lighting, LLC (</w:t>
      </w:r>
      <w:r>
        <w:rPr>
          <w:color w:val="000000"/>
          <w:shd w:fill="FFFFFF" w:val="clear"/>
        </w:rPr>
        <w:t>“</w:t>
      </w:r>
      <w:r>
        <w:rPr>
          <w:rFonts w:ascii="Times New Roman;sans-serif" w:hAnsi="Times New Roman;sans-serif"/>
          <w:b w:val="false"/>
          <w:color w:val="000000"/>
          <w:sz w:val="20"/>
        </w:rPr>
        <w:t>ITL</w:t>
      </w:r>
      <w:r>
        <w:rPr>
          <w:color w:val="000000"/>
          <w:shd w:fill="FFFFFF" w:val="clear"/>
        </w:rPr>
        <w:t>”</w:t>
      </w:r>
      <w:r>
        <w:rPr>
          <w:rFonts w:ascii="Times New Roman;sans-serif" w:hAnsi="Times New Roman;sans-serif"/>
          <w:b w:val="false"/>
          <w:color w:val="000000"/>
          <w:sz w:val="20"/>
        </w:rPr>
        <w:t>), a leader in the design and manufacture of highly-engineered Aids to Navigation systems, including obstruction lighting for telecommunications towers, wind turbines and numerous other terrestrial obstructions. We purchased ITL for cash consideration of $40.4, net of (i) cash acquired of $1.1 and (ii) an adjustment to the purchase price received during the third quarter of 2022 related to acquired working capital of $1.4. The post-acquisition operating results of ITL</w:t>
      </w:r>
      <w:r>
        <w:rPr>
          <w:color w:val="000000"/>
          <w:shd w:fill="FFFFFF" w:val="clear"/>
        </w:rPr>
        <w:t xml:space="preserve"> </w:t>
      </w:r>
      <w:r>
        <w:rPr>
          <w:rFonts w:ascii="Times New Roman;sans-serif" w:hAnsi="Times New Roman;sans-serif"/>
          <w:b w:val="false"/>
          <w:color w:val="000000"/>
          <w:sz w:val="20"/>
          <w:shd w:fill="FFFFFF" w:val="clear"/>
        </w:rPr>
        <w:t>are reflected withi</w:t>
      </w:r>
      <w:r>
        <w:rPr>
          <w:rFonts w:ascii="Times New Roman;sans-serif" w:hAnsi="Times New Roman;sans-serif"/>
          <w:b w:val="false"/>
          <w:color w:val="000000"/>
          <w:sz w:val="20"/>
        </w:rPr>
        <w:t>n our Detection and Measurement reportable segment.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Acquisition of TAMCO</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On April 3, 2023, we completed the acquisition of T. A. Morrison &amp; Co. Inc. (</w:t>
      </w:r>
      <w:r>
        <w:rPr>
          <w:color w:val="000000"/>
        </w:rPr>
        <w:t>“</w:t>
      </w:r>
      <w:r>
        <w:rPr>
          <w:rFonts w:ascii="Times New Roman;sans-serif" w:hAnsi="Times New Roman;sans-serif"/>
          <w:b w:val="false"/>
          <w:color w:val="000000"/>
          <w:sz w:val="20"/>
        </w:rPr>
        <w:t>TAMCO”</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a market leader in motorized and non-motorized dampers that control airflow in large-scale specialty applications in commercial, industrial, and institutional markets</w:t>
      </w:r>
      <w:r>
        <w:rPr>
          <w:rFonts w:ascii="Times New Roman;sans-serif" w:hAnsi="Times New Roman;sans-serif"/>
          <w:b w:val="false"/>
          <w:color w:val="000000"/>
          <w:sz w:val="20"/>
          <w:shd w:fill="FFFFFF" w:val="clear"/>
        </w:rPr>
        <w:t xml:space="preserve">. We purchased TAMCO for cash consideration of $125.3, net of cash acquired of </w:t>
      </w:r>
      <w:r>
        <w:rPr>
          <w:rFonts w:ascii="Times New Roman;sans-serif" w:hAnsi="Times New Roman;sans-serif"/>
          <w:b w:val="false"/>
          <w:color w:val="000000"/>
          <w:sz w:val="20"/>
        </w:rPr>
        <w:t>$1.0</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The purchase price is subject to adjustment based upon the final calculation of working capital and cash as of the date of acquisition. </w:t>
      </w:r>
      <w:r>
        <w:rPr>
          <w:rFonts w:ascii="Times New Roman;sans-serif" w:hAnsi="Times New Roman;sans-serif"/>
          <w:b w:val="false"/>
          <w:color w:val="000000"/>
          <w:sz w:val="20"/>
          <w:shd w:fill="FFFFFF" w:val="clear"/>
        </w:rPr>
        <w:t>The post-acquisition operating results of TAMCO are reflected within our HVAC reportable segment.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Acquisition of ASPEQ</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On June 2, 2023, we completed the acquisition of ASPEQ Heating Group (</w:t>
      </w:r>
      <w:r>
        <w:rPr>
          <w:color w:val="000000"/>
        </w:rPr>
        <w:t>“</w:t>
      </w:r>
      <w:r>
        <w:rPr>
          <w:rFonts w:ascii="Times New Roman;sans-serif" w:hAnsi="Times New Roman;sans-serif"/>
          <w:b w:val="false"/>
          <w:color w:val="000000"/>
          <w:sz w:val="20"/>
        </w:rPr>
        <w:t>ASPEQ”), a leading provider of electrical heating solutions to customers in industrial and commercial markets. We purchased ASPEQ for cash consideration of $421.8, net of cash acquired of $0.9. The purchase price is subject to adjustment based upon the final calculation of working capital and cash as of the date of acquisition. The post-acquisition operating results of ASPEQ are reflected within our HVAC reportable segment.</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assets acquired and liabilities assumed in the TAMCO and ASPEQ transactions have been recorded at estimates of fair value as determined by management, based on information available and assumptions as to future operations and are subject to change, primarily for the final assessment and valuation of certain income tax amounts and acquired intangible assets.</w:t>
      </w:r>
    </w:p>
    <w:p>
      <w:pPr>
        <w:pStyle w:val="TextBody"/>
        <w:bidi w:val="0"/>
        <w:spacing w:before="0" w:after="0"/>
        <w:jc w:val="both"/>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Other</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Preparing financial statements requires us to make estimates and assumptions that affect the reported amounts of assets, liabilities, revenues and expenses. Actual results could differ from these estimates. The unaudited information included in this Quarterly Report on Form 10-Q should be read in conjunction with the consolidated financial statements contained in our Annual Report on Form 10-K for the year ended December 31, 2022 (“our 2022 Annual Report on Form 10-K”). Interim results are not necessarily indicative of full year results. </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establish actual interim closing dates using a fiscal calendar, which requires our businesses to close their books on the Saturday closest to the end of the first calendar quarter, with the second and third quarters being 91 days in length. Our fourth quarter ends on December 31. The interim closing dates for the first, second and third quarters of 2023 are April 1, July 1, and September 30, compared to the respective April 2, July 2, and October 1, 2022 dates. We had one less day in the first quarter of 2023 and will have one more day in the fourth quarter of 2023 than in the respective 2022 periods. It is not practicable to estimate the impact of the one less day on our consolidated operating results for the six months ended July 1, 2023, when compared to the consolidated operating results for the respective 2022 period.</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Correction of Prior-Year Classification and Disclosure</w:t>
      </w:r>
    </w:p>
    <w:p>
      <w:pPr>
        <w:pStyle w:val="TextBody"/>
        <w:bidi w:val="0"/>
        <w:spacing w:lineRule="auto" w:line="288" w:before="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2022, we concluded that, although the assessment of our reportable segments was performed using the appropriate measures as defined by the Segment Reporting Topic of the Accounting Standards Codification (“Codification”), the disclosure of operating income for each of our reportable segments (“Segment Income”) was not consistent with the measure used by our Chief Operating Decision Maker (“CODM”) when evaluating the results of, or allocating resources to, our reportable segments. We previously disclosed that Segment Income was determined before considering impairments and special charges, long-term incentive compensation, certain other operating income/expense, and other indirect corporate expenses. Our CODM also excludes the impact of intangible asset amortization, inventory step-up charges, and certain other acquisition-related costs from Segment Income. Accordingly, Segment Income, as presented in Note 6, now excludes all of the items noted above. This change had no impact to the amounts previously presented in our condensed consolidated statements of operations for the three and six months ended July 2, 2022. Although the impact of this change to previously disclosed Segment Income is not material, we revised the prior-year presentation to be consistent with the current-year disclosure. The impact of this change on the Segment Income previously presented for the three and six months ended July 2, 2022 is summarized below:</w:t>
      </w:r>
    </w:p>
    <w:tbl>
      <w:tblPr>
        <w:tblW w:w="10205" w:type="dxa"/>
        <w:jc w:val="left"/>
        <w:tblInd w:w="0" w:type="dxa"/>
        <w:tblLayout w:type="fixed"/>
        <w:tblCellMar>
          <w:top w:w="28" w:type="dxa"/>
          <w:left w:w="28" w:type="dxa"/>
          <w:bottom w:w="28" w:type="dxa"/>
          <w:right w:w="28" w:type="dxa"/>
        </w:tblCellMar>
      </w:tblPr>
      <w:tblGrid>
        <w:gridCol w:w="791"/>
        <w:gridCol w:w="535"/>
        <w:gridCol w:w="544"/>
        <w:gridCol w:w="301"/>
        <w:gridCol w:w="717"/>
        <w:gridCol w:w="168"/>
        <w:gridCol w:w="109"/>
        <w:gridCol w:w="109"/>
        <w:gridCol w:w="109"/>
        <w:gridCol w:w="251"/>
        <w:gridCol w:w="521"/>
        <w:gridCol w:w="139"/>
        <w:gridCol w:w="109"/>
        <w:gridCol w:w="109"/>
        <w:gridCol w:w="109"/>
        <w:gridCol w:w="310"/>
        <w:gridCol w:w="740"/>
        <w:gridCol w:w="173"/>
        <w:gridCol w:w="109"/>
        <w:gridCol w:w="109"/>
        <w:gridCol w:w="109"/>
        <w:gridCol w:w="301"/>
        <w:gridCol w:w="717"/>
        <w:gridCol w:w="168"/>
        <w:gridCol w:w="109"/>
        <w:gridCol w:w="109"/>
        <w:gridCol w:w="109"/>
        <w:gridCol w:w="251"/>
        <w:gridCol w:w="521"/>
        <w:gridCol w:w="139"/>
        <w:gridCol w:w="109"/>
        <w:gridCol w:w="109"/>
        <w:gridCol w:w="109"/>
        <w:gridCol w:w="305"/>
        <w:gridCol w:w="724"/>
        <w:gridCol w:w="254"/>
      </w:tblGrid>
      <w:tr>
        <w:trPr/>
        <w:tc>
          <w:tcPr>
            <w:tcW w:w="79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1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July 2,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July 2, 2022</w:t>
            </w:r>
          </w:p>
        </w:tc>
      </w:tr>
      <w:tr>
        <w:trPr/>
        <w:tc>
          <w:tcPr>
            <w:tcW w:w="1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Previously Presented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 Presentation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Previously Presented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 Presentation</w:t>
            </w:r>
          </w:p>
        </w:tc>
      </w:tr>
      <w:tr>
        <w:trPr/>
        <w:tc>
          <w:tcPr>
            <w:tcW w:w="1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HVAC reportable segment</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Detection and Measurement reportable segment</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income for segments</w:t>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expense</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Acquisition related costs </w:t>
            </w:r>
            <w:r>
              <w:rPr>
                <w:rFonts w:ascii="Times New Roman;sans-serif" w:hAnsi="Times New Roman;sans-serif"/>
                <w:b w:val="false"/>
                <w:color w:val="000000"/>
                <w:sz w:val="12"/>
              </w:rPr>
              <w:t>(1)</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incentive compensation expense</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charges, net</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 net</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operating income</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Represents additional “Cost of products sold” related to the step-up of inventory (to fair value) acquired in connection with the ITL acquisition of $0.9 and $1.0 during the three and six months ended July 2, 2022, respectively.</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(2)    NEW ACCOUNTING PRONOUNCEMENTS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new accounting pronouncements that apply or may apply to our business.</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London Interbank Offered Rate (“LIBOR”) was discontinued on June 30, 2023. In an effort to address the various challenges created by such discontinuance, the Financial Accounting Standards Board (“FASB”) issued three amendments to existing guidance, Accounting Standards Update (“ASU”) No. 2020-04, No. 2021-01, and No. 2022-06, Reference Rate Reform. The amended guidance is designed to provide relief from the accounting analysis and impacts that may otherwise be required for modifications to agreements (e.g., loans, debt securities, derivatives, etc.) necessitated by the reference rate reform. It also provides optional expedients to enable companies to continue to apply hedge accounting to certain hedging relationships impacted by the reference rate reform. Application of the guidance in the amendments is optional, is only available in certain situations, and is only available for companies to apply until December 31, 2024. In conjunction with entering into an amended and restated credit agreement on August 12, 2022, we adopted this guidance with no material impact on our condensed consolidated financial statements.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(3)    ACQUISITIONS AND DISCONTINUED OPERATIONS</w:t>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Acquisition of ASPEQ</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indicated in Note 1, on June 2, 2023, we completed the acquisition of ASPEQ for $421.8, net of cash acquired of $0.9. We financed the acquisition with available cash and borrowings under our senior credit facilities. The assets acquired and liabilities assumed have been recorded at preliminary estimates of fair value as determined by management, based on information currently available and on current assumptions as to future operations and are subject to change upon completion of the acquisition method of accounting. Final determination of the fair values of certain assets and liabilities will be completed within the measurement period of up to one year from the acquisition date, as permitted under GAAP. The following is a summary of the recorded preliminary fair values of the assets acquired and liabilities assumed for ASPEQ as of June 2, 2023: </w:t>
      </w:r>
    </w:p>
    <w:p>
      <w:pPr>
        <w:pStyle w:val="TextBody"/>
        <w:bidi w:val="0"/>
        <w:spacing w:before="0" w:after="0"/>
        <w:ind w:left="0" w:right="0" w:firstLine="720"/>
        <w:jc w:val="both"/>
        <w:rPr/>
      </w:pPr>
      <w:r>
        <w:rPr/>
      </w:r>
    </w:p>
    <w:tbl>
      <w:tblPr>
        <w:tblW w:w="5163" w:type="dxa"/>
        <w:jc w:val="left"/>
        <w:tblInd w:w="0" w:type="dxa"/>
        <w:tblLayout w:type="fixed"/>
        <w:tblCellMar>
          <w:top w:w="28" w:type="dxa"/>
          <w:left w:w="28" w:type="dxa"/>
          <w:bottom w:w="28" w:type="dxa"/>
          <w:right w:w="28" w:type="dxa"/>
        </w:tblCellMar>
      </w:tblPr>
      <w:tblGrid>
        <w:gridCol w:w="1423"/>
        <w:gridCol w:w="1249"/>
        <w:gridCol w:w="1258"/>
        <w:gridCol w:w="109"/>
        <w:gridCol w:w="109"/>
        <w:gridCol w:w="109"/>
        <w:gridCol w:w="196"/>
        <w:gridCol w:w="556"/>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 including cash and equivalents of $0.9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Non-current liabilities assumed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Includes net deferred income tax liabilities and other liabilities of $34.0 and $1.0, respectively.</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identifiable intangible assets acquired consist of customer relationships, trademarks, technology, and customer backlog of $142.3, $51.5, $47.8, and $4.5, respectively, with such amounts based on a preliminary assessment of the related fair values. We expect to amortize the customer relationships, technology, and customer backlog assets over 12.0, 16.0, and 1.0 years, respectively, with the trademarks acquired being indefinite lived.</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acquired gross receivables of $17.2, which had a fair value at the acquisition date of $17.1 based on our estimates of cash flows expected to be recovered.</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qualitative factors that comprise the recorded goodwill include expected market growth for ASPEQ’s existing operations, increased volumes achieved by selling ASPEQ’s products through existing SPX sales channels, procurement and operational savings and efficiencies, and various other factors. We expect none of the goodwill described above to be deductible for tax purposes.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Between the acquisition date and July 1, 2023, we recognized revenues and a net loss for ASPEQ of $8.6 and $0.5, respectively. The net loss included charges of $1.1 associated with the excess fair value (over historical cost) of inventory acquired which was subsequently sold during the period June 2, 2023 through July 1, 2023. During the three and six months ended July 1, 2023, we incurred acquisition-related costs for ASPEQ of $4.6 and $5.1, respectively, which have been recorded to “Selling, general and administrative” within our condensed consolidated statements of operations and “Corporate expense” within consolidated operating income in Note 6.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unaudited pro forma information presents our results of operations for the three and six months ended July 1, 2023 and July 2, 2022, respectively, as if the acquisition of ASPEQ had taken place on January 1, 2022. The unaudited pro forma financial information is not intended to represent or be indicative of our consolidated results of operations that would have been reported had the acquisition been completed as of the date presented, and should not be taken as representative of our future consolidated results of operations. The pro forma results include estimates and assumptions that management believes are reasonable; however, these results do not include any anticipated cost savings or expenses of the planned integration of ASPEQ. These pro forma results of operations have been prepared for comparative purposes only and include additional interest expense on the borrowings required to finance the acquisition, additional depreciation and amortization expense associated with fair value adjustments to the acquired property, plant and equipment and intangible assets, adjustments to reflect charges associated with acquisition-related costs and charges associated with the excess fair value (over historical cost) of inventory acquired and subsequently sold as if they were incurred during the first quarter of 2022, and the related income tax effects.</w:t>
      </w:r>
    </w:p>
    <w:p>
      <w:pPr>
        <w:pStyle w:val="TextBody"/>
        <w:bidi w:val="0"/>
        <w:spacing w:before="0" w:after="0"/>
        <w:ind w:left="0" w:right="0" w:firstLine="720"/>
        <w:jc w:val="both"/>
        <w:rPr/>
      </w:pPr>
      <w:r>
        <w:rPr/>
      </w:r>
    </w:p>
    <w:tbl>
      <w:tblPr>
        <w:tblW w:w="9665" w:type="dxa"/>
        <w:jc w:val="left"/>
        <w:tblInd w:w="0" w:type="dxa"/>
        <w:tblLayout w:type="fixed"/>
        <w:tblCellMar>
          <w:top w:w="28" w:type="dxa"/>
          <w:left w:w="28" w:type="dxa"/>
          <w:bottom w:w="28" w:type="dxa"/>
          <w:right w:w="28" w:type="dxa"/>
        </w:tblCellMar>
      </w:tblPr>
      <w:tblGrid>
        <w:gridCol w:w="1671"/>
        <w:gridCol w:w="1469"/>
        <w:gridCol w:w="1480"/>
        <w:gridCol w:w="229"/>
        <w:gridCol w:w="649"/>
        <w:gridCol w:w="127"/>
        <w:gridCol w:w="109"/>
        <w:gridCol w:w="109"/>
        <w:gridCol w:w="109"/>
        <w:gridCol w:w="229"/>
        <w:gridCol w:w="649"/>
        <w:gridCol w:w="127"/>
        <w:gridCol w:w="109"/>
        <w:gridCol w:w="109"/>
        <w:gridCol w:w="109"/>
        <w:gridCol w:w="229"/>
        <w:gridCol w:w="649"/>
        <w:gridCol w:w="127"/>
        <w:gridCol w:w="109"/>
        <w:gridCol w:w="109"/>
        <w:gridCol w:w="109"/>
        <w:gridCol w:w="227"/>
        <w:gridCol w:w="644"/>
        <w:gridCol w:w="178"/>
      </w:tblGrid>
      <w:tr>
        <w:trPr/>
        <w:tc>
          <w:tcPr>
            <w:tcW w:w="1671"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 2022</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 per share of common stock:</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share of common stock:</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Other Acquisitions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indicated in Note 1, on March 31, 2022 and April 3, 2023, we completed the acquisitions of ITL and TAMCO, respectively. The pro forma effects of these acquisitions are not material to our condensed consolidated results of operations.</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Sale of Transformer Solutions Business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On October 1, 2021, we completed the sale of SPX Transformer Solutions, Inc. During the first quarter of 2022, we agreed to the final adjustment of the purchase price which resulted in a payment to the buyer of </w:t>
      </w:r>
      <w:r>
        <w:rPr>
          <w:rFonts w:ascii="Times New Roman;sans-serif" w:hAnsi="Times New Roman;sans-serif"/>
          <w:b w:val="false"/>
          <w:color w:val="000000"/>
          <w:sz w:val="20"/>
        </w:rPr>
        <w:t>$13.9</w:t>
      </w:r>
      <w:r>
        <w:rPr>
          <w:color w:val="000000"/>
          <w:shd w:fill="FFFFFF" w:val="clear"/>
        </w:rPr>
        <w:t xml:space="preserve"> </w:t>
      </w:r>
      <w:r>
        <w:rPr>
          <w:rFonts w:ascii="Times New Roman;sans-serif" w:hAnsi="Times New Roman;sans-serif"/>
          <w:b w:val="false"/>
          <w:color w:val="000000"/>
          <w:sz w:val="20"/>
          <w:shd w:fill="FFFFFF" w:val="clear"/>
        </w:rPr>
        <w:t xml:space="preserve">and an increase to the gain on sale of </w:t>
      </w:r>
      <w:r>
        <w:rPr>
          <w:rFonts w:ascii="Times New Roman;sans-serif" w:hAnsi="Times New Roman;sans-serif"/>
          <w:b w:val="false"/>
          <w:color w:val="000000"/>
          <w:sz w:val="20"/>
        </w:rPr>
        <w:t>$0.2</w:t>
      </w:r>
      <w:r>
        <w:rPr>
          <w:rFonts w:ascii="Times New Roman;sans-serif" w:hAnsi="Times New Roman;sans-serif"/>
          <w:b w:val="false"/>
          <w:color w:val="000000"/>
          <w:sz w:val="20"/>
          <w:shd w:fill="FFFFFF" w:val="clear"/>
        </w:rPr>
        <w:t>.</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Wind-Down of DBT Business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completed the wind-down of our DBT Technologies (PTY) LTD (“DBT”) business in the fourth quarter of 2021. As a result of completing the wind-down plan, we are reporting DBT as a discontinued operation for all periods presented.</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The assets and liabilities of DBT have been included within </w:t>
      </w:r>
      <w:r>
        <w:rPr>
          <w:color w:val="000000"/>
        </w:rPr>
        <w:t>“</w:t>
      </w:r>
      <w:r>
        <w:rPr>
          <w:rFonts w:ascii="Times New Roman;sans-serif" w:hAnsi="Times New Roman;sans-serif"/>
          <w:b w:val="false"/>
          <w:color w:val="000000"/>
          <w:sz w:val="20"/>
          <w:shd w:fill="FFFFFF" w:val="clear"/>
        </w:rPr>
        <w:t>Assets of DBT and Heat Transfer</w:t>
      </w:r>
      <w:r>
        <w:rPr>
          <w:color w:val="000000"/>
        </w:rPr>
        <w:t>”</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color w:val="000000"/>
        </w:rPr>
        <w:t>“</w:t>
      </w:r>
      <w:r>
        <w:rPr>
          <w:rFonts w:ascii="Times New Roman;sans-serif" w:hAnsi="Times New Roman;sans-serif"/>
          <w:b w:val="false"/>
          <w:color w:val="000000"/>
          <w:sz w:val="20"/>
          <w:shd w:fill="FFFFFF" w:val="clear"/>
        </w:rPr>
        <w:t>Liabilities of DBT and Heat Transfer,</w:t>
      </w:r>
      <w:r>
        <w:rPr>
          <w:color w:val="000000"/>
        </w:rPr>
        <w:t>”</w:t>
      </w:r>
      <w:r>
        <w:rPr>
          <w:color w:val="000000"/>
          <w:shd w:fill="FFFFFF" w:val="clear"/>
        </w:rPr>
        <w:t xml:space="preserve"> </w:t>
      </w:r>
      <w:r>
        <w:rPr>
          <w:rFonts w:ascii="Times New Roman;sans-serif" w:hAnsi="Times New Roman;sans-serif"/>
          <w:b w:val="false"/>
          <w:color w:val="000000"/>
          <w:sz w:val="20"/>
          <w:shd w:fill="FFFFFF" w:val="clear"/>
        </w:rPr>
        <w:t xml:space="preserve">respectively, on the condensed consolidated balance sheets as of </w:t>
      </w:r>
      <w:r>
        <w:rPr>
          <w:rFonts w:ascii="Times New Roman;sans-serif" w:hAnsi="Times New Roman;sans-serif"/>
          <w:b w:val="false"/>
          <w:color w:val="000000"/>
          <w:sz w:val="20"/>
        </w:rPr>
        <w:t>July 1, 2023 and December 31, 2022</w:t>
      </w:r>
      <w:r>
        <w:rPr>
          <w:rFonts w:ascii="Times New Roman;sans-serif" w:hAnsi="Times New Roman;sans-serif"/>
          <w:b w:val="false"/>
          <w:color w:val="000000"/>
          <w:sz w:val="20"/>
          <w:shd w:fill="FFFFFF" w:val="clear"/>
        </w:rPr>
        <w:t>. The major line items constituting DBT</w:t>
      </w:r>
      <w:r>
        <w:rPr>
          <w:color w:val="000000"/>
        </w:rPr>
        <w:t>’</w:t>
      </w:r>
      <w:r>
        <w:rPr>
          <w:rFonts w:ascii="Times New Roman;sans-serif" w:hAnsi="Times New Roman;sans-serif"/>
          <w:b w:val="false"/>
          <w:color w:val="000000"/>
          <w:sz w:val="20"/>
          <w:shd w:fill="FFFFFF" w:val="clear"/>
        </w:rPr>
        <w:t xml:space="preserve">s assets and liabilities as of </w:t>
      </w:r>
      <w:r>
        <w:rPr>
          <w:rFonts w:ascii="Times New Roman;sans-serif" w:hAnsi="Times New Roman;sans-serif"/>
          <w:b w:val="false"/>
          <w:color w:val="000000"/>
          <w:sz w:val="20"/>
        </w:rPr>
        <w:t>July 1, 2023 and December 31, 2022</w:t>
      </w:r>
      <w:r>
        <w:rPr>
          <w:color w:val="000000"/>
          <w:shd w:fill="FFFFFF" w:val="clear"/>
        </w:rPr>
        <w:t xml:space="preserve"> </w:t>
      </w:r>
      <w:r>
        <w:rPr>
          <w:rFonts w:ascii="Times New Roman;sans-serif" w:hAnsi="Times New Roman;sans-serif"/>
          <w:b w:val="false"/>
          <w:color w:val="000000"/>
          <w:sz w:val="20"/>
          <w:shd w:fill="FFFFFF" w:val="clear"/>
        </w:rPr>
        <w:t>are shown below:</w:t>
      </w:r>
    </w:p>
    <w:p>
      <w:pPr>
        <w:pStyle w:val="TextBody"/>
        <w:bidi w:val="0"/>
        <w:spacing w:before="0" w:after="0"/>
        <w:jc w:val="both"/>
        <w:rPr/>
      </w:pPr>
      <w:r>
        <w:rPr/>
      </w:r>
    </w:p>
    <w:tbl>
      <w:tblPr>
        <w:tblW w:w="6128" w:type="dxa"/>
        <w:jc w:val="left"/>
        <w:tblInd w:w="0" w:type="dxa"/>
        <w:tblLayout w:type="fixed"/>
        <w:tblCellMar>
          <w:top w:w="28" w:type="dxa"/>
          <w:left w:w="28" w:type="dxa"/>
          <w:bottom w:w="28" w:type="dxa"/>
          <w:right w:w="28" w:type="dxa"/>
        </w:tblCellMar>
      </w:tblPr>
      <w:tblGrid>
        <w:gridCol w:w="1035"/>
        <w:gridCol w:w="907"/>
        <w:gridCol w:w="922"/>
        <w:gridCol w:w="109"/>
        <w:gridCol w:w="109"/>
        <w:gridCol w:w="109"/>
        <w:gridCol w:w="259"/>
        <w:gridCol w:w="617"/>
        <w:gridCol w:w="144"/>
        <w:gridCol w:w="109"/>
        <w:gridCol w:w="109"/>
        <w:gridCol w:w="109"/>
        <w:gridCol w:w="382"/>
        <w:gridCol w:w="908"/>
        <w:gridCol w:w="300"/>
      </w:tblGrid>
      <w:tr>
        <w:trPr/>
        <w:tc>
          <w:tcPr>
            <w:tcW w:w="103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 and 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of DBT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of DBT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Wind-Down of the Heat Transfer Business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completed the wind-down of our SPX Heat Transfer (“Heat Transfer”) business in the fourth quarter of 2020. As a result of completing the wind-down plan, we are reporting Heat Transfer as a discontinued operation for all periods presented.</w:t>
      </w:r>
    </w:p>
    <w:p>
      <w:pPr>
        <w:pStyle w:val="TextBody"/>
        <w:bidi w:val="0"/>
        <w:spacing w:lineRule="auto" w:line="276"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assets and liabilities of Heat Transfer have been included within “Assets of DBT and Heat Transfer” and “Liabilities of DBT and Heat Transfer,” respectively, on the condensed consolidated balance sheets as of July 1, 2023 and December 31, 2022. The major line items constituting Heat Transfer’s assets and liabilities as of July 1, 2023 and December 31, 2022 are shown below:</w:t>
      </w:r>
    </w:p>
    <w:p>
      <w:pPr>
        <w:pStyle w:val="TextBody"/>
        <w:bidi w:val="0"/>
        <w:spacing w:before="0" w:after="0"/>
        <w:jc w:val="both"/>
        <w:rPr/>
      </w:pPr>
      <w:r>
        <w:rPr/>
      </w:r>
    </w:p>
    <w:tbl>
      <w:tblPr>
        <w:tblW w:w="5631" w:type="dxa"/>
        <w:jc w:val="left"/>
        <w:tblInd w:w="0" w:type="dxa"/>
        <w:tblLayout w:type="fixed"/>
        <w:tblCellMar>
          <w:top w:w="28" w:type="dxa"/>
          <w:left w:w="28" w:type="dxa"/>
          <w:bottom w:w="28" w:type="dxa"/>
          <w:right w:w="28" w:type="dxa"/>
        </w:tblCellMar>
      </w:tblPr>
      <w:tblGrid>
        <w:gridCol w:w="856"/>
        <w:gridCol w:w="750"/>
        <w:gridCol w:w="763"/>
        <w:gridCol w:w="109"/>
        <w:gridCol w:w="109"/>
        <w:gridCol w:w="109"/>
        <w:gridCol w:w="293"/>
        <w:gridCol w:w="563"/>
        <w:gridCol w:w="163"/>
        <w:gridCol w:w="109"/>
        <w:gridCol w:w="109"/>
        <w:gridCol w:w="109"/>
        <w:gridCol w:w="411"/>
        <w:gridCol w:w="852"/>
        <w:gridCol w:w="326"/>
      </w:tblGrid>
      <w:tr>
        <w:trPr/>
        <w:tc>
          <w:tcPr>
            <w:tcW w:w="85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of Heat Transfer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of Heat Transfer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estimates associated with liabilities retained in connection with a business divestiture (e.g. income taxes) may occur. As a result, it is possible that the resulting gains/losses on these and other previous divestitures may be materially adjusted in subsequent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July 1, 2023 and July 2, 2022, results of operations from our businesses reported as discontinued operations were as follows:</w:t>
      </w:r>
    </w:p>
    <w:tbl>
      <w:tblPr>
        <w:tblW w:w="8556" w:type="dxa"/>
        <w:jc w:val="left"/>
        <w:tblInd w:w="0" w:type="dxa"/>
        <w:tblLayout w:type="fixed"/>
        <w:tblCellMar>
          <w:top w:w="28" w:type="dxa"/>
          <w:left w:w="28" w:type="dxa"/>
          <w:bottom w:w="28" w:type="dxa"/>
          <w:right w:w="28" w:type="dxa"/>
        </w:tblCellMar>
      </w:tblPr>
      <w:tblGrid>
        <w:gridCol w:w="1265"/>
        <w:gridCol w:w="1117"/>
        <w:gridCol w:w="1128"/>
        <w:gridCol w:w="260"/>
        <w:gridCol w:w="600"/>
        <w:gridCol w:w="145"/>
        <w:gridCol w:w="109"/>
        <w:gridCol w:w="109"/>
        <w:gridCol w:w="109"/>
        <w:gridCol w:w="260"/>
        <w:gridCol w:w="600"/>
        <w:gridCol w:w="145"/>
        <w:gridCol w:w="109"/>
        <w:gridCol w:w="109"/>
        <w:gridCol w:w="109"/>
        <w:gridCol w:w="289"/>
        <w:gridCol w:w="555"/>
        <w:gridCol w:w="161"/>
        <w:gridCol w:w="109"/>
        <w:gridCol w:w="109"/>
        <w:gridCol w:w="109"/>
        <w:gridCol w:w="257"/>
        <w:gridCol w:w="591"/>
        <w:gridCol w:w="202"/>
      </w:tblGrid>
      <w:tr>
        <w:trPr/>
        <w:tc>
          <w:tcPr>
            <w:tcW w:w="1265"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 2022</w:t>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DBT</w:t>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Income (loss) from discontinued operations </w:t>
            </w:r>
            <w:r>
              <w:rPr>
                <w:rFonts w:ascii="Times New Roman;sans-serif" w:hAnsi="Times New Roman;sans-serif"/>
                <w:b w:val="false"/>
                <w:color w:val="000000"/>
                <w:sz w:val="12"/>
              </w:rPr>
              <w:t>(1)</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discontinued operations, net</w:t>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All other</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Loss from discontinued operations </w:t>
            </w:r>
            <w:r>
              <w:rPr>
                <w:rFonts w:ascii="Times New Roman;sans-serif" w:hAnsi="Times New Roman;sans-serif"/>
                <w:b w:val="false"/>
                <w:color w:val="000000"/>
                <w:sz w:val="12"/>
              </w:rPr>
              <w:t>(2)</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discontinued operations, net</w:t>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discontinued operations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discontinued operations, net</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Income for the six months ended July 1, 2023 resulted primarily from income recorded in connection with dispute resolutions, partially offset by legal costs incurred in connection with various dispute resolution matters related to two large power projects. Loss for the three months ended July 1, 2023 and the three and six months ended July 2, 2022 resulted primarily from net legal costs incurred in connection with various dispute resolution matters related to two large power projects. Refer to Note 15 for additional details on these dispute resolution matters.</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Loss for the three and six months ended July 1, 2023 and July 2, 2022 resulted primarily from revisions to liabilities, including income tax liabilities, retained in connection with prior dispositions.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(4)    REVENUES FROM CONTRACTS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Disaggregated Revenues</w:t>
      </w:r>
    </w:p>
    <w:p>
      <w:pPr>
        <w:pStyle w:val="TextBody"/>
        <w:bidi w:val="0"/>
        <w:spacing w:before="0" w:after="0"/>
        <w:jc w:val="both"/>
        <w:rPr/>
      </w:pPr>
      <w:r>
        <w:rPr/>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disaggregate revenue from contracts with customers by major product line and based on the timing of recognition for each of our reportable segments, as we believe such disaggregation best depicts how the nature, amount, timing, and uncertainty of our revenues and cash flows are affected by economic factors, with such disaggregation presented below for the three and six months ended July 1, 2023 and July 2, 2022:</w:t>
      </w:r>
    </w:p>
    <w:tbl>
      <w:tblPr>
        <w:tblW w:w="10205" w:type="dxa"/>
        <w:jc w:val="left"/>
        <w:tblInd w:w="0" w:type="dxa"/>
        <w:tblLayout w:type="fixed"/>
        <w:tblCellMar>
          <w:top w:w="28" w:type="dxa"/>
          <w:left w:w="28" w:type="dxa"/>
          <w:bottom w:w="28" w:type="dxa"/>
          <w:right w:w="28" w:type="dxa"/>
        </w:tblCellMar>
      </w:tblPr>
      <w:tblGrid>
        <w:gridCol w:w="2010"/>
        <w:gridCol w:w="1715"/>
        <w:gridCol w:w="1721"/>
        <w:gridCol w:w="109"/>
        <w:gridCol w:w="109"/>
        <w:gridCol w:w="109"/>
        <w:gridCol w:w="196"/>
        <w:gridCol w:w="556"/>
        <w:gridCol w:w="109"/>
        <w:gridCol w:w="109"/>
        <w:gridCol w:w="109"/>
        <w:gridCol w:w="109"/>
        <w:gridCol w:w="456"/>
        <w:gridCol w:w="1297"/>
        <w:gridCol w:w="255"/>
        <w:gridCol w:w="109"/>
        <w:gridCol w:w="109"/>
        <w:gridCol w:w="109"/>
        <w:gridCol w:w="196"/>
        <w:gridCol w:w="556"/>
        <w:gridCol w:w="157"/>
      </w:tblGrid>
      <w:tr>
        <w:trPr/>
        <w:tc>
          <w:tcPr>
            <w:tcW w:w="201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July 1, 2023</w:t>
            </w:r>
          </w:p>
        </w:tc>
      </w:tr>
      <w:tr>
        <w:trPr/>
        <w:tc>
          <w:tcPr>
            <w:tcW w:w="5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HVAC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Detection and 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Major product 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Package and process cooling equipment and services, and engineered air movement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Boilers, electrical heating, and ventilation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Underground locators, inspection and rehabilitation equipment, and robotic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 technologies, aids to navigation, and transportation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10"/>
        <w:gridCol w:w="1715"/>
        <w:gridCol w:w="1721"/>
        <w:gridCol w:w="109"/>
        <w:gridCol w:w="109"/>
        <w:gridCol w:w="109"/>
        <w:gridCol w:w="196"/>
        <w:gridCol w:w="556"/>
        <w:gridCol w:w="109"/>
        <w:gridCol w:w="109"/>
        <w:gridCol w:w="109"/>
        <w:gridCol w:w="109"/>
        <w:gridCol w:w="456"/>
        <w:gridCol w:w="1297"/>
        <w:gridCol w:w="255"/>
        <w:gridCol w:w="109"/>
        <w:gridCol w:w="109"/>
        <w:gridCol w:w="109"/>
        <w:gridCol w:w="196"/>
        <w:gridCol w:w="556"/>
        <w:gridCol w:w="157"/>
      </w:tblGrid>
      <w:tr>
        <w:trPr/>
        <w:tc>
          <w:tcPr>
            <w:tcW w:w="201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July 1, 2023</w:t>
            </w:r>
          </w:p>
        </w:tc>
      </w:tr>
      <w:tr>
        <w:trPr/>
        <w:tc>
          <w:tcPr>
            <w:tcW w:w="5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HVAC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Detection and 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Major product 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Package and process cooling equipment and services, and engineered air movement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Boilers, electrical heating, and ventilation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Underground locators, inspection and rehabilitation equipment, and robotic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 technologies, aids to navigation, and transportation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302.5 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255.5 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302.5 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010"/>
        <w:gridCol w:w="1715"/>
        <w:gridCol w:w="1721"/>
        <w:gridCol w:w="109"/>
        <w:gridCol w:w="109"/>
        <w:gridCol w:w="109"/>
        <w:gridCol w:w="196"/>
        <w:gridCol w:w="556"/>
        <w:gridCol w:w="109"/>
        <w:gridCol w:w="109"/>
        <w:gridCol w:w="109"/>
        <w:gridCol w:w="109"/>
        <w:gridCol w:w="456"/>
        <w:gridCol w:w="1297"/>
        <w:gridCol w:w="255"/>
        <w:gridCol w:w="109"/>
        <w:gridCol w:w="109"/>
        <w:gridCol w:w="109"/>
        <w:gridCol w:w="196"/>
        <w:gridCol w:w="556"/>
        <w:gridCol w:w="157"/>
      </w:tblGrid>
      <w:tr>
        <w:trPr/>
        <w:tc>
          <w:tcPr>
            <w:tcW w:w="201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July 2, 2022</w:t>
            </w:r>
          </w:p>
        </w:tc>
      </w:tr>
      <w:tr>
        <w:trPr/>
        <w:tc>
          <w:tcPr>
            <w:tcW w:w="5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HVAC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Detection and 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Major product 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Package and process cooling equipment and services, and engineered air movement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Boilers, electrical heating, and ventilation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Underground locators, inspection and rehabilitation equipment, and robotic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 technologies, aids to navigation, and transportation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10"/>
        <w:gridCol w:w="1715"/>
        <w:gridCol w:w="1721"/>
        <w:gridCol w:w="109"/>
        <w:gridCol w:w="109"/>
        <w:gridCol w:w="109"/>
        <w:gridCol w:w="196"/>
        <w:gridCol w:w="556"/>
        <w:gridCol w:w="109"/>
        <w:gridCol w:w="109"/>
        <w:gridCol w:w="109"/>
        <w:gridCol w:w="109"/>
        <w:gridCol w:w="456"/>
        <w:gridCol w:w="1297"/>
        <w:gridCol w:w="255"/>
        <w:gridCol w:w="109"/>
        <w:gridCol w:w="109"/>
        <w:gridCol w:w="109"/>
        <w:gridCol w:w="196"/>
        <w:gridCol w:w="556"/>
        <w:gridCol w:w="157"/>
      </w:tblGrid>
      <w:tr>
        <w:trPr/>
        <w:tc>
          <w:tcPr>
            <w:tcW w:w="201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July 2, 2022</w:t>
            </w:r>
          </w:p>
        </w:tc>
      </w:tr>
      <w:tr>
        <w:trPr/>
        <w:tc>
          <w:tcPr>
            <w:tcW w:w="5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HVAC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Detection and 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Major product 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Package and process cooling equipment and services, and engineered air movement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Boilers, electrical heating, and ventilation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Underground locators, inspection and rehabilitation equipment, and robotic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 technologies, aids to navigation, and transportation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249.3 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214.1 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249.3 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are invoiced for products and services at the time of delivery or based on contractual milestones, resulting in outstanding receivables with payment terms from these customers (“Contract Accounts Receivable”). In some cases, the timing of revenue recognition, particularly for revenue recognized over time, differs from when such amounts are invoiced to customers, resulting in a contract asset (revenue recognition precedes the invoicing of the related revenue amount) or a contract liability (payment from the customer precedes recognition of the related revenue amount). Contract assets and liabilities are generally classified as current. On a contract-by-contract basis, the contract assets and contract liabilities are reported net within our condensed consolidated balance sheets. Our contract balances consisted of the following as of July 1, 2023 and December 31, 2022:</w:t>
      </w:r>
    </w:p>
    <w:p>
      <w:pPr>
        <w:pStyle w:val="TextBody"/>
        <w:bidi w:val="0"/>
        <w:spacing w:before="0" w:after="0"/>
        <w:ind w:left="0" w:right="0" w:firstLine="720"/>
        <w:jc w:val="both"/>
        <w:rPr/>
      </w:pPr>
      <w:r>
        <w:rPr/>
      </w:r>
    </w:p>
    <w:tbl>
      <w:tblPr>
        <w:tblW w:w="6555" w:type="dxa"/>
        <w:jc w:val="left"/>
        <w:tblInd w:w="0" w:type="dxa"/>
        <w:tblLayout w:type="fixed"/>
        <w:tblCellMar>
          <w:top w:w="28" w:type="dxa"/>
          <w:left w:w="28" w:type="dxa"/>
          <w:bottom w:w="28" w:type="dxa"/>
          <w:right w:w="28" w:type="dxa"/>
        </w:tblCellMar>
      </w:tblPr>
      <w:tblGrid>
        <w:gridCol w:w="936"/>
        <w:gridCol w:w="821"/>
        <w:gridCol w:w="823"/>
        <w:gridCol w:w="229"/>
        <w:gridCol w:w="649"/>
        <w:gridCol w:w="127"/>
        <w:gridCol w:w="109"/>
        <w:gridCol w:w="109"/>
        <w:gridCol w:w="109"/>
        <w:gridCol w:w="341"/>
        <w:gridCol w:w="969"/>
        <w:gridCol w:w="190"/>
        <w:gridCol w:w="109"/>
        <w:gridCol w:w="109"/>
        <w:gridCol w:w="109"/>
        <w:gridCol w:w="196"/>
        <w:gridCol w:w="466"/>
        <w:gridCol w:w="154"/>
      </w:tblGrid>
      <w:tr>
        <w:trPr/>
        <w:tc>
          <w:tcPr>
            <w:tcW w:w="93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Contract Balances</w:t>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Contract Accounts Receivable</w:t>
            </w:r>
            <w:r>
              <w:rPr>
                <w:rFonts w:ascii="Times New Roman;sans-serif" w:hAnsi="Times New Roman;sans-serif"/>
                <w:b w:val="false"/>
                <w:color w:val="000000"/>
                <w:sz w:val="12"/>
              </w:rPr>
              <w:t>(1)</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 - current</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Contract Liabilities - non-current</w:t>
            </w:r>
            <w:r>
              <w:rPr>
                <w:rFonts w:ascii="Times New Roman;sans-serif" w:hAnsi="Times New Roman;sans-serif"/>
                <w:b w:val="false"/>
                <w:color w:val="000000"/>
                <w:sz w:val="12"/>
              </w:rPr>
              <w:t>(2)</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contract balance</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240.5 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226.3 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88" w:before="0" w:after="0"/>
        <w:ind w:left="0" w:right="0" w:firstLine="36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Included in “Accounts receivable, net” within the accompanying condensed consolidated balance sheets.</w:t>
      </w:r>
    </w:p>
    <w:p>
      <w:pPr>
        <w:pStyle w:val="TextBody"/>
        <w:bidi w:val="0"/>
        <w:spacing w:before="0" w:after="0"/>
        <w:jc w:val="left"/>
        <w:rPr/>
      </w:pPr>
      <w:r>
        <w:rPr/>
      </w:r>
    </w:p>
    <w:p>
      <w:pPr>
        <w:pStyle w:val="TextBody"/>
        <w:bidi w:val="0"/>
        <w:spacing w:lineRule="auto" w:line="288" w:before="0" w:after="200"/>
        <w:ind w:left="0" w:right="0" w:firstLine="36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Included in “Other long-term liabilities” within the accompanying condensed consolidated balance sheets.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T</w:t>
      </w:r>
      <w:r>
        <w:rPr>
          <w:rFonts w:ascii="Times New Roman;sans-serif" w:hAnsi="Times New Roman;sans-serif"/>
          <w:b w:val="false"/>
          <w:color w:val="000000"/>
          <w:sz w:val="20"/>
          <w:shd w:fill="FFFFFF" w:val="clear"/>
        </w:rPr>
        <w:t>he </w:t>
      </w:r>
      <w:r>
        <w:rPr>
          <w:rFonts w:ascii="Times New Roman;sans-serif" w:hAnsi="Times New Roman;sans-serif"/>
          <w:b w:val="false"/>
          <w:color w:val="000000"/>
          <w:sz w:val="20"/>
        </w:rPr>
        <w:t>$14.2 increase in our net contract asset balance from December 31, 2022 to July 1, 2023 was due primarily to revenue recognized during the period, partially offset by cash payments received from customers during the period.</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July 1, 2023, we recognized revenues of $4.8 and $30.6, respectively, related to our contract liabilities at December 31, 2022.</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Performance Obligations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As of July 1, 2023, the aggre</w:t>
      </w:r>
      <w:r>
        <w:rPr>
          <w:rFonts w:ascii="Times New Roman;sans-serif" w:hAnsi="Times New Roman;sans-serif"/>
          <w:b w:val="false"/>
          <w:color w:val="000000"/>
          <w:sz w:val="20"/>
          <w:shd w:fill="FFFFFF" w:val="clear"/>
        </w:rPr>
        <w:t>gate amount all</w:t>
      </w:r>
      <w:r>
        <w:rPr>
          <w:rFonts w:ascii="Times New Roman;sans-serif" w:hAnsi="Times New Roman;sans-serif"/>
          <w:b w:val="false"/>
          <w:color w:val="000000"/>
          <w:sz w:val="20"/>
        </w:rPr>
        <w:t>ocated to remaining performance obligations was $211.2. We expect to recognize revenue on approximately 82% and 89% of remaining performance obligations o</w:t>
      </w:r>
      <w:r>
        <w:rPr>
          <w:rFonts w:ascii="Times New Roman;sans-serif" w:hAnsi="Times New Roman;sans-serif"/>
          <w:b w:val="false"/>
          <w:color w:val="000000"/>
          <w:sz w:val="20"/>
          <w:shd w:fill="FFFFFF" w:val="clear"/>
        </w:rPr>
        <w:t>ver the next 12 and 24 months, respectively, with the remaining recognized thereafter.</w:t>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(5)    LEASES</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operating and finance leases during the three and six months ended July 1, 2023.</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(6)    INFORMATION ON REPORTABLE SEGMENTS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We are a global supplier of highly specializ</w:t>
      </w:r>
      <w:r>
        <w:rPr>
          <w:rFonts w:ascii="Times New Roman;sans-serif" w:hAnsi="Times New Roman;sans-serif"/>
          <w:b w:val="false"/>
          <w:color w:val="000000"/>
          <w:sz w:val="20"/>
          <w:shd w:fill="FFFFFF" w:val="clear"/>
        </w:rPr>
        <w:t xml:space="preserve">ed, engineered </w:t>
      </w:r>
      <w:r>
        <w:rPr>
          <w:rFonts w:ascii="Times New Roman;sans-serif" w:hAnsi="Times New Roman;sans-serif"/>
          <w:b w:val="false"/>
          <w:color w:val="000000"/>
          <w:sz w:val="20"/>
        </w:rPr>
        <w:t>solutions with operations in 15 countries and sales in over 100 countries around the world.</w:t>
      </w:r>
    </w:p>
    <w:p>
      <w:pPr>
        <w:pStyle w:val="TextBody"/>
        <w:bidi w:val="0"/>
        <w:spacing w:lineRule="auto" w:line="288" w:before="0" w:after="20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aggregated our operating segments into the following two reportable segments: HVAC and Detection and Measurement. The factors considered in determining our aggregated segments are the economic similarity of the businesses, the nature of products sold or services provided, production processes, types of customers, distribution methods, and regulatory environment. In determining our reportable segments, we apply the threshold criteria of the Segment Reporting Topic of the Codification. Segment Income is determined before considering, if applicable, impairment and special charges, long-term incentive compensation, certain other operating income/expense, other indirect corporate expenses, intangible asset amortization expense, inventory step-up charges, and certain other acquisition-related costs. This is consistent with the way our CODM evaluates the results of each segment.</w:t>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HVAC Reportable Segment</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HVAC reportable segment engineers, designs, manufactures, installs and services package and process cooling products and engineered air movement solutions for the HVAC industrial and power generation markets, as well as boilers and electrical heating and ventilation products for the residential and commercial markets. The primary distribution channels for the segment’s products are direct to customers, independent manufacturing representatives, third-party distributors, and retailers. The segment serves a customer base in North America, Europe, and Asia.</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Detection and Measurement Reportable Segment</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Detection and Measurement reportable segment engineers, designs, manufactures, services, and installs underground pipe and cable locators, inspection and rehabilitation equipment, robotic systems, transportation systems, communication technologies, and aids to navigation. The primary distribution channels for the segment’s products are direct to customers and third-party distributors. The segment serves a global customer base, with a strong presence in North America, Europe, Africa, and Asia.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Corporate Expense</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expense generally relates to the cost of our Charlotte, North Carolina corporate headquarters. </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data for our reportable segments for the three and six months ended July 1, 2023 and July 2, 2022 are presented below:</w:t>
      </w:r>
    </w:p>
    <w:tbl>
      <w:tblPr>
        <w:tblW w:w="8385" w:type="dxa"/>
        <w:jc w:val="left"/>
        <w:tblInd w:w="0" w:type="dxa"/>
        <w:tblLayout w:type="fixed"/>
        <w:tblCellMar>
          <w:top w:w="28" w:type="dxa"/>
          <w:left w:w="28" w:type="dxa"/>
          <w:bottom w:w="28" w:type="dxa"/>
          <w:right w:w="28" w:type="dxa"/>
        </w:tblCellMar>
      </w:tblPr>
      <w:tblGrid>
        <w:gridCol w:w="1258"/>
        <w:gridCol w:w="1107"/>
        <w:gridCol w:w="1114"/>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54"/>
      </w:tblGrid>
      <w:tr>
        <w:trPr/>
        <w:tc>
          <w:tcPr>
            <w:tcW w:w="125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HVAC reportable segment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Detection and Measurement reportable segment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HVAC reportable segment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Detection and Measurement reportable segment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income for segments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Acquisition-related and other costs </w:t>
            </w:r>
            <w:r>
              <w:rPr>
                <w:rFonts w:ascii="Times New Roman;sans-serif" w:hAnsi="Times New Roman;sans-serif"/>
                <w:b w:val="false"/>
                <w:color w:val="000000"/>
                <w:sz w:val="12"/>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incentive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charges,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operating income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Represents certain acquisition-related costs incurred of $1.5 and $2.1 during the three and six months ended July 1, 2023, respectively, and $0.9 and $1.0 during the three and six months ended July 2, 2022, respectively, including additional “Cost of products sold” related to the step-up of inventory (to fair value) acquired in connection with the ASPEQ acquisition of $1.1 during the three and six months ended July 1, 2023 and the ITL acquisition of $0.9 and $1.0 during the three and six months ended July 2, 2022, respectively.</w:t>
      </w:r>
    </w:p>
    <w:p>
      <w:pPr>
        <w:pStyle w:val="TextBody"/>
        <w:bidi w:val="0"/>
        <w:spacing w:before="0" w:after="120"/>
        <w:jc w:val="both"/>
        <w:rPr/>
      </w:pPr>
      <w:r>
        <w:rPr/>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(7)    SPECIAL CHARGES, NET</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special charges for the three and six months ended July 1, 2023. No significant future charges are expected to be incurred under actions approved as of July 1, 2023. Special charges, net, for the three and six months ended July 2, 2022 are described in more detail below:</w:t>
      </w:r>
    </w:p>
    <w:p>
      <w:pPr>
        <w:pStyle w:val="TextBody"/>
        <w:bidi w:val="0"/>
        <w:spacing w:before="0" w:after="0"/>
        <w:jc w:val="left"/>
        <w:rPr/>
      </w:pPr>
      <w:r>
        <w:rPr/>
      </w:r>
    </w:p>
    <w:tbl>
      <w:tblPr>
        <w:tblW w:w="7739" w:type="dxa"/>
        <w:jc w:val="left"/>
        <w:tblInd w:w="0" w:type="dxa"/>
        <w:tblLayout w:type="fixed"/>
        <w:tblCellMar>
          <w:top w:w="28" w:type="dxa"/>
          <w:left w:w="28" w:type="dxa"/>
          <w:bottom w:w="28" w:type="dxa"/>
          <w:right w:w="28" w:type="dxa"/>
        </w:tblCellMar>
      </w:tblPr>
      <w:tblGrid>
        <w:gridCol w:w="1260"/>
        <w:gridCol w:w="1108"/>
        <w:gridCol w:w="1112"/>
        <w:gridCol w:w="109"/>
        <w:gridCol w:w="109"/>
        <w:gridCol w:w="462"/>
        <w:gridCol w:w="886"/>
        <w:gridCol w:w="257"/>
        <w:gridCol w:w="109"/>
        <w:gridCol w:w="109"/>
        <w:gridCol w:w="109"/>
        <w:gridCol w:w="109"/>
        <w:gridCol w:w="109"/>
        <w:gridCol w:w="406"/>
        <w:gridCol w:w="779"/>
        <w:gridCol w:w="225"/>
        <w:gridCol w:w="109"/>
        <w:gridCol w:w="109"/>
        <w:gridCol w:w="109"/>
        <w:gridCol w:w="154"/>
      </w:tblGrid>
      <w:tr>
        <w:trPr/>
        <w:tc>
          <w:tcPr>
            <w:tcW w:w="12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HVAC reportable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Detection and Measurement reportable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rPr>
        <w:t xml:space="preserve">HVAC </w:t>
      </w:r>
      <w:r>
        <w:rPr>
          <w:color w:val="000000"/>
        </w:rPr>
        <w:t xml:space="preserve">— </w:t>
      </w:r>
      <w:r>
        <w:rPr>
          <w:rFonts w:ascii="Times New Roman;sans-serif" w:hAnsi="Times New Roman;sans-serif"/>
          <w:b w:val="false"/>
          <w:color w:val="000000"/>
          <w:sz w:val="20"/>
        </w:rPr>
        <w:t>Charges for the three and six months ended July 2, 2022 related to severance costs associated with a restructuring action at one of the segment’s cooling businesses.</w:t>
      </w:r>
    </w:p>
    <w:p>
      <w:pPr>
        <w:pStyle w:val="TextBody"/>
        <w:bidi w:val="0"/>
        <w:spacing w:lineRule="auto" w:line="276"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an analysis of our restructuring liabilities for the six months ended July 1, 2023 and July 2, 2022:</w:t>
      </w:r>
    </w:p>
    <w:tbl>
      <w:tblPr>
        <w:tblW w:w="4839" w:type="dxa"/>
        <w:jc w:val="left"/>
        <w:tblInd w:w="0" w:type="dxa"/>
        <w:tblLayout w:type="fixed"/>
        <w:tblCellMar>
          <w:top w:w="28" w:type="dxa"/>
          <w:left w:w="28" w:type="dxa"/>
          <w:bottom w:w="28" w:type="dxa"/>
          <w:right w:w="28" w:type="dxa"/>
        </w:tblCellMar>
      </w:tblPr>
      <w:tblGrid>
        <w:gridCol w:w="1113"/>
        <w:gridCol w:w="979"/>
        <w:gridCol w:w="983"/>
        <w:gridCol w:w="196"/>
        <w:gridCol w:w="406"/>
        <w:gridCol w:w="109"/>
        <w:gridCol w:w="109"/>
        <w:gridCol w:w="109"/>
        <w:gridCol w:w="109"/>
        <w:gridCol w:w="196"/>
        <w:gridCol w:w="376"/>
        <w:gridCol w:w="154"/>
      </w:tblGrid>
      <w:tr>
        <w:trPr/>
        <w:tc>
          <w:tcPr>
            <w:tcW w:w="111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charges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Utilization — cash</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 and other</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(8)    INVENTORIES, NET</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are accounted for under the first-in, first-out method and are comprised of the following at July 1, 2023 and December 31, 2022:</w:t>
      </w:r>
    </w:p>
    <w:tbl>
      <w:tblPr>
        <w:tblW w:w="4906" w:type="dxa"/>
        <w:jc w:val="left"/>
        <w:tblInd w:w="0" w:type="dxa"/>
        <w:tblLayout w:type="fixed"/>
        <w:tblCellMar>
          <w:top w:w="28" w:type="dxa"/>
          <w:left w:w="28" w:type="dxa"/>
          <w:bottom w:w="28" w:type="dxa"/>
          <w:right w:w="28" w:type="dxa"/>
        </w:tblCellMar>
      </w:tblPr>
      <w:tblGrid>
        <w:gridCol w:w="933"/>
        <w:gridCol w:w="820"/>
        <w:gridCol w:w="826"/>
        <w:gridCol w:w="196"/>
        <w:gridCol w:w="556"/>
        <w:gridCol w:w="109"/>
        <w:gridCol w:w="109"/>
        <w:gridCol w:w="109"/>
        <w:gridCol w:w="109"/>
        <w:gridCol w:w="246"/>
        <w:gridCol w:w="700"/>
        <w:gridCol w:w="193"/>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Finished goods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 in process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Raw materials and purchased parts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inventories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244.0 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include material, labor and factory overhead costs and are reduced, when necessary, to estimated net realizable values. </w: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(9)    GOODWILL AND OTHER INTANGIBLE ASSETS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for the six months ended July 1, 2023 were as follows:</w:t>
      </w:r>
    </w:p>
    <w:tbl>
      <w:tblPr>
        <w:tblW w:w="9650" w:type="dxa"/>
        <w:jc w:val="left"/>
        <w:tblInd w:w="0" w:type="dxa"/>
        <w:tblLayout w:type="fixed"/>
        <w:tblCellMar>
          <w:top w:w="28" w:type="dxa"/>
          <w:left w:w="28" w:type="dxa"/>
          <w:bottom w:w="28" w:type="dxa"/>
          <w:right w:w="28" w:type="dxa"/>
        </w:tblCellMar>
      </w:tblPr>
      <w:tblGrid>
        <w:gridCol w:w="1375"/>
        <w:gridCol w:w="1205"/>
        <w:gridCol w:w="1214"/>
        <w:gridCol w:w="249"/>
        <w:gridCol w:w="707"/>
        <w:gridCol w:w="138"/>
        <w:gridCol w:w="109"/>
        <w:gridCol w:w="109"/>
        <w:gridCol w:w="109"/>
        <w:gridCol w:w="109"/>
        <w:gridCol w:w="109"/>
        <w:gridCol w:w="289"/>
        <w:gridCol w:w="823"/>
        <w:gridCol w:w="163"/>
        <w:gridCol w:w="109"/>
        <w:gridCol w:w="109"/>
        <w:gridCol w:w="109"/>
        <w:gridCol w:w="109"/>
        <w:gridCol w:w="109"/>
        <w:gridCol w:w="109"/>
        <w:gridCol w:w="109"/>
        <w:gridCol w:w="272"/>
        <w:gridCol w:w="522"/>
        <w:gridCol w:w="152"/>
        <w:gridCol w:w="109"/>
        <w:gridCol w:w="109"/>
        <w:gridCol w:w="109"/>
        <w:gridCol w:w="196"/>
        <w:gridCol w:w="556"/>
        <w:gridCol w:w="154"/>
      </w:tblGrid>
      <w:tr>
        <w:trPr/>
        <w:tc>
          <w:tcPr>
            <w:tcW w:w="137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Goodwill</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Resulting from</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Business</w:t>
            </w:r>
          </w:p>
          <w:p>
            <w:pPr>
              <w:pStyle w:val="TableContents"/>
              <w:bidi w:val="0"/>
              <w:spacing w:lineRule="auto" w:line="240" w:before="0" w:after="0"/>
              <w:jc w:val="center"/>
              <w:rPr/>
            </w:pPr>
            <w:r>
              <w:rPr>
                <w:rFonts w:ascii="Times New Roman;sans-serif" w:hAnsi="Times New Roman;sans-serif"/>
                <w:b/>
                <w:color w:val="000000"/>
                <w:sz w:val="16"/>
              </w:rPr>
              <w:t xml:space="preserve">Combinations </w:t>
            </w:r>
            <w:r>
              <w:rPr>
                <w:rFonts w:ascii="Times New Roman;sans-serif" w:hAnsi="Times New Roman;sans-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b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HVAC reportable segment</w:t>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goodwill</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impairments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Detection and Measurement reportable segment</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goodwill</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impairments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goodwill</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impairments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455.3 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220.7 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bidi w:val="0"/>
        <w:spacing w:lineRule="auto" w:line="240" w:before="0" w:after="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shd w:fill="FFFFFF" w:val="clear"/>
        </w:rPr>
        <w:t>Reflects (i) goodwill acquired with the TAMCO and ASPEQ acquisitions o</w:t>
      </w:r>
      <w:r>
        <w:rPr>
          <w:rFonts w:ascii="Times New Roman;sans-serif" w:hAnsi="Times New Roman;sans-serif"/>
          <w:b w:val="false"/>
          <w:color w:val="000000"/>
          <w:sz w:val="18"/>
        </w:rPr>
        <w:t>f $50.6 and $169.3, respectively and (i</w:t>
      </w:r>
      <w:r>
        <w:rPr>
          <w:rFonts w:ascii="Times New Roman;sans-serif" w:hAnsi="Times New Roman;sans-serif"/>
          <w:b w:val="false"/>
          <w:color w:val="000000"/>
          <w:sz w:val="18"/>
          <w:shd w:fill="FFFFFF" w:val="clear"/>
        </w:rPr>
        <w:t>i) an incre</w:t>
      </w:r>
      <w:r>
        <w:rPr>
          <w:rFonts w:ascii="Times New Roman;sans-serif" w:hAnsi="Times New Roman;sans-serif"/>
          <w:b w:val="false"/>
          <w:color w:val="000000"/>
          <w:sz w:val="18"/>
        </w:rPr>
        <w:t>ase in ITL</w:t>
      </w:r>
      <w:r>
        <w:rPr>
          <w:color w:val="000000"/>
        </w:rPr>
        <w:t>’</w:t>
      </w:r>
      <w:r>
        <w:rPr>
          <w:rFonts w:ascii="Times New Roman;sans-serif" w:hAnsi="Times New Roman;sans-serif"/>
          <w:b w:val="false"/>
          <w:color w:val="000000"/>
          <w:sz w:val="18"/>
        </w:rPr>
        <w:t xml:space="preserve">s goodwill of $0.8 resulting from revisions to the valuation of certain assets and liabilities. </w:t>
      </w:r>
      <w:r>
        <w:rPr>
          <w:rFonts w:ascii="Times New Roman;sans-serif" w:hAnsi="Times New Roman;sans-serif"/>
          <w:b w:val="false"/>
          <w:color w:val="000000"/>
          <w:sz w:val="18"/>
          <w:shd w:fill="FFFFFF" w:val="clear"/>
        </w:rPr>
        <w:t>As indicated in Note 1, the acquired assets, including goodwill, and liabilities assumed in the TAMCO and ASPEQ acquisitions have been recorded at estimates of fair value and are subject to change upon completion of acquisition accounting.</w:t>
      </w:r>
    </w:p>
    <w:p>
      <w:pPr>
        <w:pStyle w:val="TextBody"/>
        <w:bidi w:val="0"/>
        <w:spacing w:before="0" w:after="0"/>
        <w:jc w:val="both"/>
        <w:rPr/>
      </w:pPr>
      <w:r>
        <w:rPr/>
      </w:r>
    </w:p>
    <w:p>
      <w:pPr>
        <w:pStyle w:val="TextBody"/>
        <w:bidi w:val="0"/>
        <w:spacing w:lineRule="auto" w:line="264" w:before="0" w:after="200"/>
        <w:jc w:val="both"/>
        <w:rPr>
          <w:rFonts w:ascii="Times New Roman;sans-serif" w:hAnsi="Times New Roman;sans-serif"/>
          <w:b/>
          <w:i/>
          <w:color w:val="000000"/>
          <w:sz w:val="20"/>
        </w:rPr>
      </w:pPr>
      <w:r>
        <w:rPr>
          <w:rFonts w:ascii="Times New Roman;sans-serif" w:hAnsi="Times New Roman;sans-serif"/>
          <w:b/>
          <w:i/>
          <w:color w:val="000000"/>
          <w:sz w:val="20"/>
        </w:rPr>
        <w:t>Other Intangibles, Net</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at July 1, 2023 and December 31, 2022 comprised the following:</w:t>
      </w:r>
    </w:p>
    <w:tbl>
      <w:tblPr>
        <w:tblW w:w="10205" w:type="dxa"/>
        <w:jc w:val="left"/>
        <w:tblInd w:w="0" w:type="dxa"/>
        <w:tblLayout w:type="fixed"/>
        <w:tblCellMar>
          <w:top w:w="28" w:type="dxa"/>
          <w:left w:w="28" w:type="dxa"/>
          <w:bottom w:w="28" w:type="dxa"/>
          <w:right w:w="28" w:type="dxa"/>
        </w:tblCellMar>
      </w:tblPr>
      <w:tblGrid>
        <w:gridCol w:w="1057"/>
        <w:gridCol w:w="929"/>
        <w:gridCol w:w="932"/>
        <w:gridCol w:w="196"/>
        <w:gridCol w:w="556"/>
        <w:gridCol w:w="109"/>
        <w:gridCol w:w="109"/>
        <w:gridCol w:w="109"/>
        <w:gridCol w:w="109"/>
        <w:gridCol w:w="241"/>
        <w:gridCol w:w="704"/>
        <w:gridCol w:w="136"/>
        <w:gridCol w:w="109"/>
        <w:gridCol w:w="109"/>
        <w:gridCol w:w="109"/>
        <w:gridCol w:w="196"/>
        <w:gridCol w:w="556"/>
        <w:gridCol w:w="109"/>
        <w:gridCol w:w="109"/>
        <w:gridCol w:w="109"/>
        <w:gridCol w:w="109"/>
        <w:gridCol w:w="196"/>
        <w:gridCol w:w="556"/>
        <w:gridCol w:w="109"/>
        <w:gridCol w:w="109"/>
        <w:gridCol w:w="109"/>
        <w:gridCol w:w="109"/>
        <w:gridCol w:w="269"/>
        <w:gridCol w:w="661"/>
        <w:gridCol w:w="151"/>
        <w:gridCol w:w="109"/>
        <w:gridCol w:w="109"/>
        <w:gridCol w:w="109"/>
        <w:gridCol w:w="196"/>
        <w:gridCol w:w="556"/>
        <w:gridCol w:w="155"/>
      </w:tblGrid>
      <w:tr>
        <w:trPr/>
        <w:tc>
          <w:tcPr>
            <w:tcW w:w="105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Value</w:t>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Intangible assets with determinable lives: </w:t>
            </w:r>
            <w:r>
              <w:rPr>
                <w:rFonts w:ascii="Times New Roman;sans-serif" w:hAnsi="Times New Roman;sans-serif"/>
                <w:b w:val="false"/>
                <w:color w:val="000000"/>
                <w:sz w:val="12"/>
              </w:rPr>
              <w:t>(1)</w:t>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Trademarks with indefinite lives </w:t>
            </w:r>
            <w:r>
              <w:rPr>
                <w:rFonts w:ascii="Times New Roman;sans-serif" w:hAnsi="Times New Roman;sans-serif"/>
                <w:b w:val="false"/>
                <w:color w:val="000000"/>
                <w:sz w:val="12"/>
              </w:rPr>
              <w:t>(2)</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bidi w:val="0"/>
        <w:spacing w:lineRule="auto" w:line="240" w:before="0" w:after="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shd w:fill="FFFFFF" w:val="clear"/>
        </w:rPr>
        <w:t>The identifiable intangible assets associated with the TAMCO acquisition consists of customer relationships of $</w:t>
      </w:r>
      <w:r>
        <w:rPr>
          <w:rFonts w:ascii="Times New Roman;sans-serif" w:hAnsi="Times New Roman;sans-serif"/>
          <w:b w:val="false"/>
          <w:color w:val="000000"/>
          <w:sz w:val="18"/>
        </w:rPr>
        <w:t>59.7</w:t>
      </w:r>
      <w:r>
        <w:rPr>
          <w:rFonts w:ascii="Times New Roman;sans-serif" w:hAnsi="Times New Roman;sans-serif"/>
          <w:b w:val="false"/>
          <w:color w:val="000000"/>
          <w:sz w:val="18"/>
          <w:shd w:fill="FFFFFF" w:val="clear"/>
        </w:rPr>
        <w:t>, technology of $9.3, definite-lived trademarks of $</w:t>
      </w:r>
      <w:r>
        <w:rPr>
          <w:rFonts w:ascii="Times New Roman;sans-serif" w:hAnsi="Times New Roman;sans-serif"/>
          <w:b w:val="false"/>
          <w:color w:val="000000"/>
          <w:sz w:val="18"/>
        </w:rPr>
        <w:t>3.2</w:t>
      </w:r>
      <w:r>
        <w:rPr>
          <w:rFonts w:ascii="Times New Roman;sans-serif" w:hAnsi="Times New Roman;sans-serif"/>
          <w:b w:val="false"/>
          <w:color w:val="000000"/>
          <w:sz w:val="18"/>
          <w:shd w:fill="FFFFFF" w:val="clear"/>
        </w:rPr>
        <w:t>,</w:t>
      </w:r>
      <w:r>
        <w:rPr>
          <w:color w:val="000000"/>
        </w:rPr>
        <w:t xml:space="preserve"> </w:t>
      </w:r>
      <w:r>
        <w:rPr>
          <w:rFonts w:ascii="Times New Roman;sans-serif" w:hAnsi="Times New Roman;sans-serif"/>
          <w:b w:val="false"/>
          <w:color w:val="000000"/>
          <w:sz w:val="18"/>
        </w:rPr>
        <w:t>and backlog of $1.0</w:t>
      </w:r>
      <w:r>
        <w:rPr>
          <w:rFonts w:ascii="Times New Roman;sans-serif" w:hAnsi="Times New Roman;sans-serif"/>
          <w:b w:val="false"/>
          <w:color w:val="000000"/>
          <w:sz w:val="18"/>
          <w:shd w:fill="FFFFFF" w:val="clear"/>
        </w:rPr>
        <w:t xml:space="preserve">. The identifiable intangible assets associated with the ASPEQ acquisition consists of customer relationships of </w:t>
      </w:r>
      <w:r>
        <w:rPr>
          <w:rFonts w:ascii="Times New Roman;sans-serif" w:hAnsi="Times New Roman;sans-serif"/>
          <w:b w:val="false"/>
          <w:color w:val="000000"/>
          <w:sz w:val="18"/>
        </w:rPr>
        <w:t>$142.3</w:t>
      </w:r>
      <w:r>
        <w:rPr>
          <w:rFonts w:ascii="Times New Roman;sans-serif" w:hAnsi="Times New Roman;sans-serif"/>
          <w:b w:val="false"/>
          <w:color w:val="000000"/>
          <w:sz w:val="18"/>
          <w:shd w:fill="FFFFFF" w:val="clear"/>
        </w:rPr>
        <w:t xml:space="preserve">, technology of </w:t>
      </w:r>
      <w:r>
        <w:rPr>
          <w:rFonts w:ascii="Times New Roman;sans-serif" w:hAnsi="Times New Roman;sans-serif"/>
          <w:b w:val="false"/>
          <w:color w:val="000000"/>
          <w:sz w:val="18"/>
        </w:rPr>
        <w:t>$47.8</w:t>
      </w:r>
      <w:r>
        <w:rPr>
          <w:rFonts w:ascii="Times New Roman;sans-serif" w:hAnsi="Times New Roman;sans-serif"/>
          <w:b w:val="false"/>
          <w:color w:val="000000"/>
          <w:sz w:val="18"/>
          <w:shd w:fill="FFFFFF" w:val="clear"/>
        </w:rPr>
        <w:t xml:space="preserve">, and backlog of </w:t>
      </w:r>
      <w:r>
        <w:rPr>
          <w:rFonts w:ascii="Times New Roman;sans-serif" w:hAnsi="Times New Roman;sans-serif"/>
          <w:b w:val="false"/>
          <w:color w:val="000000"/>
          <w:sz w:val="18"/>
        </w:rPr>
        <w:t>$4.5</w:t>
      </w:r>
      <w:r>
        <w:rPr>
          <w:rFonts w:ascii="Times New Roman;sans-serif" w:hAnsi="Times New Roman;sans-serif"/>
          <w:b w:val="false"/>
          <w:color w:val="000000"/>
          <w:sz w:val="18"/>
          <w:shd w:fill="FFFFFF" w:val="clear"/>
        </w:rPr>
        <w:t>.</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12"/>
          <w:shd w:fill="FFFFFF" w:val="clear"/>
        </w:rPr>
        <w:t>(2)</w:t>
      </w:r>
      <w:r>
        <w:rPr>
          <w:rFonts w:ascii="Times New Roman;sans-serif" w:hAnsi="Times New Roman;sans-serif"/>
          <w:b w:val="false"/>
          <w:color w:val="000000"/>
          <w:sz w:val="18"/>
          <w:shd w:fill="FFFFFF" w:val="clear"/>
        </w:rPr>
        <w:t xml:space="preserve">Includes </w:t>
      </w:r>
      <w:r>
        <w:rPr>
          <w:rFonts w:ascii="Times New Roman;sans-serif" w:hAnsi="Times New Roman;sans-serif"/>
          <w:b w:val="false"/>
          <w:color w:val="000000"/>
          <w:sz w:val="18"/>
        </w:rPr>
        <w:t>$51.5</w:t>
      </w:r>
      <w:r>
        <w:rPr>
          <w:color w:val="000000"/>
          <w:shd w:fill="FFFFFF" w:val="clear"/>
        </w:rPr>
        <w:t xml:space="preserve"> </w:t>
      </w:r>
      <w:r>
        <w:rPr>
          <w:rFonts w:ascii="Times New Roman;sans-serif" w:hAnsi="Times New Roman;sans-serif"/>
          <w:b w:val="false"/>
          <w:color w:val="000000"/>
          <w:sz w:val="18"/>
          <w:shd w:fill="FFFFFF" w:val="clear"/>
        </w:rPr>
        <w:t>of indefinite-lived trademarks associated with the ASPEQ acquisition.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In connection with the acquisitions of TAMCO and ASPEQ, </w:t>
      </w:r>
      <w:r>
        <w:rPr>
          <w:rFonts w:ascii="Times New Roman;sans-serif" w:hAnsi="Times New Roman;sans-serif"/>
          <w:b w:val="false"/>
          <w:color w:val="000000"/>
          <w:sz w:val="20"/>
        </w:rPr>
        <w:t>which have definite-lived intangible assets as noted above, we updated our estimated annual amortization expense related to intangible assets to approximately $44.0 for the full year 2023 and $46.0 for 2024 and each of the four years thereafter.</w:t>
      </w:r>
    </w:p>
    <w:p>
      <w:pPr>
        <w:pStyle w:val="TextBody"/>
        <w:bidi w:val="0"/>
        <w:spacing w:before="0" w:after="0"/>
        <w:ind w:left="0" w:right="0" w:firstLine="720"/>
        <w:jc w:val="left"/>
        <w:rPr/>
      </w:pPr>
      <w:r>
        <w:rPr/>
      </w:r>
    </w:p>
    <w:p>
      <w:pPr>
        <w:pStyle w:val="TextBody"/>
        <w:bidi w:val="0"/>
        <w:spacing w:lineRule="auto" w:line="288" w:before="0" w:after="200"/>
        <w:ind w:left="0" w:right="0" w:firstLine="720"/>
        <w:jc w:val="both"/>
        <w:rPr/>
      </w:pPr>
      <w:r>
        <w:rPr>
          <w:rFonts w:ascii="Times New Roman;sans-serif" w:hAnsi="Times New Roman;sans-serif"/>
          <w:b w:val="false"/>
          <w:color w:val="000000"/>
          <w:sz w:val="20"/>
          <w:shd w:fill="FFFFFF" w:val="clear"/>
        </w:rPr>
        <w:t>At July 1, 2023, the net carrying va</w:t>
      </w:r>
      <w:r>
        <w:rPr>
          <w:rFonts w:ascii="Times New Roman;sans-serif" w:hAnsi="Times New Roman;sans-serif"/>
          <w:b w:val="false"/>
          <w:color w:val="000000"/>
          <w:sz w:val="20"/>
        </w:rPr>
        <w:t>lue of intangible assets with determinable lives consisted of $354.1 in the HVAC reportable segment and $130.8 in the Detection and Measurement reportable segment. At July 1, 2023, trademarks with indefinite lives consisted of $156.7 in the HVAC reportable segment and $64.0 in the Detection and Measurement reportable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200"/>
        <w:ind w:left="0" w:right="0" w:firstLine="720"/>
        <w:jc w:val="both"/>
        <w:rPr/>
      </w:pPr>
      <w:r>
        <w:rPr/>
      </w:r>
    </w:p>
    <w:p>
      <w:pPr>
        <w:pStyle w:val="TextBody"/>
        <w:bidi w:val="0"/>
        <w:spacing w:lineRule="auto" w:line="288" w:before="0" w:after="200"/>
        <w:ind w:left="0" w:right="0" w:firstLine="720"/>
        <w:jc w:val="both"/>
        <w:rPr/>
      </w:pPr>
      <w:r>
        <w:rPr>
          <w:rFonts w:ascii="Times New Roman;sans-serif" w:hAnsi="Times New Roman;sans-serif"/>
          <w:b w:val="false"/>
          <w:color w:val="000000"/>
          <w:sz w:val="20"/>
          <w:shd w:fill="FFFFFF" w:val="clear"/>
        </w:rPr>
        <w:t>We review goodwill and indefinite-lived intangible assets for impairment annually during th</w:t>
      </w:r>
      <w:r>
        <w:rPr>
          <w:rFonts w:ascii="Times New Roman;sans-serif" w:hAnsi="Times New Roman;sans-serif"/>
          <w:b w:val="false"/>
          <w:color w:val="000000"/>
          <w:sz w:val="20"/>
        </w:rPr>
        <w:t>e fourth quarter in conjunction with our annual financial planning process, with such testing based primarily on events and circumstances existing as of the end of the third quarter. In addition, we test goodwill for impairment on a more frequent basis if there are indications of potential impairment. In reviewing goodwill and indefinite-lived intangible assets for impairment, we initially perform a qualitative analysis. If there is an indication of impairment, we then perform a quantitative analysis. A significant amount of judgment is involved in determining if an indication of impairment has occurred between annual testing dates. Such indication may include: a significant decline in expected future cash flows; a significant adverse change in legal factors or the business climate; unanticipated competition; and a more likely than not expectation of selling or disposing all, or a portion, of a reporting unit.</w:t>
      </w:r>
    </w:p>
    <w:p>
      <w:pPr>
        <w:pStyle w:val="TextBody"/>
        <w:bidi w:val="0"/>
        <w:spacing w:lineRule="auto" w:line="288" w:before="0" w:after="200"/>
        <w:ind w:left="0" w:right="0" w:firstLine="720"/>
        <w:jc w:val="both"/>
        <w:rPr/>
      </w:pPr>
      <w:r>
        <w:rPr>
          <w:rFonts w:ascii="Times New Roman;sans-serif" w:hAnsi="Times New Roman;sans-serif"/>
          <w:b w:val="false"/>
          <w:color w:val="000000"/>
          <w:sz w:val="20"/>
          <w:shd w:fill="FFFFFF" w:val="clear"/>
        </w:rPr>
        <w:t xml:space="preserve">During the fourth quarter of 2022, we performed a quantitative analysis on the goodwill of our Cincinnati Fan reporting unit. The Cincinnati Fan analysis indicated that the fair value of its net assets exceeded the related carrying value by less than 10%. A change in assumptions used in Cincinnati Fan’s quantitative analysis (e.g., projected revenues and profit growth rates, discount rates, industry price multiples, etc.) could result in the reporting unit’s estimated fair value being less than the carrying value. If Cincinnati Fan is unable to achieve its current financial forecast, we may be required to record an impairment charge in a future period related to its goodwill. As of </w:t>
      </w:r>
      <w:r>
        <w:rPr>
          <w:rFonts w:ascii="Times New Roman;sans-serif" w:hAnsi="Times New Roman;sans-serif"/>
          <w:b w:val="false"/>
          <w:color w:val="000000"/>
          <w:sz w:val="20"/>
        </w:rPr>
        <w:t>July 1, 2023</w:t>
      </w:r>
      <w:r>
        <w:rPr>
          <w:rFonts w:ascii="Times New Roman;sans-serif" w:hAnsi="Times New Roman;sans-serif"/>
          <w:b w:val="false"/>
          <w:color w:val="000000"/>
          <w:sz w:val="20"/>
          <w:shd w:fill="FFFFFF" w:val="clear"/>
        </w:rPr>
        <w:t xml:space="preserve">, Cincinnati Fan’s goodwill totaled </w:t>
      </w:r>
      <w:r>
        <w:rPr>
          <w:rFonts w:ascii="Times New Roman;sans-serif" w:hAnsi="Times New Roman;sans-serif"/>
          <w:b w:val="false"/>
          <w:color w:val="000000"/>
          <w:sz w:val="20"/>
        </w:rPr>
        <w:t>$54.8.</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 xml:space="preserve">We perform our annual trademarks impairment testing during the fourth quarter, or on a more frequent basis, if there are indications of potential impairment. The fair value of our trademarks is based on applying estimated royalty rates to projected revenues, with resulting cash flows discounted at a rate of return that reflects current market conditions (fair value based on unobservable inputs - Level 3, as defined in </w:t>
      </w:r>
      <w:r>
        <w:rPr>
          <w:rFonts w:ascii="Times New Roman;sans-serif" w:hAnsi="Times New Roman;sans-serif"/>
          <w:b w:val="false"/>
          <w:color w:val="000000"/>
          <w:sz w:val="20"/>
          <w:shd w:fill="FFFFFF" w:val="clear"/>
        </w:rPr>
        <w:t>Note 17)</w:t>
      </w:r>
      <w:r>
        <w:rPr>
          <w:rFonts w:ascii="Times New Roman;sans-serif" w:hAnsi="Times New Roman;sans-serif"/>
          <w:b w:val="false"/>
          <w:color w:val="000000"/>
          <w:sz w:val="20"/>
        </w:rPr>
        <w:t xml:space="preserve">. The primary basis for these projected revenues is the annual operating plan for each of the related businesses, which is prepared in the fourth quarter of each year.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(10)     WARRANTY</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an analysis of our product warranty accrual for the periods presented:</w:t>
      </w:r>
    </w:p>
    <w:tbl>
      <w:tblPr>
        <w:tblW w:w="4419" w:type="dxa"/>
        <w:jc w:val="left"/>
        <w:tblInd w:w="0" w:type="dxa"/>
        <w:tblLayout w:type="fixed"/>
        <w:tblCellMar>
          <w:top w:w="28" w:type="dxa"/>
          <w:left w:w="28" w:type="dxa"/>
          <w:bottom w:w="28" w:type="dxa"/>
          <w:right w:w="28" w:type="dxa"/>
        </w:tblCellMar>
      </w:tblPr>
      <w:tblGrid>
        <w:gridCol w:w="907"/>
        <w:gridCol w:w="797"/>
        <w:gridCol w:w="801"/>
        <w:gridCol w:w="196"/>
        <w:gridCol w:w="466"/>
        <w:gridCol w:w="109"/>
        <w:gridCol w:w="109"/>
        <w:gridCol w:w="109"/>
        <w:gridCol w:w="109"/>
        <w:gridCol w:w="196"/>
        <w:gridCol w:w="466"/>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
              </w:rPr>
            </w:pPr>
            <w:r>
              <w:rPr>
                <w:rFonts w:ascii="Times New Roman;sans-serif" w:hAnsi="Times New Roman;sans-serif"/>
                <w:b/>
                <w:color w:val="000000"/>
                <w:sz w:val="2"/>
              </w:rPr>
              <w:t>10</w:t>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Usage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 of warranty</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portion of warranty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(11)    EMPLOYEE BENEFIT PLANS</w:t>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17, 2022, we transferred our existing liability under the SPX Postretirement Benefit Plans (the “Plans”) for a group of participants with retiree life insurance benefits to an insurance carrier for consideration payable to the insurance carrier of approximately $10.0. Of this consideration, $9.0 was paid during the first quarter ended April 2, 2022, with the remainder paid in the second quarter of 2022. This transaction resulted in a settlement charge of $0.7 recorded to “Other income (expense), net” during the first quarter of 2022. In addition, and in connection with this transfer, we remeasured the assets and liabilities of the Plans as of the transfer date, which resulted in a benefit of $0.4 recorded to “Other income (expense), net” for the three months ended April 2, 2022.</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Participants in the SPX U.S. Pension Plan (the “U.S. Plan”) are eligible to elect a lump-sum payment option in lieu of a future pension benefit. During the first half of 2022, $10.0 was paid to participants who elected lump-sum payments. This triggered a plan settlement which resulted in a charge to “Other income (expense), net” of $2.3 during the quarter ended July 2, 2022. In addition, we remeasured assets and liabilities of the U.S. Plan at July 2, 2022, which resulted in an actuarial loss of $1.5 recorded to “Other income (expense), net” during the quarter.</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(income) expense for our pension and postretirement plans includes the following components: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Domestic Pension Plans</w:t>
      </w:r>
    </w:p>
    <w:tbl>
      <w:tblPr>
        <w:tblW w:w="6479" w:type="dxa"/>
        <w:jc w:val="left"/>
        <w:tblInd w:w="0" w:type="dxa"/>
        <w:tblLayout w:type="fixed"/>
        <w:tblCellMar>
          <w:top w:w="28" w:type="dxa"/>
          <w:left w:w="28" w:type="dxa"/>
          <w:bottom w:w="28" w:type="dxa"/>
          <w:right w:w="28" w:type="dxa"/>
        </w:tblCellMar>
      </w:tblPr>
      <w:tblGrid>
        <w:gridCol w:w="990"/>
        <w:gridCol w:w="865"/>
        <w:gridCol w:w="874"/>
        <w:gridCol w:w="196"/>
        <w:gridCol w:w="376"/>
        <w:gridCol w:w="109"/>
        <w:gridCol w:w="109"/>
        <w:gridCol w:w="109"/>
        <w:gridCol w:w="109"/>
        <w:gridCol w:w="196"/>
        <w:gridCol w:w="376"/>
        <w:gridCol w:w="109"/>
        <w:gridCol w:w="109"/>
        <w:gridCol w:w="109"/>
        <w:gridCol w:w="109"/>
        <w:gridCol w:w="196"/>
        <w:gridCol w:w="376"/>
        <w:gridCol w:w="109"/>
        <w:gridCol w:w="109"/>
        <w:gridCol w:w="109"/>
        <w:gridCol w:w="109"/>
        <w:gridCol w:w="196"/>
        <w:gridCol w:w="376"/>
        <w:gridCol w:w="154"/>
      </w:tblGrid>
      <w:tr>
        <w:trPr/>
        <w:tc>
          <w:tcPr>
            <w:tcW w:w="99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cost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return on plan assets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Settlement and actuarial losses </w:t>
            </w:r>
            <w:r>
              <w:rPr>
                <w:rFonts w:ascii="Times New Roman;sans-serif" w:hAnsi="Times New Roman;sans-serif"/>
                <w:b w:val="false"/>
                <w:color w:val="000000"/>
                <w:sz w:val="12"/>
              </w:rPr>
              <w:t>(1)</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periodic pension benefit expense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C</w:t>
      </w:r>
      <w:r>
        <w:rPr>
          <w:rFonts w:ascii="Times New Roman;sans-serif" w:hAnsi="Times New Roman;sans-serif"/>
          <w:b w:val="false"/>
          <w:color w:val="000000"/>
          <w:sz w:val="18"/>
        </w:rPr>
        <w:t xml:space="preserve">onsists of an actuarial loss of $1.5 and a settlement loss of $2.3 for the three and six months ended July 2, 2022.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Foreign Pension Plans</w:t>
      </w:r>
    </w:p>
    <w:tbl>
      <w:tblPr>
        <w:tblW w:w="6720" w:type="dxa"/>
        <w:jc w:val="left"/>
        <w:tblInd w:w="0" w:type="dxa"/>
        <w:tblLayout w:type="fixed"/>
        <w:tblCellMar>
          <w:top w:w="28" w:type="dxa"/>
          <w:left w:w="28" w:type="dxa"/>
          <w:bottom w:w="28" w:type="dxa"/>
          <w:right w:w="28" w:type="dxa"/>
        </w:tblCellMar>
      </w:tblPr>
      <w:tblGrid>
        <w:gridCol w:w="968"/>
        <w:gridCol w:w="847"/>
        <w:gridCol w:w="855"/>
        <w:gridCol w:w="196"/>
        <w:gridCol w:w="451"/>
        <w:gridCol w:w="109"/>
        <w:gridCol w:w="109"/>
        <w:gridCol w:w="109"/>
        <w:gridCol w:w="109"/>
        <w:gridCol w:w="196"/>
        <w:gridCol w:w="451"/>
        <w:gridCol w:w="109"/>
        <w:gridCol w:w="109"/>
        <w:gridCol w:w="109"/>
        <w:gridCol w:w="109"/>
        <w:gridCol w:w="196"/>
        <w:gridCol w:w="451"/>
        <w:gridCol w:w="109"/>
        <w:gridCol w:w="109"/>
        <w:gridCol w:w="109"/>
        <w:gridCol w:w="109"/>
        <w:gridCol w:w="196"/>
        <w:gridCol w:w="451"/>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cost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return on plan assets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periodic pension benefit income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i/>
          <w:color w:val="000000"/>
          <w:sz w:val="20"/>
        </w:rPr>
      </w:pPr>
      <w:r>
        <w:rPr>
          <w:rFonts w:ascii="Times New Roman;sans-serif" w:hAnsi="Times New Roman;sans-serif"/>
          <w:b/>
          <w:i/>
          <w:color w:val="000000"/>
          <w:sz w:val="20"/>
        </w:rPr>
        <w:t>Postretirement Plans</w:t>
      </w:r>
    </w:p>
    <w:tbl>
      <w:tblPr>
        <w:tblW w:w="7725" w:type="dxa"/>
        <w:jc w:val="left"/>
        <w:tblInd w:w="0" w:type="dxa"/>
        <w:tblLayout w:type="fixed"/>
        <w:tblCellMar>
          <w:top w:w="28" w:type="dxa"/>
          <w:left w:w="28" w:type="dxa"/>
          <w:bottom w:w="28" w:type="dxa"/>
          <w:right w:w="28" w:type="dxa"/>
        </w:tblCellMar>
      </w:tblPr>
      <w:tblGrid>
        <w:gridCol w:w="1331"/>
        <w:gridCol w:w="1165"/>
        <w:gridCol w:w="1179"/>
        <w:gridCol w:w="196"/>
        <w:gridCol w:w="451"/>
        <w:gridCol w:w="109"/>
        <w:gridCol w:w="109"/>
        <w:gridCol w:w="109"/>
        <w:gridCol w:w="109"/>
        <w:gridCol w:w="196"/>
        <w:gridCol w:w="451"/>
        <w:gridCol w:w="109"/>
        <w:gridCol w:w="109"/>
        <w:gridCol w:w="109"/>
        <w:gridCol w:w="109"/>
        <w:gridCol w:w="196"/>
        <w:gridCol w:w="451"/>
        <w:gridCol w:w="109"/>
        <w:gridCol w:w="109"/>
        <w:gridCol w:w="109"/>
        <w:gridCol w:w="109"/>
        <w:gridCol w:w="196"/>
        <w:gridCol w:w="451"/>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cost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unrecognized prior service credits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Recognized net actuarial losses </w:t>
            </w:r>
            <w:r>
              <w:rPr>
                <w:rFonts w:ascii="Times New Roman;sans-serif" w:hAnsi="Times New Roman;sans-serif"/>
                <w:b w:val="false"/>
                <w:color w:val="000000"/>
                <w:sz w:val="12"/>
              </w:rPr>
              <w:t>(1)</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periodic postretirement benefit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 </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The six months ended July 2, 2022 includes the impact of the transfer of the retiree life insurance benefits obligation.</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(12)    INDEBTEDNESS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our debt activity (both current and non-current) for the six months ended July 1, 2023:</w:t>
      </w:r>
    </w:p>
    <w:tbl>
      <w:tblPr>
        <w:tblW w:w="9121" w:type="dxa"/>
        <w:jc w:val="left"/>
        <w:tblInd w:w="0" w:type="dxa"/>
        <w:tblLayout w:type="fixed"/>
        <w:tblCellMar>
          <w:top w:w="28" w:type="dxa"/>
          <w:left w:w="28" w:type="dxa"/>
          <w:bottom w:w="28" w:type="dxa"/>
          <w:right w:w="28" w:type="dxa"/>
        </w:tblCellMar>
      </w:tblPr>
      <w:tblGrid>
        <w:gridCol w:w="1130"/>
        <w:gridCol w:w="992"/>
        <w:gridCol w:w="998"/>
        <w:gridCol w:w="249"/>
        <w:gridCol w:w="707"/>
        <w:gridCol w:w="138"/>
        <w:gridCol w:w="109"/>
        <w:gridCol w:w="109"/>
        <w:gridCol w:w="109"/>
        <w:gridCol w:w="215"/>
        <w:gridCol w:w="610"/>
        <w:gridCol w:w="121"/>
        <w:gridCol w:w="109"/>
        <w:gridCol w:w="109"/>
        <w:gridCol w:w="109"/>
        <w:gridCol w:w="221"/>
        <w:gridCol w:w="645"/>
        <w:gridCol w:w="125"/>
        <w:gridCol w:w="109"/>
        <w:gridCol w:w="109"/>
        <w:gridCol w:w="109"/>
        <w:gridCol w:w="196"/>
        <w:gridCol w:w="451"/>
        <w:gridCol w:w="109"/>
        <w:gridCol w:w="109"/>
        <w:gridCol w:w="109"/>
        <w:gridCol w:w="109"/>
        <w:gridCol w:w="196"/>
        <w:gridCol w:w="556"/>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Other </w:t>
            </w:r>
            <w:r>
              <w:rPr>
                <w:rFonts w:ascii="Times New Roman;sans-serif" w:hAnsi="Times New Roman;sans-serif"/>
                <w:b/>
                <w:color w:val="000000"/>
                <w:sz w:val="1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Revolving loans</w:t>
            </w:r>
            <w:r>
              <w:rPr>
                <w:rFonts w:ascii="Times New Roman;sans-serif" w:hAnsi="Times New Roman;sans-serif"/>
                <w:b w:val="false"/>
                <w:color w:val="000000"/>
                <w:sz w:val="12"/>
              </w:rPr>
              <w:t>(1)</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(420.0)</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Term loans</w:t>
            </w:r>
            <w:r>
              <w:rPr>
                <w:rFonts w:ascii="Times New Roman;sans-serif" w:hAnsi="Times New Roman;sans-serif"/>
                <w:b w:val="false"/>
                <w:color w:val="000000"/>
                <w:sz w:val="12"/>
              </w:rPr>
              <w:t>(2)(3)</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Trade receivables financing arrangement</w:t>
            </w:r>
            <w:r>
              <w:rPr>
                <w:rFonts w:ascii="Times New Roman;sans-serif" w:hAnsi="Times New Roman;sans-serif"/>
                <w:b w:val="false"/>
                <w:color w:val="000000"/>
                <w:sz w:val="12"/>
              </w:rPr>
              <w:t>(4)</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 indebtedness</w:t>
            </w:r>
            <w:r>
              <w:rPr>
                <w:rFonts w:ascii="Times New Roman;sans-serif" w:hAnsi="Times New Roman;sans-serif"/>
                <w:b w:val="false"/>
                <w:color w:val="000000"/>
                <w:sz w:val="12"/>
              </w:rPr>
              <w:t>(5)</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short-term debt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maturities of long-term debt</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debt</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243.0 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76" w:before="0" w:after="20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While not due for repayment until August 2027 under the terms of our senior credit agreement, we classify within current liabilities the portion of the outstanding balance that we believe will be repaid over the next year, with such amount based on an estimate of cash that is expected to be generated over such period. The revolving loan facility was utilized as the initial funding mechanism for the TAMCO and ASPEQ acquisitions and was partially repaid with the funds borrowed on the Incremental Term Loan (see additional discussion below).</w:t>
      </w:r>
    </w:p>
    <w:p>
      <w:pPr>
        <w:pStyle w:val="TextBody"/>
        <w:bidi w:val="0"/>
        <w:spacing w:lineRule="auto" w:line="276" w:before="0" w:after="20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As noted below, we amended our senior credit agreement on April 21, 2023, with the amendment making available an incremental term loan facility (“Incremental Term Loan”) in the amount of $300.0. The proceeds from the Incremental Term Loan were primarily used to fund the acquisition of ASPEQ.</w:t>
      </w:r>
    </w:p>
    <w:p>
      <w:pPr>
        <w:pStyle w:val="TextBody"/>
        <w:bidi w:val="0"/>
        <w:spacing w:lineRule="auto" w:line="276" w:before="0" w:after="200"/>
        <w:ind w:left="0" w:right="0" w:hanging="36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 xml:space="preserve">The term loans are repayable in quarterly installments equal to 0.625% of the balance of $545.0, beginning in December 2023 and in each of the first three quarters of 2024, and 1.25% during the fourth quarter of 2024, all quarters of 2025 and 2026, and the first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200"/>
        <w:jc w:val="both"/>
        <w:rPr>
          <w:rFonts w:ascii="Times New Roman;sans-serif" w:hAnsi="Times New Roman;sans-serif"/>
          <w:b w:val="false"/>
          <w:color w:val="000000"/>
          <w:sz w:val="18"/>
        </w:rPr>
      </w:pPr>
      <w:r>
        <w:rPr>
          <w:rFonts w:ascii="Times New Roman;sans-serif" w:hAnsi="Times New Roman;sans-serif"/>
          <w:b w:val="false"/>
          <w:color w:val="000000"/>
          <w:sz w:val="18"/>
        </w:rPr>
        <w:t>two quarters of 2027. The remaining balances are payable in full on August 12, 2027. Balances are net of unamortized debt issuance costs of $1.9 and $0.7 at July 1, 2023 and December 31, 2022, respectively.</w:t>
      </w:r>
    </w:p>
    <w:p>
      <w:pPr>
        <w:pStyle w:val="TextBody"/>
        <w:bidi w:val="0"/>
        <w:spacing w:lineRule="auto" w:line="276" w:before="0" w:after="200"/>
        <w:ind w:left="0" w:right="0" w:hanging="360"/>
        <w:jc w:val="both"/>
        <w:rPr/>
      </w:pPr>
      <w:r>
        <w:rPr>
          <w:rFonts w:ascii="Times New Roman;sans-serif" w:hAnsi="Times New Roman;sans-serif"/>
          <w:b w:val="false"/>
          <w:color w:val="000000"/>
          <w:sz w:val="12"/>
        </w:rPr>
        <w:t>(4)</w:t>
      </w:r>
      <w:r>
        <w:rPr>
          <w:rFonts w:ascii="Times New Roman;sans-serif" w:hAnsi="Times New Roman;sans-serif"/>
          <w:b w:val="false"/>
          <w:color w:val="000000"/>
          <w:sz w:val="18"/>
        </w:rPr>
        <w:t>Under this arrangement, we can borrow, on a continuous basis, up to $50.0, as available. Borrowings under this arrangement are collateralized by eligible trade receivables of certain of our businesses. At July 1, 2023, we had $12.3 of available borrowing capacity under this facility after giving effect to outstanding borrowings of $30.0.</w:t>
      </w:r>
    </w:p>
    <w:p>
      <w:pPr>
        <w:pStyle w:val="TextBody"/>
        <w:bidi w:val="0"/>
        <w:spacing w:lineRule="auto" w:line="288" w:before="0" w:after="200"/>
        <w:ind w:left="0" w:right="0" w:hanging="360"/>
        <w:jc w:val="both"/>
        <w:rPr/>
      </w:pPr>
      <w:r>
        <w:rPr>
          <w:rFonts w:ascii="Times New Roman;sans-serif" w:hAnsi="Times New Roman;sans-serif"/>
          <w:b w:val="false"/>
          <w:color w:val="000000"/>
          <w:sz w:val="12"/>
        </w:rPr>
        <w:t>(5)</w:t>
      </w:r>
      <w:r>
        <w:rPr>
          <w:rFonts w:ascii="Times New Roman;sans-serif" w:hAnsi="Times New Roman;sans-serif"/>
          <w:b w:val="false"/>
          <w:color w:val="000000"/>
          <w:sz w:val="18"/>
        </w:rPr>
        <w:t>Primarily includes balances under a purchase card program of $2.0 and $1.8 and finance lease obligations of $0.5 and $0.7 at July 1, 2023 and December 31, 2022, respectively. The purchase card program allows for payment beyond the normal payment terms for goods and services acquired under the program. As this arrangement extends the payment of these purchases beyond their normal payment terms through third-party lending institutions, we have classified these amounts as short-term debt. </w:t>
      </w:r>
    </w:p>
    <w:p>
      <w:pPr>
        <w:pStyle w:val="TextBody"/>
        <w:bidi w:val="0"/>
        <w:spacing w:lineRule="auto" w:line="288" w:before="0" w:after="200"/>
        <w:ind w:left="0" w:right="0" w:hanging="360"/>
        <w:jc w:val="both"/>
        <w:rPr/>
      </w:pPr>
      <w:r>
        <w:rPr>
          <w:rFonts w:ascii="Times New Roman;sans-serif" w:hAnsi="Times New Roman;sans-serif"/>
          <w:b w:val="false"/>
          <w:color w:val="000000"/>
          <w:sz w:val="12"/>
        </w:rPr>
        <w:t>(6)</w:t>
      </w:r>
      <w:r>
        <w:rPr>
          <w:color w:val="000000"/>
        </w:rPr>
        <w:t>“</w:t>
      </w:r>
      <w:r>
        <w:rPr>
          <w:rFonts w:ascii="Times New Roman;sans-serif" w:hAnsi="Times New Roman;sans-serif"/>
          <w:b w:val="false"/>
          <w:color w:val="000000"/>
          <w:sz w:val="18"/>
        </w:rPr>
        <w:t>Other” includes the capitalization and amortization of debt issuance costs. During the three months ended July 1, 2023, we capitalized $1.3 of debt issuance costs associated with the Incremental Term Loan.</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Senior Credit Facilities</w:t>
      </w:r>
    </w:p>
    <w:p>
      <w:pPr>
        <w:pStyle w:val="TextBody"/>
        <w:bidi w:val="0"/>
        <w:spacing w:lineRule="auto" w:line="26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21, 2023 (the “Incremental Amendment Effective Date”), we entered into an Incremental Facility Activation Notice (the “Incremental Amendment”) with Bank of America, N.A., as administrative agent (the “Administrative Agent”), and the lenders party thereto, which amends the Amended and Restated Credit Agreement, dated as of August 12, 2022 (as amended, the “Credit Agreement”), among the Company, the lenders party thereto, Deutsche Bank AG, as foreign trade facility agent, and the Administrative Agent.</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Incremental Amendment provides for an Incremental Term Loan in the aggregate amount of $300.0, which was available in up to three drawings (subject to customary conditions) from the Incremental Amendment Effective Date to October 18, 2023. The proceeds of the Incremental Term Loan were available to be used to finance, in part, permitted acquisitions, to pay related fees, costs and expenses and for other lawful corporate purposes. The Incremental Term Loan will mature on August 12, 2027. We may voluntarily prepay the Incremental Term Loan, in whole or in part, without premium or penalty. In June 2023, we borrowed $300.0 under the Incremental Term Loan in connection with the ASPEQ acquisition.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rate applicable to the Incremental Term Loan is, at our option, equal to either (x) an alternate base rate (the highest of (a) the federal funds effective rate plus 0.50%, (b) the prime rate of Bank of America, N.A., and (c) the one-month Term SOFR rate plus 1.00%) or (y) the Term SOFR rate for the applicable interest period plus 0.10%, plus, in each case, an applicable margin percentage, which varies based on the Company’s Consolidated Leverage Ratio (defined in the Credit Agreement generally as the ratio of consolidated total debt (excluding the face amount of undrawn letters of credit, bank undertakings or analogous instruments and net of unrestricted cash and cash equivalents) at the date of determination to Consolidated EBITDA for the four fiscal quarters ended most recently before such date). SPX may elect interest periods of one, three or six months (and, if consented to by all relevant lenders, any other period not greater than twelve months) for Term SOFR borrowings. SPX will also pay a commitment fee to the incremental lenders on the daily unused amount of the commitments for the Incremental Term Loan, payable quarterly at a per annum rate which also varies based on the Company’s Consolidated Leverage Ratio. The commitment fee rate and interest rate margins for the Incremental Term Loan are as follows:</w:t>
      </w:r>
    </w:p>
    <w:p>
      <w:pPr>
        <w:pStyle w:val="TextBody"/>
        <w:bidi w:val="0"/>
        <w:spacing w:before="0" w:after="0"/>
        <w:jc w:val="both"/>
        <w:rPr/>
      </w:pPr>
      <w:r>
        <w:rPr/>
      </w:r>
    </w:p>
    <w:tbl>
      <w:tblPr>
        <w:tblW w:w="9212" w:type="dxa"/>
        <w:jc w:val="left"/>
        <w:tblInd w:w="0" w:type="dxa"/>
        <w:tblLayout w:type="fixed"/>
        <w:tblCellMar>
          <w:top w:w="28" w:type="dxa"/>
          <w:left w:w="28" w:type="dxa"/>
          <w:bottom w:w="28" w:type="dxa"/>
          <w:right w:w="28" w:type="dxa"/>
        </w:tblCellMar>
      </w:tblPr>
      <w:tblGrid>
        <w:gridCol w:w="1553"/>
        <w:gridCol w:w="1365"/>
        <w:gridCol w:w="1372"/>
        <w:gridCol w:w="109"/>
        <w:gridCol w:w="109"/>
        <w:gridCol w:w="109"/>
        <w:gridCol w:w="309"/>
        <w:gridCol w:w="309"/>
        <w:gridCol w:w="731"/>
        <w:gridCol w:w="109"/>
        <w:gridCol w:w="109"/>
        <w:gridCol w:w="109"/>
        <w:gridCol w:w="336"/>
        <w:gridCol w:w="336"/>
        <w:gridCol w:w="798"/>
        <w:gridCol w:w="109"/>
        <w:gridCol w:w="109"/>
        <w:gridCol w:w="109"/>
        <w:gridCol w:w="278"/>
        <w:gridCol w:w="278"/>
        <w:gridCol w:w="566"/>
      </w:tblGrid>
      <w:tr>
        <w:trPr/>
        <w:tc>
          <w:tcPr>
            <w:tcW w:w="1553"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Leverage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Commitment Fee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Term SOFR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ABR Loans</w:t>
            </w:r>
          </w:p>
        </w:tc>
      </w:tr>
      <w:tr>
        <w:trPr/>
        <w:tc>
          <w:tcPr>
            <w:tcW w:w="4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Less than 2.00 to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0.225 </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1.500 </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0.500 </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Greater than or equal to 2.00 to 1.0 but less than 3.00 to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0.250 </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1.625 </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0.625 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Greater than or equal to 3.00 to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0.275 </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1.875 </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0.875 </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 xml:space="preserve">The Incremental Term Loan is guaranteed by certain domestic material subsidiaries of the Company and secured by a first priority pledge and security interest in 100% of the capital stock of our domestic subsidiaries or the domestic subsidiary guarantors and 65% of the voting capital stock (and 100% of the non-voting capital stock) of material first-tier foreign subsidiaries, all subject to certain exceptions and on a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basis with the other credit facilities under the Credit Agreement.</w:t>
      </w:r>
    </w:p>
    <w:p>
      <w:pPr>
        <w:pStyle w:val="TextBody"/>
        <w:bidi w:val="0"/>
        <w:spacing w:before="0" w:after="0"/>
        <w:ind w:left="0" w:right="0" w:firstLine="720"/>
        <w:jc w:val="both"/>
        <w:rPr/>
      </w:pPr>
      <w:r>
        <w:rPr/>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detailed description of our remaining senior credit facilities under the Credit Agreement is included in our 2022 Annual Report on Form 10-K.</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July 1, 2023, we had $389.2 of available borrowing capacity under our revolving credit facilities, after giving effect to borrowings under the domestic revolving loan facility of $100.0 and $10.8 reserved for outstanding letters of credit. In addition, at July 1, 2023, we had $9.6 of available issuance capacity under our foreign credit instrument facilities after giving effect to $15.4 reserved for outstanding letters of credit.</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interest rate of outstanding borrowings under the Credit Agreement was approximately 6.8% at July 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July 1, 2023, we were in compliance with all covenants of the Credit Agreement.</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(13)    DERIVATIVE FINANCIAL INSTRUMENTS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Rate Swaps </w:t>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We maintain interest rate swap agreements (“Swaps”) that have a remaining notional amount of $225.0, cover the period through November 202</w:t>
      </w:r>
      <w:r>
        <w:rPr>
          <w:rFonts w:ascii="Times New Roman;sans-serif" w:hAnsi="Times New Roman;sans-serif"/>
          <w:b w:val="false"/>
          <w:color w:val="000000"/>
          <w:sz w:val="20"/>
          <w:shd w:fill="FFFFFF" w:val="clear"/>
        </w:rPr>
        <w:t>4, and effectively convert this portion of the borrowings under our senior credit facilities to a fixed rate of 1.077%, plus the applicable margin. We have designated, and are accounting for, our Swaps as cash flow hedges.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July 1, 2023 and December 31, 2022</w:t>
      </w:r>
      <w:r>
        <w:rPr>
          <w:rFonts w:ascii="Times New Roman;sans-serif" w:hAnsi="Times New Roman;sans-serif"/>
          <w:b w:val="false"/>
          <w:color w:val="000000"/>
          <w:sz w:val="20"/>
          <w:shd w:fill="FFFFFF" w:val="clear"/>
        </w:rPr>
        <w:t>, the unrealized gain, net of tax, recorded in accumulated other comprehensive income (</w:t>
      </w:r>
      <w:r>
        <w:rPr>
          <w:color w:val="000000"/>
        </w:rPr>
        <w:t>“</w:t>
      </w:r>
      <w:r>
        <w:rPr>
          <w:rFonts w:ascii="Times New Roman;sans-serif" w:hAnsi="Times New Roman;sans-serif"/>
          <w:b w:val="false"/>
          <w:color w:val="000000"/>
          <w:sz w:val="20"/>
          <w:shd w:fill="FFFFFF" w:val="clear"/>
        </w:rPr>
        <w:t>AOCI</w:t>
      </w:r>
      <w:r>
        <w:rPr>
          <w:color w:val="000000"/>
        </w:rPr>
        <w:t>”</w:t>
      </w:r>
      <w:r>
        <w:rPr>
          <w:rFonts w:ascii="Times New Roman;sans-serif" w:hAnsi="Times New Roman;sans-serif"/>
          <w:b w:val="false"/>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 xml:space="preserve">was </w:t>
      </w:r>
      <w:r>
        <w:rPr>
          <w:rFonts w:ascii="Times New Roman;sans-serif" w:hAnsi="Times New Roman;sans-serif"/>
          <w:b w:val="false"/>
          <w:color w:val="000000"/>
          <w:sz w:val="20"/>
        </w:rPr>
        <w:t>$9.2</w:t>
      </w:r>
      <w:r>
        <w:rPr>
          <w:color w:val="000000"/>
          <w:shd w:fill="FFFFFF" w:val="clear"/>
        </w:rPr>
        <w:t xml:space="preserve"> </w:t>
      </w:r>
      <w:r>
        <w:rPr>
          <w:rFonts w:ascii="Times New Roman;sans-serif" w:hAnsi="Times New Roman;sans-serif"/>
          <w:b w:val="false"/>
          <w:color w:val="000000"/>
          <w:sz w:val="20"/>
          <w:shd w:fill="FFFFFF" w:val="clear"/>
        </w:rPr>
        <w:t xml:space="preserve">and $11.0, respectively. In addition, the fair value of our Swaps was </w:t>
      </w:r>
      <w:r>
        <w:rPr>
          <w:rFonts w:ascii="Times New Roman;sans-serif" w:hAnsi="Times New Roman;sans-serif"/>
          <w:b w:val="false"/>
          <w:color w:val="000000"/>
          <w:sz w:val="20"/>
        </w:rPr>
        <w:t xml:space="preserve">$12.3 (with $9.0 recorded as a current asset and $3.3 as a non-current asset) </w:t>
      </w: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July 1, 2023</w:t>
      </w:r>
      <w:r>
        <w:rPr>
          <w:rFonts w:ascii="Times New Roman;sans-serif" w:hAnsi="Times New Roman;sans-serif"/>
          <w:b w:val="false"/>
          <w:color w:val="000000"/>
          <w:sz w:val="20"/>
          <w:shd w:fill="FFFFFF" w:val="clear"/>
        </w:rPr>
        <w:t xml:space="preserve">, and $14.7 (with $8.7 recorded as a current asset and $6.0 as a non-current asset) as of </w:t>
      </w:r>
      <w:r>
        <w:rPr>
          <w:rFonts w:ascii="Times New Roman;sans-serif" w:hAnsi="Times New Roman;sans-serif"/>
          <w:b w:val="false"/>
          <w:color w:val="000000"/>
          <w:sz w:val="20"/>
        </w:rPr>
        <w:t>December 31, 2022</w:t>
      </w:r>
      <w:r>
        <w:rPr>
          <w:rFonts w:ascii="Times New Roman;sans-serif" w:hAnsi="Times New Roman;sans-serif"/>
          <w:b w:val="false"/>
          <w:color w:val="000000"/>
          <w:sz w:val="20"/>
          <w:shd w:fill="FFFFFF" w:val="clear"/>
        </w:rPr>
        <w:t xml:space="preserve">. Changes in the fair value of our Swaps </w:t>
      </w:r>
      <w:r>
        <w:rPr>
          <w:rFonts w:ascii="Times New Roman;sans-serif" w:hAnsi="Times New Roman;sans-serif"/>
          <w:b w:val="false"/>
          <w:color w:val="000000"/>
          <w:sz w:val="20"/>
        </w:rPr>
        <w:t>are reclassified into earnings, as a component of interest expense, when the forecasted transaction impacts earnings.</w:t>
      </w:r>
    </w:p>
    <w:p>
      <w:pPr>
        <w:pStyle w:val="TextBody"/>
        <w:bidi w:val="0"/>
        <w:spacing w:before="0" w:after="0"/>
        <w:ind w:left="0" w:right="0" w:firstLine="720"/>
        <w:jc w:val="both"/>
        <w:rPr/>
      </w:pPr>
      <w:r>
        <w:rPr/>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Currency Forward Contracts</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manufacture and sell our products in a number of countries and, as a result, are exposed to movements in foreign currency exchange rates. Our objective is to preserve the economic value of non-functional currency-denominated cash flows and to minimize the impact of changes as a result of currency fluctuations. Our principal currency exposures relate to the South African Rand, British Pound Sterling, and Euro.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enter into forward contracts to manage the exposure on contracts with forecasted transactions denominated in non-functional currencies and to manage the risk of transaction gains and losses associated with assets/liabilities denominated in currencies other than the functional currency of certain subsidiaries (“FX forward contracts”).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had FX forward contracts with an aggregate notional amount of $9.9 and $6.9 outstanding as of July 1, 2023 and December 31, 2022, respectively, with all of the $9.9 scheduled to mature within one year. The fair value of our FX forward contracts was less than $0.1 at July 1, 2023 and December 31, 2022.</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(14)    STOCKHOLDERS' EQUITY AND LONG-TERM INCENTIVE COMPENSATION</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Income Per Share</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number of weighted-average shares outstanding used in the computation of basic and diluted income per share:</w:t>
      </w:r>
    </w:p>
    <w:tbl>
      <w:tblPr>
        <w:tblW w:w="10205" w:type="dxa"/>
        <w:jc w:val="left"/>
        <w:tblInd w:w="0" w:type="dxa"/>
        <w:tblLayout w:type="fixed"/>
        <w:tblCellMar>
          <w:top w:w="28" w:type="dxa"/>
          <w:left w:w="28" w:type="dxa"/>
          <w:bottom w:w="28" w:type="dxa"/>
          <w:right w:w="28" w:type="dxa"/>
        </w:tblCellMar>
      </w:tblPr>
      <w:tblGrid>
        <w:gridCol w:w="2036"/>
        <w:gridCol w:w="1785"/>
        <w:gridCol w:w="1794"/>
        <w:gridCol w:w="323"/>
        <w:gridCol w:w="323"/>
        <w:gridCol w:w="177"/>
        <w:gridCol w:w="155"/>
        <w:gridCol w:w="155"/>
        <w:gridCol w:w="155"/>
        <w:gridCol w:w="323"/>
        <w:gridCol w:w="323"/>
        <w:gridCol w:w="177"/>
        <w:gridCol w:w="109"/>
        <w:gridCol w:w="109"/>
        <w:gridCol w:w="109"/>
        <w:gridCol w:w="323"/>
        <w:gridCol w:w="323"/>
        <w:gridCol w:w="188"/>
        <w:gridCol w:w="137"/>
        <w:gridCol w:w="137"/>
        <w:gridCol w:w="137"/>
        <w:gridCol w:w="323"/>
        <w:gridCol w:w="323"/>
        <w:gridCol w:w="261"/>
      </w:tblGrid>
      <w:tr>
        <w:trPr/>
        <w:tc>
          <w:tcPr>
            <w:tcW w:w="2036"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5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5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5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common shares used in basic income per share</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45.533 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45.444 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45.457 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45.500 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Dilutive securities — Employee stock options and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0.845 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0.870 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common shares and dilutive securities used in diluted income per share</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46.627 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46.289 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46.500 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46.370 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weighted-average number of restricted stock units and stock options excluded from the computation of diluted income per share because the assumed proceeds for these instruments exceed the average market value of the underlying common stock for the related period were 0.228 and 0.535, r</w:t>
      </w:r>
      <w:r>
        <w:rPr>
          <w:rFonts w:ascii="Times New Roman;sans-serif" w:hAnsi="Times New Roman;sans-serif"/>
          <w:b w:val="false"/>
          <w:color w:val="000000"/>
          <w:sz w:val="20"/>
          <w:shd w:fill="FFFFFF" w:val="clear"/>
        </w:rPr>
        <w:t>espectively, for the three mon</w:t>
      </w:r>
      <w:r>
        <w:rPr>
          <w:rFonts w:ascii="Times New Roman;sans-serif" w:hAnsi="Times New Roman;sans-serif"/>
          <w:b w:val="false"/>
          <w:color w:val="000000"/>
          <w:sz w:val="20"/>
        </w:rPr>
        <w:t>ths ended July 1, 2023, and 0.198 and 0.529, respectively, for the six months ended July 1,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weighted-average number of restricted stock units and stock options excluded from the computation of diluted income per share because the assumed proceeds for these instruments exceed the average market value of the underlying common stock for the related period </w:t>
      </w:r>
      <w:r>
        <w:rPr>
          <w:rFonts w:ascii="Times New Roman;sans-serif" w:hAnsi="Times New Roman;sans-serif"/>
          <w:b w:val="false"/>
          <w:color w:val="000000"/>
          <w:sz w:val="20"/>
          <w:shd w:fill="FFFFFF" w:val="clear"/>
        </w:rPr>
        <w:t xml:space="preserve">were </w:t>
      </w:r>
      <w:r>
        <w:rPr>
          <w:rFonts w:ascii="Times New Roman;sans-serif" w:hAnsi="Times New Roman;sans-serif"/>
          <w:b w:val="false"/>
          <w:color w:val="000000"/>
          <w:sz w:val="20"/>
        </w:rPr>
        <w:t>0.350 and 0.791, respectively, for the three months ended July 2, 2022, and 0.292 and 0.739, respectively, for the six months ende</w:t>
      </w:r>
      <w:r>
        <w:rPr>
          <w:rFonts w:ascii="Times New Roman;sans-serif" w:hAnsi="Times New Roman;sans-serif"/>
          <w:b w:val="false"/>
          <w:color w:val="000000"/>
          <w:sz w:val="20"/>
          <w:shd w:fill="FFFFFF" w:val="clear"/>
        </w:rPr>
        <w:t xml:space="preserve">d </w:t>
      </w:r>
      <w:r>
        <w:rPr>
          <w:rFonts w:ascii="Times New Roman;sans-serif" w:hAnsi="Times New Roman;sans-serif"/>
          <w:b w:val="false"/>
          <w:color w:val="000000"/>
          <w:sz w:val="20"/>
        </w:rPr>
        <w:t>July 2, 2022</w:t>
      </w:r>
      <w:r>
        <w:rPr>
          <w:rFonts w:ascii="Times New Roman;sans-serif" w:hAnsi="Times New Roman;sans-serif"/>
          <w:b w:val="false"/>
          <w:color w:val="000000"/>
          <w:sz w:val="20"/>
          <w:shd w:fill="FFFFFF" w:val="clear"/>
        </w:rPr>
        <w: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Long-Term Incentive Compensation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Long-term incentive compensation awards may be granted to certain eligible employees or non-employee directors. A detailed description of the awards granted prior to 2023 is included in our 2022 Annual Report on Form 10-K.</w:t>
      </w:r>
    </w:p>
    <w:p>
      <w:pPr>
        <w:pStyle w:val="TextBody"/>
        <w:bidi w:val="0"/>
        <w:spacing w:lineRule="auto" w:line="288" w:before="0" w:after="200"/>
        <w:ind w:left="0" w:right="0" w:firstLine="720"/>
        <w:jc w:val="both"/>
        <w:rPr/>
      </w:pPr>
      <w:r>
        <w:rPr>
          <w:rFonts w:ascii="Times New Roman;sans-serif" w:hAnsi="Times New Roman;sans-serif"/>
          <w:b w:val="false"/>
          <w:color w:val="000000"/>
          <w:sz w:val="20"/>
          <w:shd w:fill="FFFFFF" w:val="clear"/>
        </w:rPr>
        <w:t xml:space="preserve">Awards granted </w:t>
      </w:r>
      <w:r>
        <w:rPr>
          <w:rFonts w:ascii="Times New Roman;sans-serif" w:hAnsi="Times New Roman;sans-serif"/>
          <w:b w:val="false"/>
          <w:color w:val="000000"/>
          <w:sz w:val="20"/>
        </w:rPr>
        <w:t>on March 1</w:t>
      </w:r>
      <w:r>
        <w:rPr>
          <w:rFonts w:ascii="Times New Roman;sans-serif" w:hAnsi="Times New Roman;sans-serif"/>
          <w:b w:val="false"/>
          <w:color w:val="000000"/>
          <w:sz w:val="20"/>
          <w:shd w:fill="FFFFFF" w:val="clear"/>
        </w:rPr>
        <w:t xml:space="preserve">, 2023 to executive officers and other members of senior management were comprised of performance stock units (“PSU’s”), stock options, and time-based restricted stock units (“RSU’s”), while other eligible employees were granted PSU’s and RSU’s. The PSU’s are eligible to vest at the end of a three-year performance period, with performance based on the total return of our stock over the three-year performance period against a peer group within the S&amp;P 600 Capital Goods Index. Stock options and RSU’s vest ratably over the three-year period subsequent to the date of grant.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Effective May 9, 2023, we granted 0.014 RSU</w:t>
      </w:r>
      <w:r>
        <w:rPr>
          <w:color w:val="000000"/>
          <w:shd w:fill="FFFFFF" w:val="clear"/>
        </w:rPr>
        <w:t>’</w:t>
      </w:r>
      <w:r>
        <w:rPr>
          <w:rFonts w:ascii="Times New Roman;sans-serif" w:hAnsi="Times New Roman;sans-serif"/>
          <w:b w:val="false"/>
          <w:color w:val="000000"/>
          <w:sz w:val="20"/>
        </w:rPr>
        <w:t>s to our non-employee directors, which vest in their entirety immediately prior to the annual meeting of stockholders in May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shd w:fill="FFFFFF" w:val="clear"/>
        </w:rPr>
        <w:t>ompensation expense within income from continuing operations related to long-term incentive awards totaled</w:t>
      </w:r>
      <w:r>
        <w:rPr>
          <w:color w:val="000000"/>
        </w:rPr>
        <w:t xml:space="preserve"> </w:t>
      </w:r>
      <w:r>
        <w:rPr>
          <w:rFonts w:ascii="Times New Roman;sans-serif" w:hAnsi="Times New Roman;sans-serif"/>
          <w:b w:val="false"/>
          <w:color w:val="000000"/>
          <w:sz w:val="20"/>
        </w:rPr>
        <w:t>$3.5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$2.5</w:t>
      </w:r>
      <w:r>
        <w:rPr>
          <w:color w:val="000000"/>
          <w:shd w:fill="FFFFFF" w:val="clear"/>
        </w:rPr>
        <w:t xml:space="preserve"> </w:t>
      </w:r>
      <w:r>
        <w:rPr>
          <w:rFonts w:ascii="Times New Roman;sans-serif" w:hAnsi="Times New Roman;sans-serif"/>
          <w:b w:val="false"/>
          <w:color w:val="000000"/>
          <w:sz w:val="20"/>
          <w:shd w:fill="FFFFFF" w:val="clear"/>
        </w:rPr>
        <w:t xml:space="preserve">for the three months ended </w:t>
      </w:r>
      <w:r>
        <w:rPr>
          <w:rFonts w:ascii="Times New Roman;sans-serif" w:hAnsi="Times New Roman;sans-serif"/>
          <w:b w:val="false"/>
          <w:color w:val="000000"/>
          <w:sz w:val="20"/>
        </w:rPr>
        <w:t>July 1, 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July 2, 2022</w:t>
      </w:r>
      <w:r>
        <w:rPr>
          <w:rFonts w:ascii="Times New Roman;sans-serif" w:hAnsi="Times New Roman;sans-serif"/>
          <w:b w:val="false"/>
          <w:color w:val="000000"/>
          <w:sz w:val="20"/>
          <w:shd w:fill="FFFFFF" w:val="clear"/>
        </w:rPr>
        <w:t>, respectively, an</w:t>
      </w:r>
      <w:r>
        <w:rPr>
          <w:rFonts w:ascii="Times New Roman;sans-serif" w:hAnsi="Times New Roman;sans-serif"/>
          <w:b w:val="false"/>
          <w:color w:val="000000"/>
          <w:sz w:val="20"/>
        </w:rPr>
        <w:t xml:space="preserve">d $6.6 </w:t>
      </w:r>
      <w:r>
        <w:rPr>
          <w:rFonts w:ascii="Times New Roman;sans-serif" w:hAnsi="Times New Roman;sans-serif"/>
          <w:b w:val="false"/>
          <w:color w:val="000000"/>
          <w:sz w:val="20"/>
          <w:shd w:fill="FFFFFF" w:val="clear"/>
        </w:rPr>
        <w:t>an</w:t>
      </w:r>
      <w:r>
        <w:rPr>
          <w:rFonts w:ascii="Times New Roman;sans-serif" w:hAnsi="Times New Roman;sans-serif"/>
          <w:b w:val="false"/>
          <w:color w:val="000000"/>
          <w:sz w:val="20"/>
        </w:rPr>
        <w:t xml:space="preserve">d $5.6 </w:t>
      </w:r>
      <w:r>
        <w:rPr>
          <w:rFonts w:ascii="Times New Roman;sans-serif" w:hAnsi="Times New Roman;sans-serif"/>
          <w:b w:val="false"/>
          <w:color w:val="000000"/>
          <w:sz w:val="20"/>
          <w:shd w:fill="FFFFFF" w:val="clear"/>
        </w:rPr>
        <w:t xml:space="preserve">for the six months ended </w:t>
      </w:r>
      <w:r>
        <w:rPr>
          <w:rFonts w:ascii="Times New Roman;sans-serif" w:hAnsi="Times New Roman;sans-serif"/>
          <w:b w:val="false"/>
          <w:color w:val="000000"/>
          <w:sz w:val="20"/>
        </w:rPr>
        <w:t>July 1, 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July 2, 2022</w:t>
      </w:r>
      <w:r>
        <w:rPr>
          <w:rFonts w:ascii="Times New Roman;sans-serif" w:hAnsi="Times New Roman;sans-serif"/>
          <w:b w:val="false"/>
          <w:color w:val="000000"/>
          <w:sz w:val="20"/>
          <w:shd w:fill="FFFFFF" w:val="clear"/>
        </w:rPr>
        <w:t>, respectively. The related tax benefit w</w:t>
      </w:r>
      <w:r>
        <w:rPr>
          <w:rFonts w:ascii="Times New Roman;sans-serif" w:hAnsi="Times New Roman;sans-serif"/>
          <w:b w:val="false"/>
          <w:color w:val="000000"/>
          <w:sz w:val="20"/>
        </w:rPr>
        <w:t>as $0.6 and $0.4 for the three months ended July 1, 2023 and July 2, 2022, respectively, and $1.1 and $0.9 for the six months e</w:t>
      </w:r>
      <w:r>
        <w:rPr>
          <w:rFonts w:ascii="Times New Roman;sans-serif" w:hAnsi="Times New Roman;sans-serif"/>
          <w:b w:val="false"/>
          <w:color w:val="000000"/>
          <w:sz w:val="20"/>
          <w:shd w:fill="FFFFFF" w:val="clear"/>
        </w:rPr>
        <w:t xml:space="preserve">nded </w:t>
      </w:r>
      <w:r>
        <w:rPr>
          <w:rFonts w:ascii="Times New Roman;sans-serif" w:hAnsi="Times New Roman;sans-serif"/>
          <w:b w:val="false"/>
          <w:color w:val="000000"/>
          <w:sz w:val="20"/>
        </w:rPr>
        <w:t>July 1, 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July 2, 2022</w:t>
      </w:r>
      <w:r>
        <w:rPr>
          <w:rFonts w:ascii="Times New Roman;sans-serif" w:hAnsi="Times New Roman;sans-serif"/>
          <w:b w:val="false"/>
          <w:color w:val="000000"/>
          <w:sz w:val="20"/>
          <w:shd w:fill="FFFFFF" w:val="clear"/>
        </w:rPr>
        <w:t xml:space="preserve">, respectively.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Repurchases of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10, 2022 and May 9, 2023, our Board of Directors authorized management, in its sole discretion, to repurchase, in any fiscal year, up to $100.0 of our common stock, subject to maintaining compliance with all covenants of the Credit Agreement. Pursuant to this authorization, during the three months ended July 2, 2022, we repurchased approximately 0.7 shares of our common stock for aggregate cash payments of $33.7.</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Accumulated Other Comprehensive Income</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components of AOCI, net of tax, for the three months ended July 1, 2023 were as follows:</w:t>
      </w:r>
    </w:p>
    <w:tbl>
      <w:tblPr>
        <w:tblW w:w="10205" w:type="dxa"/>
        <w:jc w:val="left"/>
        <w:tblInd w:w="0" w:type="dxa"/>
        <w:tblLayout w:type="fixed"/>
        <w:tblCellMar>
          <w:top w:w="28" w:type="dxa"/>
          <w:left w:w="28" w:type="dxa"/>
          <w:bottom w:w="28" w:type="dxa"/>
          <w:right w:w="28" w:type="dxa"/>
        </w:tblCellMar>
      </w:tblPr>
      <w:tblGrid>
        <w:gridCol w:w="1679"/>
        <w:gridCol w:w="1433"/>
        <w:gridCol w:w="1439"/>
        <w:gridCol w:w="215"/>
        <w:gridCol w:w="610"/>
        <w:gridCol w:w="121"/>
        <w:gridCol w:w="109"/>
        <w:gridCol w:w="109"/>
        <w:gridCol w:w="109"/>
        <w:gridCol w:w="469"/>
        <w:gridCol w:w="902"/>
        <w:gridCol w:w="261"/>
        <w:gridCol w:w="109"/>
        <w:gridCol w:w="109"/>
        <w:gridCol w:w="109"/>
        <w:gridCol w:w="341"/>
        <w:gridCol w:w="654"/>
        <w:gridCol w:w="191"/>
        <w:gridCol w:w="109"/>
        <w:gridCol w:w="109"/>
        <w:gridCol w:w="109"/>
        <w:gridCol w:w="196"/>
        <w:gridCol w:w="556"/>
        <w:gridCol w:w="157"/>
      </w:tblGrid>
      <w:tr>
        <w:trPr/>
        <w:tc>
          <w:tcPr>
            <w:tcW w:w="167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br/>
              <w:t>Translation</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Net Unrealized Gains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on Qualifying Cash</w:t>
            </w:r>
          </w:p>
          <w:p>
            <w:pPr>
              <w:pStyle w:val="TableContents"/>
              <w:bidi w:val="0"/>
              <w:spacing w:lineRule="auto" w:line="240" w:before="0" w:after="0"/>
              <w:jc w:val="center"/>
              <w:rPr/>
            </w:pPr>
            <w:r>
              <w:rPr>
                <w:rFonts w:ascii="Times New Roman;sans-serif" w:hAnsi="Times New Roman;sans-serif"/>
                <w:b/>
                <w:color w:val="000000"/>
                <w:sz w:val="16"/>
              </w:rPr>
              <w:t>Flow Hedges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Pension and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Postretirement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Liability</w:t>
            </w:r>
          </w:p>
          <w:p>
            <w:pPr>
              <w:pStyle w:val="TableContents"/>
              <w:bidi w:val="0"/>
              <w:spacing w:lineRule="auto" w:line="240" w:before="0" w:after="0"/>
              <w:jc w:val="center"/>
              <w:rPr/>
            </w:pPr>
            <w:r>
              <w:rPr>
                <w:rFonts w:ascii="Times New Roman;sans-serif" w:hAnsi="Times New Roman;sans-serif"/>
                <w:b/>
                <w:color w:val="000000"/>
                <w:sz w:val="16"/>
              </w:rPr>
              <w:t>Adjustment</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period</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before reclassifications</w:t>
            </w:r>
          </w:p>
        </w:tc>
        <w:tc>
          <w:tcPr>
            <w:tcW w:w="8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accumulated other comprehensive income</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Current-period other comprehensive income (loss)</w:t>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bidi w:val="0"/>
        <w:spacing w:lineRule="auto" w:line="288" w:before="0" w:after="200"/>
        <w:ind w:left="0" w:right="0" w:hanging="36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Net of tax provision o</w:t>
      </w:r>
      <w:r>
        <w:rPr>
          <w:rFonts w:ascii="Times New Roman;sans-serif" w:hAnsi="Times New Roman;sans-serif"/>
          <w:b w:val="false"/>
          <w:color w:val="000000"/>
          <w:sz w:val="18"/>
          <w:shd w:fill="FFFFFF" w:val="clear"/>
        </w:rPr>
        <w:t xml:space="preserve">f $3.1 </w:t>
      </w:r>
      <w:r>
        <w:rPr>
          <w:rFonts w:ascii="Times New Roman;sans-serif" w:hAnsi="Times New Roman;sans-serif"/>
          <w:b w:val="false"/>
          <w:color w:val="000000"/>
          <w:sz w:val="18"/>
        </w:rPr>
        <w:t>as of July 1, 2023 and April 1, 2023.</w:t>
      </w:r>
    </w:p>
    <w:p>
      <w:pPr>
        <w:pStyle w:val="TextBody"/>
        <w:bidi w:val="0"/>
        <w:spacing w:lineRule="auto" w:line="288" w:before="0" w:after="200"/>
        <w:ind w:left="0" w:right="0" w:hanging="360"/>
        <w:jc w:val="left"/>
        <w:rPr/>
      </w:pPr>
      <w:r>
        <w:rPr>
          <w:rFonts w:ascii="Times New Roman;sans-serif" w:hAnsi="Times New Roman;sans-serif"/>
          <w:b w:val="false"/>
          <w:color w:val="000000"/>
          <w:sz w:val="12"/>
        </w:rPr>
        <w:t>(2)</w:t>
      </w:r>
      <w:r>
        <w:rPr>
          <w:rFonts w:ascii="Times New Roman;sans-serif" w:hAnsi="Times New Roman;sans-serif"/>
          <w:b w:val="false"/>
          <w:color w:val="000000"/>
          <w:sz w:val="18"/>
        </w:rPr>
        <w:t xml:space="preserve">Net of tax provision of $2.2 and </w:t>
      </w:r>
      <w:r>
        <w:rPr>
          <w:rFonts w:ascii="Times New Roman;sans-serif" w:hAnsi="Times New Roman;sans-serif"/>
          <w:b w:val="false"/>
          <w:color w:val="000000"/>
          <w:sz w:val="18"/>
          <w:shd w:fill="FFFFFF" w:val="clear"/>
        </w:rPr>
        <w:t>$2.4</w:t>
      </w:r>
      <w:r>
        <w:rPr>
          <w:color w:val="000000"/>
        </w:rPr>
        <w:t xml:space="preserve"> </w:t>
      </w:r>
      <w:r>
        <w:rPr>
          <w:rFonts w:ascii="Times New Roman;sans-serif" w:hAnsi="Times New Roman;sans-serif"/>
          <w:b w:val="false"/>
          <w:color w:val="000000"/>
          <w:sz w:val="18"/>
        </w:rPr>
        <w:t xml:space="preserve">as of July 1, 2023 and April 1, 2023, respectively. The balances as of July 1, 2023 and April 1, 2023 include unamortized prior service credits.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components of AOCI, net of tax, for the six months ended July 1, 2023 were as follows:</w:t>
      </w:r>
    </w:p>
    <w:tbl>
      <w:tblPr>
        <w:tblW w:w="10205" w:type="dxa"/>
        <w:jc w:val="left"/>
        <w:tblInd w:w="0" w:type="dxa"/>
        <w:tblLayout w:type="fixed"/>
        <w:tblCellMar>
          <w:top w:w="28" w:type="dxa"/>
          <w:left w:w="28" w:type="dxa"/>
          <w:bottom w:w="28" w:type="dxa"/>
          <w:right w:w="28" w:type="dxa"/>
        </w:tblCellMar>
      </w:tblPr>
      <w:tblGrid>
        <w:gridCol w:w="1679"/>
        <w:gridCol w:w="1433"/>
        <w:gridCol w:w="1439"/>
        <w:gridCol w:w="215"/>
        <w:gridCol w:w="610"/>
        <w:gridCol w:w="121"/>
        <w:gridCol w:w="109"/>
        <w:gridCol w:w="109"/>
        <w:gridCol w:w="109"/>
        <w:gridCol w:w="414"/>
        <w:gridCol w:w="987"/>
        <w:gridCol w:w="231"/>
        <w:gridCol w:w="109"/>
        <w:gridCol w:w="109"/>
        <w:gridCol w:w="109"/>
        <w:gridCol w:w="341"/>
        <w:gridCol w:w="654"/>
        <w:gridCol w:w="191"/>
        <w:gridCol w:w="109"/>
        <w:gridCol w:w="109"/>
        <w:gridCol w:w="109"/>
        <w:gridCol w:w="196"/>
        <w:gridCol w:w="556"/>
        <w:gridCol w:w="157"/>
      </w:tblGrid>
      <w:tr>
        <w:trPr/>
        <w:tc>
          <w:tcPr>
            <w:tcW w:w="167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br/>
              <w:t>Translation</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Net Unrealized Gains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on Qualifying Cash</w:t>
            </w:r>
          </w:p>
          <w:p>
            <w:pPr>
              <w:pStyle w:val="TableContents"/>
              <w:bidi w:val="0"/>
              <w:spacing w:lineRule="auto" w:line="240" w:before="0" w:after="0"/>
              <w:jc w:val="center"/>
              <w:rPr/>
            </w:pPr>
            <w:r>
              <w:rPr>
                <w:rFonts w:ascii="Times New Roman;sans-serif" w:hAnsi="Times New Roman;sans-serif"/>
                <w:b/>
                <w:color w:val="000000"/>
                <w:sz w:val="16"/>
              </w:rPr>
              <w:t>Flow Hedges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Pension and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Postretirement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Liability</w:t>
            </w:r>
          </w:p>
          <w:p>
            <w:pPr>
              <w:pStyle w:val="TableContents"/>
              <w:bidi w:val="0"/>
              <w:spacing w:lineRule="auto" w:line="240" w:before="0" w:after="0"/>
              <w:jc w:val="center"/>
              <w:rPr/>
            </w:pPr>
            <w:r>
              <w:rPr>
                <w:rFonts w:ascii="Times New Roman;sans-serif" w:hAnsi="Times New Roman;sans-serif"/>
                <w:b/>
                <w:color w:val="000000"/>
                <w:sz w:val="16"/>
              </w:rPr>
              <w:t>Adjustment</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period</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before reclassifications</w:t>
            </w:r>
          </w:p>
        </w:tc>
        <w:tc>
          <w:tcPr>
            <w:tcW w:w="8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accumulated other comprehensive income</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Current-period other comprehensive income (loss)</w:t>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bidi w:val="0"/>
        <w:spacing w:lineRule="auto" w:line="288" w:before="0" w:after="200"/>
        <w:ind w:left="0" w:right="0" w:hanging="36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Net of tax provision of $3.1 a</w:t>
      </w:r>
      <w:r>
        <w:rPr>
          <w:rFonts w:ascii="Times New Roman;sans-serif" w:hAnsi="Times New Roman;sans-serif"/>
          <w:b w:val="false"/>
          <w:color w:val="000000"/>
          <w:sz w:val="18"/>
          <w:shd w:fill="FFFFFF" w:val="clear"/>
        </w:rPr>
        <w:t>nd</w:t>
      </w:r>
      <w:r>
        <w:rPr>
          <w:color w:val="000000"/>
        </w:rPr>
        <w:t xml:space="preserve"> </w:t>
      </w:r>
      <w:r>
        <w:rPr>
          <w:rFonts w:ascii="Times New Roman;sans-serif" w:hAnsi="Times New Roman;sans-serif"/>
          <w:b w:val="false"/>
          <w:color w:val="000000"/>
          <w:sz w:val="18"/>
        </w:rPr>
        <w:t>$3.7 as of July 1, 2023 and December 31, 2022, respectively.</w:t>
      </w:r>
    </w:p>
    <w:p>
      <w:pPr>
        <w:pStyle w:val="TextBody"/>
        <w:bidi w:val="0"/>
        <w:spacing w:lineRule="auto" w:line="288" w:before="0" w:after="200"/>
        <w:ind w:left="0" w:right="0" w:hanging="360"/>
        <w:jc w:val="left"/>
        <w:rPr/>
      </w:pPr>
      <w:r>
        <w:rPr>
          <w:rFonts w:ascii="Times New Roman;sans-serif" w:hAnsi="Times New Roman;sans-serif"/>
          <w:b w:val="false"/>
          <w:color w:val="000000"/>
          <w:sz w:val="12"/>
        </w:rPr>
        <w:t>(2)</w:t>
      </w:r>
      <w:r>
        <w:rPr>
          <w:rFonts w:ascii="Times New Roman;sans-serif" w:hAnsi="Times New Roman;sans-serif"/>
          <w:b w:val="false"/>
          <w:color w:val="000000"/>
          <w:sz w:val="18"/>
        </w:rPr>
        <w:t xml:space="preserve">Net of tax provision of $2.2 and </w:t>
      </w:r>
      <w:r>
        <w:rPr>
          <w:rFonts w:ascii="Times New Roman;sans-serif" w:hAnsi="Times New Roman;sans-serif"/>
          <w:b w:val="false"/>
          <w:color w:val="000000"/>
          <w:sz w:val="18"/>
          <w:shd w:fill="FFFFFF" w:val="clear"/>
        </w:rPr>
        <w:t>$2.7</w:t>
      </w:r>
      <w:r>
        <w:rPr>
          <w:color w:val="000000"/>
        </w:rPr>
        <w:t xml:space="preserve"> </w:t>
      </w:r>
      <w:r>
        <w:rPr>
          <w:rFonts w:ascii="Times New Roman;sans-serif" w:hAnsi="Times New Roman;sans-serif"/>
          <w:b w:val="false"/>
          <w:color w:val="000000"/>
          <w:sz w:val="18"/>
        </w:rPr>
        <w:t xml:space="preserve">as of July 1, 2023 and December 31, 2022, respectively. The balances as of July 1, 2023 and December 31, 2022 include unamortized prior service credits. </w:t>
      </w:r>
    </w:p>
    <w:p>
      <w:pPr>
        <w:pStyle w:val="TextBody"/>
        <w:bidi w:val="0"/>
        <w:spacing w:before="0" w:after="20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components of AOCI, net of tax, for the three months ended July 2, 2022 were as follows:</w:t>
      </w:r>
    </w:p>
    <w:tbl>
      <w:tblPr>
        <w:tblW w:w="10205" w:type="dxa"/>
        <w:jc w:val="left"/>
        <w:tblInd w:w="0" w:type="dxa"/>
        <w:tblLayout w:type="fixed"/>
        <w:tblCellMar>
          <w:top w:w="28" w:type="dxa"/>
          <w:left w:w="28" w:type="dxa"/>
          <w:bottom w:w="28" w:type="dxa"/>
          <w:right w:w="28" w:type="dxa"/>
        </w:tblCellMar>
      </w:tblPr>
      <w:tblGrid>
        <w:gridCol w:w="1679"/>
        <w:gridCol w:w="1434"/>
        <w:gridCol w:w="1438"/>
        <w:gridCol w:w="215"/>
        <w:gridCol w:w="610"/>
        <w:gridCol w:w="121"/>
        <w:gridCol w:w="109"/>
        <w:gridCol w:w="109"/>
        <w:gridCol w:w="109"/>
        <w:gridCol w:w="469"/>
        <w:gridCol w:w="902"/>
        <w:gridCol w:w="261"/>
        <w:gridCol w:w="109"/>
        <w:gridCol w:w="109"/>
        <w:gridCol w:w="109"/>
        <w:gridCol w:w="341"/>
        <w:gridCol w:w="654"/>
        <w:gridCol w:w="191"/>
        <w:gridCol w:w="109"/>
        <w:gridCol w:w="109"/>
        <w:gridCol w:w="109"/>
        <w:gridCol w:w="196"/>
        <w:gridCol w:w="556"/>
        <w:gridCol w:w="157"/>
      </w:tblGrid>
      <w:tr>
        <w:trPr/>
        <w:tc>
          <w:tcPr>
            <w:tcW w:w="167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br/>
              <w:t>Translation</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Net Unrealized Gains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on Qualifying Cash</w:t>
            </w:r>
          </w:p>
          <w:p>
            <w:pPr>
              <w:pStyle w:val="TableContents"/>
              <w:bidi w:val="0"/>
              <w:spacing w:lineRule="auto" w:line="240" w:before="0" w:after="0"/>
              <w:jc w:val="center"/>
              <w:rPr/>
            </w:pPr>
            <w:r>
              <w:rPr>
                <w:rFonts w:ascii="Times New Roman;sans-serif" w:hAnsi="Times New Roman;sans-serif"/>
                <w:b/>
                <w:color w:val="000000"/>
                <w:sz w:val="16"/>
              </w:rPr>
              <w:t>Flow Hedges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Pension and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Postretirement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Liability</w:t>
            </w:r>
          </w:p>
          <w:p>
            <w:pPr>
              <w:pStyle w:val="TableContents"/>
              <w:bidi w:val="0"/>
              <w:spacing w:lineRule="auto" w:line="240" w:before="0" w:after="0"/>
              <w:jc w:val="center"/>
              <w:rPr/>
            </w:pPr>
            <w:r>
              <w:rPr>
                <w:rFonts w:ascii="Times New Roman;sans-serif" w:hAnsi="Times New Roman;sans-serif"/>
                <w:b/>
                <w:color w:val="000000"/>
                <w:sz w:val="16"/>
              </w:rPr>
              <w:t>Adjustment</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period</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before reclassifications</w:t>
            </w:r>
          </w:p>
        </w:tc>
        <w:tc>
          <w:tcPr>
            <w:tcW w:w="8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accumulated other comprehensive income</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Current-period other comprehensive income (loss)</w:t>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bidi w:val="0"/>
        <w:spacing w:lineRule="auto" w:line="288" w:before="0" w:after="200"/>
        <w:ind w:left="0" w:right="0" w:hanging="36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Net of tax provision of $2.9 and $2.3 as of July 2, 2022 and April 2, 2022, respectively.</w:t>
      </w:r>
    </w:p>
    <w:p>
      <w:pPr>
        <w:pStyle w:val="TextBody"/>
        <w:bidi w:val="0"/>
        <w:spacing w:lineRule="auto" w:line="288" w:before="0" w:after="200"/>
        <w:ind w:left="0" w:right="0" w:hanging="360"/>
        <w:jc w:val="left"/>
        <w:rPr/>
      </w:pPr>
      <w:r>
        <w:rPr>
          <w:rFonts w:ascii="Times New Roman;sans-serif" w:hAnsi="Times New Roman;sans-serif"/>
          <w:b w:val="false"/>
          <w:color w:val="000000"/>
          <w:sz w:val="12"/>
        </w:rPr>
        <w:t>(2)</w:t>
      </w:r>
      <w:r>
        <w:rPr>
          <w:rFonts w:ascii="Times New Roman;sans-serif" w:hAnsi="Times New Roman;sans-serif"/>
          <w:b w:val="false"/>
          <w:color w:val="000000"/>
          <w:sz w:val="18"/>
        </w:rPr>
        <w:t xml:space="preserve">Net of tax provision of $3.2 and $3.5 as of July 2, 2022 and April 2, 2022, respectively. The balances as of July 2, 2022 and April 2, 2022 include unamortized prior service credits. </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components of AOCI, net of tax, for the six months ended July 2, 2022 were as follows:</w:t>
      </w:r>
    </w:p>
    <w:tbl>
      <w:tblPr>
        <w:tblW w:w="10205" w:type="dxa"/>
        <w:jc w:val="left"/>
        <w:tblInd w:w="0" w:type="dxa"/>
        <w:tblLayout w:type="fixed"/>
        <w:tblCellMar>
          <w:top w:w="28" w:type="dxa"/>
          <w:left w:w="28" w:type="dxa"/>
          <w:bottom w:w="28" w:type="dxa"/>
          <w:right w:w="28" w:type="dxa"/>
        </w:tblCellMar>
      </w:tblPr>
      <w:tblGrid>
        <w:gridCol w:w="1679"/>
        <w:gridCol w:w="1434"/>
        <w:gridCol w:w="1438"/>
        <w:gridCol w:w="215"/>
        <w:gridCol w:w="610"/>
        <w:gridCol w:w="121"/>
        <w:gridCol w:w="109"/>
        <w:gridCol w:w="109"/>
        <w:gridCol w:w="109"/>
        <w:gridCol w:w="469"/>
        <w:gridCol w:w="902"/>
        <w:gridCol w:w="261"/>
        <w:gridCol w:w="109"/>
        <w:gridCol w:w="109"/>
        <w:gridCol w:w="109"/>
        <w:gridCol w:w="301"/>
        <w:gridCol w:w="716"/>
        <w:gridCol w:w="169"/>
        <w:gridCol w:w="109"/>
        <w:gridCol w:w="109"/>
        <w:gridCol w:w="109"/>
        <w:gridCol w:w="196"/>
        <w:gridCol w:w="556"/>
        <w:gridCol w:w="157"/>
      </w:tblGrid>
      <w:tr>
        <w:trPr/>
        <w:tc>
          <w:tcPr>
            <w:tcW w:w="167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br/>
              <w:t>Translation</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Net Unrealized Gains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on Qualifying Cash</w:t>
            </w:r>
          </w:p>
          <w:p>
            <w:pPr>
              <w:pStyle w:val="TableContents"/>
              <w:bidi w:val="0"/>
              <w:spacing w:lineRule="auto" w:line="240" w:before="0" w:after="0"/>
              <w:jc w:val="center"/>
              <w:rPr/>
            </w:pPr>
            <w:r>
              <w:rPr>
                <w:rFonts w:ascii="Times New Roman;sans-serif" w:hAnsi="Times New Roman;sans-serif"/>
                <w:b/>
                <w:color w:val="000000"/>
                <w:sz w:val="16"/>
              </w:rPr>
              <w:t>Flow Hedges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Pension and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Postretirement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Liability</w:t>
            </w:r>
          </w:p>
          <w:p>
            <w:pPr>
              <w:pStyle w:val="TableContents"/>
              <w:bidi w:val="0"/>
              <w:spacing w:lineRule="auto" w:line="240" w:before="0" w:after="0"/>
              <w:jc w:val="center"/>
              <w:rPr/>
            </w:pPr>
            <w:r>
              <w:rPr>
                <w:rFonts w:ascii="Times New Roman;sans-serif" w:hAnsi="Times New Roman;sans-serif"/>
                <w:b/>
                <w:color w:val="000000"/>
                <w:sz w:val="16"/>
              </w:rPr>
              <w:t>Adjustment</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period</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before reclassifications</w:t>
            </w:r>
          </w:p>
        </w:tc>
        <w:tc>
          <w:tcPr>
            <w:tcW w:w="8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accumulated other comprehensive income</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Current-period other comprehensive income (loss)</w:t>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bidi w:val="0"/>
        <w:spacing w:lineRule="auto" w:line="288" w:before="0" w:after="200"/>
        <w:ind w:left="0" w:right="0" w:hanging="36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Net of tax provision of $2.9 and $0.1 as of July 2, 2022 and December 31, 2021, respectively.</w:t>
      </w:r>
    </w:p>
    <w:p>
      <w:pPr>
        <w:pStyle w:val="TextBody"/>
        <w:bidi w:val="0"/>
        <w:spacing w:lineRule="auto" w:line="288" w:before="0" w:after="200"/>
        <w:ind w:left="0" w:right="0" w:hanging="360"/>
        <w:jc w:val="left"/>
        <w:rPr/>
      </w:pPr>
      <w:r>
        <w:rPr>
          <w:rFonts w:ascii="Times New Roman;sans-serif" w:hAnsi="Times New Roman;sans-serif"/>
          <w:b w:val="false"/>
          <w:color w:val="000000"/>
          <w:sz w:val="12"/>
        </w:rPr>
        <w:t>(2)</w:t>
      </w:r>
      <w:r>
        <w:rPr>
          <w:rFonts w:ascii="Times New Roman;sans-serif" w:hAnsi="Times New Roman;sans-serif"/>
          <w:b w:val="false"/>
          <w:color w:val="000000"/>
          <w:sz w:val="18"/>
        </w:rPr>
        <w:t xml:space="preserve">Net of tax provision of $3.2 and $3.7 as of July 2, 2022 and December 31, 2021, respectively. The balances as of July 2, 2022 and December 31, 2021 include unamortized prior service credits. </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amounts reclassified from each component of AOCI for the three months ended July 1, 2023 and July 2, 2022:</w:t>
      </w:r>
    </w:p>
    <w:tbl>
      <w:tblPr>
        <w:tblW w:w="10125" w:type="dxa"/>
        <w:jc w:val="left"/>
        <w:tblInd w:w="0" w:type="dxa"/>
        <w:tblLayout w:type="fixed"/>
        <w:tblCellMar>
          <w:top w:w="28" w:type="dxa"/>
          <w:left w:w="28" w:type="dxa"/>
          <w:bottom w:w="28" w:type="dxa"/>
          <w:right w:w="28" w:type="dxa"/>
        </w:tblCellMar>
      </w:tblPr>
      <w:tblGrid>
        <w:gridCol w:w="1567"/>
        <w:gridCol w:w="1381"/>
        <w:gridCol w:w="1386"/>
        <w:gridCol w:w="283"/>
        <w:gridCol w:w="565"/>
        <w:gridCol w:w="157"/>
        <w:gridCol w:w="156"/>
        <w:gridCol w:w="156"/>
        <w:gridCol w:w="156"/>
        <w:gridCol w:w="282"/>
        <w:gridCol w:w="563"/>
        <w:gridCol w:w="160"/>
        <w:gridCol w:w="109"/>
        <w:gridCol w:w="109"/>
        <w:gridCol w:w="109"/>
        <w:gridCol w:w="874"/>
        <w:gridCol w:w="874"/>
        <w:gridCol w:w="1238"/>
      </w:tblGrid>
      <w:tr>
        <w:trPr/>
        <w:tc>
          <w:tcPr>
            <w:tcW w:w="1567"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Reclassified from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Affected Line Item in the Condensed</w:t>
              <w:br/>
              <w:t>Consolidated Statements of Operations</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(Gains) losses on qualifying cash flow hedges:</w:t>
            </w:r>
          </w:p>
        </w:tc>
        <w:tc>
          <w:tcPr>
            <w:tcW w:w="1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6"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6"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Swaps</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Gains on pension and postretirement items:</w:t>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unrecognized prior service credits - Pre-tax</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amounts reclassified from each component of AOCI for the six months ended July 1, 2023 and July 2, 2022:</w:t>
      </w:r>
    </w:p>
    <w:tbl>
      <w:tblPr>
        <w:tblW w:w="10125" w:type="dxa"/>
        <w:jc w:val="left"/>
        <w:tblInd w:w="0" w:type="dxa"/>
        <w:tblLayout w:type="fixed"/>
        <w:tblCellMar>
          <w:top w:w="28" w:type="dxa"/>
          <w:left w:w="28" w:type="dxa"/>
          <w:bottom w:w="28" w:type="dxa"/>
          <w:right w:w="28" w:type="dxa"/>
        </w:tblCellMar>
      </w:tblPr>
      <w:tblGrid>
        <w:gridCol w:w="1567"/>
        <w:gridCol w:w="1381"/>
        <w:gridCol w:w="1386"/>
        <w:gridCol w:w="283"/>
        <w:gridCol w:w="565"/>
        <w:gridCol w:w="157"/>
        <w:gridCol w:w="156"/>
        <w:gridCol w:w="156"/>
        <w:gridCol w:w="156"/>
        <w:gridCol w:w="282"/>
        <w:gridCol w:w="563"/>
        <w:gridCol w:w="160"/>
        <w:gridCol w:w="109"/>
        <w:gridCol w:w="109"/>
        <w:gridCol w:w="109"/>
        <w:gridCol w:w="874"/>
        <w:gridCol w:w="874"/>
        <w:gridCol w:w="1238"/>
      </w:tblGrid>
      <w:tr>
        <w:trPr/>
        <w:tc>
          <w:tcPr>
            <w:tcW w:w="1567"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Reclassified from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Affected Line Item in the Condensed</w:t>
              <w:br/>
              <w:t>Consolidated Statements of Operations</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(Gains) losses on qualifying cash flow hedges:</w:t>
            </w:r>
          </w:p>
        </w:tc>
        <w:tc>
          <w:tcPr>
            <w:tcW w:w="1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6"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6"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Swaps</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Gains on pension and postretirement items:</w:t>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unrecognized prior service credits - Pre-tax</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(15)    CONTINGENT LIABILITIES AND OTHER MATTERS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Numerous claims, complaints and proceedings arising in the ordinary course of business have been asserted or are pending against us or certain of our subsidiaries (collectively, “claims”). These claims relate to litigation matters (e.g., class actions, derivative lawsuits and contracts, intellectual property and competitive claims), environmental matters, product liability matters (which, prior to the Asbestos Portfolio Sale, were predominately associated with alleged exposure to asbestos-containing materials), and other risk management matters (e.g., general liability, automobile, and workers’ compensation claims). Additionally, we may become subject to other claims of which we are currently unaware, which may be significant, or the claims of which we are aware may result in our incurring significantly greater loss than we anticipate. While we (and our subsidiaries) maintain property, cargo, auto, product, general liability, environmental, and directors’ and officers’ liability insurance and have acquired rights under similar policies in connection with acquisitions that we believe cover a significant portion of these claims, this insurance may be insufficient or unavailable (e.g., in the case of insurer insolvency) to protect us against potential loss exposures. Also, while we believe we are entitled to indemnification from third parties for some of these claims, these rights may be insufficient or unavailable to protect us against potential loss exposures.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shd w:fill="FFFFFF" w:val="clear"/>
        </w:rPr>
        <w:t>Our recorded liab</w:t>
      </w:r>
      <w:r>
        <w:rPr>
          <w:rFonts w:ascii="Times New Roman;sans-serif" w:hAnsi="Times New Roman;sans-serif"/>
          <w:b w:val="false"/>
          <w:color w:val="000000"/>
          <w:sz w:val="20"/>
        </w:rPr>
        <w:t>ilities related to these matters, primarily associated with environmental matters, totaled $37.7 and $39.5 at July 1, 2023 and December 31, 2022, respectively. Of these amounts, $30.6 and $30.8 are</w:t>
      </w:r>
      <w:r>
        <w:rPr>
          <w:color w:val="000000"/>
          <w:shd w:fill="FFFFFF" w:val="clear"/>
        </w:rPr>
        <w:t xml:space="preserve"> </w:t>
      </w:r>
      <w:r>
        <w:rPr>
          <w:rFonts w:ascii="Times New Roman;sans-serif" w:hAnsi="Times New Roman;sans-serif"/>
          <w:b w:val="false"/>
          <w:color w:val="000000"/>
          <w:sz w:val="20"/>
          <w:shd w:fill="FFFFFF" w:val="clear"/>
        </w:rPr>
        <w:t xml:space="preserve">included in “Other long-term liabilities” within our condensed consolidated balance sheets at </w:t>
      </w:r>
      <w:r>
        <w:rPr>
          <w:rFonts w:ascii="Times New Roman;sans-serif" w:hAnsi="Times New Roman;sans-serif"/>
          <w:b w:val="false"/>
          <w:color w:val="000000"/>
          <w:sz w:val="20"/>
        </w:rPr>
        <w:t>July 1, 2023 and December 31, 2022</w:t>
      </w:r>
      <w:r>
        <w:rPr>
          <w:rFonts w:ascii="Times New Roman;sans-serif" w:hAnsi="Times New Roman;sans-serif"/>
          <w:b w:val="false"/>
          <w:color w:val="000000"/>
          <w:sz w:val="20"/>
          <w:shd w:fill="FFFFFF" w:val="clear"/>
        </w:rPr>
        <w:t>, respectively, with the remainder included in “Accrued expenses.” The liabilities we record for these matters are based on a number of assumptions, including historical claims and payment experience. While we base our assumptions on facts currently known to us, they entail inherently subjective judgments and uncertainties. As a result, our current assumptions for estimating these liabilities may not prove accurate, and we may be required to adjust these liabilities in the future, which could result in charges to earnings. These variances relative to current expectations could have a material impact on our financial position and results of operations.</w:t>
      </w:r>
    </w:p>
    <w:p>
      <w:pPr>
        <w:pStyle w:val="TextBody"/>
        <w:bidi w:val="0"/>
        <w:spacing w:lineRule="auto" w:line="288" w:before="0" w:after="20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Asbestos Matters</w:t>
      </w:r>
    </w:p>
    <w:p>
      <w:pPr>
        <w:pStyle w:val="TextBody"/>
        <w:bidi w:val="0"/>
        <w:spacing w:lineRule="auto" w:line="288" w:before="0" w:after="20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indicated in Note 1, we completed the Asbestos Portfolio Sale on November 1, 2022, which resulted in the divestiture of three wholly-owned subsidiaries that hold asbestos liabilities and certain assets, including related insurance assets. As a result of this transaction, the Company divested all obligations with respect to pending and future asbestos claims relating to these subsidiaries.</w:t>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During the six months ended July 2, 2022, our payments for asbestos-related claims, net of respective insurance recoveri</w:t>
      </w:r>
      <w:r>
        <w:rPr>
          <w:rFonts w:ascii="Times New Roman;sans-serif" w:hAnsi="Times New Roman;sans-serif"/>
          <w:b w:val="false"/>
          <w:color w:val="000000"/>
          <w:sz w:val="20"/>
        </w:rPr>
        <w:t>es of $17.0, were $11.2.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During the three and six months ended July 2, 2022, we recorded charges of $2.3 to continuing operations and $0.2 to discontinued operations related to revisions of recorded liabilities for asbestos-related claims. There w</w:t>
      </w:r>
      <w:r>
        <w:rPr>
          <w:rFonts w:ascii="Times New Roman;sans-serif" w:hAnsi="Times New Roman;sans-serif"/>
          <w:b w:val="false"/>
          <w:color w:val="000000"/>
          <w:sz w:val="20"/>
        </w:rPr>
        <w:t>ere no other changes in estimates associated with the assets and liabilities related to our asbestos product liability matters during the three and six months ended July 2, 2022.</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Large Power Projects in South Africa</w:t>
      </w:r>
    </w:p>
    <w:p>
      <w:pPr>
        <w:pStyle w:val="TextBody"/>
        <w:bidi w:val="0"/>
        <w:spacing w:lineRule="auto" w:line="276" w:before="0" w:after="0"/>
        <w:ind w:left="0" w:right="0" w:firstLine="720"/>
        <w:jc w:val="both"/>
        <w:rPr/>
      </w:pPr>
      <w:r>
        <w:rPr>
          <w:rFonts w:ascii="Times New Roman;sans-serif" w:hAnsi="Times New Roman;sans-serif"/>
          <w:b w:val="false"/>
          <w:i/>
          <w:color w:val="000000"/>
          <w:sz w:val="20"/>
          <w:shd w:fill="FFFFFF" w:val="clear"/>
        </w:rPr>
        <w:t>Overview</w:t>
      </w:r>
      <w:r>
        <w:rPr>
          <w:color w:val="000000"/>
          <w:shd w:fill="FFFFFF" w:val="clear"/>
        </w:rPr>
        <w:t xml:space="preserve"> </w:t>
      </w:r>
      <w:r>
        <w:rPr>
          <w:rFonts w:ascii="Times New Roman;sans-serif" w:hAnsi="Times New Roman;sans-serif"/>
          <w:b w:val="false"/>
          <w:color w:val="000000"/>
          <w:sz w:val="20"/>
          <w:shd w:fill="FFFFFF" w:val="clear"/>
        </w:rPr>
        <w:t>- Since 2008, DBT had been executing on two large power projects in South Africa (Kusile and Medupi), on which it has substantially completed its scope of work. Over such time, the business environment surrounding these projects was difficult, as DBT, along with many other contractors on the projects, experienced delays, cost over-runs, and various other challenges associated with a complex set of contractual relationships among the end customer, prime contractors, various subcontractors (including DBT and its subcontractors), and various suppliers. DBT’s remaining responsibilities relate largely to resolution of various claims, primarily between itself and one of its prime contractors, Mitsubishi Heavy Industries Power—ZAF (f.k.a. Mitsubishi-Hitachi Power Systems Africa (PTY) LTD), or “MHI.”</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challenges related to the projects have resulted in (i) significant adjustments to our revenue and cost estimates for the projects, (ii) DBT’s submission of numerous change orders to the prime contractors, (iii) various claims and disputes between DBT and other parties involved with the projects (e.g., prime contractors, subcontractors, suppliers, etc.), and (iv) the possibility that DBT may become subject to additional claims, which could be significant. It is possible that some outstanding claims may not be resolved until after the prime contractors complete their scopes of work. Our future financial position, operating results, and cash flows could be materially impacted by the resolution of current and any future claims.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shd w:fill="FFFFFF" w:val="clear"/>
        </w:rPr>
        <w:t xml:space="preserve">Claims by DBT </w:t>
      </w:r>
      <w:r>
        <w:rPr>
          <w:rFonts w:ascii="Times New Roman;sans-serif" w:hAnsi="Times New Roman;sans-serif"/>
          <w:b w:val="false"/>
          <w:color w:val="000000"/>
          <w:sz w:val="20"/>
          <w:shd w:fill="FFFFFF" w:val="clear"/>
        </w:rPr>
        <w:t xml:space="preserve">- DBT has asserted claims against MHI of approximately South African Rand 1,000.0 (or </w:t>
      </w:r>
      <w:r>
        <w:rPr>
          <w:rFonts w:ascii="Times New Roman;sans-serif" w:hAnsi="Times New Roman;sans-serif"/>
          <w:b w:val="false"/>
          <w:color w:val="000000"/>
          <w:sz w:val="20"/>
        </w:rPr>
        <w:t>$53.5</w:t>
      </w:r>
      <w:r>
        <w:rPr>
          <w:rFonts w:ascii="Times New Roman;sans-serif" w:hAnsi="Times New Roman;sans-serif"/>
          <w:b w:val="false"/>
          <w:color w:val="000000"/>
          <w:sz w:val="20"/>
          <w:shd w:fill="FFFFFF" w:val="clear"/>
        </w:rPr>
        <w:t xml:space="preserve">). As DBT prepares these claims for dispute resolution processes, the amounts, along with the characterization, of the claims could change. Of these claims, South African Rand 606.0 (or </w:t>
      </w:r>
      <w:r>
        <w:rPr>
          <w:rFonts w:ascii="Times New Roman;sans-serif" w:hAnsi="Times New Roman;sans-serif"/>
          <w:b w:val="false"/>
          <w:color w:val="000000"/>
          <w:sz w:val="20"/>
        </w:rPr>
        <w:t>$32.4</w:t>
      </w:r>
      <w:r>
        <w:rPr>
          <w:rFonts w:ascii="Times New Roman;sans-serif" w:hAnsi="Times New Roman;sans-serif"/>
          <w:b w:val="false"/>
          <w:color w:val="000000"/>
          <w:sz w:val="20"/>
          <w:shd w:fill="FFFFFF" w:val="clear"/>
        </w:rPr>
        <w:t>), which is inclusive of the amounts awarded in the adjudications referred to below, are currently proceeding through contractual dispute resolution processes and DBT is likely to initiate additional dispute resolution processes. DBT is also pursuing several claims to force MHI to abide by its contractual obligations and provide DBT with certain benefits that MHI may have received from its customer on the projects. In addition to existing asserted claims, DBT believes it has additional claims and rights to recovery based on its performance under the contracts with, and actions taken by, MHI. DBT is continuing to evaluate the claims and the amounts owed to it under the contracts based on MHI’s failure to comply with its contractual obligations. The amounts DBT may recover for current and potential future claims against MHI are not currently known given (i) the extent of current and potential future claims by MHI against DBT (see below for further discussion) and (ii) the unpredictable nature of any dispute resolution processes that may occur in connection with these current and potential future claims. No revenue has been recorded in the accompanying condensed consolidated financial statements with respect to current or potential future claims against MHI.</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July 23, 2020, a dispute adjudication panel issued a ruling in favor of DBT on certain matters related to the Kusile and Medupi projects. The panel (i) ruled that DBT had achieved takeover on 9 of the units; (ii) ordered MHI to return $2.3 of bonds (which have been subsequently returned by MHI); (iii) ruled that DBT is entitled to the return of an additional $4.3 of bonds upon the completion of certain administrative milestones; (iv) ordered MHI to pay South African Rand 18.4 (or $1.1 at the time of the ruling) in incentive payments for work performed by DBT (which MHI has subsequently paid); and (v) ruled that MHI waived its rights to assert delay damages against DBT on one of the units of the Kusile project. The ruling is subject to MHI’s rights to seek further arbitration in the matter, as provided in the contracts. As such, the incentive payments noted above have not been recorded in our accompanying condensed consolidated statements of operations.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On February 22, 2021, a dispute adjudication panel issued a ruling in favor of DBT related to costs incurred in connection with delays on two units of the Kusile project. In connection with the ruling, MHI paid DBT South African Rand 126.6 (or $8.6 at the time of payment). This ruling was subject to final and binding arbitration in this matter. In March 2023, an arbitration tribunal upheld the decision of the dispute adjudication panel. As a result, the South African Rand 126.6 (or </w:t>
      </w:r>
      <w:r>
        <w:rPr>
          <w:rFonts w:ascii="Times New Roman;sans-serif" w:hAnsi="Times New Roman;sans-serif"/>
          <w:b w:val="false"/>
          <w:color w:val="000000"/>
          <w:sz w:val="20"/>
        </w:rPr>
        <w:t>$6.8</w:t>
      </w:r>
      <w:r>
        <w:rPr>
          <w:rFonts w:ascii="Times New Roman;sans-serif" w:hAnsi="Times New Roman;sans-serif"/>
          <w:b w:val="false"/>
          <w:color w:val="000000"/>
          <w:sz w:val="20"/>
          <w:shd w:fill="FFFFFF" w:val="clear"/>
        </w:rPr>
        <w:t xml:space="preserve">) was recorded as income during the quarter ended </w:t>
      </w:r>
      <w:r>
        <w:rPr>
          <w:rFonts w:ascii="Times New Roman;sans-serif" w:hAnsi="Times New Roman;sans-serif"/>
          <w:b w:val="false"/>
          <w:color w:val="000000"/>
          <w:sz w:val="20"/>
        </w:rPr>
        <w:t xml:space="preserve">April 1, 2023, with such amount recorded within </w:t>
      </w:r>
      <w:r>
        <w:rPr>
          <w:color w:val="000000"/>
          <w:shd w:fill="FFFFFF" w:val="clear"/>
        </w:rPr>
        <w:t>“</w:t>
      </w:r>
      <w:r>
        <w:rPr>
          <w:rFonts w:ascii="Times New Roman;sans-serif" w:hAnsi="Times New Roman;sans-serif"/>
          <w:b w:val="false"/>
          <w:color w:val="000000"/>
          <w:sz w:val="20"/>
          <w:shd w:fill="FFFFFF" w:val="clear"/>
        </w:rPr>
        <w:t>Gain (loss) on disposition of discontinued operations, net of tax.” Additionally, in June 2023, the arbitration tribunal ruled DBT was entitled to recover $1.3 of legal costs incurred related to the arbitration. Such amount was recorded to “Gain (loss) on disposition of discontinued operations, net of tax” during the quarter ended July 1, 2023.</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April 28, 2021, a dispute adjudication panel issued a ruling in favor of DBT related to costs incurred in connection with delays on two units of the Medupi project. In connection with the ruling, MHI paid DBT South African Rand 82.0 (or $6.0 at the time of payment). This ruling is subject to MHI’s rights to seek further arbitration in the matter and, thus, the amount awarded has not been reflected in our accompanying condensed consolidated statements of operations.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shd w:fill="FFFFFF" w:val="clear"/>
        </w:rPr>
        <w:t>Claims by MHI</w:t>
      </w:r>
      <w:r>
        <w:rPr>
          <w:color w:val="000000"/>
          <w:shd w:fill="FFFFFF" w:val="clear"/>
        </w:rPr>
        <w:t xml:space="preserve"> </w:t>
      </w:r>
      <w:r>
        <w:rPr>
          <w:rFonts w:ascii="Times New Roman;sans-serif" w:hAnsi="Times New Roman;sans-serif"/>
          <w:b w:val="false"/>
          <w:color w:val="000000"/>
          <w:sz w:val="20"/>
          <w:shd w:fill="FFFFFF" w:val="clear"/>
        </w:rPr>
        <w:t xml:space="preserve">- On February 26, 2019, DBT received notification of an interim claim consisting of both direct and consequential damages from MHI alleging, among other things, that DBT (i) provided defective product and (ii) failed to meet certain project milestones. In September 2020, MHI made a demand on certain bonds issued in its favor by DBT, based solely on these alleged defects, but without further substantiation or other justification (see further discussion below). On December 30, 2020, MHI notified DBT of its intent to take these claims to binding arbitration even though the vast majority of these claims had not been brought appropriately before a dispute adjudication board as required under the relevant subcontracts. On June 4, 2021, in connection with the arbitration, DBT received a revised version of the claim. Similar to the interim claim,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believe the vast majority of the damages summarized in the revised claim are unsubstantiated and, thus, any loss for the majority of these claims is considered remote. The remainder of the claims in both the interim notification and the revised version largely appear to be direct in nature. On September 21, 2022, an arbitration tribunal ruled that only South African Rand 349.6 (or </w:t>
      </w:r>
      <w:r>
        <w:rPr>
          <w:rFonts w:ascii="Times New Roman;sans-serif" w:hAnsi="Times New Roman;sans-serif"/>
          <w:b w:val="false"/>
          <w:color w:val="000000"/>
          <w:sz w:val="20"/>
        </w:rPr>
        <w:t>$18.7</w:t>
      </w:r>
      <w:r>
        <w:rPr>
          <w:rFonts w:ascii="Times New Roman;sans-serif" w:hAnsi="Times New Roman;sans-serif"/>
          <w:b w:val="false"/>
          <w:color w:val="000000"/>
          <w:sz w:val="20"/>
          <w:shd w:fill="FFFFFF" w:val="clear"/>
        </w:rPr>
        <w:t xml:space="preserve">) of MHI’s revised claim had been brought appropriately before a dispute adjudication board as required under the relevant subcontracts, with MHI’s other claims dismissed from the arbitration proceedings. Additionally, in May 2023, the arbitration tribunal ruled DBT was entitled to recover $5.5 of legal costs incurred related to the arbitration. Such amount was recorded to “Gain (loss) on disposition of discontinued operations, net of tax” during the quarter ended July 1, 2023. MHI subsequently referred the claims dismissed from the arbitration, with approximately South African Rand 394.4 (or </w:t>
      </w:r>
      <w:r>
        <w:rPr>
          <w:rFonts w:ascii="Times New Roman;sans-serif" w:hAnsi="Times New Roman;sans-serif"/>
          <w:b w:val="false"/>
          <w:color w:val="000000"/>
          <w:sz w:val="20"/>
        </w:rPr>
        <w:t>$21.1</w:t>
      </w:r>
      <w:r>
        <w:rPr>
          <w:rFonts w:ascii="Times New Roman;sans-serif" w:hAnsi="Times New Roman;sans-serif"/>
          <w:b w:val="false"/>
          <w:color w:val="000000"/>
          <w:sz w:val="20"/>
          <w:shd w:fill="FFFFFF" w:val="clear"/>
        </w:rPr>
        <w:t>) related to claims that are direct in nature, to a new dispute adjudication panel. The panel held a hearing on these matters in June 2023 and a ruling is expected in the third quarter of 2023. DBT has numerous defenses and, thus, we do not believe that DBT has a probable loss associated with any of these claims. As such, no loss has been recorded in the accompanying condensed consolidated financial statements with respect to these claims. DBT intends to vigorously defend itself against these claims. Although it is reasonably possible that some loss may be incurred in connection with these claims, we currently are unable to estimate the potential loss or range of potential loss associated with these claims due to the (i) lack of support provided by MHI for these claims; (ii) complexity of contractual relationships between the end customer, MHI, and DBT; (iii) legal interpretation of the contract provisions and application of South African law to the contracts; and (iv) unpredictable nature of any dispute resolution processes that have occurred or may occur in connection with these claims.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In April and July 2019, DBT received notifications of intent to claim liquidated damages totaling South African Rand 407.2 (or </w:t>
      </w:r>
      <w:r>
        <w:rPr>
          <w:rFonts w:ascii="Times New Roman;sans-serif" w:hAnsi="Times New Roman;sans-serif"/>
          <w:b w:val="false"/>
          <w:color w:val="000000"/>
          <w:sz w:val="20"/>
        </w:rPr>
        <w:t>$21.8</w:t>
      </w:r>
      <w:r>
        <w:rPr>
          <w:rFonts w:ascii="Times New Roman;sans-serif" w:hAnsi="Times New Roman;sans-serif"/>
          <w:b w:val="false"/>
          <w:color w:val="000000"/>
          <w:sz w:val="20"/>
          <w:shd w:fill="FFFFFF" w:val="clear"/>
        </w:rPr>
        <w:t>) from MHI alleging that DBT failed to meet certain project milestones related to the construction of the filters for both the Kusile and Medupi projects. DBT has numerous defenses against these claims and, thus, we do not believe that DBT has a probable loss associated with these claims. As such, no loss has been recorded in the accompanying condensed consolidated financial statements with respect to these claims. Although it is reasonably possible that some loss may be incurred in connection with these claims, we currently are unable to estimate the potential loss or range of potential loss.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2023, MHI submitted to DBT notices of intent to claim totaling South African Rand 1,664.0 (or $89.1) related to DBT’s filter and heater scopes of work, alleging that DBT provided defective product. MHI has provided minimal support for these allegations and DBT believes it has numerous defenses against them. Thus, we do not believe that DBT has a probable loss associated with these allegations and DBT intends to vigorously defend itself against them. As such, no amounts have been recorded in the accompanying condensed consolidated financial statements with respect to these allegations. We currently are unable to estimate the range of potential loss, if any, associated with these allegations due to the (i) lack of support provided by MHI; (ii) complexity of contractual relationships between the end customer, MHI, and DBT; (iii) legal interpretation of the contract provisions and application of South African law to the contracts; and (iv) unpredictable nature of any dispute resolution processes that may occur in connection with these claims.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shd w:fill="FFFFFF" w:val="clear"/>
        </w:rPr>
        <w:t>Bonds Issued in Favor of MHI</w:t>
      </w:r>
      <w:r>
        <w:rPr>
          <w:color w:val="000000"/>
          <w:shd w:fill="FFFFFF" w:val="clear"/>
        </w:rPr>
        <w:t xml:space="preserve"> </w:t>
      </w:r>
      <w:r>
        <w:rPr>
          <w:rFonts w:ascii="Times New Roman;sans-serif" w:hAnsi="Times New Roman;sans-serif"/>
          <w:b w:val="false"/>
          <w:color w:val="000000"/>
          <w:sz w:val="20"/>
          <w:shd w:fill="FFFFFF" w:val="clear"/>
        </w:rPr>
        <w:t xml:space="preserve">- DBT was obligated with respect to bonds issued by banks in favor of MHI. In September of 2020, MHI made a demand, and received payment of South African Rand 239.6 (or $14.3 at the time of payment), on certain of these bonds. In May 2021, MHI made an additional demand, and received payment of South African Rand 178.7 (or $12.5 at the time of payment), on certain of the remaining bonds at such time. In both cases, we funded the payment as required under the terms of the bonds and our senior credit agreement. In its demands, MHI purported that DBT failed to carry out its obligations to rectify certain alleged product defects and that DBT failed to meet certain project milestones. DBT denies liability for such allegations and, thus, fully intends to seek, and believes it is legally entitled to, reimbursement of the South African Rand 418.3 (or </w:t>
      </w:r>
      <w:r>
        <w:rPr>
          <w:rFonts w:ascii="Times New Roman;sans-serif" w:hAnsi="Times New Roman;sans-serif"/>
          <w:b w:val="false"/>
          <w:color w:val="000000"/>
          <w:sz w:val="20"/>
        </w:rPr>
        <w:t>$22.4</w:t>
      </w:r>
      <w:r>
        <w:rPr>
          <w:rFonts w:ascii="Times New Roman;sans-serif" w:hAnsi="Times New Roman;sans-serif"/>
          <w:b w:val="false"/>
          <w:color w:val="000000"/>
          <w:sz w:val="20"/>
          <w:shd w:fill="FFFFFF" w:val="clear"/>
        </w:rPr>
        <w:t xml:space="preserve">) that has been paid. On October 11, 2022, a dispute adjudication panel ruled MHI drew on amounts in excess of the bond values stipulated in the contracts and was required to refund DBT South African Rand 90.8 (or $5.0 at the time of payment) of the previously demanded amounts, plus interest of South African Rand 12.5 (or $0.7 at the time of payment). MHI paid these amounts on October 14, 2022. We have reflected the remaining South African Rand 327.5 (or </w:t>
      </w:r>
      <w:r>
        <w:rPr>
          <w:rFonts w:ascii="Times New Roman;sans-serif" w:hAnsi="Times New Roman;sans-serif"/>
          <w:b w:val="false"/>
          <w:color w:val="000000"/>
          <w:sz w:val="20"/>
        </w:rPr>
        <w:t>$17.5 and $19.1 as of July 1, 2023 and December 31, 2022, respectively</w:t>
      </w:r>
      <w:r>
        <w:rPr>
          <w:rFonts w:ascii="Times New Roman;sans-serif" w:hAnsi="Times New Roman;sans-serif"/>
          <w:b w:val="false"/>
          <w:color w:val="000000"/>
          <w:sz w:val="20"/>
          <w:shd w:fill="FFFFFF" w:val="clear"/>
        </w:rPr>
        <w:t>) within “Assets of DBT and Heat Transfer” on the accompanying condensed consolidated balance sheets as of July 1, 2023 and December 31, 2022.</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All other bonds previously issued in favor of MHI have been returned or cancelled by the issuing banks.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SPX Technologies, Inc. has guaranteed DBT’s performance on these projects to the prime contractors, including MHI.</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shd w:fill="FFFFFF" w:val="clear"/>
        </w:rPr>
        <w:t>Claim against Surety</w:t>
      </w:r>
      <w:r>
        <w:rPr>
          <w:color w:val="000000"/>
          <w:shd w:fill="FFFFFF" w:val="clear"/>
        </w:rPr>
        <w:t xml:space="preserve"> </w:t>
      </w:r>
      <w:r>
        <w:rPr>
          <w:rFonts w:ascii="Times New Roman;sans-serif" w:hAnsi="Times New Roman;sans-serif"/>
          <w:b w:val="false"/>
          <w:color w:val="000000"/>
          <w:sz w:val="20"/>
          <w:shd w:fill="FFFFFF" w:val="clear"/>
        </w:rPr>
        <w:t>- On February 5, 2021, DBT received payment of $6.7 on bonds issued in support of performance by one of DBT’s sub-contractors. The sub-contractor maintains a right to seek recovery of such amount and, thus, the amount received by DBT has not been reflected in our condensed consolidated statements of operations.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Claim for Contingent Consideration Related to ULC Robotics (“ULC”) Acquisition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our acquisition of ULC in September 2020, the seller of ULC was eligible for additional cash consideration of up to $45.0 upon achievement of certain operating and financial performance milestones. During the third quarter of 2021, we concluded that the operational and financial performance milestones noted above were not achieved and, thus, no amount is due to the seller.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August 23, 2022, the seller of ULC initiated a breach-of-contract lawsuit against us in the United States District Court for the Eastern District of New York claiming that it is entitled to a portion of the additional cash consideration linked to certain operating performance milestones totaling $15.0. SPX has numerous defenses against this claim and, thus, we do not believe we have a probable loss associated with the claim.</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Litigation Matters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other legal matters that arise in the normal course of business. We believe these matters are either without merit or of a kind that should not have a material effect, individually or in the aggregate, on our financial position, results of operations or cash flows; however, we cannot assure you that these proceedings or claims will not have a material effect on our financial position, results of operations or cash flows. </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Environmental Matters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 xml:space="preserve">Our operations and properties are subject to federal, state, local and foreign regulatory requirements relating to environmental protection. It is our policy to comply fully with all applicable requirements. As part of our effort to comply, we have a comprehensive environmental compliance program that includes environmental audits conducted by internal and external independent professionals, as well as regular communications with our operating units regarding environmental compliance requirements and anticipated regulations. Based on current information, we believe that our operations are in substantial compliance with applicable environmental laws and regulations, and we are not aware of any violations that could have a material effect, individually or in the aggregate, on our business, financial condition, and results of operations or cash flows. We had liabilities for site investigation and/or remediation </w:t>
      </w:r>
      <w:r>
        <w:rPr>
          <w:rFonts w:ascii="Times New Roman;sans-serif" w:hAnsi="Times New Roman;sans-serif"/>
          <w:b w:val="false"/>
          <w:color w:val="000000"/>
          <w:sz w:val="20"/>
          <w:shd w:fill="FFFFFF" w:val="clear"/>
        </w:rPr>
        <w:t xml:space="preserve">at </w:t>
      </w:r>
      <w:r>
        <w:rPr>
          <w:rFonts w:ascii="Times New Roman;sans-serif" w:hAnsi="Times New Roman;sans-serif"/>
          <w:b w:val="false"/>
          <w:color w:val="000000"/>
          <w:sz w:val="20"/>
        </w:rPr>
        <w:t>17</w:t>
      </w:r>
      <w:r>
        <w:rPr>
          <w:color w:val="000000"/>
          <w:shd w:fill="FFFFFF" w:val="clear"/>
        </w:rPr>
        <w:t xml:space="preserve"> </w:t>
      </w:r>
      <w:r>
        <w:rPr>
          <w:rFonts w:ascii="Times New Roman;sans-serif" w:hAnsi="Times New Roman;sans-serif"/>
          <w:b w:val="false"/>
          <w:color w:val="000000"/>
          <w:sz w:val="20"/>
        </w:rPr>
        <w:t>sites that we own or control, or formerly owned and controlled, as of July 1, 2023 and December 31, 2022. In addition, while we believe that we maintain adequate accruals to cover the costs of site investigation and/or remediation, we cannot provide assurance that new matters, developments, laws and regulations, or stricter interpretations of existing laws and regulations will not materially affect our business or operations in the future.</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environmental accruals cover anticipated costs, including investigation, remediation, and maintenance of clean-up sites. Our estimates are based primarily on investigations and remediation plans established by independent consultants, regulatory agencies and potentially responsible third parties. Accordingly, our estimates may change based on future developments, including new or changes in existing environmental laws or policies, differences in costs required to complete anticipated actions from estimates provided, future findings of investigation or remediation actions, or alteration to the expected remediation plans. It is our policy to revise an estimate once the revision becomes probable and the amount of change can be reasonably estimated. We generally do not discount our environmental accruals and do not reduce them by anticipated insurance recoveries. We take into account third-party indemnification from financially viable parties in determining our accruals where there is no dispute regarding the right to indemnification.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case of contamination at offsite, third-party disposal sites, as of July 1, 2023 and December 31, 2022, we have been notified that we are potentially responsible and have received other notices of potential liability pursuant to various environmental laws at 9 sites, at which the liability has not been settled and all of which have been active in the past few years. These laws may impose liability on certain persons that are considered jointly and severally liable for the costs of investigation and remediation of hazardous substances present at these sites, regardless of fault or legality of the original disposal. These persons include the present or former owners or operators of the site and companies that generated, disposed of or arranged for the disposal of hazardous substances at the site. We are considered a “de minimis” potentially responsible party at most of the sites, and we estimate that our aggregate liability, if any, related to these sites is not material to our condensed consolidated financial statements. We conduct extensive environmental due diligence with respect to potential acquisitions, including environmental site assessments and such further testing as we may deem warranted. If an environmental matter is identified, we estimate the cost and either establish a liability, purchase insurance or obtain an indemnity from a financially sound seller; however, in connection with our acquisitions or dispositions, we may assume or retain significant environmental liabilities, some of which we may be unaware. The potential costs related to these environmental matters and the possible impact on future operations are uncertain due in part to the complexity of government laws and regulations and their interpretations, the varying costs and effectiveness of various clean-up technologies, the uncertain level of insurance or other types of recovery, and the questionable level of our responsibility. We record a liability when it is both probable and the amount can be reasonably estimated.</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our opinion, after considering accruals established for such purposes, the cost of remedial actions for compliance with the present laws and regulations governing the protection of the environment are not expected to have a material impact, individually or in the aggregate, on our financial position, results of operations or cash flows.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Self-insured Risk Management Matters</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self-insured for certain of our workers’ compensation, automobile, product and general liability, disability and health costs, and we believe that we maintain adequate accruals to cover our retained liability. Our accruals for risk management matters are determined by us, are based on claims filed and estimates of claims incurred but not yet reported, and generally are not discounted. We consider a number of factors, including third-party actuarial valuations, when making these determinations. We maintain third-party stop-loss insurance policies to cover certain liability costs in excess of predetermined retained amounts. This insurance may be insufficient or unavailable (e.g., because of insurer insolvency) to protect us against loss exposures.</w:t>
      </w:r>
    </w:p>
    <w:p>
      <w:pPr>
        <w:pStyle w:val="TextBody"/>
        <w:bidi w:val="0"/>
        <w:spacing w:before="16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ans-serif" w:hAnsi="Times New Roman;sans-serif"/>
          <w:b/>
          <w:color w:val="000000"/>
          <w:sz w:val="20"/>
        </w:rPr>
        <w:t>(16)</w:t>
      </w:r>
      <w:r>
        <w:rPr>
          <w:color w:val="000000"/>
        </w:rPr>
        <w:t>    </w:t>
      </w:r>
      <w:r>
        <w:rPr>
          <w:rFonts w:ascii="Times New Roman;sans-serif" w:hAnsi="Times New Roman;sans-serif"/>
          <w:b/>
          <w:color w:val="000000"/>
          <w:sz w:val="20"/>
        </w:rPr>
        <w:t>INCOME AND OTHER TAXES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Uncertain Tax Benefits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As of July 1, 2023</w:t>
      </w:r>
      <w:r>
        <w:rPr>
          <w:rFonts w:ascii="Times New Roman;sans-serif" w:hAnsi="Times New Roman;sans-serif"/>
          <w:b w:val="false"/>
          <w:color w:val="000000"/>
          <w:sz w:val="20"/>
          <w:shd w:fill="FFFFFF" w:val="clear"/>
        </w:rPr>
        <w:t>, we had gross unrecognized tax ben</w:t>
      </w:r>
      <w:r>
        <w:rPr>
          <w:rFonts w:ascii="Times New Roman;sans-serif" w:hAnsi="Times New Roman;sans-serif"/>
          <w:b w:val="false"/>
          <w:color w:val="000000"/>
          <w:sz w:val="20"/>
        </w:rPr>
        <w:t>efits of $2.5 (net unrecognized tax benefits of $2.4). These unrecognized tax benefits would impact our effective tax rate from continuing operations if recognized.</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classify interest and penalties related to unrecognized tax benefits as a component of our income tax provision. As of July 1, 2023, gross accrued interest totaled $1.3 (net accrued interest of $1.2). As of July 1, 2023, we had no accrual for penalties included in our unrecognized tax benefits.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outcome of certain examinations or as a result of the expiration of statutes of limitations for certain jurisdictions, we believe that within the next 12 months it is reasonably possible that our previously unrecognized tax benefits could decrease by up to $0.6. The previously unrecognized tax benefits relate to a variety of tax matters including transfer pricing and various state matters.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Other Tax Matters</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July 1, 2023, we recorded an income tax provision of $7.8 on $46.1 of pre-tax income from continuing operations, resulting in an effective rate of 16.9%. This compares to an income tax provision for the three months ended July 2, 2022 of $4.4 on $23.5 of pre-tax income from continuing operations, resulting in an effective rate of 18.7%. The most significant items impacting the income tax provision for the second quarters of 2023 and 2022 were (i) $1.2 and $0.7 of tax benefits, respectively, related to revisions to liabilities for uncertain tax positions and (ii) $0.5 and $0.0, respectively, of excess tax benefits associated with stock-based compensation awards that vested and/or were exercised during the period. In addition, the rate for the three months ended July 1, 2023 was favorably impacted by a tax benefit of $1.8 related to the release of valuation allowances recognized against certain deferred tax assets, as we now expect these deferred tax assets to be realized.</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July 1, 2023, we recorded an income tax provision of $19.1 on $96.5 of pre-tax income from continuing operations, resulting in an effective rate of 19.8%. This compares to an income tax provision for the six months ended July 2, 2022 of $7.0 on $39.1 of pre-tax income from continuing operations, resulting in an effective rate of 17.9%. The most significant items impacting the income tax provision during the first half of 2023 and 2022 were (i) $1.4 and $0.7, respectively, of excess tax benefits associated with stock-based compensation awards that vested and/or were exercised during the periods and (ii) the $1.2 and $0.7, respectively, of the tax benefits noted above related to revisions to liabilities for uncertain tax positions. In addition, the current year's rate was favorably impacted by a tax benefit of $1.8 related to the release of valuation allowances recognized against certain deferred tax assets, as we now expect these deferred tax assets to be realized.</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perform reviews of our income tax positions on a continuous basis and accrue for potential uncertain positions when we determine that an uncertain position meets the criteria of the Income Taxes Topic of the Codification. Accruals for these uncertain tax positions are recorded in “Income taxes payable” and “Deferred and other income taxes” in the accompanying condensed consolidated balance sheets based on the expectation as to the timing of when the matters will be resolved. As events change and resolutions occur, these accruals are adjusted, such as in the case of audit settlements with taxing authorities.</w:t>
      </w:r>
    </w:p>
    <w:p>
      <w:pPr>
        <w:pStyle w:val="TextBody"/>
        <w:bidi w:val="0"/>
        <w:spacing w:before="0" w:after="0"/>
        <w:ind w:left="0" w:right="0" w:firstLine="720"/>
        <w:jc w:val="both"/>
        <w:rPr/>
      </w:pPr>
      <w:r>
        <w:rPr/>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U.S. Federal income tax returns are subject to examination for a period of three years after filing the return. We are not currently under examination by the Internal Revenue Service and believe any contingencies in open years are adequately provided for.</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State income tax returns generally are subject to examination for a period of three to five years after filing the respective tax returns. The impact on such tax returns of any federal changes remains subject to examination by various states for a period of up to one year after formal notification to the states. We regularly have various state income tax returns in the process of examination. We believe any uncertain tax positions related to these examinations have been adequately provided for. </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regularly have various foreign income tax returns under examination. We believe that any uncertain tax positions related to these examinations have been adequately provided for.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 unfavorable resolution of one or more of the above matters could have a material impact on our results of operations or cash flows in the quarter and year in which an adjustment is recorded or the tax is due or paid. As audits and examinations are still in process, the timing of the ultimate resolution and any payments that may be required for the above matters cannot be determined at this time.</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(17)    FAIR VALUE</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the price that would be received to sell an asset or paid to transfer a liability in an orderly transaction between market participants at the measurement date. In the absence of active markets for the identical assets or liabilities, such measurements involve developing assumptions based on market observable data and, in the absence of such data, internal information consistent with what market participants would use in a hypothetical transaction that occurs at the measurement date. Observable inputs reflect market data obtained from independent sources, while unobservable inputs reflect our market assumptions. Preference is given to observable inputs. These two types of inputs create the following fair value hierarchy:</w:t>
      </w:r>
    </w:p>
    <w:p>
      <w:pPr>
        <w:pStyle w:val="TextBody"/>
        <w:bidi w:val="0"/>
        <w:spacing w:lineRule="auto" w:line="288" w:before="0" w:after="200"/>
        <w:ind w:left="0" w:right="0" w:hanging="720"/>
        <w:jc w:val="left"/>
        <w:rPr/>
      </w:pPr>
      <w:r>
        <w:rPr>
          <w:color w:val="000000"/>
        </w:rPr>
        <w:t>•</w:t>
      </w:r>
      <w:r>
        <w:rPr>
          <w:rFonts w:ascii="Times New Roman;sans-serif" w:hAnsi="Times New Roman;sans-serif"/>
          <w:b w:val="false"/>
          <w:color w:val="000000"/>
          <w:sz w:val="20"/>
        </w:rPr>
        <w:t>Level 1 — Quoted prices for identical instruments in active markets.</w:t>
      </w:r>
    </w:p>
    <w:p>
      <w:pPr>
        <w:pStyle w:val="TextBody"/>
        <w:bidi w:val="0"/>
        <w:spacing w:lineRule="auto" w:line="288" w:before="0" w:after="200"/>
        <w:ind w:left="0" w:right="0" w:hanging="720"/>
        <w:jc w:val="left"/>
        <w:rPr/>
      </w:pPr>
      <w:r>
        <w:rPr>
          <w:color w:val="000000"/>
        </w:rPr>
        <w:t>•</w:t>
      </w:r>
      <w:r>
        <w:rPr>
          <w:rFonts w:ascii="Times New Roman;sans-serif" w:hAnsi="Times New Roman;sans-serif"/>
          <w:b w:val="false"/>
          <w:color w:val="000000"/>
          <w:sz w:val="20"/>
        </w:rPr>
        <w:t>Level 2 —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lineRule="auto" w:line="288" w:before="0" w:after="200"/>
        <w:ind w:left="0" w:right="0" w:hanging="720"/>
        <w:jc w:val="left"/>
        <w:rPr/>
      </w:pPr>
      <w:r>
        <w:rPr>
          <w:color w:val="000000"/>
        </w:rPr>
        <w:t>•</w:t>
      </w:r>
      <w:r>
        <w:rPr>
          <w:rFonts w:ascii="Times New Roman;sans-serif" w:hAnsi="Times New Roman;sans-serif"/>
          <w:b w:val="false"/>
          <w:color w:val="000000"/>
          <w:sz w:val="20"/>
        </w:rPr>
        <w:t>Level 3 — Significant inputs to the valuation model are unobservable.</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There were no changes during the periods presented to the valuation techniques we use to measure asset and liability fair values on a recurring or nonrecurring basis. There were no transfers between the three levels of the fair value hierarchy for the periods pres</w:t>
      </w:r>
      <w:r>
        <w:rPr>
          <w:rFonts w:ascii="Times New Roman;sans-serif" w:hAnsi="Times New Roman;sans-serif"/>
          <w:b w:val="false"/>
          <w:color w:val="000000"/>
          <w:sz w:val="20"/>
          <w:shd w:fill="FFFFFF" w:val="clear"/>
        </w:rPr>
        <w:t>ented.</w:t>
      </w:r>
    </w:p>
    <w:p>
      <w:pPr>
        <w:pStyle w:val="TextBody"/>
        <w:bidi w:val="0"/>
        <w:spacing w:lineRule="auto" w:line="288" w:before="0" w:after="20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Valuation Methods Used to Measure Fair Value on a Non-Recurring Basis</w:t>
      </w:r>
    </w:p>
    <w:p>
      <w:pPr>
        <w:pStyle w:val="TextBody"/>
        <w:bidi w:val="0"/>
        <w:spacing w:lineRule="auto" w:line="276" w:before="0" w:after="0"/>
        <w:ind w:left="0" w:right="0" w:firstLine="720"/>
        <w:jc w:val="both"/>
        <w:rPr/>
      </w:pPr>
      <w:r>
        <w:rPr>
          <w:rFonts w:ascii="Times New Roman;sans-serif" w:hAnsi="Times New Roman;sans-serif"/>
          <w:b w:val="false"/>
          <w:i/>
          <w:color w:val="000000"/>
          <w:sz w:val="20"/>
          <w:shd w:fill="FFFFFF" w:val="clear"/>
        </w:rPr>
        <w:t xml:space="preserve">Contingent Consideration for Sensors &amp; Software and Enterprise Control </w:t>
      </w:r>
      <w:r>
        <w:rPr>
          <w:rFonts w:ascii="Times New Roman;sans-serif" w:hAnsi="Times New Roman;sans-serif"/>
          <w:b w:val="false"/>
          <w:i/>
          <w:color w:val="000000"/>
          <w:sz w:val="20"/>
        </w:rPr>
        <w:t xml:space="preserve">Systems Acquisitions — </w:t>
      </w:r>
      <w:r>
        <w:rPr>
          <w:rFonts w:ascii="Times New Roman;sans-serif" w:hAnsi="Times New Roman;sans-serif"/>
          <w:b w:val="false"/>
          <w:color w:val="000000"/>
          <w:sz w:val="20"/>
        </w:rPr>
        <w:t>In connection with the acquisition of Sensors &amp; Software in 2020, the sellers were eligible for additional cash consideration of up to $3.8</w:t>
      </w:r>
      <w:r>
        <w:rPr>
          <w:rFonts w:ascii="Times New Roman;sans-serif" w:hAnsi="Times New Roman;sans-serif"/>
          <w:b w:val="false"/>
          <w:color w:val="000000"/>
          <w:sz w:val="20"/>
          <w:shd w:fill="FFFFFF" w:val="clear"/>
        </w:rPr>
        <w:t xml:space="preserve">, with payment of such contingent consideration dependent upon the achievement of certain milestones. Such contingent consideration totaled $1.3, and was paid during the quarter ended April 2, 2022.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In connection with the acquisition of Enterprise Control Systems Ltd in 2021, the seller was eligible for additional cash consideration of up to $15.8</w:t>
      </w:r>
      <w:r>
        <w:rPr>
          <w:rFonts w:ascii="Times New Roman;sans-serif" w:hAnsi="Times New Roman;sans-serif"/>
          <w:b w:val="false"/>
          <w:color w:val="000000"/>
          <w:sz w:val="20"/>
          <w:shd w:fill="FFFFFF" w:val="clear"/>
        </w:rPr>
        <w:t xml:space="preserve">, with payment of such contingent consideration dependent upon </w:t>
      </w:r>
      <w:r>
        <w:rPr>
          <w:rFonts w:ascii="Times New Roman;sans-serif" w:hAnsi="Times New Roman;sans-serif"/>
          <w:b w:val="false"/>
          <w:color w:val="000000"/>
          <w:sz w:val="20"/>
        </w:rPr>
        <w:t>the achievement of certain milestones. During the first and second quarters of 2022, we concluded the probability of achieving the financial performance milestones had lessened due to a delay in the execution of certain large orders. Thus, during the quarters ended April 2, 2022 and July 2, 2022, we reduced the fair value/liability by $0.9 and $0.4, respectively, with such amounts recorded to “Other operating expense, net.” The estimated fair value of such contingent consideration was $0.0 at July 1, 2023 and December 31, 2022 as we determined no additional cash consideration was due to the seller.</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the fair value of contingent consideration based on the probability of the acquired business achieving the applicable milestones.</w:t>
      </w:r>
    </w:p>
    <w:p>
      <w:pPr>
        <w:pStyle w:val="TextBody"/>
        <w:bidi w:val="0"/>
        <w:spacing w:lineRule="auto" w:line="288" w:before="160" w:after="160"/>
        <w:ind w:left="0" w:right="0" w:firstLine="720"/>
        <w:jc w:val="both"/>
        <w:rPr/>
      </w:pPr>
      <w:r>
        <w:rPr>
          <w:rFonts w:ascii="Times New Roman;sans-serif" w:hAnsi="Times New Roman;sans-serif"/>
          <w:b w:val="false"/>
          <w:i/>
          <w:color w:val="000000"/>
          <w:sz w:val="20"/>
        </w:rPr>
        <w:t>Goodwill, Indefinite-Lived Intangible and Other Long-Lived Assets</w:t>
      </w:r>
      <w:r>
        <w:rPr>
          <w:color w:val="000000"/>
        </w:rPr>
        <w:t xml:space="preserve"> — </w:t>
      </w:r>
      <w:r>
        <w:rPr>
          <w:rFonts w:ascii="Times New Roman;sans-serif" w:hAnsi="Times New Roman;sans-serif"/>
          <w:b w:val="false"/>
          <w:color w:val="000000"/>
          <w:sz w:val="20"/>
        </w:rPr>
        <w:t xml:space="preserve">Certain of our non-financial assets are subject to impairment analysis, including long-lived assets, indefinite-lived intangible assets and goodwill. We review the carrying amounts of such assets whenever events or changes in circumstances indicate that the carrying amounts may not be recoverable or at least annually for indefinite-lived intangible assets and goodwill. Any asset impairment would result in the asset being recorded at its fair value. </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Valuation Methods Used to Measure Fair Value on a Recurring Basis</w:t>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rPr>
        <w:t>Derivative Financial Instruments —</w:t>
      </w:r>
      <w:r>
        <w:rPr>
          <w:color w:val="000000"/>
        </w:rPr>
        <w:t xml:space="preserve"> </w:t>
      </w:r>
      <w:r>
        <w:rPr>
          <w:rFonts w:ascii="Times New Roman;sans-serif" w:hAnsi="Times New Roman;sans-serif"/>
          <w:b w:val="false"/>
          <w:color w:val="000000"/>
          <w:sz w:val="20"/>
        </w:rPr>
        <w:t>Our financial derivative assets and liabilities include interest rate swaps and FX forward contracts, valued using valuation models based on observable market inputs such as forward rates, inte</w:t>
      </w:r>
      <w:r>
        <w:rPr>
          <w:rFonts w:ascii="Times New Roman;sans-serif" w:hAnsi="Times New Roman;sans-serif"/>
          <w:b w:val="false"/>
          <w:color w:val="000000"/>
          <w:sz w:val="20"/>
          <w:shd w:fill="FFFFFF" w:val="clear"/>
        </w:rPr>
        <w:t>rest rates, our own credit risk and the credit risk of our counterparties, which comprise investment-grade financial institutions. Based on these inputs, the derivative assets and liabilities are classified within Level 2 of the valuation hierarchy. We have not made any adjustments to the inputs obtained from the independent sources. Based on our continued ability to enter into forward contracts, we consider the markets for our fair value instruments active. We primarily use the income approach, which uses valuation techniques to convert future amounts to a single present amount.</w:t>
      </w:r>
    </w:p>
    <w:p>
      <w:pPr>
        <w:pStyle w:val="TextBody"/>
        <w:bidi w:val="0"/>
        <w:spacing w:lineRule="auto" w:line="288" w:before="0" w:after="20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July 1, 2023, there has been no significant impact to the fair value of our derivative liabilities due to our own credit risk, as the related instruments are collateralized under our senior credit facilities. Similarly, there has been no significant impact to the fair value of our derivative assets based on our evaluation of our counterparties’ credit risks.</w:t>
      </w:r>
    </w:p>
    <w:p>
      <w:pPr>
        <w:pStyle w:val="TextBody"/>
        <w:bidi w:val="0"/>
        <w:spacing w:lineRule="auto" w:line="276" w:before="0" w:after="0"/>
        <w:ind w:left="0" w:right="0" w:firstLine="720"/>
        <w:jc w:val="both"/>
        <w:rPr/>
      </w:pPr>
      <w:r>
        <w:rPr>
          <w:rFonts w:ascii="Times New Roman;sans-serif" w:hAnsi="Times New Roman;sans-serif"/>
          <w:b w:val="false"/>
          <w:i/>
          <w:color w:val="000000"/>
          <w:sz w:val="20"/>
          <w:shd w:fill="FFFFFF" w:val="clear"/>
        </w:rPr>
        <w:t>Equity Security</w:t>
      </w:r>
      <w:r>
        <w:rPr>
          <w:color w:val="000000"/>
          <w:shd w:fill="FFFFFF" w:val="clear"/>
        </w:rPr>
        <w:t xml:space="preserve"> — </w:t>
      </w:r>
      <w:r>
        <w:rPr>
          <w:rFonts w:ascii="Times New Roman;sans-serif" w:hAnsi="Times New Roman;sans-serif"/>
          <w:b w:val="false"/>
          <w:color w:val="000000"/>
          <w:sz w:val="20"/>
          <w:shd w:fill="FFFFFF" w:val="clear"/>
        </w:rPr>
        <w:t>We estimate the fair value of an equity security that we hold utilizing a practical expedient under existing guidance, with such estimated fair value based on our ownership percentage applied to the net asset value as provided quarterly by the investee. The value is updated annually, during the first quarter, based on the investee’s most recent audited financial statements. Duri</w:t>
      </w:r>
      <w:r>
        <w:rPr>
          <w:rFonts w:ascii="Times New Roman;sans-serif" w:hAnsi="Times New Roman;sans-serif"/>
          <w:b w:val="false"/>
          <w:color w:val="000000"/>
          <w:sz w:val="20"/>
        </w:rPr>
        <w:t xml:space="preserve">ng the three and six months ended July 1, 2023 and July 2, 2022, we recorded gains of $0.0 and $0.0, and $3.6 and $4.4, respectively, to “Other income (expense), net” to reflect an increase in the estimated fair value of the equity security. As of July 1, 2023 and December 31, 2022, the equity security had an estimated fair value of $39.4 and $35.8,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Indebtedness and Other</w:t>
      </w:r>
      <w:r>
        <w:rPr>
          <w:color w:val="000000"/>
        </w:rPr>
        <w:t xml:space="preserve"> — </w:t>
      </w:r>
      <w:r>
        <w:rPr>
          <w:rFonts w:ascii="Times New Roman;sans-serif" w:hAnsi="Times New Roman;sans-serif"/>
          <w:b w:val="false"/>
          <w:color w:val="000000"/>
          <w:sz w:val="20"/>
        </w:rPr>
        <w:t>The estimated fair value of our debt instruments as of July 1, 2023 and December 31, 2022 approximated the related carrying values due primarily to the variable market-based interest rates for such instruments. Se</w:t>
      </w:r>
      <w:r>
        <w:rPr>
          <w:rFonts w:ascii="Times New Roman;sans-serif" w:hAnsi="Times New Roman;sans-serif"/>
          <w:b w:val="false"/>
          <w:color w:val="000000"/>
          <w:sz w:val="20"/>
          <w:shd w:fill="FFFFFF" w:val="clear"/>
        </w:rPr>
        <w:t>e Note 12 f</w:t>
      </w:r>
      <w:r>
        <w:rPr>
          <w:rFonts w:ascii="Times New Roman;sans-serif" w:hAnsi="Times New Roman;sans-serif"/>
          <w:b w:val="false"/>
          <w:color w:val="000000"/>
          <w:sz w:val="20"/>
        </w:rPr>
        <w:t>or further details.</w:t>
      </w:r>
    </w:p>
    <w:p>
      <w:pPr>
        <w:pStyle w:val="TextBody"/>
        <w:bidi w:val="0"/>
        <w:spacing w:before="0" w:after="2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ITEM 2. Management’s Discussion and Analysis of Financial Condition and Results of Operations</w:t>
      </w:r>
      <w:r>
        <w:rPr>
          <w:color w:val="000000"/>
        </w:rPr>
        <w:t xml:space="preserve"> </w:t>
      </w:r>
      <w:r>
        <w:rPr>
          <w:rFonts w:ascii="Times New Roman;sans-serif" w:hAnsi="Times New Roman;sans-serif"/>
          <w:b/>
          <w:color w:val="000000"/>
          <w:sz w:val="20"/>
        </w:rPr>
        <w:t>(in millions, except share data)</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statements in this document and any documents incorporated by reference, including any statements as to operational and financial projections, constitute “forward-looking statements” within the meaning of Section 21E of the Securities Exchange Act of 1934, as amended (the “Exchange Act”). These statements relate to future events or our future financial performance and involve known and unknown risks, uncertainties and other factors that may cause our businesses’ or our industries’ actual results, levels of activity, performance or achievements to be materially different from those expressed or implied by any forward-looking statements. Such statements may address our plans, our strategies, our prospects, changes and trends in our business and the markets in which we operate under the heading “Management’s Discussion and Analysis of Financial Condition and Results of Operations” (“MD&amp;A”) or in other sections of this document. In some cases, you can identify forward-looking statements by terminology such as “may,” “could,” “would,” “should,” “expect,” “plan,” “anticipate,” “intend,” “believe,” “estimate,” “predict,” “project,” “potential” or “continue” or the negative of those terms or other comparable terminology. Risks and uncertainties that could cause actual results to differ from those contained in the forward-looking statements, include the following: cyclical changes and specific industry events in the Company’s markets; changes in anticipated capital investment and maintenance expenditures by customers; availability, limitations or cost increases of raw materials and/or commodities that cannot be recovered in product pricing; the impact of competition on profit margins and the Company’s ability to maintain or increase market share; inadequate performance by third-party suppliers and subcontractors for outsourced products, components and services and other supply-chain risks; the uncertainty of claims resolution with respect to the large power projects in South Africa, as well as claims with respect to, environmental and other contingent liabilities; the impact of climate change and any legal or regulatory actions taken in response there to; cyber-security risks; risks with respect to the protection of intellectual property, including with respect to the Company’s digitalization initiatives; the impact of overruns, inflation and the incurrence of delays with respect to long-term fixed-price contracts; defects or errors in current or planned products; the impact of pandemics and governmental and other actions taken in response; domestic economic, political, legal, accounting and business developments adversely affecting the Company’s business, including regulatory changes; changes in worldwide economic conditions; uncertainties with respect to the Company’s ability to identify acceptable acquisition targets; uncertainties surrounding timing and successful completion of any announced acquisition or disposition transactions, including with respect to integrating acquisitions and achieving cost savings or other benefits from acquisitions; the impact of retained liabilities of disposed businesses; potential labor disputes; and extreme weather conditions and natural and other disasters. These statements are only predictions and actual events or results may differ materially. Accordingly, forward-looking statements should not be relied upon as a prediction of actual results. In addition, management’s estimates of future operating results are based on our current complement of businesses, which is subject to change as management selects strategic markets.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the forward-looking statements are qualified in their entirety by reference to the factors discussed under the heading “Risk Factors” in our 2022 Annual Report on Form 10-K, in any subsequent filing with the U.S. Securities and Exchange Commission, as well as in any documents incorporated by reference that describe risks, uncertainties and other factors that could cause results to differ materially from those projected in these forward-looking statements. We caution you that these risk factors may not be exhaustive. We operate in a continually changing business environment and frequently enter into new businesses and product lines. We cannot predict these new risk factors, and we cannot assess the impact, if any, of these new risk factors on our businesses or the extent to which any factor, or combination of factors, may cause actual results to differ materially from those projected in any forward-looking statements. Accordingly, you should not rely on forward-looking statements as a prediction of actual results. We disclaim any responsibility to update or publicly revise any forward-looking statements to reflect events or circumstances that arise after the date of this document.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SUPPLY CHAIN DISRUPTIONS, LABOR SHORTAGES, AND COST INCREASES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impact of the COVID-19 pandemic on our operating results for the first half of 2023 was minimal. However, during January 2022, there was an increase in pandemic cases at certain of our manufacturing facilities, which resulted in a high-level of absenteeism at such facilities during the month. In addition, certain of our businesses experienced supply chain disruptions, as well as labor shortages, while all of our businesses experienced increases in raw material, component, and transportation costs. The combination of these matters negatively impacted our operating results during the first quarter of 2022, as we experienced lower absorption of manufacturing costs and, in some cases, the negative impact of cost increases on fixed-price customer contracts. During the first half of 2023, we experienced more stable labor and supply chain environments and continue to actively manage these matters.</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POTENTIAL IMPACTS OF RUSSIA/UKRAINE CONFLICT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Russia/Ukraine conflict, and governmental actions implemented in response to the conflict, did not have a significant adverse impact on our operating results during the three and six months ended July 1, 2023 and July 2, 2022. We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monitoring the availability of certain raw materials that are supplied by businesses in these countries. However, at this time, we do not expect the potential impact to be material to our operating results. The Russia/Ukraine conflict has created additional demand for certain products within our communication technologies business. Any longer-term impact of these global events on our business is currently unknown due to the uncertainty around their duration and broader impact.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OTHER SIGNIFICANT MATTERS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Acquisitions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International Tower Lighting, LLC (“ITL”)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Acquired on March 31, 2022 for cash consideration of $40.4, net of (i) cash acquired of $1.1 and (ii) an adjustment to the purchase price received during the third quarter of 2022 related to acquired working capital of $1.4.</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Post-acquisition operating results of ITL are included within our Detection and Measurement reportable segment.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 A. Morrison &amp; Co. Inc. (“TAMCO”)</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rPr>
        <w:t xml:space="preserve">Acquired on April 3, 2023 for cash consideration of </w:t>
      </w:r>
      <w:r>
        <w:rPr>
          <w:rFonts w:ascii="Times New Roman;sans-serif" w:hAnsi="Times New Roman;sans-serif"/>
          <w:b w:val="false"/>
          <w:color w:val="000000"/>
          <w:sz w:val="20"/>
          <w:shd w:fill="FFFFFF" w:val="clear"/>
        </w:rPr>
        <w:t xml:space="preserve">$125.3, net of cash acquired of </w:t>
      </w:r>
      <w:r>
        <w:rPr>
          <w:rFonts w:ascii="Times New Roman;sans-serif" w:hAnsi="Times New Roman;sans-serif"/>
          <w:b w:val="false"/>
          <w:color w:val="000000"/>
          <w:sz w:val="20"/>
        </w:rPr>
        <w:t>$1.0.</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rPr>
        <w:t>The purchase price is subject to adjustment based upon the final calculation of working capital and cash as of the date of acquisition.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Post-acquisition operating results of TAMCO are included within our HVAC reportable segment.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ASPEQ Heating Group (“ASPEQ”)</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rPr>
        <w:t>Acquired on June 2, 2023 for cash consideration of $421.8, net of cash acquired of $0.9.</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rPr>
        <w:t>The purchase price is subject to adjustment based upon the final calculation of working capital and cash as of the date of acquisition.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Post-acquisition operating results of ASPEQ are included within our HVAC reportable segment.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Incremental Term Loan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On April 21, 2023, we amended and restated our senior credit agreement (the “Credit Agreement”).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amendment provided for an additional senior secured term loan in the aggregate amount of $300.0, which was borrowed during the second quarter of 2023.</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funds from the additional term loan (“Incremental Term Loan”) were used to partially fund the acquisition of ASPEQ.</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See Note 12 to our condensed consolidated financial statements for additional details.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Disposition of SPX Transformer Solutions, Inc. (“Transformer Solutions”)</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On October 1, 2021, we completed the sale of Transformer Solutions, which is included in discontinued operations for all periods presented.</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During the first quarter of 2022, we paid $13.9 to the buyer of Transformer Solutions related primarily to the settlement of the final working capital balances of the business.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Asbestos-Related Matters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shd w:fill="FFFFFF" w:val="clear"/>
        </w:rPr>
        <w:t xml:space="preserve">On November 1, 2022, we completed the divestiture of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wholly-owned subsidiaries that hold asbestos liabilities and certain assets, including related insurance assets (the “Asbestos Portfolio Sale”). As a result of this transaction, the Company divested all obligations with respect to pending and future asbestos claims relating to these subsidiaries.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shd w:fill="FFFFFF" w:val="clear"/>
        </w:rPr>
        <w:t>During the six months ended July 2, 2022, our payments for asbestos-related claims, net of respective insurance recoveries of $17.0, were $11.2.</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shd w:fill="FFFFFF" w:val="clear"/>
        </w:rPr>
        <w:t>During the three and six months ended July 2, 2022, we recorded charges of $2.3 to continuing operations and $0.2 to discontinued operations related to revisions of recorded liabilities for asbestos-related claims.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shd w:fill="FFFFFF" w:val="clear"/>
        </w:rPr>
        <w:t>See Notes 1 and 15 to our condensed consolidated financial statements for additional details.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Transfer of Postretirement Life Insurance Benefit Obligation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On February 17, 2022, we transferred our obligation for life insurance benefits under our postretirement benefit plans to an insurance carrier for total cash consideration of $10.0.</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paid $9.0 at the time of the transfer and an additional $1.0 during the second quarter of 2022.</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 connection with the transfer, we recorded a net charge of $0.3 within our first quarter 2022 results.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See Note 11 to our condensed consolidated financial statements for additional details.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Settlement and Actuarial Losses — U.S. Pension Plan (“U.S. Plan”)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 connection with the sale of Transformer Solutions, a significant number of participants of the U.S. Plan who were employees of Transformer Solutions elected to receive lump-sum payments from the U.S. Plan.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extent of these lump-sum payments, combined with other lump-sum payments during the first half of 2022, required us to record settlement and actuarial losses, totaling $3.8, associated with the U.S. Plan during the second quarter of 2022.</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See Note 11 to our condensed consolidated financial statements for additional details.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Repurchases of Common Stock — During the second quarter of 2022, we repurchased approximately 0.7 shares of our common stock for $33.7.</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Estimated Fair Value of an Equity Security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recorded gains of $3.6 and $4.4 during the six months ended July 1, 2023 and July 2, 2022, respectively.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See Note 17 to our condensed consolidated financial statements for additional details.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OVERVIEW OF OPERATING RESULTS</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Revenues for the three and six months ended July 1, 2023 totaled $423.3 and $823.1, respectively, compared to $354.0 and $661.1 during the respective periods in 2022. The increase in revenues during the three and six months ended July 1, 2023, compared to the respective prior-year periods, was due primarily to the impact of organic revenue growth within the HVAC and Detection and Measurement reportable segments and, to a lesser extent, the impact of the TAMCO and ASPEQ acquisitions. The organic revenue growth within the HVAC reportable segment was due primarily to increased sales of cooling products associated with both price and volume increases. Organic revenue growth within the Detection and Measurement reportable segment was due primarily to the execution of large projects within the communication technologies, transportation and aids to navigation businesses.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July 1, 2023, we generated operating income of $51.3 and $101.1, respectively, compared to $27.2 and $38.6 for the respective periods in 2022. The increase in operating income during the three and six months ended July 1, 2023, compared to the respective periods in 2022, was due primarily to higher income for both our HVAC and Detection and Measurement reportable segments, partially offset by increased intangible asset amortization primarily resulting from the acquisitions of TAMCO and ASPEQ. The increase in income for our HVAC reportable segment was primarily due to the organic revenue growth mentioned above and greater absorption of manufacturing costs resulting from higher volumes and more stable labor and supply chain environments, as well as the income associated with the TAMCO and ASPEQ acquisitions. The increase in income for our Detection and Measurement reportable segment was due primarily to the organic revenue growth mentioned above.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 associated with continuing operations totaled $74.6 for the six months ended July 1, 2023, compared to cash flows used in operating activities of $83.5 during the six months ended July 2, 2022. The increase in cash flows from operating activities was due primarily to (i) the increase in income during the period discussed above, (ii) income tax payments of $17.1 during the first half of 2023 compared to income tax payments of $48.8 during the first half of 2022, with a significant portion of the 2022 payments related to the gain on sale of Transformer Solutions, (iii) net payments for asbestos-related matters made prior to the Asbestos Portfolio Sale, of $11.2, (iv) cash payments of $10.0 during the first half of 2022 in connection with the transfer of our postretirement life insurance benefit obligation to an insurance carrier (see Note 11 to our condensed consolidated financial statements for additional details), (v) working capital improvements at certain of our project-related businesses, as cash flows for these businesses are often subject to contract milestones that can impact the timing of cash flows from period to period, and (vi) a reduction in the level of elevated purchases of raw materials and components, primarily within our HVAC reportable segment, during the first half of 2023, due to a more stable supply chain environment.</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RESULTS OF CONTINUING OPERATIONS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information included in this Quarterly Report on Form 10-Q should be read in conjunction with the consolidated financial statements contained in our 2022 Annual Report on Form 10-K. Interim results are not necessarily indicative of results for the full year. We establish actual interim closing dates using a fiscal calendar, which requires our businesses to close their books on the Saturday closest to the end of the first calendar quarter, with the first, second, and third quarters being 91 days in length. Our fourth quarter ends on December 31. The interim closing dates for the first, second and third quarters of 2023 are April 1, July 1, and September 30, compared to the respective April 2, July 2, and October 1, 2022 dates. We had one less day in the first quarter of 2023 and will have one more day in the fourth quarter of 2023 than in the respective 2022 periods. It is not practicable to estimate the impact of the one less day on our consolidated operating results for the six months ended July 1, 2023, when compared to the consolidated operating results for the 2022 respective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rPr>
        <w:t xml:space="preserve">Cyclicality of End Markets, Seasonality and Competition </w:t>
      </w:r>
      <w:r>
        <w:rPr>
          <w:color w:val="000000"/>
        </w:rPr>
        <w:t xml:space="preserve">— </w:t>
      </w:r>
      <w:r>
        <w:rPr>
          <w:rFonts w:ascii="Times New Roman;sans-serif" w:hAnsi="Times New Roman;sans-serif"/>
          <w:b w:val="false"/>
          <w:color w:val="000000"/>
          <w:sz w:val="20"/>
        </w:rPr>
        <w:t>The financial results of our businesses closely follow changes in the industries in which they operate and end markets in which they serve. In addition, certain of our businesses have seasonal fluctuations. For example, our heating businesses tend to be stronger in the third and fourth quarters, as customer buying habits are driven largely by seasonal weather patterns. In aggregate, our businesses tend to be stronger in the second half of the year.</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Although our businesses operate in highly competitive markets, our competitive position cannot be determined accurately in the aggregate or by segment since none of our competitors offer all the same product lines or serve all the same markets as we do. In addition, specific reliable comparative figures are not available for many of our competitors. In most product groups, competition comes from numerous concerns, both large and small. The principal methods of competition are service, product performance, technical innovation and price. These methods vary with the type of product sold. We believe we compete effectively on the basis of each of these factors.</w:t>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rPr>
        <w:t>Non-GAAP Measures</w:t>
      </w:r>
      <w:r>
        <w:rPr>
          <w:color w:val="000000"/>
        </w:rPr>
        <w:t xml:space="preserve"> — </w:t>
      </w:r>
      <w:r>
        <w:rPr>
          <w:rFonts w:ascii="Times New Roman;sans-serif" w:hAnsi="Times New Roman;sans-serif"/>
          <w:b w:val="false"/>
          <w:color w:val="000000"/>
          <w:sz w:val="20"/>
        </w:rPr>
        <w:t>Organic revenue growth (decline) presented herein is defined as revenue growth (decline) excluding the effects of foreign currency fluctuations and acquisitions/divestitures. We believe this metric is a useful financial measure for investors in evaluating our operating performance for the periods presented as, when considered in conjunction with our revenues, it presents a useful tool to evaluate our ongoing operations and provides investors with a tool they can use to evaluate our management of assets held from period to period. In addition, organic revenue growth (decline) is one of the factors we use in internal evaluations of the overall performance of our business. This metric, however, is not a measure of financial performance under accounting principles generally accepted in the United States (“GAAP”), should not be considered a substitute for net revenue growth (decline) as determined in accordance with GAAP, and may not be comparable to similarly titled measures reported by other companies.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selected financial information for the three and six months ended July 1, 2023 and July 2, 2022, including the reconciliation of organic revenue increase to the net revenue increase:</w:t>
      </w:r>
    </w:p>
    <w:tbl>
      <w:tblPr>
        <w:tblW w:w="10205" w:type="dxa"/>
        <w:jc w:val="left"/>
        <w:tblInd w:w="0" w:type="dxa"/>
        <w:tblLayout w:type="fixed"/>
        <w:tblCellMar>
          <w:top w:w="28" w:type="dxa"/>
          <w:left w:w="28" w:type="dxa"/>
          <w:bottom w:w="28" w:type="dxa"/>
          <w:right w:w="28" w:type="dxa"/>
        </w:tblCellMar>
      </w:tblPr>
      <w:tblGrid>
        <w:gridCol w:w="984"/>
        <w:gridCol w:w="865"/>
        <w:gridCol w:w="853"/>
        <w:gridCol w:w="196"/>
        <w:gridCol w:w="556"/>
        <w:gridCol w:w="256"/>
        <w:gridCol w:w="109"/>
        <w:gridCol w:w="109"/>
        <w:gridCol w:w="109"/>
        <w:gridCol w:w="196"/>
        <w:gridCol w:w="556"/>
        <w:gridCol w:w="256"/>
        <w:gridCol w:w="109"/>
        <w:gridCol w:w="109"/>
        <w:gridCol w:w="109"/>
        <w:gridCol w:w="303"/>
        <w:gridCol w:w="303"/>
        <w:gridCol w:w="291"/>
        <w:gridCol w:w="109"/>
        <w:gridCol w:w="109"/>
        <w:gridCol w:w="109"/>
        <w:gridCol w:w="196"/>
        <w:gridCol w:w="556"/>
        <w:gridCol w:w="256"/>
        <w:gridCol w:w="109"/>
        <w:gridCol w:w="109"/>
        <w:gridCol w:w="109"/>
        <w:gridCol w:w="196"/>
        <w:gridCol w:w="556"/>
        <w:gridCol w:w="256"/>
        <w:gridCol w:w="109"/>
        <w:gridCol w:w="109"/>
        <w:gridCol w:w="109"/>
        <w:gridCol w:w="278"/>
        <w:gridCol w:w="278"/>
        <w:gridCol w:w="383"/>
      </w:tblGrid>
      <w:tr>
        <w:trPr/>
        <w:tc>
          <w:tcPr>
            <w:tcW w:w="98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270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charges,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02"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2702"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2702"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 before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172.9 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Components of revenue increase:</w:t>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Organic</w:t>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w:t>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increase</w:t>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Not meaningful for comparison purposes.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u w:val="single"/>
          <w:shd w:fill="FFFFFF" w:val="clear"/>
        </w:rPr>
        <w:t>Revenues</w:t>
      </w:r>
      <w:r>
        <w:rPr>
          <w:color w:val="000000"/>
          <w:shd w:fill="FFFFFF" w:val="clear"/>
        </w:rPr>
        <w:t xml:space="preserve"> — </w:t>
      </w:r>
      <w:r>
        <w:rPr>
          <w:rFonts w:ascii="Times New Roman;sans-serif" w:hAnsi="Times New Roman;sans-serif"/>
          <w:b w:val="false"/>
          <w:color w:val="000000"/>
          <w:sz w:val="20"/>
        </w:rPr>
        <w:t>For the three and six months ended July 1, 2023, the increase in revenues, compared to the respective periods in 2022, was due to the impact of organic revenue growth within the HVAC and Detection and Measurement reportable segments and, to a lesser extent, the impact of the TAMCO and ASPEQ acquisitions. The organic revenue growth within the HVAC reportable segment was due primarily to increased sales of cooling products associated with both price and volume increases. Organic revenue growth within the Detection and Measurement reportable segment was due primarily to higher volumes from large projects within the communication technologies, transportation and aids to navigation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“Results of Reportable Segments” for additional details.</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pPr>
      <w:r>
        <w:rPr>
          <w:rFonts w:ascii="Times New Roman;sans-serif" w:hAnsi="Times New Roman;sans-serif"/>
          <w:b w:val="false"/>
          <w:i/>
          <w:color w:val="000000"/>
          <w:sz w:val="20"/>
          <w:u w:val="single"/>
          <w:shd w:fill="FFFFFF" w:val="clear"/>
        </w:rPr>
        <w:t>Gross Profit</w:t>
      </w:r>
      <w:r>
        <w:rPr>
          <w:color w:val="000000"/>
          <w:shd w:fill="FFFFFF" w:val="clear"/>
        </w:rPr>
        <w:t xml:space="preserve"> — </w:t>
      </w:r>
      <w:r>
        <w:rPr>
          <w:rFonts w:ascii="Times New Roman;sans-serif" w:hAnsi="Times New Roman;sans-serif"/>
          <w:b w:val="false"/>
          <w:color w:val="000000"/>
          <w:sz w:val="20"/>
        </w:rPr>
        <w:t>For the three and six months ended July 1, 2023, the increase in gross profit and gross profit as a percentage of revenues, compared to the respective periods in 2022, was due primarily to the increase in revenues noted above and greater absorption of manufacturing costs as a result of higher volumes. The higher volumes were aided by improved operational execution resulting from investments in plant automation and more stable labor and supply chain environments, particularly within our HVAC reportable segment. This impact on gross profit as a percentage of revenue was partially offset by less favorable sales mix within our Detection and Measurement reportable segment.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shd w:fill="FFFFFF" w:val="clear"/>
        </w:rPr>
        <w:t>S</w:t>
      </w:r>
      <w:r>
        <w:rPr>
          <w:rFonts w:ascii="Times New Roman;sans-serif" w:hAnsi="Times New Roman;sans-serif"/>
          <w:b w:val="false"/>
          <w:i/>
          <w:color w:val="000000"/>
          <w:sz w:val="20"/>
          <w:u w:val="single"/>
        </w:rPr>
        <w:t>elling, General and Administrative (“SG&amp;A”) Expense</w:t>
      </w:r>
      <w:r>
        <w:rPr>
          <w:color w:val="000000"/>
        </w:rPr>
        <w:t xml:space="preserve"> — </w:t>
      </w:r>
      <w:r>
        <w:rPr>
          <w:rFonts w:ascii="Times New Roman;sans-serif" w:hAnsi="Times New Roman;sans-serif"/>
          <w:b w:val="false"/>
          <w:color w:val="000000"/>
          <w:sz w:val="20"/>
        </w:rPr>
        <w:t xml:space="preserve">For the three and six months ended July 1, 2023, the increase in </w:t>
      </w:r>
      <w:r>
        <w:rPr>
          <w:rFonts w:ascii="Times New Roman;sans-serif" w:hAnsi="Times New Roman;sans-serif"/>
          <w:b w:val="false"/>
          <w:color w:val="000000"/>
          <w:sz w:val="20"/>
          <w:shd w:fill="FFFFFF" w:val="clear"/>
        </w:rPr>
        <w:t xml:space="preserve">SG&amp;A expense, compared to the respective periods in </w:t>
      </w:r>
      <w:r>
        <w:rPr>
          <w:rFonts w:ascii="Times New Roman;sans-serif" w:hAnsi="Times New Roman;sans-serif"/>
          <w:b w:val="false"/>
          <w:color w:val="000000"/>
          <w:sz w:val="20"/>
        </w:rPr>
        <w:t>2022</w:t>
      </w:r>
      <w:r>
        <w:rPr>
          <w:rFonts w:ascii="Times New Roman;sans-serif" w:hAnsi="Times New Roman;sans-serif"/>
          <w:b w:val="false"/>
          <w:color w:val="000000"/>
          <w:sz w:val="20"/>
          <w:shd w:fill="FFFFFF" w:val="clear"/>
        </w:rPr>
        <w:t xml:space="preserve">, was </w:t>
      </w:r>
      <w:r>
        <w:rPr>
          <w:rFonts w:ascii="Times New Roman;sans-serif" w:hAnsi="Times New Roman;sans-serif"/>
          <w:b w:val="false"/>
          <w:color w:val="000000"/>
          <w:sz w:val="20"/>
        </w:rPr>
        <w:t>due primarily to (i) increases in sales incentive plan expense driven by the higher revenues mentioned above, (ii) higher employee compensation, inclusive of increases in short-term incentive compensation expense, (iii) acquisition-related costs and SG&amp;A expenses associated with the TAMCO and ASPEQ acquisitions, and (iv) higher travel expense. These increases were partially offset during the three and six months ended July 1, 2023, compared to the respective periods in 2022, by (i) lower costs related to various strategic and transformational initiatives during 2023 and (ii) expenses in connection with asbestos-related matters incurred during 2022 prior to the Asbestos Portfolio Sale.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rPr>
        <w:t>Intangible Amortiz</w:t>
      </w:r>
      <w:r>
        <w:rPr>
          <w:rFonts w:ascii="Times New Roman;sans-serif" w:hAnsi="Times New Roman;sans-serif"/>
          <w:b w:val="false"/>
          <w:i/>
          <w:color w:val="000000"/>
          <w:sz w:val="20"/>
          <w:u w:val="single"/>
          <w:shd w:fill="FFFFFF" w:val="clear"/>
        </w:rPr>
        <w:t>ation</w:t>
      </w:r>
      <w:r>
        <w:rPr>
          <w:color w:val="000000"/>
          <w:shd w:fill="FFFFFF" w:val="clear"/>
        </w:rPr>
        <w:t xml:space="preserve"> — </w:t>
      </w:r>
      <w:r>
        <w:rPr>
          <w:rFonts w:ascii="Times New Roman;sans-serif" w:hAnsi="Times New Roman;sans-serif"/>
          <w:b w:val="false"/>
          <w:color w:val="000000"/>
          <w:sz w:val="20"/>
          <w:shd w:fill="FFFFFF" w:val="clear"/>
        </w:rPr>
        <w:t>For the three an</w:t>
      </w:r>
      <w:r>
        <w:rPr>
          <w:rFonts w:ascii="Times New Roman;sans-serif" w:hAnsi="Times New Roman;sans-serif"/>
          <w:b w:val="false"/>
          <w:color w:val="000000"/>
          <w:sz w:val="20"/>
        </w:rPr>
        <w:t>d six months ended July 1, 2023, the increase in intangible amortization, compared to the respective periods in 2022, was primarily due to incremental intangible amortization related to backlog and other intangible assets associated with the TAMCO and ASPEQ acquisitions. In addition, the six months ended July 1, 2023 included six months of intangible amortization related to the ITL acquisition when compared to three months in the 2022 period.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rPr>
        <w:t>Special Charges, net</w:t>
      </w:r>
      <w:r>
        <w:rPr>
          <w:color w:val="000000"/>
        </w:rPr>
        <w:t xml:space="preserve"> — </w:t>
      </w:r>
      <w:r>
        <w:rPr>
          <w:rFonts w:ascii="Times New Roman;sans-serif" w:hAnsi="Times New Roman;sans-serif"/>
          <w:b w:val="false"/>
          <w:color w:val="000000"/>
          <w:sz w:val="20"/>
        </w:rPr>
        <w:t>Special charges, net, for the three and six months ended July 2, 2022 related primarily to severance costs associated with a restructuring action at one of our HVAC reportable segment’s cooling businesses. See Note 7 to our condensed consolidated financial statements for the details of actions taken in the first six months of 2022.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u w:val="single"/>
        </w:rPr>
        <w:t>Other Operating Expense, net</w:t>
      </w:r>
      <w:r>
        <w:rPr>
          <w:color w:val="000000"/>
        </w:rPr>
        <w:t xml:space="preserve"> — </w:t>
      </w:r>
      <w:r>
        <w:rPr>
          <w:rFonts w:ascii="Times New Roman;sans-serif" w:hAnsi="Times New Roman;sans-serif"/>
          <w:b w:val="false"/>
          <w:color w:val="000000"/>
          <w:sz w:val="20"/>
        </w:rPr>
        <w:t xml:space="preserve">Other operating expense, net for the three and six months ended July 2, 2022 related to asbestos-related charges of $2.3, partially offset by a reduction in the fair value/liability associated with the contingent consideration related to the Enterprise Control Systems Ltd acquisition ($0.4 and $1.3 during the three and six months ended July 2, 2022, respectively). </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pPr>
      <w:r>
        <w:rPr>
          <w:rFonts w:ascii="Times New Roman;sans-serif" w:hAnsi="Times New Roman;sans-serif"/>
          <w:b w:val="false"/>
          <w:i/>
          <w:color w:val="000000"/>
          <w:sz w:val="20"/>
          <w:u w:val="single"/>
        </w:rPr>
        <w:t>Other Income (Expense), net</w:t>
      </w:r>
      <w:r>
        <w:rPr>
          <w:color w:val="000000"/>
        </w:rPr>
        <w:t xml:space="preserve"> — </w:t>
      </w:r>
      <w:r>
        <w:rPr>
          <w:rFonts w:ascii="Times New Roman;sans-serif" w:hAnsi="Times New Roman;sans-serif"/>
          <w:b w:val="false"/>
          <w:color w:val="000000"/>
          <w:sz w:val="20"/>
          <w:shd w:fill="FFFFFF" w:val="clear"/>
        </w:rPr>
        <w:t xml:space="preserve">Other income, net, for the three months ended </w:t>
      </w:r>
      <w:r>
        <w:rPr>
          <w:rFonts w:ascii="Times New Roman;sans-serif" w:hAnsi="Times New Roman;sans-serif"/>
          <w:b w:val="false"/>
          <w:color w:val="000000"/>
          <w:sz w:val="20"/>
        </w:rPr>
        <w:t>July 1, 2023</w:t>
      </w:r>
      <w:r>
        <w:rPr>
          <w:color w:val="000000"/>
          <w:shd w:fill="FFFFFF" w:val="clear"/>
        </w:rPr>
        <w:t xml:space="preserve"> </w:t>
      </w:r>
      <w:r>
        <w:rPr>
          <w:rFonts w:ascii="Times New Roman;sans-serif" w:hAnsi="Times New Roman;sans-serif"/>
          <w:b w:val="false"/>
          <w:color w:val="000000"/>
          <w:sz w:val="20"/>
          <w:shd w:fill="FFFFFF" w:val="clear"/>
        </w:rPr>
        <w:t>was composed primarily of a gain of $0.4 related to income derived from company-owned life insurance policies, offset by pension and postretirement expense of $0.2, foreign currency transaction losses of $0.1, and environmental remediation charges of $0.1.</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net, for the three months ended July 2, 2022 was comprised primarily of pension and postretirement expense of $2.7 (inclusive of settlement and actuarial losses of $2.3 and $1.5, respectively), partially offset by income of $0.9 associated with a transition services agreement.</w:t>
      </w:r>
    </w:p>
    <w:p>
      <w:pPr>
        <w:pStyle w:val="TextBody"/>
        <w:bidi w:val="0"/>
        <w:spacing w:before="0" w:after="0"/>
        <w:ind w:left="0" w:right="0" w:firstLine="720"/>
        <w:jc w:val="both"/>
        <w:rPr/>
      </w:pPr>
      <w:r>
        <w:rPr/>
      </w:r>
    </w:p>
    <w:p>
      <w:pPr>
        <w:pStyle w:val="TextBody"/>
        <w:bidi w:val="0"/>
        <w:spacing w:lineRule="auto" w:line="276" w:before="0" w:after="0"/>
        <w:ind w:left="0" w:right="0" w:firstLine="720"/>
        <w:jc w:val="left"/>
        <w:rPr/>
      </w:pPr>
      <w:r>
        <w:rPr>
          <w:rFonts w:ascii="Times New Roman;sans-serif" w:hAnsi="Times New Roman;sans-serif"/>
          <w:b w:val="false"/>
          <w:color w:val="000000"/>
          <w:sz w:val="20"/>
          <w:shd w:fill="FFFFFF" w:val="clear"/>
        </w:rPr>
        <w:t xml:space="preserve">Other income, net, for the six months ended </w:t>
      </w:r>
      <w:r>
        <w:rPr>
          <w:rFonts w:ascii="Times New Roman;sans-serif" w:hAnsi="Times New Roman;sans-serif"/>
          <w:b w:val="false"/>
          <w:color w:val="000000"/>
          <w:sz w:val="20"/>
        </w:rPr>
        <w:t>July 1, 2023</w:t>
      </w:r>
      <w:r>
        <w:rPr>
          <w:color w:val="000000"/>
          <w:shd w:fill="FFFFFF" w:val="clear"/>
        </w:rPr>
        <w:t xml:space="preserve"> </w:t>
      </w:r>
      <w:r>
        <w:rPr>
          <w:rFonts w:ascii="Times New Roman;sans-serif" w:hAnsi="Times New Roman;sans-serif"/>
          <w:b w:val="false"/>
          <w:color w:val="000000"/>
          <w:sz w:val="20"/>
          <w:shd w:fill="FFFFFF" w:val="clear"/>
        </w:rPr>
        <w:t>was composed primarily of a gain of $3.6 related to a change in the estimated fair value of an equity security that we hold and a gain of $0.4 related to income derived from company-owned life insurance policies, partially offset by foreign currency transaction losses of $0.7, pension and postretirement expense of $0.4, and environmental remediation charges of $0.2.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for the six months ended July 2, 2022 was composed primarily of a gain of $4.4 related to a change in the estimated fair value of an equity security that we hold, income associated with a transition services agreement of $1.8, and income derived from company-owned life insurance policies of $0.7, partially offset by pension and postretirement expense (inclusive of the losses mentioned above) of $1.9.</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u w:val="single"/>
          <w:shd w:fill="FFFFFF" w:val="clear"/>
        </w:rPr>
        <w:t>Interest Expense, net</w:t>
      </w:r>
      <w:r>
        <w:rPr>
          <w:color w:val="000000"/>
          <w:shd w:fill="FFFFFF" w:val="clear"/>
        </w:rPr>
        <w:t xml:space="preserve"> — </w:t>
      </w:r>
      <w:r>
        <w:rPr>
          <w:rFonts w:ascii="Times New Roman;sans-serif" w:hAnsi="Times New Roman;sans-serif"/>
          <w:b w:val="false"/>
          <w:color w:val="000000"/>
          <w:sz w:val="20"/>
          <w:shd w:fill="FFFFFF" w:val="clear"/>
        </w:rPr>
        <w:t>Interest expense, net, includes both interest e</w:t>
      </w:r>
      <w:r>
        <w:rPr>
          <w:rFonts w:ascii="Times New Roman;sans-serif" w:hAnsi="Times New Roman;sans-serif"/>
          <w:b w:val="false"/>
          <w:color w:val="000000"/>
          <w:sz w:val="20"/>
        </w:rPr>
        <w:t>xpense and interest income. The increase in interest expense, net, during the three and six months ended July 1, 2023, compared to the respective periods in 2022, was the result of a higher average effective interest rate and higher average debt balances during the 2023 periods, primarily resulting from borrowings in connection with the TAMCO and ASPEQ acquisitions.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u w:val="single"/>
        </w:rPr>
        <w:t>Income Tax Provision</w:t>
      </w:r>
      <w:r>
        <w:rPr>
          <w:color w:val="000000"/>
        </w:rPr>
        <w:t xml:space="preserve"> — </w:t>
      </w:r>
      <w:r>
        <w:rPr>
          <w:rFonts w:ascii="Times New Roman;sans-serif" w:hAnsi="Times New Roman;sans-serif"/>
          <w:b w:val="false"/>
          <w:color w:val="000000"/>
          <w:sz w:val="20"/>
        </w:rPr>
        <w:t>For the three months ended July 1, 2023, we recorded an income tax provision of $7.8 on $46.1 of pre-tax income from continuing operations, resulting in an effective rate of 16.9%. This compares to an income tax provision for the three months ended July 2, 2022 of $4.4 on $23.5 of pre-tax income from continuing operations, resulting in an effective rate of 18.7%. The most significant items impacting the income tax provision for the second quarters of 2023 and 2022 were (i) $1.2 and $0.7 of tax benefits, respectively, related to revisions to liabilities for uncertain tax positions and (ii) $0.5 and $0.0, respectively, of excess tax benefits associated with stock-based compensation awards that vested and/or were exercised during the period. In addition, the rate for the three months ended July 1, 2023 was favorably impacted by a tax benefit of $1.8 related to the release of valuation allowances recognized against certain deferred tax assets, as we now expect these deferred tax assets to be realized.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July 1, 2023, we recorded an income tax provision of $19.1 on $96.5 of pre-tax income from continuing operations, resulting in effective rate of 19.8%. This compares to an income tax provision for the six months ended July 2, 2022 of $7.0 on $39.1 of pre-tax income from continuing operations, resulting in an effective rate of 17.9%. The most significant items impacting the income tax provision for the first half of 2023 and 2022 were (i) $1.4 and $0.7, respectively, of excess tax benefits associated with stock-based compensation awards that vested and/or were exercised during the periods and (ii) the $1.2 and $0.7, respectively, of the tax benefits related to revisions to liabilities for uncertain tax positions. In addition, the current year's rate was favorably impacted by a tax benefit of $1.8 related to the release of valuation allowances recognized against certain deferred tax assets, as we now expect these deferred tax assets to be realized.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RESULTS OF REPORTABLE SEGMENTS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 xml:space="preserve">The following information should be read in conjunction with our condensed consolidated financial statements and related notes. These results exclude the operating results of discontinued operations for all periods presented. See </w:t>
      </w:r>
      <w:r>
        <w:rPr>
          <w:rFonts w:ascii="Times New Roman;sans-serif" w:hAnsi="Times New Roman;sans-serif"/>
          <w:b w:val="false"/>
          <w:color w:val="000000"/>
          <w:sz w:val="20"/>
          <w:shd w:fill="FFFFFF" w:val="clear"/>
        </w:rPr>
        <w:t>Note 6</w:t>
      </w:r>
      <w:r>
        <w:rPr>
          <w:color w:val="000000"/>
        </w:rPr>
        <w:t xml:space="preserve"> </w:t>
      </w:r>
      <w:r>
        <w:rPr>
          <w:rFonts w:ascii="Times New Roman;sans-serif" w:hAnsi="Times New Roman;sans-serif"/>
          <w:b w:val="false"/>
          <w:color w:val="000000"/>
          <w:sz w:val="20"/>
        </w:rPr>
        <w:t>to our condensed consolidated financial statements for a description of our reportable segments.</w:t>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u w:val="single"/>
        </w:rPr>
        <w:t>Non-GAAP Measures</w:t>
      </w:r>
      <w:r>
        <w:rPr>
          <w:color w:val="000000"/>
        </w:rPr>
        <w:t xml:space="preserve"> — </w:t>
      </w:r>
      <w:r>
        <w:rPr>
          <w:rFonts w:ascii="Times New Roman;sans-serif" w:hAnsi="Times New Roman;sans-serif"/>
          <w:b w:val="false"/>
          <w:color w:val="000000"/>
          <w:sz w:val="20"/>
        </w:rPr>
        <w:t>Throughout the following discussion of segment results, we use “organic revenue” growth (decline) to facilitate explanation of the operating performance of our segments. Organic revenue growth (decline) is a non-GAAP financial measure and is not a substitute for revenue growth (decline). Refer to the explanation of this measure and purpose of use by management under “Results of Continuing Operations—Non-GAAP Measures.”</w:t>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rPr>
        <w:t>Presentation of Segment Income</w:t>
      </w:r>
      <w:r>
        <w:rPr>
          <w:color w:val="000000"/>
        </w:rPr>
        <w:t xml:space="preserve"> — </w:t>
      </w:r>
      <w:r>
        <w:rPr>
          <w:rFonts w:ascii="Times New Roman;sans-serif" w:hAnsi="Times New Roman;sans-serif"/>
          <w:b w:val="false"/>
          <w:color w:val="000000"/>
          <w:sz w:val="20"/>
        </w:rPr>
        <w:t>During 2022, we concluded that, although the assessment of our reportable segments was performed using the appropriate measures as defined by the Segment Reporting Topic of the Accounting Standards Codification (“Codification”), the disclosure of operating income for each of our reportable segments (“Segment Income”) was not consistent with these measures or the measures used by our Chief Operating Decision Maker (“CODM”) when evaluating the results of, or allocating resources to, our reportable segments. We previously disclosed that Segment Income was determined before considering impairment and special charges, long-term incentive compensation, certain other operating income/expense, and other indirect corporate expenses. Our CODM also excludes the impact of intangible asset amortization, inventory step-up charges, and other acquisition-related costs from Segment Income. Accordingly, these amounts have now been excluded, for all periods presented, from Segment Income and presented separately in our reconciliation of Segment Income to consolidated operating income within this quarterly report on Form 10-Q. Refer to Notes 1 and 6 to our condensed consolidated financial statements for additional details.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HVAC Reportable Segment</w:t>
      </w:r>
    </w:p>
    <w:tbl>
      <w:tblPr>
        <w:tblW w:w="9948" w:type="dxa"/>
        <w:jc w:val="left"/>
        <w:tblInd w:w="0" w:type="dxa"/>
        <w:tblLayout w:type="fixed"/>
        <w:tblCellMar>
          <w:top w:w="28" w:type="dxa"/>
          <w:left w:w="28" w:type="dxa"/>
          <w:bottom w:w="28" w:type="dxa"/>
          <w:right w:w="28" w:type="dxa"/>
        </w:tblCellMar>
      </w:tblPr>
      <w:tblGrid>
        <w:gridCol w:w="897"/>
        <w:gridCol w:w="786"/>
        <w:gridCol w:w="791"/>
        <w:gridCol w:w="196"/>
        <w:gridCol w:w="556"/>
        <w:gridCol w:w="256"/>
        <w:gridCol w:w="109"/>
        <w:gridCol w:w="109"/>
        <w:gridCol w:w="109"/>
        <w:gridCol w:w="196"/>
        <w:gridCol w:w="556"/>
        <w:gridCol w:w="256"/>
        <w:gridCol w:w="109"/>
        <w:gridCol w:w="109"/>
        <w:gridCol w:w="109"/>
        <w:gridCol w:w="290"/>
        <w:gridCol w:w="290"/>
        <w:gridCol w:w="291"/>
        <w:gridCol w:w="109"/>
        <w:gridCol w:w="109"/>
        <w:gridCol w:w="109"/>
        <w:gridCol w:w="196"/>
        <w:gridCol w:w="556"/>
        <w:gridCol w:w="256"/>
        <w:gridCol w:w="109"/>
        <w:gridCol w:w="109"/>
        <w:gridCol w:w="109"/>
        <w:gridCol w:w="196"/>
        <w:gridCol w:w="556"/>
        <w:gridCol w:w="256"/>
        <w:gridCol w:w="109"/>
        <w:gridCol w:w="109"/>
        <w:gridCol w:w="109"/>
        <w:gridCol w:w="278"/>
        <w:gridCol w:w="278"/>
        <w:gridCol w:w="380"/>
      </w:tblGrid>
      <w:tr>
        <w:trPr/>
        <w:tc>
          <w:tcPr>
            <w:tcW w:w="89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Components of revenue increase:</w:t>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Organic </w:t>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w:t>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increase</w:t>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shd w:fill="FFFFFF" w:val="clear"/>
        </w:rPr>
        <w:t>Revenues</w:t>
      </w:r>
      <w:r>
        <w:rPr>
          <w:color w:val="000000"/>
          <w:shd w:fill="FFFFFF" w:val="clear"/>
        </w:rPr>
        <w:t xml:space="preserve"> —</w:t>
      </w:r>
      <w:r>
        <w:rPr>
          <w:color w:val="000000"/>
        </w:rPr>
        <w:t xml:space="preserve"> </w:t>
      </w:r>
      <w:r>
        <w:rPr>
          <w:rFonts w:ascii="Times New Roman;sans-serif" w:hAnsi="Times New Roman;sans-serif"/>
          <w:b w:val="false"/>
          <w:color w:val="000000"/>
          <w:sz w:val="20"/>
        </w:rPr>
        <w:t>For the three and six months ended July 1, 2023, the increase in revenues, compared to the respective periods in 2022, was due primarily to (i) the organic revenue growth driven by increased sales, primarily of cooling products and (ii) the impact of the TAMCO and ASPEQ acquisitions. The increase in organic revenue was associated with price increases implemented across our businesses, as well as volume increases resulting from greater plant throughput and more stable labor and supply chain environments.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shd w:fill="FFFFFF" w:val="clear"/>
        </w:rPr>
        <w:t>Income</w:t>
      </w:r>
      <w:r>
        <w:rPr>
          <w:color w:val="000000"/>
          <w:shd w:fill="FFFFFF" w:val="clear"/>
        </w:rPr>
        <w:t xml:space="preserve"> — </w:t>
      </w:r>
      <w:r>
        <w:rPr>
          <w:rFonts w:ascii="Times New Roman;sans-serif" w:hAnsi="Times New Roman;sans-serif"/>
          <w:b w:val="false"/>
          <w:color w:val="000000"/>
          <w:sz w:val="20"/>
        </w:rPr>
        <w:t>For the three and six months ended July 1, 2023, the increase in income, compared to the respective periods in 2022, was due primarily to the impact of the revenue growth mentioned above. For the three and six months ended July 1, 2023, the increase in margin, compared to the respective periods in 2022, was primarily due to price increases and greater absorption of manufacturing costs as a result of higher volumes. The higher volumes were aided by improved operational execution resulting from investments in plant automation and more stable labor and supply chain environments.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u w:val="single"/>
        </w:rPr>
        <w:t>Backlog</w:t>
      </w:r>
      <w:r>
        <w:rPr>
          <w:color w:val="000000"/>
        </w:rPr>
        <w:t xml:space="preserve"> — </w:t>
      </w:r>
      <w:r>
        <w:rPr>
          <w:rFonts w:ascii="Times New Roman;sans-serif" w:hAnsi="Times New Roman;sans-serif"/>
          <w:b w:val="false"/>
          <w:color w:val="000000"/>
          <w:sz w:val="20"/>
        </w:rPr>
        <w:t>The segment had backlog of $337.2 and $321.6 as of July 1, 2023 and July 2, 2022, respectively. Backlog associated with TAMCO and ASPEQ totaled $31.4 as of July 1, 2023.</w:t>
      </w:r>
    </w:p>
    <w:p>
      <w:pPr>
        <w:pStyle w:val="TextBody"/>
        <w:bidi w:val="0"/>
        <w:spacing w:before="0" w:after="0"/>
        <w:ind w:left="0" w:right="0" w:firstLine="720"/>
        <w:jc w:val="both"/>
        <w:rPr/>
      </w:pPr>
      <w:r>
        <w:rPr/>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Detection and Measurement Reportable Segment</w:t>
      </w:r>
    </w:p>
    <w:tbl>
      <w:tblPr>
        <w:tblW w:w="9928" w:type="dxa"/>
        <w:jc w:val="left"/>
        <w:tblInd w:w="0" w:type="dxa"/>
        <w:tblLayout w:type="fixed"/>
        <w:tblCellMar>
          <w:top w:w="28" w:type="dxa"/>
          <w:left w:w="28" w:type="dxa"/>
          <w:bottom w:w="28" w:type="dxa"/>
          <w:right w:w="28" w:type="dxa"/>
        </w:tblCellMar>
      </w:tblPr>
      <w:tblGrid>
        <w:gridCol w:w="897"/>
        <w:gridCol w:w="786"/>
        <w:gridCol w:w="791"/>
        <w:gridCol w:w="196"/>
        <w:gridCol w:w="556"/>
        <w:gridCol w:w="256"/>
        <w:gridCol w:w="109"/>
        <w:gridCol w:w="109"/>
        <w:gridCol w:w="109"/>
        <w:gridCol w:w="196"/>
        <w:gridCol w:w="556"/>
        <w:gridCol w:w="256"/>
        <w:gridCol w:w="109"/>
        <w:gridCol w:w="109"/>
        <w:gridCol w:w="109"/>
        <w:gridCol w:w="290"/>
        <w:gridCol w:w="290"/>
        <w:gridCol w:w="291"/>
        <w:gridCol w:w="109"/>
        <w:gridCol w:w="109"/>
        <w:gridCol w:w="109"/>
        <w:gridCol w:w="196"/>
        <w:gridCol w:w="556"/>
        <w:gridCol w:w="256"/>
        <w:gridCol w:w="109"/>
        <w:gridCol w:w="109"/>
        <w:gridCol w:w="109"/>
        <w:gridCol w:w="196"/>
        <w:gridCol w:w="556"/>
        <w:gridCol w:w="256"/>
        <w:gridCol w:w="109"/>
        <w:gridCol w:w="109"/>
        <w:gridCol w:w="109"/>
        <w:gridCol w:w="268"/>
        <w:gridCol w:w="268"/>
        <w:gridCol w:w="380"/>
      </w:tblGrid>
      <w:tr>
        <w:trPr/>
        <w:tc>
          <w:tcPr>
            <w:tcW w:w="89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Components of revenue increase:</w:t>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Organic</w:t>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w:t>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increase</w:t>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shd w:fill="FFFFFF" w:val="clear"/>
        </w:rPr>
        <w:t>Revenues</w:t>
      </w:r>
      <w:r>
        <w:rPr>
          <w:color w:val="000000"/>
          <w:shd w:fill="FFFFFF" w:val="clear"/>
        </w:rPr>
        <w:t xml:space="preserve"> —</w:t>
      </w:r>
      <w:r>
        <w:rPr>
          <w:color w:val="000000"/>
        </w:rPr>
        <w:t xml:space="preserve"> </w:t>
      </w:r>
      <w:r>
        <w:rPr>
          <w:rFonts w:ascii="Times New Roman;sans-serif" w:hAnsi="Times New Roman;sans-serif"/>
          <w:b w:val="false"/>
          <w:color w:val="000000"/>
          <w:sz w:val="20"/>
        </w:rPr>
        <w:t>For the three and six months ended July 1, 2023, the increase in revenues, compared to the respective periods in 2022, was due primarily to organic revenue growth and, for the six month period, the impact of the ITL acquisition. The organic revenue growth was driven primarily by higher volumes from large projects within the communication technologies, transportation and aids to navigation businesses.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rPr>
        <w:t>Income</w:t>
      </w:r>
      <w:r>
        <w:rPr>
          <w:color w:val="000000"/>
        </w:rPr>
        <w:t xml:space="preserve"> — </w:t>
      </w:r>
      <w:r>
        <w:rPr>
          <w:rFonts w:ascii="Times New Roman;sans-serif" w:hAnsi="Times New Roman;sans-serif"/>
          <w:b w:val="false"/>
          <w:color w:val="000000"/>
          <w:sz w:val="20"/>
        </w:rPr>
        <w:t>For the three and six months ended July 1, 2023, the increase in income, compared to the respective periods in 2022, was due primarily to the revenue growth mentioned above. For the three and six months ended July 1, 2023, the decrease in margin, compared to the respective periods in 2022, was due primarily to a less favorable sales mix resulting primarily from the higher volume of large project revenues mentioned above.</w:t>
      </w:r>
    </w:p>
    <w:p>
      <w:pPr>
        <w:pStyle w:val="TextBody"/>
        <w:bidi w:val="0"/>
        <w:spacing w:before="0" w:after="0"/>
        <w:ind w:left="0" w:right="0" w:firstLine="720"/>
        <w:jc w:val="both"/>
        <w:rPr/>
      </w:pPr>
      <w:r>
        <w:rPr/>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u w:val="single"/>
        </w:rPr>
        <w:t>Backlog</w:t>
      </w:r>
      <w:r>
        <w:rPr>
          <w:color w:val="000000"/>
        </w:rPr>
        <w:t xml:space="preserve"> — </w:t>
      </w:r>
      <w:r>
        <w:rPr>
          <w:rFonts w:ascii="Times New Roman;sans-serif" w:hAnsi="Times New Roman;sans-serif"/>
          <w:b w:val="false"/>
          <w:color w:val="000000"/>
          <w:sz w:val="20"/>
        </w:rPr>
        <w:t>The segment had bac</w:t>
      </w:r>
      <w:r>
        <w:rPr>
          <w:rFonts w:ascii="Times New Roman;sans-serif" w:hAnsi="Times New Roman;sans-serif"/>
          <w:b w:val="false"/>
          <w:color w:val="000000"/>
          <w:sz w:val="20"/>
          <w:shd w:fill="FFFFFF" w:val="clear"/>
        </w:rPr>
        <w:t>klog of</w:t>
      </w:r>
      <w:r>
        <w:rPr>
          <w:color w:val="000000"/>
        </w:rPr>
        <w:t xml:space="preserve"> </w:t>
      </w:r>
      <w:r>
        <w:rPr>
          <w:rFonts w:ascii="Times New Roman;sans-serif" w:hAnsi="Times New Roman;sans-serif"/>
          <w:b w:val="false"/>
          <w:color w:val="000000"/>
          <w:sz w:val="20"/>
        </w:rPr>
        <w:t>$233.9 and $195.6 as of July 1, 2023 and July 2, 2022, respectively.</w:t>
      </w:r>
    </w:p>
    <w:p>
      <w:pPr>
        <w:pStyle w:val="TextBody"/>
        <w:bidi w:val="0"/>
        <w:spacing w:before="0" w:after="200"/>
        <w:ind w:left="0" w:right="0" w:firstLine="76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CORPORATE AND OTHER EXPENSES</w:t>
      </w:r>
    </w:p>
    <w:tbl>
      <w:tblPr>
        <w:tblW w:w="10205" w:type="dxa"/>
        <w:jc w:val="left"/>
        <w:tblInd w:w="0" w:type="dxa"/>
        <w:tblLayout w:type="fixed"/>
        <w:tblCellMar>
          <w:top w:w="28" w:type="dxa"/>
          <w:left w:w="28" w:type="dxa"/>
          <w:bottom w:w="28" w:type="dxa"/>
          <w:right w:w="28" w:type="dxa"/>
        </w:tblCellMar>
      </w:tblPr>
      <w:tblGrid>
        <w:gridCol w:w="1006"/>
        <w:gridCol w:w="869"/>
        <w:gridCol w:w="874"/>
        <w:gridCol w:w="196"/>
        <w:gridCol w:w="556"/>
        <w:gridCol w:w="256"/>
        <w:gridCol w:w="109"/>
        <w:gridCol w:w="109"/>
        <w:gridCol w:w="109"/>
        <w:gridCol w:w="196"/>
        <w:gridCol w:w="556"/>
        <w:gridCol w:w="256"/>
        <w:gridCol w:w="109"/>
        <w:gridCol w:w="109"/>
        <w:gridCol w:w="109"/>
        <w:gridCol w:w="290"/>
        <w:gridCol w:w="290"/>
        <w:gridCol w:w="291"/>
        <w:gridCol w:w="109"/>
        <w:gridCol w:w="109"/>
        <w:gridCol w:w="109"/>
        <w:gridCol w:w="196"/>
        <w:gridCol w:w="556"/>
        <w:gridCol w:w="256"/>
        <w:gridCol w:w="109"/>
        <w:gridCol w:w="109"/>
        <w:gridCol w:w="109"/>
        <w:gridCol w:w="196"/>
        <w:gridCol w:w="556"/>
        <w:gridCol w:w="256"/>
        <w:gridCol w:w="109"/>
        <w:gridCol w:w="109"/>
        <w:gridCol w:w="109"/>
        <w:gridCol w:w="268"/>
        <w:gridCol w:w="268"/>
        <w:gridCol w:w="382"/>
      </w:tblGrid>
      <w:tr>
        <w:trPr/>
        <w:tc>
          <w:tcPr>
            <w:tcW w:w="100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consolidated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incentive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rPr>
        <w:t>Corporate Expense</w:t>
      </w:r>
      <w:r>
        <w:rPr>
          <w:color w:val="000000"/>
        </w:rPr>
        <w:t xml:space="preserve"> — </w:t>
      </w:r>
      <w:r>
        <w:rPr>
          <w:rFonts w:ascii="Times New Roman;sans-serif" w:hAnsi="Times New Roman;sans-serif"/>
          <w:b w:val="false"/>
          <w:color w:val="000000"/>
          <w:sz w:val="20"/>
        </w:rPr>
        <w:t xml:space="preserve">Corporate expense generally relates to the cost of our Charlotte, North Carolina corporate headquarters. The increase in corporate expense during the three months ended July 1, 2023, compared to the respective period in 2022, was due primarily to higher short-term incentive compensation and acquisition-related costs associated with the ASPEQ acquisition, partially offset by (i) a reduction in costs related to various strategic and transformational initiatives and (ii) expenses in connection with asbestos-related matters incurred during 2022 prior to the Asbestos Portfolio Sale.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decline in corporate expense during the six months ended July 1, 2023, compared to the respective period in 2022, was driven primarily by (i) lower costs related to various strategic and transformational initiatives during 2023 and (ii) expenses in connection with asbestos-related matters incurred during 2022 prior to the Asbestos Portfolio Sale, partially offset by higher short-term incentive compensation and acquisition-related costs associated with the TAMCO and ASPEQ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u w:val="single"/>
          <w:shd w:fill="FFFFFF" w:val="clear"/>
        </w:rPr>
        <w:t>Long-Term Incentive Compensation Expense</w:t>
      </w:r>
      <w:r>
        <w:rPr>
          <w:color w:val="000000"/>
          <w:shd w:fill="FFFFFF" w:val="clear"/>
        </w:rPr>
        <w:t xml:space="preserve"> — </w:t>
      </w:r>
      <w:r>
        <w:rPr>
          <w:rFonts w:ascii="Times New Roman;sans-serif" w:hAnsi="Times New Roman;sans-serif"/>
          <w:b w:val="false"/>
          <w:color w:val="000000"/>
          <w:sz w:val="20"/>
        </w:rPr>
        <w:t>Long-term incentive compensation expense represents our consolidated expense, which we do not allocate for segment reporting purposes. For the three and six months ended July 1, 2023, the increase in long-term incentive compensation expense, compared to the respective periods in 2022, was due primarily to the impact of forfeitures resulting from various participant resignations during the second quarter of 2022.</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LIQUIDITY AND FINANCIAL CONDITION</w:t>
      </w:r>
    </w:p>
    <w:p>
      <w:pPr>
        <w:pStyle w:val="TextBody"/>
        <w:bidi w:val="0"/>
        <w:spacing w:lineRule="auto" w:line="288" w:before="20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Listed below are the cash flows from (used in) operating, investing, and financing activities and discontinued operations, as well as the net change in cash and equivalents for the six months ended July 1, 2023 and July 2, 2022.</w:t>
      </w:r>
    </w:p>
    <w:tbl>
      <w:tblPr>
        <w:tblW w:w="8291" w:type="dxa"/>
        <w:jc w:val="left"/>
        <w:tblInd w:w="0" w:type="dxa"/>
        <w:tblLayout w:type="fixed"/>
        <w:tblCellMar>
          <w:top w:w="28" w:type="dxa"/>
          <w:left w:w="28" w:type="dxa"/>
          <w:bottom w:w="28" w:type="dxa"/>
          <w:right w:w="28" w:type="dxa"/>
        </w:tblCellMar>
      </w:tblPr>
      <w:tblGrid>
        <w:gridCol w:w="2143"/>
        <w:gridCol w:w="1879"/>
        <w:gridCol w:w="1888"/>
        <w:gridCol w:w="233"/>
        <w:gridCol w:w="643"/>
        <w:gridCol w:w="129"/>
        <w:gridCol w:w="109"/>
        <w:gridCol w:w="109"/>
        <w:gridCol w:w="109"/>
        <w:gridCol w:w="209"/>
        <w:gridCol w:w="676"/>
        <w:gridCol w:w="164"/>
      </w:tblGrid>
      <w:tr>
        <w:trPr/>
        <w:tc>
          <w:tcPr>
            <w:tcW w:w="2143"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 2022</w:t>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Continuing operations:</w:t>
            </w:r>
          </w:p>
        </w:tc>
        <w:tc>
          <w:tcPr>
            <w:tcW w:w="1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(used in) operating activities</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used in investing activities</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(used in) financing activities</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used in discontinued operations</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cash and equivalents due to changes in foreign currency exchange rates</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and equivalents</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rPr>
        <w:t>Operating Activities</w:t>
      </w:r>
      <w:r>
        <w:rPr>
          <w:color w:val="000000"/>
        </w:rPr>
        <w:t xml:space="preserve"> —</w:t>
      </w:r>
      <w:r>
        <w:rPr>
          <w:color w:val="000000"/>
          <w:shd w:fill="FFFFFF" w:val="clear"/>
        </w:rPr>
        <w:t xml:space="preserve"> </w:t>
      </w:r>
      <w:r>
        <w:rPr>
          <w:rFonts w:ascii="Times New Roman;sans-serif" w:hAnsi="Times New Roman;sans-serif"/>
          <w:b w:val="false"/>
          <w:color w:val="000000"/>
          <w:sz w:val="20"/>
          <w:shd w:fill="FFFFFF" w:val="clear"/>
        </w:rPr>
        <w:t>Th</w:t>
      </w:r>
      <w:r>
        <w:rPr>
          <w:rFonts w:ascii="Times New Roman;sans-serif" w:hAnsi="Times New Roman;sans-serif"/>
          <w:b w:val="false"/>
          <w:color w:val="000000"/>
          <w:sz w:val="20"/>
        </w:rPr>
        <w:t>e increase in</w:t>
      </w:r>
      <w:r>
        <w:rPr>
          <w:color w:val="000000"/>
          <w:shd w:fill="FFFFFF" w:val="clear"/>
        </w:rPr>
        <w:t xml:space="preserve"> </w:t>
      </w:r>
      <w:r>
        <w:rPr>
          <w:rFonts w:ascii="Times New Roman;sans-serif" w:hAnsi="Times New Roman;sans-serif"/>
          <w:b w:val="false"/>
          <w:color w:val="000000"/>
          <w:sz w:val="20"/>
          <w:shd w:fill="FFFFFF" w:val="clear"/>
        </w:rPr>
        <w:t>cash flows from operating activities of continuing operations during the six months ended July 1, 2023, compared to the respective period in 2022, was due primar</w:t>
      </w:r>
      <w:r>
        <w:rPr>
          <w:rFonts w:ascii="Times New Roman;sans-serif" w:hAnsi="Times New Roman;sans-serif"/>
          <w:b w:val="false"/>
          <w:color w:val="000000"/>
          <w:sz w:val="20"/>
        </w:rPr>
        <w:t>ily to (i) the increase in income during the period discussed above, (ii) income tax payments of $17.1 during the first half of 2023 compared to income tax payments of $48.8 during the first half of 2022, with a significant portion of the 2022 payments related to the gain on sale of Transformer Solutions, (iii) net payments for asbestos-related matters made prior to the Asbestos Portfolio Sale, of $11.2, (iv) a cash payment of $10.0 during the first half of 2022 in connection with the transfer of our postretirement life insurance benefit obligation to an insurance carrier (see Note 11 to our condensed consolidated financial statements for additional details), (v) working capital improvements at certain of our project-related businesses, as cash flows for these businesses are often subject to contract milestones that can impact the timing of cash flows from period to period, and (vi) a reduction in the level of elevated purchases of raw materials and components, primarily within our HVAC reportable segment, during the first half of 2023, due to a more stable supply chain environment.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u w:val="single"/>
          <w:shd w:fill="FFFFFF" w:val="clear"/>
        </w:rPr>
        <w:t>Investing Activities</w:t>
      </w:r>
      <w:r>
        <w:rPr>
          <w:color w:val="000000"/>
          <w:shd w:fill="FFFFFF" w:val="clear"/>
        </w:rPr>
        <w:t xml:space="preserve"> — </w:t>
      </w:r>
      <w:r>
        <w:rPr>
          <w:rFonts w:ascii="Times New Roman;sans-serif" w:hAnsi="Times New Roman;sans-serif"/>
          <w:b w:val="false"/>
          <w:color w:val="000000"/>
          <w:sz w:val="20"/>
          <w:shd w:fill="FFFFFF" w:val="clear"/>
        </w:rPr>
        <w:t>Cash fl</w:t>
      </w:r>
      <w:r>
        <w:rPr>
          <w:rFonts w:ascii="Times New Roman;sans-serif" w:hAnsi="Times New Roman;sans-serif"/>
          <w:b w:val="false"/>
          <w:color w:val="000000"/>
          <w:sz w:val="20"/>
        </w:rPr>
        <w:t xml:space="preserve">ows used in investing activities of continuing operations for the six months ended </w:t>
      </w:r>
      <w:r>
        <w:rPr>
          <w:rFonts w:ascii="Times New Roman;sans-serif" w:hAnsi="Times New Roman;sans-serif"/>
          <w:b w:val="false"/>
          <w:color w:val="000000"/>
          <w:sz w:val="20"/>
          <w:shd w:fill="FFFFFF" w:val="clear"/>
        </w:rPr>
        <w:t>July 1, 2023</w:t>
      </w:r>
      <w:r>
        <w:rPr>
          <w:color w:val="000000"/>
        </w:rPr>
        <w:t xml:space="preserve"> </w:t>
      </w:r>
      <w:r>
        <w:rPr>
          <w:rFonts w:ascii="Times New Roman;sans-serif" w:hAnsi="Times New Roman;sans-serif"/>
          <w:b w:val="false"/>
          <w:color w:val="000000"/>
          <w:sz w:val="20"/>
        </w:rPr>
        <w:t>were comprised of net cash utilized in the acquisitions of TAMCO and ASPEQ of $547.1 and capital expenditures of $8.7, partially offset by proceeds from company-owned life insurance policies of $1.0. Cash flows used in investing activities of continuing operations for the six months ended July 2, 2022 were comprised of net cash utilized in the acquisition of ITL of $41.8 and capital expenditures of $6.0, partially offset by proceeds from company-owned life insurance policies of $1.6, and $0.4 received upon agreement with the seller on acquired working capital balances associated with Cincinnati Fan.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u w:val="single"/>
        </w:rPr>
        <w:t>Financing Activities</w:t>
      </w:r>
      <w:r>
        <w:rPr>
          <w:color w:val="000000"/>
        </w:rPr>
        <w:t xml:space="preserve"> — </w:t>
      </w:r>
      <w:r>
        <w:rPr>
          <w:rFonts w:ascii="Times New Roman;sans-serif" w:hAnsi="Times New Roman;sans-serif"/>
          <w:b w:val="false"/>
          <w:color w:val="000000"/>
          <w:sz w:val="20"/>
          <w:shd w:fill="FFFFFF" w:val="clear"/>
        </w:rPr>
        <w:t xml:space="preserve">Cash flows </w:t>
      </w:r>
      <w:r>
        <w:rPr>
          <w:rFonts w:ascii="Times New Roman;sans-serif" w:hAnsi="Times New Roman;sans-serif"/>
          <w:b w:val="false"/>
          <w:color w:val="000000"/>
          <w:sz w:val="20"/>
        </w:rPr>
        <w:t>from financing activities of continuing operations for the six months ended July 1, 2023 were comprised of net borrowings under the Credit Agreement and trade receivables financing arrangement of $400.0 and $30.0, respectively, primarily in connection with the TAMCO and ASPEQ acquisitions, minimum withholdings paid on behalf of employees on long-term incentive awards, net of proceeds from options exercised, of $2.4, and fees paid in connection with the Incremental Term Loan of $1.3.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flows used in financing activities of continuing operations for the six months ended July 2, 2022 were comprised of repurchases of common stock of $33.7, net repayments under our various debt instruments of $6.5, minimum withholdings paid on behalf of employees on long-term incentive awards, net of proceeds from options exercised of $5.2, and contingent consideration paid of $1.3 related to a prior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u w:val="single"/>
        </w:rPr>
        <w:t>Discontinued Operations</w:t>
      </w:r>
      <w:r>
        <w:rPr>
          <w:color w:val="000000"/>
        </w:rPr>
        <w:t xml:space="preserve"> — </w:t>
      </w:r>
      <w:r>
        <w:rPr>
          <w:rFonts w:ascii="Times New Roman;sans-serif" w:hAnsi="Times New Roman;sans-serif"/>
          <w:b w:val="false"/>
          <w:color w:val="000000"/>
          <w:sz w:val="20"/>
        </w:rPr>
        <w:t>Cash flows used in discontinued operations for the six months ended July 1, 2023 relate primarily to disbursements for professional fees incurred in connection with the claims activities related to the large power projects in South Africa (see Note 15 for additional details).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flows used in discontinued operations for the six months ended July 2, 2022 relate primarily to (i) disbursements for professional fees incurred in connection with the claims activities related to the large power projects in South Africa (see Note 15 for additional details), (ii) disbursements for liabilities retained in connection with dispositions, and (iii) a payment of $13.9 to the buyer of Transformer Solutions related to the settlement of the final working capital balances for the business.</w:t>
      </w:r>
    </w:p>
    <w:p>
      <w:pPr>
        <w:pStyle w:val="TextBody"/>
        <w:bidi w:val="0"/>
        <w:spacing w:before="0" w:after="0"/>
        <w:jc w:val="left"/>
        <w:rPr/>
      </w:pPr>
      <w:r>
        <w:rPr/>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u w:val="single"/>
          <w:shd w:fill="FFFFFF" w:val="clear"/>
        </w:rPr>
        <w:t>Change in Cash and Equivalents due to Changes in Foreign Currency Exchange Rate</w:t>
      </w:r>
      <w:r>
        <w:rPr>
          <w:rFonts w:ascii="Times New Roman;sans-serif" w:hAnsi="Times New Roman;sans-serif"/>
          <w:b w:val="false"/>
          <w:i/>
          <w:color w:val="000000"/>
          <w:sz w:val="20"/>
          <w:u w:val="single"/>
        </w:rPr>
        <w:t>s</w:t>
      </w:r>
      <w:r>
        <w:rPr>
          <w:color w:val="000000"/>
        </w:rPr>
        <w:t xml:space="preserve"> — </w:t>
      </w:r>
      <w:r>
        <w:rPr>
          <w:rFonts w:ascii="Times New Roman;sans-serif" w:hAnsi="Times New Roman;sans-serif"/>
          <w:b w:val="false"/>
          <w:color w:val="000000"/>
          <w:sz w:val="20"/>
        </w:rPr>
        <w:t>Changes in foreign currency exchange rates did not have a significant impact on our cash and equivalents during the first six months of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Borrowings and Availability</w:t>
      </w:r>
    </w:p>
    <w:p>
      <w:pPr>
        <w:pStyle w:val="TextBody"/>
        <w:bidi w:val="0"/>
        <w:spacing w:lineRule="auto" w:line="288" w:before="0" w:after="60"/>
        <w:ind w:left="0" w:right="0" w:firstLine="720"/>
        <w:jc w:val="left"/>
        <w:rPr/>
      </w:pPr>
      <w:r>
        <w:rPr>
          <w:rFonts w:ascii="Times New Roman;sans-serif" w:hAnsi="Times New Roman;sans-serif"/>
          <w:b w:val="false"/>
          <w:i/>
          <w:color w:val="000000"/>
          <w:sz w:val="20"/>
          <w:u w:val="single"/>
        </w:rPr>
        <w:t>Borrowings</w:t>
      </w:r>
      <w:r>
        <w:rPr>
          <w:color w:val="000000"/>
        </w:rPr>
        <w:t xml:space="preserve"> — </w:t>
      </w:r>
      <w:r>
        <w:rPr>
          <w:rFonts w:ascii="Times New Roman;sans-serif" w:hAnsi="Times New Roman;sans-serif"/>
          <w:b w:val="false"/>
          <w:color w:val="000000"/>
          <w:sz w:val="20"/>
        </w:rPr>
        <w:t>The following summarizes our debt activity (both current and non-current) for the six months ended July 1, 2023.</w:t>
      </w:r>
    </w:p>
    <w:tbl>
      <w:tblPr>
        <w:tblW w:w="9121" w:type="dxa"/>
        <w:jc w:val="left"/>
        <w:tblInd w:w="0" w:type="dxa"/>
        <w:tblLayout w:type="fixed"/>
        <w:tblCellMar>
          <w:top w:w="28" w:type="dxa"/>
          <w:left w:w="28" w:type="dxa"/>
          <w:bottom w:w="28" w:type="dxa"/>
          <w:right w:w="28" w:type="dxa"/>
        </w:tblCellMar>
      </w:tblPr>
      <w:tblGrid>
        <w:gridCol w:w="1130"/>
        <w:gridCol w:w="992"/>
        <w:gridCol w:w="998"/>
        <w:gridCol w:w="249"/>
        <w:gridCol w:w="707"/>
        <w:gridCol w:w="138"/>
        <w:gridCol w:w="109"/>
        <w:gridCol w:w="109"/>
        <w:gridCol w:w="109"/>
        <w:gridCol w:w="215"/>
        <w:gridCol w:w="610"/>
        <w:gridCol w:w="121"/>
        <w:gridCol w:w="109"/>
        <w:gridCol w:w="109"/>
        <w:gridCol w:w="109"/>
        <w:gridCol w:w="221"/>
        <w:gridCol w:w="645"/>
        <w:gridCol w:w="125"/>
        <w:gridCol w:w="109"/>
        <w:gridCol w:w="109"/>
        <w:gridCol w:w="109"/>
        <w:gridCol w:w="196"/>
        <w:gridCol w:w="451"/>
        <w:gridCol w:w="109"/>
        <w:gridCol w:w="109"/>
        <w:gridCol w:w="109"/>
        <w:gridCol w:w="109"/>
        <w:gridCol w:w="196"/>
        <w:gridCol w:w="556"/>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Other </w:t>
            </w:r>
            <w:r>
              <w:rPr>
                <w:rFonts w:ascii="Times New Roman;sans-serif" w:hAnsi="Times New Roman;sans-serif"/>
                <w:b/>
                <w:color w:val="000000"/>
                <w:sz w:val="1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Revolving loans</w:t>
            </w:r>
            <w:r>
              <w:rPr>
                <w:rFonts w:ascii="Times New Roman;sans-serif" w:hAnsi="Times New Roman;sans-serif"/>
                <w:b w:val="false"/>
                <w:color w:val="000000"/>
                <w:sz w:val="12"/>
              </w:rPr>
              <w:t>(1)</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(420.0)</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Term loan</w:t>
            </w:r>
            <w:r>
              <w:rPr>
                <w:rFonts w:ascii="Times New Roman;sans-serif" w:hAnsi="Times New Roman;sans-serif"/>
                <w:b w:val="false"/>
                <w:color w:val="000000"/>
                <w:sz w:val="12"/>
              </w:rPr>
              <w:t>(2)(3)</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Trade receivables financing arrangement</w:t>
            </w:r>
            <w:r>
              <w:rPr>
                <w:rFonts w:ascii="Times New Roman;sans-serif" w:hAnsi="Times New Roman;sans-serif"/>
                <w:b w:val="false"/>
                <w:color w:val="000000"/>
                <w:sz w:val="12"/>
              </w:rPr>
              <w:t>(4)</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 indebtedness</w:t>
            </w:r>
            <w:r>
              <w:rPr>
                <w:rFonts w:ascii="Times New Roman;sans-serif" w:hAnsi="Times New Roman;sans-serif"/>
                <w:b w:val="false"/>
                <w:color w:val="000000"/>
                <w:sz w:val="12"/>
              </w:rPr>
              <w:t>(5)</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short-term debt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maturities of long-term debt</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debt</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243.0 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76" w:before="0" w:after="20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While not due for repayment until August 2027 under the terms of the Credit Agreement, we classify within current liabilities the portion of the outstanding balance that we believe will be repaid over the next year, with such amount based on an estimate of cash that is expected to be generated over such period. The revolving loan facility was utilized as the initial funding mechanism for the TAMCO and ASPEQ acquisitions and was partially repaid with the funds borrowed on the Incremental Term Loan (see additional discussion below).</w:t>
      </w:r>
    </w:p>
    <w:p>
      <w:pPr>
        <w:pStyle w:val="TextBody"/>
        <w:bidi w:val="0"/>
        <w:spacing w:lineRule="auto" w:line="276" w:before="0" w:after="20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As noted below, we amended our senior credit agreement on April 21, 2023, with the amendment making available an incremental term loan facility (“Incremental Term Loan”) in the amount of $300.0. The proceeds from the Incremental Term Loan were primarily used to fund the acquisition of ASPEQ.</w:t>
      </w:r>
    </w:p>
    <w:p>
      <w:pPr>
        <w:pStyle w:val="TextBody"/>
        <w:bidi w:val="0"/>
        <w:spacing w:lineRule="auto" w:line="276" w:before="0" w:after="200"/>
        <w:ind w:left="0" w:right="0" w:hanging="36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The term loans are repayable in quarterly installments equal to 0.625% of the balance of $545.0, beginning in December 2023 and in each of the first three quarters of 2024, and 1.25% during the fourth quarter of 2024, all quarters of 2025 and 2026, and the first two quarters of 2027. The remaining balances are payable in full on August 12, 2027. Balances are net of unamortized debt issuance costs of $1.9 and $0.7 at July 1, 2023 and December 31, 2022, respectively.</w:t>
      </w:r>
    </w:p>
    <w:p>
      <w:pPr>
        <w:pStyle w:val="TextBody"/>
        <w:bidi w:val="0"/>
        <w:spacing w:lineRule="auto" w:line="276" w:before="0" w:after="200"/>
        <w:ind w:left="0" w:right="0" w:hanging="360"/>
        <w:jc w:val="both"/>
        <w:rPr/>
      </w:pPr>
      <w:r>
        <w:rPr>
          <w:rFonts w:ascii="Times New Roman;sans-serif" w:hAnsi="Times New Roman;sans-serif"/>
          <w:b w:val="false"/>
          <w:color w:val="000000"/>
          <w:sz w:val="12"/>
        </w:rPr>
        <w:t>(4)</w:t>
      </w:r>
      <w:r>
        <w:rPr>
          <w:rFonts w:ascii="Times New Roman;sans-serif" w:hAnsi="Times New Roman;sans-serif"/>
          <w:b w:val="false"/>
          <w:color w:val="000000"/>
          <w:sz w:val="18"/>
        </w:rPr>
        <w:t>Under this arrangement, we can borrow, on a continuous basis, up to $50.0, as available. Borrowings under this arrangement are collateralized by eligible trade receivables of certain of our businesses. At July 1, 2023, we had $12.3 of available borrowing capacity under this facility after giving effect to outstanding borrowings of $30.0.</w:t>
      </w:r>
    </w:p>
    <w:p>
      <w:pPr>
        <w:pStyle w:val="TextBody"/>
        <w:bidi w:val="0"/>
        <w:spacing w:lineRule="auto" w:line="288" w:before="0" w:after="200"/>
        <w:ind w:left="0" w:right="0" w:hanging="360"/>
        <w:jc w:val="both"/>
        <w:rPr/>
      </w:pPr>
      <w:r>
        <w:rPr>
          <w:rFonts w:ascii="Times New Roman;sans-serif" w:hAnsi="Times New Roman;sans-serif"/>
          <w:b w:val="false"/>
          <w:color w:val="000000"/>
          <w:sz w:val="12"/>
        </w:rPr>
        <w:t>(5)</w:t>
      </w:r>
      <w:r>
        <w:rPr>
          <w:rFonts w:ascii="Times New Roman;sans-serif" w:hAnsi="Times New Roman;sans-serif"/>
          <w:b w:val="false"/>
          <w:color w:val="000000"/>
          <w:sz w:val="18"/>
        </w:rPr>
        <w:t>Primarily includes balances under a purchase card program of $2.0 and $1.8 and finance lease obligations of $0.5 and $0.7 at July 1, 2023 and December 31, 2022, respectively. The purchase card program allows for payment beyond the normal payment terms for goods and services acquired under the program. As this arrangement extends the payment of these purchases beyond their normal payment terms through third-party lending institutions, we have classified these amounts as short-term debt.</w:t>
      </w:r>
    </w:p>
    <w:p>
      <w:pPr>
        <w:pStyle w:val="TextBody"/>
        <w:bidi w:val="0"/>
        <w:spacing w:lineRule="auto" w:line="288" w:before="0" w:after="200"/>
        <w:ind w:left="0" w:right="0" w:hanging="360"/>
        <w:jc w:val="both"/>
        <w:rPr/>
      </w:pPr>
      <w:r>
        <w:rPr>
          <w:rFonts w:ascii="Times New Roman;sans-serif" w:hAnsi="Times New Roman;sans-serif"/>
          <w:b w:val="false"/>
          <w:color w:val="000000"/>
          <w:sz w:val="12"/>
        </w:rPr>
        <w:t>(6)</w:t>
      </w:r>
      <w:r>
        <w:rPr>
          <w:color w:val="000000"/>
        </w:rPr>
        <w:t>“</w:t>
      </w:r>
      <w:r>
        <w:rPr>
          <w:rFonts w:ascii="Times New Roman;sans-serif" w:hAnsi="Times New Roman;sans-serif"/>
          <w:b w:val="false"/>
          <w:color w:val="000000"/>
          <w:sz w:val="18"/>
        </w:rPr>
        <w:t>Other” includes the capitalization and amortization of debt issuance costs. During the three months ended July 1, 2023, we capitalized $1.3 of debt issuance costs associated with the Incremental Term Loan.</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Senior Credit Facilities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21, 2023 (the “Incremental Amendment Effective Date”), we entered into an Incremental Facility Activation Notice (the “Incremental Amendment”) with Bank of America, N.A., as administrative agent (the “Administrative Agent”), and the lenders party thereto, which amends the Amended and Restated Credit Agreement, dated as of August 12, 2022 (as amended, the “Credit Agreement”), among the Company, the lenders party thereto, Deutsche Bank AG, as foreign trade facility agent, and the Administrative Agent.</w:t>
      </w:r>
    </w:p>
    <w:p>
      <w:pPr>
        <w:pStyle w:val="TextBody"/>
        <w:bidi w:val="0"/>
        <w:spacing w:lineRule="auto" w:line="26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Incremental Amendment provides for an Incremental Term Loan in the aggregate amount of $300.0, which was available in up to three drawings (subject to customary conditions) from the Incremental Amendment Effective Date to October 18, 2023. The proceeds of the Incremental Term Loan were available to be used to finance, in part, permitted acquisitions, to pay related fees, costs and expenses and for other lawful corporate purposes. The Incremental Term Loan will mature on August 12, 2027. We may voluntarily prepay the Incremental Term Loan, in whole or in part, without premium or penalty. In June 2023, we borrowed $300.0 under the Incremental Term Loan in connection with the ASPEQ acquisition.</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rate applicable to the Incremental Term Loan is, at our option, equal to either (x) an alternate base rate (the highest of (a) the federal funds effective rate plus 0.50%, (b) the prime rate of Bank of America, N.A., and (c) the one-month Term SOFR rate plus 1.00%) or (y) the Term SOFR rate for the applicable interest period plus 0.10%, plus, in each case, an applicable margin percentage, which varies based on the Company’s Consolidated Leverage Ratio (defined in the Credit Agreement generally as the ratio of consolidated total debt (excluding the face amount of undrawn letters of credit, bank undertakings or analogous instruments and net of unrestricted cash and cash equivalents) at the date of determination to Consolidated EBITDA for the four fiscal quarters ended most recently before such date). SPX may elect interest periods of one, three or six months (and, if consented to by all relevant lenders, any other period not greater than twelve months) for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SOFR borrowings. SPX will also pay a commitment fee to the incremental lenders on the daily unused amount of the commitments for the Incremental Term Loan, payable quarterly at a per annum rate which also varies based on the Company’s Consolidated Leverage Ratio. The commitment fee rate and interest rate margins for the Incremental Term Loan are as follows:</w:t>
      </w:r>
    </w:p>
    <w:p>
      <w:pPr>
        <w:pStyle w:val="TextBody"/>
        <w:bidi w:val="0"/>
        <w:spacing w:before="0" w:after="0"/>
        <w:ind w:left="0" w:right="0" w:firstLine="720"/>
        <w:jc w:val="both"/>
        <w:rPr/>
      </w:pPr>
      <w:r>
        <w:rPr/>
      </w:r>
    </w:p>
    <w:tbl>
      <w:tblPr>
        <w:tblW w:w="9212" w:type="dxa"/>
        <w:jc w:val="left"/>
        <w:tblInd w:w="0" w:type="dxa"/>
        <w:tblLayout w:type="fixed"/>
        <w:tblCellMar>
          <w:top w:w="28" w:type="dxa"/>
          <w:left w:w="28" w:type="dxa"/>
          <w:bottom w:w="28" w:type="dxa"/>
          <w:right w:w="28" w:type="dxa"/>
        </w:tblCellMar>
      </w:tblPr>
      <w:tblGrid>
        <w:gridCol w:w="1553"/>
        <w:gridCol w:w="1365"/>
        <w:gridCol w:w="1372"/>
        <w:gridCol w:w="109"/>
        <w:gridCol w:w="109"/>
        <w:gridCol w:w="109"/>
        <w:gridCol w:w="309"/>
        <w:gridCol w:w="309"/>
        <w:gridCol w:w="731"/>
        <w:gridCol w:w="109"/>
        <w:gridCol w:w="109"/>
        <w:gridCol w:w="109"/>
        <w:gridCol w:w="336"/>
        <w:gridCol w:w="336"/>
        <w:gridCol w:w="798"/>
        <w:gridCol w:w="109"/>
        <w:gridCol w:w="109"/>
        <w:gridCol w:w="109"/>
        <w:gridCol w:w="278"/>
        <w:gridCol w:w="278"/>
        <w:gridCol w:w="566"/>
      </w:tblGrid>
      <w:tr>
        <w:trPr/>
        <w:tc>
          <w:tcPr>
            <w:tcW w:w="1553"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Leverage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Commitment Fee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Term SOFR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ABR Loans</w:t>
            </w:r>
          </w:p>
        </w:tc>
      </w:tr>
      <w:tr>
        <w:trPr/>
        <w:tc>
          <w:tcPr>
            <w:tcW w:w="4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Less than 2.00 to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0.225 </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1.500 </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0.500 </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Greater than or equal to 2.00 to 1.0 but less than 3.00 to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0.250 </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1.625 </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0.625 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Greater than or equal to 3.00 to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0.275 </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1.875 </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0.875 </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 xml:space="preserve">The Incremental Term Loan is guaranteed by certain domestic material subsidiaries of the Company and secured by a first priority pledge and security interest in 100% of the capital stock of our domestic subsidiaries or the domestic subsidiary guarantors and 65% of the voting capital stock (and 100% of the non-voting capital stock) of material first-tier foreign subsidiaries, all subject to certain exceptions and on a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basis with the other credit facilities under the Credit Agreement.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detailed description of our remaining senior credit facilities under the Credit Agreement is included in our 2022 Annual Report on Form 10-K.</w:t>
      </w:r>
    </w:p>
    <w:p>
      <w:pPr>
        <w:pStyle w:val="TextBody"/>
        <w:bidi w:val="0"/>
        <w:spacing w:before="0" w:after="0"/>
        <w:ind w:left="0" w:right="0" w:firstLine="720"/>
        <w:jc w:val="both"/>
        <w:rPr/>
      </w:pPr>
      <w:r>
        <w:rPr/>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u w:val="single"/>
          <w:shd w:fill="FFFFFF" w:val="clear"/>
        </w:rPr>
        <w:t>Availability</w:t>
      </w:r>
      <w:r>
        <w:rPr>
          <w:color w:val="000000"/>
          <w:shd w:fill="FFFFFF" w:val="clear"/>
        </w:rPr>
        <w:t xml:space="preserve"> — </w:t>
      </w:r>
      <w:r>
        <w:rPr>
          <w:rFonts w:ascii="Times New Roman;sans-serif" w:hAnsi="Times New Roman;sans-serif"/>
          <w:b w:val="false"/>
          <w:color w:val="000000"/>
          <w:sz w:val="20"/>
          <w:shd w:fill="FFFFFF" w:val="clear"/>
        </w:rPr>
        <w:t>At July 1, 2023, we h</w:t>
      </w:r>
      <w:r>
        <w:rPr>
          <w:rFonts w:ascii="Times New Roman;sans-serif" w:hAnsi="Times New Roman;sans-serif"/>
          <w:b w:val="false"/>
          <w:color w:val="000000"/>
          <w:sz w:val="20"/>
        </w:rPr>
        <w:t xml:space="preserve">ad $389.2 of available borrowing capacity under our revolving credit facilities, after giving effect to borrowings under the domestic revolving loan facility of $100.0 and $10.8 reserved for outstanding letters of credit. In addition, at July 1, 2023, we had $9.6 of available issuance capacity under our foreign credit instrument facilities after giving effect to $15.4 reserved for outstanding letters </w:t>
      </w:r>
      <w:r>
        <w:rPr>
          <w:rFonts w:ascii="Times New Roman;sans-serif" w:hAnsi="Times New Roman;sans-serif"/>
          <w:b w:val="false"/>
          <w:color w:val="000000"/>
          <w:sz w:val="20"/>
          <w:shd w:fill="FFFFFF" w:val="clear"/>
        </w:rPr>
        <w:t>of credit.</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interest rate of outstanding borrowings under the Credit Agreement was approximately 6.8% at July 1, 2023.</w:t>
      </w:r>
    </w:p>
    <w:p>
      <w:pPr>
        <w:pStyle w:val="TextBody"/>
        <w:bidi w:val="0"/>
        <w:spacing w:lineRule="auto" w:line="288" w:before="0" w:after="20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July 1, 2023, we were in compliance with all covenants of the Credit Agreement.</w:t>
      </w:r>
    </w:p>
    <w:p>
      <w:pPr>
        <w:pStyle w:val="TextBody"/>
        <w:bidi w:val="0"/>
        <w:spacing w:lineRule="auto" w:line="288" w:before="0" w:after="200"/>
        <w:ind w:left="0" w:right="0" w:firstLine="720"/>
        <w:jc w:val="both"/>
        <w:rPr/>
      </w:pPr>
      <w:r>
        <w:rPr>
          <w:rFonts w:ascii="Times New Roman;sans-serif" w:hAnsi="Times New Roman;sans-serif"/>
          <w:b w:val="false"/>
          <w:color w:val="000000"/>
          <w:sz w:val="20"/>
          <w:shd w:fill="FFFFFF" w:val="clear"/>
        </w:rPr>
        <w:t>Financing instruments may be used from time to time including,</w:t>
      </w:r>
      <w:r>
        <w:rPr>
          <w:color w:val="000000"/>
        </w:rPr>
        <w:t xml:space="preserve"> </w:t>
      </w:r>
      <w:r>
        <w:rPr>
          <w:rFonts w:ascii="Times New Roman;sans-serif" w:hAnsi="Times New Roman;sans-serif"/>
          <w:b w:val="false"/>
          <w:color w:val="000000"/>
          <w:sz w:val="20"/>
        </w:rPr>
        <w:t>but not limited to, public and private debt and equity offerings, operating leases, finance leases and securitizations. We expect that we will continue to access these markets as appropriate to maintain liquidity and to provide sources of funds for general corporate purposes, acquisitions or to refinance existing debt.</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Concentrations of Credit Risk</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us to significant concentrations of credit risk consist of cash and equivalents, trade accounts receivable, and interest rate swap and foreign currency forwards contracts. These financial instruments, other than trade accounts receivable, are placed with high-quality financial institutions. We periodically evaluate the credit standing of these financial institutions.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cash levels in bank accounts that, at times, may exceed federally-insured limits. We have not experienced, and believe we are not exposed to, significant risk of loss in these accounts.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credit loss exposure in the event of nonperformance by counterparties to the above financial instruments, but have no other off-balance-sheet credit risk of accounting loss. We anticipate, however, that counterparties will be able to fully satisfy their obligations under the contracts. We do not obtain collateral or other security to support financial instruments subject to credit risk, but we do monitor the credit standing of counterparties.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 xml:space="preserve">Concentrations of credit risk arising from trade accounts receivable are due to selling to customers in a particular industry. Credit risks are mitigated by performing ongoing credit evaluations of our customers’ financial conditions and obtaining collateral, advance payments, or other security when appropriate. No one customer, or group of customers that to our knowledge are under common control, accounted for more than </w:t>
      </w:r>
      <w:r>
        <w:rPr>
          <w:rFonts w:ascii="Times New Roman;sans-serif" w:hAnsi="Times New Roman;sans-serif"/>
          <w:b w:val="false"/>
          <w:color w:val="000000"/>
          <w:sz w:val="20"/>
          <w:shd w:fill="FFFFFF" w:val="clear"/>
        </w:rPr>
        <w:t>10</w:t>
      </w:r>
      <w:r>
        <w:rPr>
          <w:rFonts w:ascii="Times New Roman;sans-serif" w:hAnsi="Times New Roman;sans-serif"/>
          <w:b w:val="false"/>
          <w:color w:val="000000"/>
          <w:sz w:val="20"/>
        </w:rPr>
        <w:t>% of our revenues for any period presented.</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u w:val="single"/>
        </w:rPr>
        <w:t>Contractual Obligations</w:t>
      </w:r>
      <w:r>
        <w:rPr>
          <w:color w:val="000000"/>
        </w:rPr>
        <w:t xml:space="preserve"> — </w:t>
      </w:r>
      <w:r>
        <w:rPr>
          <w:rFonts w:ascii="Times New Roman;sans-serif" w:hAnsi="Times New Roman;sans-serif"/>
          <w:b w:val="false"/>
          <w:color w:val="000000"/>
          <w:sz w:val="20"/>
        </w:rPr>
        <w:t xml:space="preserve">Except for the Incremental Term Loan, there have been no material changes in the amounts of our contractual obligations from those disclosed in our 2022 Annual Report on Form 10-K. Our total net liabilities for unrecognized tax benefits including interest were $3.6 as of July 1, 2023. Based on the outcome of certain examinations or as a result of the expiration of statutes of limitations for certain jurisdictions, we believe that within the next </w:t>
      </w:r>
      <w:r>
        <w:rPr>
          <w:rFonts w:ascii="Times New Roman;sans-serif" w:hAnsi="Times New Roman;sans-serif"/>
          <w:b w:val="false"/>
          <w:color w:val="000000"/>
          <w:sz w:val="20"/>
          <w:shd w:fill="FFFFFF" w:val="clear"/>
        </w:rPr>
        <w:t>12 months</w:t>
      </w:r>
      <w:r>
        <w:rPr>
          <w:color w:val="000000"/>
        </w:rPr>
        <w:t xml:space="preserve"> </w:t>
      </w:r>
      <w:r>
        <w:rPr>
          <w:rFonts w:ascii="Times New Roman;sans-serif" w:hAnsi="Times New Roman;sans-serif"/>
          <w:b w:val="false"/>
          <w:color w:val="000000"/>
          <w:sz w:val="20"/>
        </w:rPr>
        <w:t>it is reasonably possible that our previously unrecognized tax benefits could decrease by up to $0.6.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u w:val="single"/>
        </w:rPr>
        <w:t>Contingencies and Other Matters</w:t>
      </w:r>
      <w:r>
        <w:rPr>
          <w:color w:val="000000"/>
        </w:rPr>
        <w:t xml:space="preserve"> — </w:t>
      </w:r>
      <w:r>
        <w:rPr>
          <w:rFonts w:ascii="Times New Roman;sans-serif" w:hAnsi="Times New Roman;sans-serif"/>
          <w:b w:val="false"/>
          <w:color w:val="000000"/>
          <w:sz w:val="20"/>
        </w:rPr>
        <w:t xml:space="preserve">Numerous claims, complaints and proceedings arising in the ordinary course of business have been asserted or are pending against us or certain of our subsidiaries (collectively, “claims”). These claims relate to litigation matters (e.g., contracts, intellectual property, and competitive claims), environmental matters, claims with respect to the large power projects in South Africa, product liability matters, and other risk management matters (e.g., general liability, automobile, and workers’ compensation claims). Additionally, we may become subject to other claims of which we are currently unaware, which may be significant, or the claims of which we are aware may result in our incurring significantly greater loss than we anticipate. We accrue for these contingencies when we believe a liability is probable and can be reasonably estimated. As events change and resolutions occur, these accruals may be adjusted and could differ materially from amounts originally estimated. See </w:t>
      </w:r>
      <w:hyperlink w:anchor="i94d24c176c8a463cb3fefe8481d89e37_76">
        <w:r>
          <w:rPr>
            <w:rStyle w:val="InternetLink"/>
            <w:rFonts w:ascii="Times New Roman;sans-serif" w:hAnsi="Times New Roman;sans-serif"/>
            <w:b w:val="false"/>
            <w:color w:val="0000FF"/>
            <w:sz w:val="20"/>
            <w:u w:val="single"/>
            <w:shd w:fill="FFFFFF" w:val="clear"/>
          </w:rPr>
          <w:t>Note 15</w:t>
        </w:r>
      </w:hyperlink>
      <w:r>
        <w:rPr>
          <w:color w:val="000000"/>
        </w:rPr>
        <w:t xml:space="preserve"> </w:t>
      </w:r>
      <w:r>
        <w:rPr>
          <w:rFonts w:ascii="Times New Roman;sans-serif" w:hAnsi="Times New Roman;sans-serif"/>
          <w:b w:val="false"/>
          <w:color w:val="000000"/>
          <w:sz w:val="20"/>
        </w:rPr>
        <w:t>to the condensed consolidated financial statements for a further discussion of contingencies and other matters.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provides that we shall indemnify our officers and directors to the fullest extent permitted by the Delaware General Corporation Law for any personal liability in connection with their employment or service with us. While we maintain insurance for this type of liability, the liability could exceed the amount of the insurance coverage.</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you should read “Management’s Discussion and Analysis of Financial Condition and Results of Operations — Other Matters” herein, and “Risk Factors” in our 2022 Annual Report on Form 10-K, as well as similar sections in any future filings for an understanding of the risks, uncertainties, and trends facing our businesses.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Use of Estimates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 xml:space="preserve">The preparation of financial statements in accordance with GAAP requires us to make estimates and assumptions that affect the reported amounts of assets, liabilities, revenues and expenses, and disclosure of contingent assets and liabilities. The accounting policies that we believe are most critical to the portrayal of our financial condition and results of operations, and that require our most difficult, subjective or complex judgments in estimating the effect of inherent uncertainties are discussed in our </w:t>
      </w:r>
      <w:hyperlink r:id="rId2">
        <w:r>
          <w:rPr>
            <w:rStyle w:val="InternetLink"/>
            <w:rFonts w:ascii="Times New Roman;sans-serif" w:hAnsi="Times New Roman;sans-serif"/>
            <w:b w:val="false"/>
            <w:color w:val="0000FF"/>
            <w:sz w:val="20"/>
            <w:u w:val="single"/>
          </w:rPr>
          <w:t>2022 Annual Report on Form 10-K</w:t>
        </w:r>
      </w:hyperlink>
      <w:r>
        <w:rPr>
          <w:rFonts w:ascii="Times New Roman;sans-serif" w:hAnsi="Times New Roman;sans-serif"/>
          <w:b w:val="false"/>
          <w:color w:val="000000"/>
          <w:sz w:val="20"/>
        </w:rPr>
        <w:t>, the discussion within which is incorporated herein by reference</w:t>
      </w:r>
      <w:r>
        <w:rPr>
          <w:rFonts w:ascii="Times New Roman;sans-serif" w:hAnsi="Times New Roman;sans-serif"/>
          <w:b w:val="false"/>
          <w:color w:val="000000"/>
          <w:sz w:val="20"/>
          <w:shd w:fill="FFFFFF" w:val="clear"/>
        </w:rPr>
        <w:t>. We have affected no material change in either our critical accounting policies or use of estimates since the filing of our 2022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does not believe our exposure to market risk has significantly changed since December 31, 2022 and does not believe that such risks will result in significant adverse impacts to our financial condition, results of operations or cash flows.</w:t>
      </w:r>
    </w:p>
    <w:p>
      <w:pPr>
        <w:pStyle w:val="TextBody"/>
        <w:bidi w:val="0"/>
        <w:spacing w:before="0" w:after="0"/>
        <w:ind w:left="0" w:right="0" w:firstLine="720"/>
        <w:jc w:val="both"/>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SPX management, including the Chief Executive Officer and Chief Financial Officer, conducted an evaluation of the effectiveness of disclosure controls and procedures, pursuant to Exchange Act Rule 13a-15(b), as of July 1, 2023. Based on that evaluation, the Chief Executive Officer and Chief Financial Officer concluded that our disclosure controls and procedures were effective as of July 1, 2023.</w:t>
      </w:r>
    </w:p>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evaluation by SPX management, including the Chief Executive Officer and the Chief Financial Officer, of our internal control over financial reporting, pursuant to Exchange Act Rule 13a-15(d), no changes during the quarter ended July 1, 2023 were identified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information required by this Item is incorporated by reference from the footnotes to the condensed consolidated financial statements, specifically</w:t>
      </w:r>
      <w:r>
        <w:rPr>
          <w:color w:val="000000"/>
          <w:shd w:fill="FFFFFF" w:val="clear"/>
        </w:rPr>
        <w:t xml:space="preserve"> </w:t>
      </w:r>
      <w:hyperlink w:anchor="i94d24c176c8a463cb3fefe8481d89e37_76">
        <w:r>
          <w:rPr>
            <w:rStyle w:val="InternetLink"/>
            <w:rFonts w:ascii="Times New Roman;sans-serif" w:hAnsi="Times New Roman;sans-serif"/>
            <w:b w:val="false"/>
            <w:color w:val="0000FF"/>
            <w:sz w:val="20"/>
            <w:u w:val="single"/>
            <w:shd w:fill="FFFFFF" w:val="clear"/>
          </w:rPr>
          <w:t>Note 15</w:t>
        </w:r>
      </w:hyperlink>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included under Part I of this Form 10-Q.</w:t>
      </w:r>
    </w:p>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addition to the other information set forth in this report, you should carefully consider the factors discussed in Part I, “Item 1A. Risk Factors” in our </w:t>
      </w:r>
      <w:hyperlink r:id="rId3">
        <w:r>
          <w:rPr>
            <w:rStyle w:val="InternetLink"/>
            <w:rFonts w:ascii="Times New Roman;sans-serif" w:hAnsi="Times New Roman;sans-serif"/>
            <w:b w:val="false"/>
            <w:color w:val="0000FF"/>
            <w:sz w:val="20"/>
            <w:u w:val="single"/>
          </w:rPr>
          <w:t>2022 Annual Report on Form 10-K</w:t>
        </w:r>
      </w:hyperlink>
      <w:r>
        <w:rPr>
          <w:rFonts w:ascii="Times New Roman;sans-serif" w:hAnsi="Times New Roman;sans-serif"/>
          <w:b w:val="false"/>
          <w:color w:val="000000"/>
          <w:sz w:val="20"/>
        </w:rPr>
        <w:t>, which could materially affect our business, financial condition or future results.</w:t>
      </w:r>
    </w:p>
    <w:p>
      <w:pPr>
        <w:pStyle w:val="TextBody"/>
        <w:bidi w:val="0"/>
        <w:spacing w:before="0" w:after="0"/>
        <w:ind w:left="0" w:right="0" w:firstLine="720"/>
        <w:jc w:val="both"/>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directors and executive officers may purchase or sell shares of our common stock in the market from time to time, including pursuant to equity trading plans adopted in accordance with Rule 10b5-1(c) under the Exchange Act and in compliance with SPX’s insider trading policy. In accordance with Rule 10b5-1(c) and SPX’s insider trading policy, directors, officers and employees who, at such time, are not in possession of material non-public information about SPX are permitted to enter into written plans that pre-establish amounts, prices and dates (or formulae for determining the amounts, prices and dates) of future purchases or sales of the SPX’s stock, including shares acquired pursuant to the Company’s employee and director equity plans. The use of these trading plans permits asset diversification as well as financial and tax planning. Our directors and executive officers also may buy or sell shares of SPX stock other than under a Rule 10b5-1(c) plan when they are not in possession of material nonpublic information, subject to compliance with SEC rules, as well as the terms of our insider trading policy and director and officer stock ownership guidelines. The following table lists the Rule 10b5-1(c) trading plans intended to satisfy the affirmative defense conditions of Rule 10b5-1(c) adopted or terminated by our directors and officers (as defined in Rule 16a-1(f) of the Exchange Act) during the three months ended July 1, 2023.</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77"/>
        <w:gridCol w:w="449"/>
        <w:gridCol w:w="436"/>
        <w:gridCol w:w="485"/>
        <w:gridCol w:w="485"/>
        <w:gridCol w:w="445"/>
        <w:gridCol w:w="294"/>
        <w:gridCol w:w="294"/>
        <w:gridCol w:w="295"/>
        <w:gridCol w:w="647"/>
        <w:gridCol w:w="647"/>
        <w:gridCol w:w="649"/>
        <w:gridCol w:w="496"/>
        <w:gridCol w:w="496"/>
        <w:gridCol w:w="498"/>
        <w:gridCol w:w="848"/>
        <w:gridCol w:w="848"/>
        <w:gridCol w:w="1216"/>
      </w:tblGrid>
      <w:tr>
        <w:trPr/>
        <w:tc>
          <w:tcPr>
            <w:tcW w:w="67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15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and Title</w:t>
            </w:r>
          </w:p>
        </w:tc>
        <w:tc>
          <w:tcPr>
            <w:tcW w:w="14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Type of Plan</w:t>
            </w:r>
          </w:p>
        </w:tc>
        <w:tc>
          <w:tcPr>
            <w:tcW w:w="8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Adoption Date</w:t>
            </w:r>
          </w:p>
        </w:tc>
        <w:tc>
          <w:tcPr>
            <w:tcW w:w="19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Duration or End Date</w:t>
            </w:r>
          </w:p>
        </w:tc>
        <w:tc>
          <w:tcPr>
            <w:tcW w:w="14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Number of Securities to be Sold</w:t>
            </w:r>
          </w:p>
        </w:tc>
        <w:tc>
          <w:tcPr>
            <w:tcW w:w="29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Trading Arrangement</w:t>
            </w:r>
          </w:p>
        </w:tc>
      </w:tr>
      <w:tr>
        <w:trPr/>
        <w:tc>
          <w:tcPr>
            <w:tcW w:w="156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NaTausha H. White</w:t>
            </w:r>
          </w:p>
          <w:p>
            <w:pPr>
              <w:pStyle w:val="TableContents"/>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Vice President and Chief Human Resources Officer</w:t>
            </w:r>
          </w:p>
        </w:tc>
        <w:tc>
          <w:tcPr>
            <w:tcW w:w="14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Rule 10b5-1(c) trading arrangement</w:t>
            </w:r>
          </w:p>
        </w:tc>
        <w:tc>
          <w:tcPr>
            <w:tcW w:w="88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19, 2023</w:t>
            </w:r>
          </w:p>
        </w:tc>
        <w:tc>
          <w:tcPr>
            <w:tcW w:w="194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5/15/2024 (or such earlier date as all shares covered by the plan are sold)</w:t>
            </w:r>
          </w:p>
        </w:tc>
        <w:tc>
          <w:tcPr>
            <w:tcW w:w="149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25,326</w:t>
            </w:r>
          </w:p>
        </w:tc>
        <w:tc>
          <w:tcPr>
            <w:tcW w:w="291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Sales of owned shares and exercises of vested stock options and sales of shares acquired upon option exercises</w:t>
            </w:r>
          </w:p>
        </w:tc>
      </w:tr>
    </w:tbl>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as disclosed above, no other director or officer adopted, modified or terminated a “Rule 10b5-1 trading arrangement” or a “non-Rule 10b5-1 trading arrangement” (as such terms are defined in Item 408 of Regulation S-K) during the three months ended July 1, 2023.</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48"/>
        <w:gridCol w:w="200"/>
        <w:gridCol w:w="201"/>
        <w:gridCol w:w="2827"/>
        <w:gridCol w:w="2785"/>
        <w:gridCol w:w="3944"/>
      </w:tblGrid>
      <w:tr>
        <w:trPr/>
        <w:tc>
          <w:tcPr>
            <w:tcW w:w="24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827"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44"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55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Incremental Facility Activation Notice dated as of April 21, 2023 among SPX Enterprises, LLC, as the U.S. Borrower, Bank of America, N.A., as the Administrative Agent, and the 2023 Incremental Term Loan Lenders party thereto, incorporated by reference to Exhibit 10.1 to our Current Report on Form 8-K filed on August 1, 2023 (File no. 1-6948).</w:t>
              </w:r>
            </w:hyperlink>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955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20"/>
                  <w:u w:val="single"/>
                </w:rPr>
                <w:t>Agreement and Plan of Merger, dated as of April 28, 2023, by and among, SPX Enterprises, LLC, SPX Electric Heat, Inc., ASPEQ Parent Holdings, Inc., and Industrial Growth Partners V, L.P, incorporated by reference to Exhibit 10.2 to our Current Report on Form 8-K filed on August 1, 2023 (File no. 1-6948).</w:t>
              </w:r>
            </w:hyperlink>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22023.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22023.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9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22023.htm">
              <w:r>
                <w:rPr>
                  <w:rStyle w:val="InternetLink"/>
                  <w:rFonts w:ascii="Times New Roman;sans-serif" w:hAnsi="Times New Roman;sans-serif"/>
                  <w:b w:val="false"/>
                  <w:color w:val="0000FF"/>
                  <w:sz w:val="20"/>
                  <w:u w:val="single"/>
                </w:rPr>
                <w:t>Certification of Chief Executive Officer and Chief Financial Officer pursuant to Section 906 of the Sarbanes-Oxley Act of 2002.</w:t>
              </w:r>
            </w:hyperlink>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556"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(the instance document does not appear in the Interactive Data File because its XBRL tags are embedded within the Inline XBRL)</w:t>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55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55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55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Definitions Linkbase Document</w:t>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55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55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5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the Interactive Data Files submitted as Exhibit 101.*)</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center"/>
        <w:rPr>
          <w:color w:val="000000"/>
        </w:rPr>
      </w:pPr>
      <w:r>
        <w:rPr>
          <w:color w:val="000000"/>
        </w:rPr>
        <w:t> </w:t>
      </w:r>
    </w:p>
    <w:tbl>
      <w:tblPr>
        <w:tblW w:w="8075" w:type="dxa"/>
        <w:jc w:val="center"/>
        <w:tblInd w:w="0" w:type="dxa"/>
        <w:tblLayout w:type="fixed"/>
        <w:tblCellMar>
          <w:top w:w="28" w:type="dxa"/>
          <w:left w:w="28" w:type="dxa"/>
          <w:bottom w:w="28" w:type="dxa"/>
          <w:right w:w="28" w:type="dxa"/>
        </w:tblCellMar>
      </w:tblPr>
      <w:tblGrid>
        <w:gridCol w:w="667"/>
        <w:gridCol w:w="587"/>
        <w:gridCol w:w="590"/>
        <w:gridCol w:w="109"/>
        <w:gridCol w:w="109"/>
        <w:gridCol w:w="109"/>
        <w:gridCol w:w="408"/>
        <w:gridCol w:w="408"/>
        <w:gridCol w:w="408"/>
        <w:gridCol w:w="1366"/>
        <w:gridCol w:w="1366"/>
        <w:gridCol w:w="194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SPX TECHNOLOGIES, INC.</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2, 2023</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 Eugene J. Lowe, III</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President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2, 2023</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 Mark A. Carano</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Vice President, Chief Financial Officer and Treasurer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5"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16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 Eugene J. Lowe, III, certify that:</w:t>
      </w:r>
    </w:p>
    <w:p>
      <w:pPr>
        <w:pStyle w:val="TextBody"/>
        <w:bidi w:val="0"/>
        <w:spacing w:lineRule="auto" w:line="288" w:before="160" w:after="283"/>
        <w:ind w:left="0" w:right="0" w:hanging="720"/>
        <w:jc w:val="left"/>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I have reviewed this quarterly report on Form 10-Q of SPX Technologies, Inc.;</w:t>
      </w:r>
    </w:p>
    <w:p>
      <w:pPr>
        <w:pStyle w:val="TextBody"/>
        <w:bidi w:val="0"/>
        <w:spacing w:lineRule="auto" w:line="288" w:before="160" w:after="283"/>
        <w:ind w:left="0" w:right="0" w:hanging="72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720"/>
        <w:jc w:val="left"/>
        <w:rPr/>
      </w:pPr>
      <w:r>
        <w:rPr>
          <w:rFonts w:ascii="Times New Roman;sans-serif" w:hAnsi="Times New Roman;sans-serif"/>
          <w:b w:val="false"/>
          <w:color w:val="000000"/>
          <w:sz w:val="20"/>
        </w:rPr>
        <w:t>3.</w:t>
      </w:r>
      <w:r>
        <w:rPr>
          <w:color w:val="000000"/>
        </w:rPr>
        <w:t>    </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720"/>
        <w:jc w:val="left"/>
        <w:rPr/>
      </w:pPr>
      <w:r>
        <w:rPr>
          <w:rFonts w:ascii="Times New Roman;sans-serif" w:hAnsi="Times New Roman;sans-serif"/>
          <w:b w:val="false"/>
          <w:color w:val="000000"/>
          <w:sz w:val="20"/>
        </w:rPr>
        <w:t>4.</w:t>
      </w:r>
      <w:r>
        <w:rPr>
          <w:color w:val="000000"/>
        </w:rPr>
        <w:t>    </w:t>
      </w: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720"/>
        <w:jc w:val="both"/>
        <w:rPr/>
      </w:pPr>
      <w:r>
        <w:rPr>
          <w:rFonts w:ascii="Times New Roman;sans-serif" w:hAnsi="Times New Roman;sans-serif"/>
          <w:b w:val="false"/>
          <w:color w:val="000000"/>
          <w:sz w:val="20"/>
        </w:rPr>
        <w:t>a.</w:t>
      </w:r>
      <w:r>
        <w:rPr>
          <w:color w:val="000000"/>
        </w:rPr>
        <w:t>    </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720"/>
        <w:jc w:val="both"/>
        <w:rPr/>
      </w:pPr>
      <w:r>
        <w:rPr>
          <w:rFonts w:ascii="Times New Roman;sans-serif" w:hAnsi="Times New Roman;sans-serif"/>
          <w:b w:val="false"/>
          <w:color w:val="000000"/>
          <w:sz w:val="20"/>
        </w:rPr>
        <w:t>b.</w:t>
      </w:r>
      <w:r>
        <w:rPr>
          <w:color w:val="000000"/>
        </w:rPr>
        <w:t>    </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720"/>
        <w:jc w:val="both"/>
        <w:rPr/>
      </w:pPr>
      <w:r>
        <w:rPr>
          <w:rFonts w:ascii="Times New Roman;sans-serif" w:hAnsi="Times New Roman;sans-serif"/>
          <w:b w:val="false"/>
          <w:color w:val="000000"/>
          <w:sz w:val="20"/>
        </w:rPr>
        <w:t>c.</w:t>
      </w:r>
      <w:r>
        <w:rPr>
          <w:color w:val="000000"/>
        </w:rPr>
        <w:t>    </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720"/>
        <w:jc w:val="both"/>
        <w:rPr/>
      </w:pPr>
      <w:r>
        <w:rPr>
          <w:rFonts w:ascii="Times New Roman;sans-serif" w:hAnsi="Times New Roman;sans-serif"/>
          <w:b w:val="false"/>
          <w:color w:val="000000"/>
          <w:sz w:val="20"/>
        </w:rPr>
        <w:t>d.</w:t>
      </w:r>
      <w:r>
        <w:rPr>
          <w:color w:val="000000"/>
        </w:rPr>
        <w:t>    </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720"/>
        <w:jc w:val="left"/>
        <w:rPr/>
      </w:pPr>
      <w:r>
        <w:rPr>
          <w:rFonts w:ascii="Times New Roman;sans-serif" w:hAnsi="Times New Roman;sans-serif"/>
          <w:b w:val="false"/>
          <w:color w:val="000000"/>
          <w:sz w:val="20"/>
        </w:rPr>
        <w:t>5.</w:t>
      </w:r>
      <w:r>
        <w:rPr>
          <w:color w:val="000000"/>
        </w:rPr>
        <w:t>    </w:t>
      </w: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720"/>
        <w:jc w:val="both"/>
        <w:rPr/>
      </w:pPr>
      <w:r>
        <w:rPr>
          <w:rFonts w:ascii="Times New Roman;sans-serif" w:hAnsi="Times New Roman;sans-serif"/>
          <w:b w:val="false"/>
          <w:color w:val="000000"/>
          <w:sz w:val="20"/>
        </w:rPr>
        <w:t>a.</w:t>
      </w:r>
      <w:r>
        <w:rPr>
          <w:color w:val="000000"/>
        </w:rPr>
        <w:t>    </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720"/>
        <w:jc w:val="both"/>
        <w:rPr/>
      </w:pPr>
      <w:r>
        <w:rPr>
          <w:rFonts w:ascii="Times New Roman;sans-serif" w:hAnsi="Times New Roman;sans-serif"/>
          <w:b w:val="false"/>
          <w:color w:val="000000"/>
          <w:sz w:val="20"/>
        </w:rPr>
        <w:t>b.</w:t>
      </w:r>
      <w:r>
        <w:rPr>
          <w:color w:val="000000"/>
        </w:rPr>
        <w:t>    </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160" w:after="283"/>
        <w:ind w:left="0" w:right="0" w:hanging="720"/>
        <w:jc w:val="both"/>
        <w:rPr/>
      </w:pPr>
      <w:r>
        <w:rPr/>
      </w:r>
    </w:p>
    <w:tbl>
      <w:tblPr>
        <w:tblW w:w="5054" w:type="dxa"/>
        <w:jc w:val="left"/>
        <w:tblInd w:w="0" w:type="dxa"/>
        <w:tblLayout w:type="fixed"/>
        <w:tblCellMar>
          <w:top w:w="28" w:type="dxa"/>
          <w:left w:w="28" w:type="dxa"/>
          <w:bottom w:w="28" w:type="dxa"/>
          <w:right w:w="28" w:type="dxa"/>
        </w:tblCellMar>
      </w:tblPr>
      <w:tblGrid>
        <w:gridCol w:w="667"/>
        <w:gridCol w:w="587"/>
        <w:gridCol w:w="590"/>
        <w:gridCol w:w="940"/>
        <w:gridCol w:w="940"/>
        <w:gridCol w:w="133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2, 2023</w:t>
            </w:r>
          </w:p>
        </w:tc>
        <w:tc>
          <w:tcPr>
            <w:tcW w:w="321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EUGENE J. LOWE, III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Eugene J. Lowe, III</w:t>
            </w:r>
          </w:p>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5"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6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 Mark A. Carano, certify that:</w:t>
      </w:r>
    </w:p>
    <w:p>
      <w:pPr>
        <w:pStyle w:val="TextBody"/>
        <w:bidi w:val="0"/>
        <w:spacing w:lineRule="auto" w:line="288" w:before="1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SPX Technologies, Inc.;</w:t>
      </w:r>
    </w:p>
    <w:p>
      <w:pPr>
        <w:pStyle w:val="TextBody"/>
        <w:bidi w:val="0"/>
        <w:spacing w:lineRule="auto" w:line="288" w:before="1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60" w:after="283"/>
        <w:ind w:left="0" w:right="0" w:hanging="720"/>
        <w:jc w:val="both"/>
        <w:rPr/>
      </w:pPr>
      <w:r>
        <w:rPr/>
      </w:r>
    </w:p>
    <w:tbl>
      <w:tblPr>
        <w:tblW w:w="6254" w:type="dxa"/>
        <w:jc w:val="left"/>
        <w:tblInd w:w="0" w:type="dxa"/>
        <w:tblLayout w:type="fixed"/>
        <w:tblCellMar>
          <w:top w:w="28" w:type="dxa"/>
          <w:left w:w="28" w:type="dxa"/>
          <w:bottom w:w="28" w:type="dxa"/>
          <w:right w:w="28" w:type="dxa"/>
        </w:tblCellMar>
      </w:tblPr>
      <w:tblGrid>
        <w:gridCol w:w="667"/>
        <w:gridCol w:w="587"/>
        <w:gridCol w:w="590"/>
        <w:gridCol w:w="1290"/>
        <w:gridCol w:w="1290"/>
        <w:gridCol w:w="183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2, 2023</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MARK A. CARANO</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A. Carano</w:t>
              <w:br/>
              <w:t>Vice President, Chief Financial Officer and Treasurer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5"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 PURSUANT TO 18 U.S.C. SECTION 1350,</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before="0" w:after="0"/>
        <w:jc w:val="center"/>
        <w:rPr/>
      </w:pPr>
      <w:r>
        <w:rPr/>
      </w:r>
    </w:p>
    <w:p>
      <w:pPr>
        <w:pStyle w:val="TextBody"/>
        <w:bidi w:val="0"/>
        <w:spacing w:lineRule="auto" w:line="345" w:before="0" w:after="0"/>
        <w:jc w:val="both"/>
        <w:rPr>
          <w:color w:val="000000"/>
        </w:rPr>
      </w:pPr>
      <w:r>
        <w:rPr>
          <w:color w:val="000000"/>
        </w:rPr>
        <w:t>    </w:t>
      </w:r>
      <w:r>
        <w:rPr>
          <w:rFonts w:ascii="Times New Roman;sans-serif" w:hAnsi="Times New Roman;sans-serif"/>
          <w:b w:val="false"/>
          <w:color w:val="000000"/>
          <w:sz w:val="20"/>
        </w:rPr>
        <w:t>In connection with the Quarterly Report of SPX Technologies, Inc. on Form 10-Q for the period ended July 1, 2023, as filed with the Securities and Exchange Commission on the date hereof (the “Report”), we certify, pursuant to 18 U.S.C. Section 1350, as adopted pursuant to Section 906 of the Sarbanes-Oxley Act of 2002, that, to the best of our knowledge:</w:t>
      </w:r>
    </w:p>
    <w:p>
      <w:pPr>
        <w:pStyle w:val="TextBody"/>
        <w:bidi w:val="0"/>
        <w:spacing w:before="0" w:after="0"/>
        <w:jc w:val="both"/>
        <w:rPr/>
      </w:pPr>
      <w:r>
        <w:rPr/>
      </w:r>
    </w:p>
    <w:p>
      <w:pPr>
        <w:pStyle w:val="TextBody"/>
        <w:bidi w:val="0"/>
        <w:spacing w:lineRule="auto" w:line="345"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345"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SPX Technologies, Inc.</w:t>
      </w:r>
    </w:p>
    <w:p>
      <w:pPr>
        <w:pStyle w:val="TextBody"/>
        <w:bidi w:val="0"/>
        <w:spacing w:before="0" w:after="0"/>
        <w:jc w:val="left"/>
        <w:rPr/>
      </w:pPr>
      <w:r>
        <w:rPr/>
      </w:r>
    </w:p>
    <w:p>
      <w:pPr>
        <w:pStyle w:val="TextBody"/>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2, 2023</w:t>
      </w:r>
    </w:p>
    <w:tbl>
      <w:tblPr>
        <w:tblW w:w="7917" w:type="dxa"/>
        <w:jc w:val="center"/>
        <w:tblInd w:w="0" w:type="dxa"/>
        <w:tblLayout w:type="fixed"/>
        <w:tblCellMar>
          <w:top w:w="28" w:type="dxa"/>
          <w:left w:w="28" w:type="dxa"/>
          <w:bottom w:w="28" w:type="dxa"/>
          <w:right w:w="28" w:type="dxa"/>
        </w:tblCellMar>
      </w:tblPr>
      <w:tblGrid>
        <w:gridCol w:w="1151"/>
        <w:gridCol w:w="1010"/>
        <w:gridCol w:w="1019"/>
        <w:gridCol w:w="109"/>
        <w:gridCol w:w="109"/>
        <w:gridCol w:w="109"/>
        <w:gridCol w:w="1290"/>
        <w:gridCol w:w="1290"/>
        <w:gridCol w:w="1830"/>
      </w:tblGrid>
      <w:tr>
        <w:trPr/>
        <w:tc>
          <w:tcPr>
            <w:tcW w:w="115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EUGENE J. LOWE,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MARK A. CARANO</w:t>
            </w:r>
          </w:p>
        </w:tc>
      </w:tr>
      <w:tr>
        <w:trPr/>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Eugene J. Lowe, III</w:t>
            </w:r>
          </w:p>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A. Carano</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Vice President, Chief Financial Officer and Treasurer</w:t>
            </w:r>
          </w:p>
        </w:tc>
      </w:tr>
    </w:tbl>
    <w:p>
      <w:pPr>
        <w:pStyle w:val="TextBody"/>
        <w:bidi w:val="0"/>
        <w:spacing w:lineRule="auto" w:line="345"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 signed original of this written statement required by Section 906 has been provided to SPX Technologies, Inc. and will be retained by SPX Technologies, Inc. and furnished to the Securities and Exchange Commission or its staff upon request.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88205/000008820523000007/spxc-20221231.htm" TargetMode="External"/><Relationship Id="rId3" Type="http://schemas.openxmlformats.org/officeDocument/2006/relationships/hyperlink" Target="https://www.sec.gov/ix?doc=/Archives/edgar/data/88205/000008820523000007/spxc-20221231.htm" TargetMode="External"/><Relationship Id="rId4" Type="http://schemas.openxmlformats.org/officeDocument/2006/relationships/hyperlink" Target="https://www.sec.gov/Archives/edgar/data/88205/000110465923086426/tm2321538d1_ex10-1.htm" TargetMode="External"/><Relationship Id="rId5" Type="http://schemas.openxmlformats.org/officeDocument/2006/relationships/hyperlink" Target="https://www.sec.gov/Archives/edgar/data/88205/000110465923086426/tm2321538d1_ex10-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26213</Words>
  <Characters>143093</Characters>
  <CharactersWithSpaces>168020</CharactersWithSpaces>
  <Paragraphs>3170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