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40"/>
        <w:spacing w:after="0"/>
        <w:tabs>
          <w:tab w:leader="none" w:pos="3460" w:val="left"/>
        </w:tabs>
        <w:rPr>
          <w:sz w:val="20"/>
          <w:szCs w:val="20"/>
          <w:color w:val="auto"/>
        </w:rPr>
      </w:pPr>
      <w:r>
        <w:rPr>
          <w:rFonts w:ascii="Courier New" w:cs="Courier New" w:eastAsia="Courier New" w:hAnsi="Courier New"/>
          <w:sz w:val="18"/>
          <w:szCs w:val="18"/>
          <w:color w:val="auto"/>
        </w:rPr>
        <w:t>F O R M</w:t>
      </w:r>
      <w:r>
        <w:rPr>
          <w:sz w:val="20"/>
          <w:szCs w:val="20"/>
          <w:color w:val="auto"/>
        </w:rPr>
        <w:tab/>
      </w:r>
      <w:r>
        <w:rPr>
          <w:rFonts w:ascii="Courier New" w:cs="Courier New" w:eastAsia="Courier New" w:hAnsi="Courier New"/>
          <w:sz w:val="16"/>
          <w:szCs w:val="16"/>
          <w:color w:val="auto"/>
        </w:rPr>
        <w:t>1 0 - Q</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10" w:lineRule="exact"/>
        <w:rPr>
          <w:sz w:val="24"/>
          <w:szCs w:val="24"/>
          <w:color w:val="auto"/>
        </w:rPr>
      </w:pPr>
    </w:p>
    <w:p>
      <w:pPr>
        <w:ind w:left="1060" w:right="3779" w:hanging="525"/>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For the quarterly period ended March 31, 1994</w:t>
      </w:r>
    </w:p>
    <w:p>
      <w:pPr>
        <w:spacing w:after="0" w:line="201" w:lineRule="exact"/>
        <w:rPr>
          <w:sz w:val="24"/>
          <w:szCs w:val="24"/>
          <w:color w:val="auto"/>
        </w:rPr>
      </w:pPr>
    </w:p>
    <w:p>
      <w:pPr>
        <w:ind w:left="740" w:hanging="205"/>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For the transition period from ________ to _________</w:t>
      </w:r>
    </w:p>
    <w:p>
      <w:pPr>
        <w:spacing w:after="0" w:line="218"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Commission File Number 1-6948</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SPX CORPORATION</w:t>
      </w:r>
    </w:p>
    <w:p>
      <w:pPr>
        <w:spacing w:after="0" w:line="4"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38-1016240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w:t>
      </w:r>
    </w:p>
    <w:p>
      <w:pPr>
        <w:spacing w:after="0" w:line="419" w:lineRule="exact"/>
        <w:rPr>
          <w:sz w:val="24"/>
          <w:szCs w:val="24"/>
          <w:color w:val="auto"/>
        </w:rPr>
      </w:pPr>
    </w:p>
    <w:p>
      <w:pPr>
        <w:sectPr>
          <w:pgSz w:w="11900" w:h="16838" w:orient="portrait"/>
          <w:cols w:equalWidth="0" w:num="2">
            <w:col w:w="3080" w:space="720"/>
            <w:col w:w="6419"/>
          </w:cols>
          <w:pgMar w:left="240" w:top="244"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700 Terrace Point Drive, Muskegon, Michigan</w:t>
      </w:r>
    </w:p>
    <w:p>
      <w:pPr>
        <w:spacing w:after="0" w:line="4"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(Address of Principal Executive Office)</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49443</w:t>
      </w:r>
    </w:p>
    <w:p>
      <w:pPr>
        <w:spacing w:after="0" w:line="385" w:lineRule="exact"/>
        <w:rPr>
          <w:sz w:val="24"/>
          <w:szCs w:val="24"/>
          <w:color w:val="auto"/>
        </w:rPr>
      </w:pPr>
    </w:p>
    <w:p>
      <w:pPr>
        <w:sectPr>
          <w:pgSz w:w="11900" w:h="16838" w:orient="portrait"/>
          <w:cols w:equalWidth="0" w:num="2">
            <w:col w:w="5480" w:space="0"/>
            <w:col w:w="4739"/>
          </w:cols>
          <w:pgMar w:left="240" w:top="244"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(616) 724-5000</w:t>
      </w:r>
    </w:p>
    <w:p>
      <w:pPr>
        <w:spacing w:after="0" w:line="200" w:lineRule="exact"/>
        <w:rPr>
          <w:sz w:val="24"/>
          <w:szCs w:val="24"/>
          <w:color w:val="auto"/>
        </w:rPr>
      </w:pPr>
    </w:p>
    <w:p>
      <w:pPr>
        <w:spacing w:after="0" w:line="209" w:lineRule="exact"/>
        <w:rPr>
          <w:sz w:val="24"/>
          <w:szCs w:val="24"/>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spacing w:after="0" w:line="207" w:lineRule="exact"/>
        <w:rPr>
          <w:sz w:val="24"/>
          <w:szCs w:val="24"/>
          <w:color w:val="auto"/>
        </w:rPr>
      </w:pPr>
    </w:p>
    <w:p>
      <w:pPr>
        <w:ind w:left="4220"/>
        <w:spacing w:after="0"/>
        <w:tabs>
          <w:tab w:leader="none" w:pos="4840" w:val="left"/>
          <w:tab w:leader="none" w:pos="546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Common shares outstanding April 29, 1994 -- 13,944,106</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 - FINANCIAL INFORMATION</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SPX CORPORATION AND SUBSIDIARIES</w:t>
      </w:r>
    </w:p>
    <w:p>
      <w:pPr>
        <w:jc w:val="center"/>
        <w:ind w:right="3359"/>
        <w:spacing w:after="0" w:line="238" w:lineRule="auto"/>
        <w:rPr>
          <w:sz w:val="20"/>
          <w:szCs w:val="20"/>
          <w:color w:val="auto"/>
        </w:rPr>
      </w:pPr>
      <w:r>
        <w:rPr>
          <w:rFonts w:ascii="Courier New" w:cs="Courier New" w:eastAsia="Courier New" w:hAnsi="Courier New"/>
          <w:sz w:val="18"/>
          <w:szCs w:val="18"/>
          <w:color w:val="auto"/>
        </w:rPr>
        <w:t>CONSOLIDATED CONDENSED BALANCE SHEETS</w:t>
      </w:r>
    </w:p>
    <w:p>
      <w:pPr>
        <w:jc w:val="center"/>
        <w:ind w:right="3459"/>
        <w:spacing w:after="0"/>
        <w:rPr>
          <w:sz w:val="20"/>
          <w:szCs w:val="20"/>
          <w:color w:val="auto"/>
        </w:rPr>
      </w:pPr>
      <w:r>
        <w:rPr>
          <w:rFonts w:ascii="Courier New" w:cs="Courier New" w:eastAsia="Courier New" w:hAnsi="Courier New"/>
          <w:sz w:val="18"/>
          <w:szCs w:val="18"/>
          <w:color w:val="auto"/>
        </w:rPr>
        <w:t>(000s omitted)</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3"/>
          </w:tcPr>
          <w:p>
            <w:pPr>
              <w:jc w:val="center"/>
              <w:ind w:right="52"/>
              <w:spacing w:after="0"/>
              <w:rPr>
                <w:sz w:val="20"/>
                <w:szCs w:val="20"/>
                <w:color w:val="auto"/>
              </w:rPr>
            </w:pPr>
            <w:r>
              <w:rPr>
                <w:rFonts w:ascii="Courier New" w:cs="Courier New" w:eastAsia="Courier New" w:hAnsi="Courier New"/>
                <w:sz w:val="18"/>
                <w:szCs w:val="18"/>
                <w:color w:val="auto"/>
                <w:w w:val="97"/>
              </w:rPr>
              <w:t>(Unaudited)</w:t>
            </w:r>
          </w:p>
        </w:tc>
      </w:tr>
      <w:tr>
        <w:trPr>
          <w:trHeight w:val="203"/>
        </w:trPr>
        <w:tc>
          <w:tcPr>
            <w:tcW w:w="4540" w:type="dxa"/>
            <w:vAlign w:val="bottom"/>
          </w:tcPr>
          <w:p>
            <w:pPr>
              <w:spacing w:after="0"/>
              <w:rPr>
                <w:sz w:val="17"/>
                <w:szCs w:val="17"/>
                <w:color w:val="auto"/>
              </w:rPr>
            </w:pPr>
          </w:p>
        </w:tc>
        <w:tc>
          <w:tcPr>
            <w:tcW w:w="12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March 31</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December 31</w:t>
            </w: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Assets: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temporary cash investments</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14,899</w:t>
            </w:r>
          </w:p>
        </w:tc>
        <w:tc>
          <w:tcPr>
            <w:tcW w:w="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117,843</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Receivables</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148,440</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123,081</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Lease finance receivables-current portion</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32,839</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33,834</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161,066</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159,223</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 asset and refunds</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54,489</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54,489</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Prepaid expenses and other current assets</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27,451</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29,726</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439,184</w:t>
            </w:r>
          </w:p>
        </w:tc>
        <w:tc>
          <w:tcPr>
            <w:tcW w:w="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518,196</w:t>
            </w:r>
          </w:p>
        </w:tc>
      </w:tr>
      <w:tr>
        <w:trPr>
          <w:trHeight w:val="405"/>
        </w:trPr>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rPr>
              <w:t>Investments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13,945</w:t>
            </w:r>
          </w:p>
        </w:tc>
        <w:tc>
          <w:tcPr>
            <w:tcW w:w="16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13,446</w:t>
            </w:r>
          </w:p>
        </w:tc>
      </w:tr>
      <w:tr>
        <w:trPr>
          <w:trHeight w:val="405"/>
        </w:trPr>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rPr>
              <w:t>Property, plant and equipment (at cost)</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374,644</w:t>
            </w:r>
          </w:p>
        </w:tc>
        <w:tc>
          <w:tcPr>
            <w:tcW w:w="16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367,832</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Less:</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Accumulated depreciation</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(176,203)</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(169,687)</w:t>
            </w:r>
          </w:p>
        </w:tc>
      </w:tr>
      <w:tr>
        <w:trPr>
          <w:trHeight w:val="203"/>
        </w:trPr>
        <w:tc>
          <w:tcPr>
            <w:tcW w:w="8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198,441</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198,145</w:t>
            </w: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Lease finance receivables - long term</w:t>
            </w:r>
          </w:p>
        </w:tc>
        <w:tc>
          <w:tcPr>
            <w:tcW w:w="1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50,079</w:t>
            </w:r>
          </w:p>
        </w:tc>
        <w:tc>
          <w:tcPr>
            <w:tcW w:w="1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51,013</w:t>
            </w: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Costs in excess of net assets of businesses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acquired</w:t>
            </w:r>
          </w:p>
        </w:tc>
        <w:tc>
          <w:tcPr>
            <w:tcW w:w="1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202,835</w:t>
            </w:r>
          </w:p>
        </w:tc>
        <w:tc>
          <w:tcPr>
            <w:tcW w:w="1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204,149</w:t>
            </w: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Other assets</w:t>
            </w:r>
          </w:p>
        </w:tc>
        <w:tc>
          <w:tcPr>
            <w:tcW w:w="1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43,420</w:t>
            </w:r>
          </w:p>
        </w:tc>
        <w:tc>
          <w:tcPr>
            <w:tcW w:w="1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39,452</w:t>
            </w:r>
          </w:p>
        </w:tc>
      </w:tr>
      <w:tr>
        <w:trPr>
          <w:trHeight w:val="203"/>
        </w:trPr>
        <w:tc>
          <w:tcPr>
            <w:tcW w:w="8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947,904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1,024,401</w:t>
            </w: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Notes payable and current maturities of</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long-term debt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44,208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93,975</w:t>
            </w: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80,141</w:t>
            </w:r>
          </w:p>
        </w:tc>
        <w:tc>
          <w:tcPr>
            <w:tcW w:w="1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62,968</w:t>
            </w: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179,144</w:t>
            </w:r>
          </w:p>
        </w:tc>
        <w:tc>
          <w:tcPr>
            <w:tcW w:w="1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229,998</w:t>
            </w: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12,596</w:t>
            </w:r>
          </w:p>
        </w:tc>
        <w:tc>
          <w:tcPr>
            <w:tcW w:w="1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11,864</w:t>
            </w:r>
          </w:p>
        </w:tc>
      </w:tr>
      <w:tr>
        <w:trPr>
          <w:trHeight w:val="203"/>
        </w:trPr>
        <w:tc>
          <w:tcPr>
            <w:tcW w:w="46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316,089</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398,805</w:t>
            </w:r>
          </w:p>
        </w:tc>
      </w:tr>
      <w:tr>
        <w:trPr>
          <w:trHeight w:val="405"/>
        </w:trPr>
        <w:tc>
          <w:tcPr>
            <w:tcW w:w="4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Long-term liabilities</w:t>
            </w:r>
          </w:p>
        </w:tc>
        <w:tc>
          <w:tcPr>
            <w:tcW w:w="16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123,953</w:t>
            </w:r>
          </w:p>
        </w:tc>
        <w:tc>
          <w:tcPr>
            <w:tcW w:w="10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123,235</w:t>
            </w: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21,338</w:t>
            </w:r>
          </w:p>
        </w:tc>
        <w:tc>
          <w:tcPr>
            <w:tcW w:w="1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20,787</w:t>
            </w: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Long-term debt</w:t>
            </w:r>
          </w:p>
        </w:tc>
        <w:tc>
          <w:tcPr>
            <w:tcW w:w="1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338,513</w:t>
            </w:r>
          </w:p>
        </w:tc>
        <w:tc>
          <w:tcPr>
            <w:tcW w:w="1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336,187</w:t>
            </w:r>
          </w:p>
        </w:tc>
      </w:tr>
      <w:tr>
        <w:trPr>
          <w:trHeight w:val="405"/>
        </w:trPr>
        <w:tc>
          <w:tcPr>
            <w:tcW w:w="4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Shareholders' Equity:</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Common stock</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155,772</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155,558</w:t>
            </w:r>
          </w:p>
        </w:tc>
      </w:tr>
      <w:tr>
        <w:trPr>
          <w:trHeight w:val="203"/>
        </w:trPr>
        <w:tc>
          <w:tcPr>
            <w:tcW w:w="4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Paid in capital</w:t>
            </w:r>
          </w:p>
        </w:tc>
        <w:tc>
          <w:tcPr>
            <w:tcW w:w="1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58,624</w:t>
            </w:r>
          </w:p>
        </w:tc>
        <w:tc>
          <w:tcPr>
            <w:tcW w:w="1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58,926</w:t>
            </w:r>
          </w:p>
        </w:tc>
      </w:tr>
      <w:tr>
        <w:trPr>
          <w:trHeight w:val="203"/>
        </w:trPr>
        <w:tc>
          <w:tcPr>
            <w:tcW w:w="4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22,112</w:t>
            </w:r>
          </w:p>
        </w:tc>
        <w:tc>
          <w:tcPr>
            <w:tcW w:w="1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20,282</w:t>
            </w:r>
          </w:p>
        </w:tc>
      </w:tr>
      <w:tr>
        <w:trPr>
          <w:trHeight w:val="203"/>
        </w:trPr>
        <w:tc>
          <w:tcPr>
            <w:tcW w:w="8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236,508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234,766</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Less:</w:t>
            </w:r>
          </w:p>
        </w:tc>
        <w:tc>
          <w:tcPr>
            <w:tcW w:w="3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Common stock held in treasury</w:t>
            </w:r>
          </w:p>
        </w:tc>
        <w:tc>
          <w:tcPr>
            <w:tcW w:w="1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w:t>
            </w:r>
          </w:p>
        </w:tc>
        <w:tc>
          <w:tcPr>
            <w:tcW w:w="1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860" w:type="dxa"/>
            <w:vAlign w:val="bottom"/>
          </w:tcPr>
          <w:p>
            <w:pPr>
              <w:spacing w:after="0"/>
              <w:rPr>
                <w:sz w:val="17"/>
                <w:szCs w:val="17"/>
                <w:color w:val="auto"/>
              </w:rPr>
            </w:pPr>
          </w:p>
        </w:tc>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Unearned compensation - ESOP</w:t>
            </w:r>
          </w:p>
        </w:tc>
        <w:tc>
          <w:tcPr>
            <w:tcW w:w="1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35,046</w:t>
            </w:r>
          </w:p>
        </w:tc>
        <w:tc>
          <w:tcPr>
            <w:tcW w:w="1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35,900</w:t>
            </w:r>
          </w:p>
        </w:tc>
      </w:tr>
      <w:tr>
        <w:trPr>
          <w:trHeight w:val="203"/>
        </w:trPr>
        <w:tc>
          <w:tcPr>
            <w:tcW w:w="860" w:type="dxa"/>
            <w:vAlign w:val="bottom"/>
          </w:tcPr>
          <w:p>
            <w:pPr>
              <w:spacing w:after="0"/>
              <w:rPr>
                <w:sz w:val="17"/>
                <w:szCs w:val="17"/>
                <w:color w:val="auto"/>
              </w:rPr>
            </w:pPr>
          </w:p>
        </w:tc>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1,320</w:t>
            </w:r>
          </w:p>
        </w:tc>
        <w:tc>
          <w:tcPr>
            <w:tcW w:w="1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1,080</w:t>
            </w:r>
          </w:p>
        </w:tc>
      </w:tr>
      <w:tr>
        <w:trPr>
          <w:trHeight w:val="203"/>
        </w:trPr>
        <w:tc>
          <w:tcPr>
            <w:tcW w:w="860" w:type="dxa"/>
            <w:vAlign w:val="bottom"/>
          </w:tcPr>
          <w:p>
            <w:pPr>
              <w:spacing w:after="0"/>
              <w:rPr>
                <w:sz w:val="17"/>
                <w:szCs w:val="17"/>
                <w:color w:val="auto"/>
              </w:rPr>
            </w:pPr>
          </w:p>
        </w:tc>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Cumulative translation adjustments</w:t>
            </w:r>
          </w:p>
        </w:tc>
        <w:tc>
          <w:tcPr>
            <w:tcW w:w="1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2,131</w:t>
            </w:r>
          </w:p>
        </w:tc>
        <w:tc>
          <w:tcPr>
            <w:tcW w:w="1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2,399</w:t>
            </w:r>
          </w:p>
        </w:tc>
      </w:tr>
      <w:tr>
        <w:trPr>
          <w:trHeight w:val="203"/>
        </w:trPr>
        <w:tc>
          <w:tcPr>
            <w:tcW w:w="860" w:type="dxa"/>
            <w:vAlign w:val="bottom"/>
          </w:tcPr>
          <w:p>
            <w:pPr>
              <w:spacing w:after="0"/>
              <w:rPr>
                <w:sz w:val="17"/>
                <w:szCs w:val="17"/>
                <w:color w:val="auto"/>
              </w:rPr>
            </w:pPr>
          </w:p>
        </w:tc>
        <w:tc>
          <w:tcPr>
            <w:tcW w:w="3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148,011</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145,387</w:t>
            </w:r>
          </w:p>
        </w:tc>
      </w:tr>
      <w:tr>
        <w:trPr>
          <w:trHeight w:val="203"/>
        </w:trPr>
        <w:tc>
          <w:tcPr>
            <w:tcW w:w="8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947,904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1,024,401</w:t>
            </w:r>
          </w:p>
        </w:tc>
      </w:tr>
    </w:tbl>
    <w:p>
      <w:pPr>
        <w:sectPr>
          <w:pgSz w:w="11900" w:h="16838" w:orient="portrait"/>
          <w:cols w:equalWidth="0" w:num="1">
            <w:col w:w="10219"/>
          </w:cols>
          <w:pgMar w:left="240" w:top="136" w:right="1440" w:bottom="1440" w:gutter="0" w:footer="0" w:header="0"/>
        </w:sectPr>
      </w:pPr>
    </w:p>
    <w:bookmarkStart w:id="2" w:name="page3"/>
    <w:bookmarkEnd w:id="2"/>
    <w:p>
      <w:pPr>
        <w:ind w:left="1700"/>
        <w:spacing w:after="0"/>
        <w:rPr>
          <w:sz w:val="20"/>
          <w:szCs w:val="20"/>
          <w:color w:val="auto"/>
        </w:rPr>
      </w:pPr>
      <w:r>
        <w:rPr>
          <w:rFonts w:ascii="Courier New" w:cs="Courier New" w:eastAsia="Courier New" w:hAnsi="Courier New"/>
          <w:sz w:val="18"/>
          <w:szCs w:val="18"/>
          <w:color w:val="auto"/>
        </w:rPr>
        <w:t>SPX CORPORATION AND SUBSIDIARIES</w:t>
      </w:r>
    </w:p>
    <w:p>
      <w:pPr>
        <w:ind w:left="1280"/>
        <w:spacing w:after="0" w:line="238" w:lineRule="auto"/>
        <w:rPr>
          <w:sz w:val="20"/>
          <w:szCs w:val="20"/>
          <w:color w:val="auto"/>
        </w:rPr>
      </w:pPr>
      <w:r>
        <w:rPr>
          <w:rFonts w:ascii="Courier New" w:cs="Courier New" w:eastAsia="Courier New" w:hAnsi="Courier New"/>
          <w:sz w:val="18"/>
          <w:szCs w:val="18"/>
          <w:color w:val="auto"/>
        </w:rPr>
        <w:t>CONSOLIDATED CONDENSED STATEMENTS OF INCOME</w:t>
      </w:r>
    </w:p>
    <w:p>
      <w:pPr>
        <w:jc w:val="right"/>
        <w:ind w:right="4099"/>
        <w:spacing w:after="0"/>
        <w:rPr>
          <w:sz w:val="20"/>
          <w:szCs w:val="20"/>
          <w:color w:val="auto"/>
        </w:rPr>
      </w:pPr>
      <w:r>
        <w:rPr>
          <w:rFonts w:ascii="Courier New" w:cs="Courier New" w:eastAsia="Courier New" w:hAnsi="Courier New"/>
          <w:sz w:val="18"/>
          <w:szCs w:val="18"/>
          <w:color w:val="auto"/>
        </w:rPr>
        <w:t>(In thousands of dollars except per share amounts)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2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2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1994</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277,451</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179,164</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COSTS &amp; EXPENSES</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 of products sold</w:t>
            </w:r>
          </w:p>
        </w:tc>
        <w:tc>
          <w:tcPr>
            <w:tcW w:w="4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207,357</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121,776</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&amp;</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4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54,160</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50,762</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expense (income), net</w:t>
            </w:r>
          </w:p>
        </w:tc>
        <w:tc>
          <w:tcPr>
            <w:tcW w:w="4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606</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1,519</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SPT equity losses</w:t>
            </w:r>
          </w:p>
        </w:tc>
        <w:tc>
          <w:tcPr>
            <w:tcW w:w="420" w:type="dxa"/>
            <w:vAlign w:val="bottom"/>
          </w:tcPr>
          <w:p>
            <w:pPr>
              <w:spacing w:after="0"/>
              <w:rPr>
                <w:sz w:val="17"/>
                <w:szCs w:val="17"/>
                <w:color w:val="auto"/>
              </w:rPr>
            </w:pPr>
          </w:p>
        </w:tc>
        <w:tc>
          <w:tcPr>
            <w:tcW w:w="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565</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15,328</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4,542</w:t>
            </w:r>
          </w:p>
        </w:tc>
      </w:tr>
      <w:tr>
        <w:trPr>
          <w:trHeight w:val="405"/>
        </w:trPr>
        <w:tc>
          <w:tcPr>
            <w:tcW w:w="3480" w:type="dxa"/>
            <w:vAlign w:val="bottom"/>
          </w:tcPr>
          <w:p>
            <w:pPr>
              <w:ind w:left="220"/>
              <w:spacing w:after="0"/>
              <w:rPr>
                <w:sz w:val="20"/>
                <w:szCs w:val="20"/>
                <w:color w:val="auto"/>
              </w:rPr>
            </w:pPr>
            <w:r>
              <w:rPr>
                <w:rFonts w:ascii="Courier New" w:cs="Courier New" w:eastAsia="Courier New" w:hAnsi="Courier New"/>
                <w:sz w:val="18"/>
                <w:szCs w:val="18"/>
                <w:color w:val="auto"/>
              </w:rPr>
              <w:t>Interest expense, net</w:t>
            </w:r>
          </w:p>
        </w:tc>
        <w:tc>
          <w:tcPr>
            <w:tcW w:w="42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10,228</w:t>
            </w:r>
          </w:p>
        </w:tc>
        <w:tc>
          <w:tcPr>
            <w:tcW w:w="4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3,907</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5,100</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635</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42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2,000</w:t>
            </w:r>
          </w:p>
        </w:tc>
        <w:tc>
          <w:tcPr>
            <w:tcW w:w="48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278</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INCOME BEFORE CUMULATIVE EFFECT</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OF CHANGE IN ACCOUNTING METHODS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357</w:t>
            </w:r>
          </w:p>
        </w:tc>
      </w:tr>
      <w:tr>
        <w:trPr>
          <w:trHeight w:val="405"/>
        </w:trPr>
        <w:tc>
          <w:tcPr>
            <w:tcW w:w="4800" w:type="dxa"/>
            <w:vAlign w:val="bottom"/>
            <w:gridSpan w:val="3"/>
          </w:tcPr>
          <w:p>
            <w:pPr>
              <w:spacing w:after="0"/>
              <w:rPr>
                <w:sz w:val="20"/>
                <w:szCs w:val="20"/>
                <w:color w:val="auto"/>
              </w:rPr>
            </w:pPr>
            <w:r>
              <w:rPr>
                <w:rFonts w:ascii="Courier New" w:cs="Courier New" w:eastAsia="Courier New" w:hAnsi="Courier New"/>
                <w:sz w:val="18"/>
                <w:szCs w:val="18"/>
                <w:color w:val="auto"/>
              </w:rPr>
              <w:t>CUMULATIVE EFFECT OF CHANGE IN ACCOUNTING</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METHODS, NET OF INCOME TAXES</w:t>
            </w:r>
          </w:p>
        </w:tc>
        <w:tc>
          <w:tcPr>
            <w:tcW w:w="420" w:type="dxa"/>
            <w:vAlign w:val="bottom"/>
          </w:tcPr>
          <w:p>
            <w:pPr>
              <w:spacing w:after="0"/>
              <w:rPr>
                <w:sz w:val="17"/>
                <w:szCs w:val="17"/>
                <w:color w:val="auto"/>
              </w:rPr>
            </w:pPr>
          </w:p>
        </w:tc>
        <w:tc>
          <w:tcPr>
            <w:tcW w:w="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(31,800)</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NET INCOME (LOSS)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3,100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(31,443)</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INCOME (LOSS) PER SHARE:</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Before cumulative effect of change</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accounting methods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Cumulative effect of change in</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accounting methods</w:t>
            </w:r>
          </w:p>
        </w:tc>
        <w:tc>
          <w:tcPr>
            <w:tcW w:w="4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 (loss)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Dividends per share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12,707,000</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12,557,000</w:t>
            </w:r>
          </w:p>
        </w:tc>
      </w:tr>
    </w:tbl>
    <w:p>
      <w:pPr>
        <w:sectPr>
          <w:pgSz w:w="11900" w:h="16838" w:orient="portrait"/>
          <w:cols w:equalWidth="0" w:num="1">
            <w:col w:w="10219"/>
          </w:cols>
          <w:pgMar w:left="240" w:top="717" w:right="1440" w:bottom="1440" w:gutter="0" w:footer="0" w:header="0"/>
        </w:sectPr>
      </w:pPr>
    </w:p>
    <w:bookmarkStart w:id="3" w:name="page4"/>
    <w:bookmarkEnd w:id="3"/>
    <w:p>
      <w:pPr>
        <w:ind w:left="1700"/>
        <w:spacing w:after="0"/>
        <w:rPr>
          <w:sz w:val="20"/>
          <w:szCs w:val="20"/>
          <w:color w:val="auto"/>
        </w:rPr>
      </w:pPr>
      <w:r>
        <w:rPr>
          <w:rFonts w:ascii="Courier New" w:cs="Courier New" w:eastAsia="Courier New" w:hAnsi="Courier New"/>
          <w:sz w:val="18"/>
          <w:szCs w:val="18"/>
          <w:color w:val="auto"/>
        </w:rPr>
        <w:t>SPX CORPORATION AND SUBSIDIARIES</w:t>
      </w:r>
    </w:p>
    <w:p>
      <w:pPr>
        <w:ind w:left="960"/>
        <w:spacing w:after="0" w:line="238" w:lineRule="auto"/>
        <w:rPr>
          <w:sz w:val="20"/>
          <w:szCs w:val="20"/>
          <w:color w:val="auto"/>
        </w:rPr>
      </w:pPr>
      <w:r>
        <w:rPr>
          <w:rFonts w:ascii="Courier New" w:cs="Courier New" w:eastAsia="Courier New" w:hAnsi="Courier New"/>
          <w:sz w:val="18"/>
          <w:szCs w:val="18"/>
          <w:color w:val="auto"/>
        </w:rPr>
        <w:t>CONSOLIDATED CONDENSED STATEMENTS OF CASH FLOWS</w:t>
      </w:r>
    </w:p>
    <w:tbl>
      <w:tblPr>
        <w:tblLayout w:type="fixed"/>
        <w:tblInd w:w="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3320" w:type="dxa"/>
            <w:vAlign w:val="bottom"/>
          </w:tcPr>
          <w:p>
            <w:pPr>
              <w:ind w:left="1360"/>
              <w:spacing w:after="0"/>
              <w:rPr>
                <w:sz w:val="20"/>
                <w:szCs w:val="20"/>
                <w:color w:val="auto"/>
              </w:rPr>
            </w:pPr>
            <w:r>
              <w:rPr>
                <w:rFonts w:ascii="Courier New" w:cs="Courier New" w:eastAsia="Courier New" w:hAnsi="Courier New"/>
                <w:sz w:val="18"/>
                <w:szCs w:val="18"/>
                <w:color w:val="auto"/>
              </w:rPr>
              <w:t>(000s omitted)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3"/>
          </w:tcPr>
          <w:p>
            <w:pPr>
              <w:ind w:left="300"/>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12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12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12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2"/>
              </w:rPr>
              <w:t>1994</w:t>
            </w:r>
          </w:p>
        </w:tc>
        <w:tc>
          <w:tcPr>
            <w:tcW w:w="16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4600" w:type="dxa"/>
            <w:vAlign w:val="bottom"/>
            <w:gridSpan w:val="2"/>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(loss) from operating activities $</w:t>
            </w:r>
          </w:p>
        </w:tc>
        <w:tc>
          <w:tcPr>
            <w:tcW w:w="8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3,100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(31,443)</w:t>
            </w:r>
          </w:p>
        </w:tc>
      </w:tr>
      <w:tr>
        <w:trPr>
          <w:trHeight w:val="203"/>
        </w:trPr>
        <w:tc>
          <w:tcPr>
            <w:tcW w:w="46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Adjustments to reconcile net income (loss)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6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to net cash from operating activities -</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Cumulative</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change in accounting</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methods</w:t>
            </w:r>
          </w:p>
        </w:tc>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31,800</w:t>
            </w:r>
          </w:p>
        </w:tc>
      </w:tr>
      <w:tr>
        <w:trPr>
          <w:trHeight w:val="203"/>
        </w:trPr>
        <w:tc>
          <w:tcPr>
            <w:tcW w:w="46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9,791</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6,424</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 deferred income taxes</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551</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2,527</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 accounts receivable</w:t>
            </w: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(25,359)</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(17,539)</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 inventories</w:t>
            </w: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(1,843)</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(899)</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Decrease</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 prepaid assets</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2,275</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867</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accounts payable</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17,173</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(1,264)</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w:t>
            </w:r>
          </w:p>
        </w:tc>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(decrease) in accrued liabilities</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(5,891)</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6,685</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w:t>
            </w:r>
          </w:p>
        </w:tc>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(decrease) in income taxes payable</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732</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(6,652)</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Decrease</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 lease finance receivables</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1,929</w:t>
            </w:r>
          </w:p>
        </w:tc>
        <w:tc>
          <w:tcPr>
            <w:tcW w:w="16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 long-term liabilities</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718</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508</w:t>
            </w:r>
          </w:p>
        </w:tc>
      </w:tr>
      <w:tr>
        <w:trPr>
          <w:trHeight w:val="203"/>
        </w:trPr>
        <w:tc>
          <w:tcPr>
            <w:tcW w:w="46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Other, net</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2,019</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600)</w:t>
            </w:r>
          </w:p>
        </w:tc>
      </w:tr>
      <w:tr>
        <w:trPr>
          <w:trHeight w:val="405"/>
        </w:trPr>
        <w:tc>
          <w:tcPr>
            <w:tcW w:w="46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Net cash from operating activities</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5,195</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(9,586)</w:t>
            </w:r>
          </w:p>
        </w:tc>
      </w:tr>
      <w:tr>
        <w:trPr>
          <w:trHeight w:val="405"/>
        </w:trPr>
        <w:tc>
          <w:tcPr>
            <w:tcW w:w="4600" w:type="dxa"/>
            <w:vAlign w:val="bottom"/>
            <w:gridSpan w:val="2"/>
          </w:tcPr>
          <w:p>
            <w:pPr>
              <w:spacing w:after="0"/>
              <w:rPr>
                <w:sz w:val="20"/>
                <w:szCs w:val="20"/>
                <w:color w:val="auto"/>
              </w:rPr>
            </w:pPr>
            <w:r>
              <w:rPr>
                <w:rFonts w:ascii="Courier New" w:cs="Courier New" w:eastAsia="Courier New" w:hAnsi="Courier New"/>
                <w:sz w:val="18"/>
                <w:szCs w:val="18"/>
                <w:color w:val="auto"/>
              </w:rPr>
              <w:t>Cash flows used by investing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6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(10,318)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(3,935)</w:t>
            </w:r>
          </w:p>
        </w:tc>
      </w:tr>
      <w:tr>
        <w:trPr>
          <w:trHeight w:val="203"/>
        </w:trPr>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Advance to</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SP Europe</w:t>
            </w:r>
          </w:p>
        </w:tc>
        <w:tc>
          <w:tcPr>
            <w:tcW w:w="260" w:type="dxa"/>
            <w:vAlign w:val="bottom"/>
          </w:tcPr>
          <w:p>
            <w:pPr>
              <w:spacing w:after="0"/>
              <w:rPr>
                <w:sz w:val="17"/>
                <w:szCs w:val="17"/>
                <w:color w:val="auto"/>
              </w:rPr>
            </w:pP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(5,206)</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used by investing activities</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(10,318)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(9,141)</w:t>
            </w:r>
          </w:p>
        </w:tc>
      </w:tr>
      <w:tr>
        <w:trPr>
          <w:trHeight w:val="405"/>
        </w:trPr>
        <w:tc>
          <w:tcPr>
            <w:tcW w:w="5740" w:type="dxa"/>
            <w:vAlign w:val="bottom"/>
            <w:gridSpan w:val="4"/>
          </w:tcPr>
          <w:p>
            <w:pPr>
              <w:spacing w:after="0"/>
              <w:rPr>
                <w:sz w:val="20"/>
                <w:szCs w:val="20"/>
                <w:color w:val="auto"/>
              </w:rPr>
            </w:pPr>
            <w:r>
              <w:rPr>
                <w:rFonts w:ascii="Courier New" w:cs="Courier New" w:eastAsia="Courier New" w:hAnsi="Courier New"/>
                <w:sz w:val="18"/>
                <w:szCs w:val="18"/>
                <w:color w:val="auto"/>
              </w:rPr>
              <w:t>Cash flows provided (used) by financing activities: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6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Net borrowings (payments) under debt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agreements</w:t>
            </w:r>
          </w:p>
        </w:tc>
        <w:tc>
          <w:tcPr>
            <w:tcW w:w="3320" w:type="dxa"/>
            <w:vAlign w:val="bottom"/>
          </w:tcPr>
          <w:p>
            <w:pPr>
              <w:spacing w:after="0"/>
              <w:rPr>
                <w:sz w:val="17"/>
                <w:szCs w:val="17"/>
                <w:color w:val="auto"/>
              </w:rPr>
            </w:pP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(47,567)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17,950</w:t>
            </w:r>
          </w:p>
        </w:tc>
      </w:tr>
      <w:tr>
        <w:trPr>
          <w:trHeight w:val="203"/>
        </w:trPr>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Payment of</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debt extinguishment costs</w:t>
            </w: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(5,963)</w:t>
            </w:r>
          </w:p>
        </w:tc>
        <w:tc>
          <w:tcPr>
            <w:tcW w:w="16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Payment of</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debt acquisition costs</w:t>
            </w: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(4,147)</w:t>
            </w:r>
          </w:p>
        </w:tc>
        <w:tc>
          <w:tcPr>
            <w:tcW w:w="16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Payment for interest in SPT</w:t>
            </w: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(39,000)</w:t>
            </w:r>
          </w:p>
        </w:tc>
        <w:tc>
          <w:tcPr>
            <w:tcW w:w="16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Dividends paid</w:t>
            </w: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(1,144)</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(1,260)</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provided (used) by financing</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3320" w:type="dxa"/>
            <w:vAlign w:val="bottom"/>
          </w:tcPr>
          <w:p>
            <w:pPr>
              <w:spacing w:after="0"/>
              <w:rPr>
                <w:sz w:val="17"/>
                <w:szCs w:val="17"/>
                <w:color w:val="auto"/>
              </w:rPr>
            </w:pP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(97,821)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16,690</w:t>
            </w:r>
          </w:p>
        </w:tc>
      </w:tr>
      <w:tr>
        <w:trPr>
          <w:trHeight w:val="405"/>
        </w:trPr>
        <w:tc>
          <w:tcPr>
            <w:tcW w:w="4600" w:type="dxa"/>
            <w:vAlign w:val="bottom"/>
            <w:gridSpan w:val="2"/>
          </w:tcPr>
          <w:p>
            <w:pPr>
              <w:spacing w:after="0"/>
              <w:rPr>
                <w:sz w:val="20"/>
                <w:szCs w:val="20"/>
                <w:color w:val="auto"/>
              </w:rPr>
            </w:pPr>
            <w:r>
              <w:rPr>
                <w:rFonts w:ascii="Courier New" w:cs="Courier New" w:eastAsia="Courier New" w:hAnsi="Courier New"/>
                <w:sz w:val="18"/>
                <w:szCs w:val="18"/>
                <w:color w:val="auto"/>
              </w:rPr>
              <w:t>Net decrease in cash and temporary</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6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cash investments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$(102,944)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(2,037)</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and temporary cash investments,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6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beg. of period</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117,843</w:t>
            </w:r>
          </w:p>
        </w:tc>
        <w:tc>
          <w:tcPr>
            <w:tcW w:w="1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9,729</w:t>
            </w:r>
          </w:p>
        </w:tc>
      </w:tr>
      <w:tr>
        <w:trPr>
          <w:trHeight w:val="405"/>
        </w:trPr>
        <w:tc>
          <w:tcPr>
            <w:tcW w:w="4600" w:type="dxa"/>
            <w:vAlign w:val="bottom"/>
            <w:gridSpan w:val="2"/>
          </w:tcPr>
          <w:p>
            <w:pPr>
              <w:spacing w:after="0"/>
              <w:rPr>
                <w:sz w:val="20"/>
                <w:szCs w:val="20"/>
                <w:color w:val="auto"/>
              </w:rPr>
            </w:pPr>
            <w:r>
              <w:rPr>
                <w:rFonts w:ascii="Courier New" w:cs="Courier New" w:eastAsia="Courier New" w:hAnsi="Courier New"/>
                <w:sz w:val="18"/>
                <w:szCs w:val="18"/>
                <w:color w:val="auto"/>
              </w:rPr>
              <w:t>Cash and temporary cash investments,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6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end of period</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14,899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7,692</w:t>
            </w:r>
          </w:p>
        </w:tc>
      </w:tr>
    </w:tbl>
    <w:p>
      <w:pPr>
        <w:sectPr>
          <w:pgSz w:w="11900" w:h="16838" w:orient="portrait"/>
          <w:cols w:equalWidth="0" w:num="1">
            <w:col w:w="10219"/>
          </w:cols>
          <w:pgMar w:left="240" w:top="717" w:right="1440" w:bottom="1440" w:gutter="0" w:footer="0" w:header="0"/>
        </w:sectPr>
      </w:pPr>
    </w:p>
    <w:bookmarkStart w:id="4" w:name="page5"/>
    <w:bookmarkEnd w:id="4"/>
    <w:p>
      <w:pPr>
        <w:ind w:left="1572"/>
        <w:spacing w:after="0"/>
        <w:rPr>
          <w:sz w:val="20"/>
          <w:szCs w:val="20"/>
          <w:color w:val="auto"/>
        </w:rPr>
      </w:pPr>
      <w:r>
        <w:rPr>
          <w:rFonts w:ascii="Courier New" w:cs="Courier New" w:eastAsia="Courier New" w:hAnsi="Courier New"/>
          <w:sz w:val="18"/>
          <w:szCs w:val="18"/>
          <w:color w:val="auto"/>
        </w:rPr>
        <w:t>SPX CORPORATION AND SUBSIDIARIES</w:t>
      </w:r>
    </w:p>
    <w:p>
      <w:pPr>
        <w:ind w:left="632"/>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w:t>
      </w:r>
    </w:p>
    <w:p>
      <w:pPr>
        <w:ind w:left="1992"/>
        <w:spacing w:after="0"/>
        <w:rPr>
          <w:sz w:val="20"/>
          <w:szCs w:val="20"/>
          <w:color w:val="auto"/>
        </w:rPr>
      </w:pPr>
      <w:r>
        <w:rPr>
          <w:rFonts w:ascii="Courier New" w:cs="Courier New" w:eastAsia="Courier New" w:hAnsi="Courier New"/>
          <w:sz w:val="18"/>
          <w:szCs w:val="18"/>
          <w:color w:val="auto"/>
        </w:rPr>
        <w:t>MARCH 31, 1994 (Unaudited)</w:t>
      </w:r>
    </w:p>
    <w:p>
      <w:pPr>
        <w:spacing w:after="0" w:line="206" w:lineRule="exact"/>
        <w:rPr>
          <w:sz w:val="20"/>
          <w:szCs w:val="20"/>
          <w:color w:val="auto"/>
        </w:rPr>
      </w:pPr>
    </w:p>
    <w:p>
      <w:pPr>
        <w:ind w:left="412" w:right="3259" w:hanging="412"/>
        <w:spacing w:after="0" w:line="270" w:lineRule="auto"/>
        <w:tabs>
          <w:tab w:leader="none" w:pos="4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interim financial statements reflect all adjustments which are, in the opinion of management, necessary to a fair state-ment of the results of the interim periods presented. All adjustments are of a normal recurring nature. Amounts in the 1993 consolidated financial statements have been restated to reflect the company's previous 49% share of Sealed Power Tech-nologies Limited Partnership ("SPT") income or loss and the effect of amortizing the difference between its investment balance and its share of SPT's initial partnership capital deficit and to reflect new accounting for the company's ESOP.</w:t>
      </w:r>
    </w:p>
    <w:p>
      <w:pPr>
        <w:spacing w:after="0" w:line="183" w:lineRule="exact"/>
        <w:rPr>
          <w:rFonts w:ascii="Courier New" w:cs="Courier New" w:eastAsia="Courier New" w:hAnsi="Courier New"/>
          <w:sz w:val="16"/>
          <w:szCs w:val="16"/>
          <w:color w:val="auto"/>
        </w:rPr>
      </w:pPr>
    </w:p>
    <w:p>
      <w:pPr>
        <w:ind w:left="412" w:hanging="412"/>
        <w:spacing w:after="0"/>
        <w:tabs>
          <w:tab w:leader="none" w:pos="41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regarding the company's segments was as follows:</w:t>
      </w:r>
    </w:p>
    <w:p>
      <w:pPr>
        <w:spacing w:after="0" w:line="201" w:lineRule="exact"/>
        <w:rPr>
          <w:sz w:val="20"/>
          <w:szCs w:val="20"/>
          <w:color w:val="auto"/>
        </w:rPr>
      </w:pPr>
    </w:p>
    <w:tbl>
      <w:tblPr>
        <w:tblLayout w:type="fixed"/>
        <w:tblInd w:w="112"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3000" w:type="dxa"/>
            <w:vAlign w:val="bottom"/>
            <w:gridSpan w:val="4"/>
          </w:tcPr>
          <w:p>
            <w:pPr>
              <w:ind w:left="40"/>
              <w:spacing w:after="0"/>
              <w:rPr>
                <w:sz w:val="20"/>
                <w:szCs w:val="20"/>
                <w:color w:val="auto"/>
              </w:rPr>
            </w:pPr>
            <w:r>
              <w:rPr>
                <w:rFonts w:ascii="Courier New" w:cs="Courier New" w:eastAsia="Courier New" w:hAnsi="Courier New"/>
                <w:sz w:val="18"/>
                <w:szCs w:val="18"/>
                <w:color w:val="auto"/>
                <w:w w:val="97"/>
              </w:rPr>
              <w:t>Three months ended March 31,</w:t>
            </w:r>
          </w:p>
        </w:tc>
      </w:tr>
      <w:tr>
        <w:trPr>
          <w:trHeight w:val="203"/>
        </w:trPr>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1994</w:t>
            </w:r>
          </w:p>
        </w:tc>
        <w:tc>
          <w:tcPr>
            <w:tcW w:w="70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40" w:type="dxa"/>
            <w:vAlign w:val="bottom"/>
          </w:tcPr>
          <w:p>
            <w:pPr>
              <w:spacing w:after="0"/>
              <w:rPr>
                <w:sz w:val="17"/>
                <w:szCs w:val="17"/>
                <w:color w:val="auto"/>
              </w:rPr>
            </w:pPr>
          </w:p>
        </w:tc>
        <w:tc>
          <w:tcPr>
            <w:tcW w:w="2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6"/>
              </w:rPr>
              <w:t>(in thousands)</w:t>
            </w:r>
          </w:p>
        </w:tc>
        <w:tc>
          <w:tcPr>
            <w:tcW w:w="840" w:type="dxa"/>
            <w:vAlign w:val="bottom"/>
          </w:tcPr>
          <w:p>
            <w:pPr>
              <w:spacing w:after="0"/>
              <w:rPr>
                <w:sz w:val="17"/>
                <w:szCs w:val="17"/>
                <w:color w:val="auto"/>
              </w:rPr>
            </w:pP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Specialty Service Tools.......</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139.7</w:t>
            </w:r>
          </w:p>
        </w:tc>
        <w:tc>
          <w:tcPr>
            <w:tcW w:w="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111.4</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SPX Credit Corporation........</w:t>
            </w:r>
          </w:p>
        </w:tc>
        <w:tc>
          <w:tcPr>
            <w:tcW w:w="14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w:t>
            </w:r>
          </w:p>
        </w:tc>
        <w:tc>
          <w:tcPr>
            <w:tcW w:w="700" w:type="dxa"/>
            <w:vAlign w:val="bottom"/>
          </w:tcPr>
          <w:p>
            <w:pPr>
              <w:spacing w:after="0"/>
              <w:rPr>
                <w:sz w:val="17"/>
                <w:szCs w:val="17"/>
                <w:color w:val="auto"/>
              </w:rPr>
            </w:pP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0.5</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Original Equipment Components.</w:t>
            </w:r>
          </w:p>
        </w:tc>
        <w:tc>
          <w:tcPr>
            <w:tcW w:w="14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134.4</w:t>
            </w:r>
          </w:p>
        </w:tc>
        <w:tc>
          <w:tcPr>
            <w:tcW w:w="700" w:type="dxa"/>
            <w:vAlign w:val="bottom"/>
          </w:tcPr>
          <w:p>
            <w:pPr>
              <w:spacing w:after="0"/>
              <w:rPr>
                <w:sz w:val="17"/>
                <w:szCs w:val="17"/>
                <w:color w:val="auto"/>
              </w:rPr>
            </w:pP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6.1</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Businesses sold in 1993.......</w:t>
            </w:r>
          </w:p>
        </w:tc>
        <w:tc>
          <w:tcPr>
            <w:tcW w:w="14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61.2</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277.5</w:t>
            </w:r>
          </w:p>
        </w:tc>
        <w:tc>
          <w:tcPr>
            <w:tcW w:w="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179.2</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Specialty Service Tools.......</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6.3</w:t>
            </w:r>
          </w:p>
        </w:tc>
        <w:tc>
          <w:tcPr>
            <w:tcW w:w="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4.2</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SPX Credit Corporation........</w:t>
            </w:r>
          </w:p>
        </w:tc>
        <w:tc>
          <w:tcPr>
            <w:tcW w:w="14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w:t>
            </w:r>
          </w:p>
        </w:tc>
        <w:tc>
          <w:tcPr>
            <w:tcW w:w="700" w:type="dxa"/>
            <w:vAlign w:val="bottom"/>
          </w:tcPr>
          <w:p>
            <w:pPr>
              <w:spacing w:after="0"/>
              <w:rPr>
                <w:sz w:val="17"/>
                <w:szCs w:val="17"/>
                <w:color w:val="auto"/>
              </w:rPr>
            </w:pP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0.1</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Original Equipment Components.</w:t>
            </w:r>
          </w:p>
        </w:tc>
        <w:tc>
          <w:tcPr>
            <w:tcW w:w="14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11.7</w:t>
            </w:r>
          </w:p>
        </w:tc>
        <w:tc>
          <w:tcPr>
            <w:tcW w:w="700" w:type="dxa"/>
            <w:vAlign w:val="bottom"/>
          </w:tcPr>
          <w:p>
            <w:pPr>
              <w:spacing w:after="0"/>
              <w:rPr>
                <w:sz w:val="17"/>
                <w:szCs w:val="17"/>
                <w:color w:val="auto"/>
              </w:rPr>
            </w:pP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(0.5)</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Businesses sold in 1993.......</w:t>
            </w:r>
          </w:p>
        </w:tc>
        <w:tc>
          <w:tcPr>
            <w:tcW w:w="14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4.6</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General corporate expenses....</w:t>
            </w:r>
          </w:p>
        </w:tc>
        <w:tc>
          <w:tcPr>
            <w:tcW w:w="140" w:type="dxa"/>
            <w:vAlign w:val="bottom"/>
          </w:tcPr>
          <w:p>
            <w:pPr>
              <w:spacing w:after="0"/>
              <w:rPr>
                <w:sz w:val="17"/>
                <w:szCs w:val="17"/>
                <w:color w:val="auto"/>
              </w:rPr>
            </w:pPr>
          </w:p>
        </w:tc>
        <w:tc>
          <w:tcPr>
            <w:tcW w:w="1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(4.9)</w:t>
            </w:r>
          </w:p>
        </w:tc>
        <w:tc>
          <w:tcPr>
            <w:tcW w:w="700" w:type="dxa"/>
            <w:vAlign w:val="bottom"/>
          </w:tcPr>
          <w:p>
            <w:pPr>
              <w:spacing w:after="0"/>
              <w:rPr>
                <w:sz w:val="17"/>
                <w:szCs w:val="17"/>
                <w:color w:val="auto"/>
              </w:rPr>
            </w:pP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(3.9)</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15.3</w:t>
            </w:r>
          </w:p>
        </w:tc>
        <w:tc>
          <w:tcPr>
            <w:tcW w:w="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4.5</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Specialty Service Tools.......</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w:t>
            </w:r>
          </w:p>
        </w:tc>
        <w:tc>
          <w:tcPr>
            <w:tcW w:w="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1.2</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SPX Credit Corporation........</w:t>
            </w:r>
          </w:p>
        </w:tc>
        <w:tc>
          <w:tcPr>
            <w:tcW w:w="14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Original Equipment Components.</w:t>
            </w:r>
          </w:p>
        </w:tc>
        <w:tc>
          <w:tcPr>
            <w:tcW w:w="14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6.0</w:t>
            </w:r>
          </w:p>
        </w:tc>
        <w:tc>
          <w:tcPr>
            <w:tcW w:w="700" w:type="dxa"/>
            <w:vAlign w:val="bottom"/>
          </w:tcPr>
          <w:p>
            <w:pPr>
              <w:spacing w:after="0"/>
              <w:rPr>
                <w:sz w:val="17"/>
                <w:szCs w:val="17"/>
                <w:color w:val="auto"/>
              </w:rPr>
            </w:pP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0.1</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Businesses sold in 1993.......</w:t>
            </w:r>
          </w:p>
        </w:tc>
        <w:tc>
          <w:tcPr>
            <w:tcW w:w="14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2.6</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General corporate.............</w:t>
            </w:r>
          </w:p>
        </w:tc>
        <w:tc>
          <w:tcPr>
            <w:tcW w:w="14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w:t>
            </w:r>
          </w:p>
        </w:tc>
        <w:tc>
          <w:tcPr>
            <w:tcW w:w="700" w:type="dxa"/>
            <w:vAlign w:val="bottom"/>
          </w:tcPr>
          <w:p>
            <w:pPr>
              <w:spacing w:after="0"/>
              <w:rPr>
                <w:sz w:val="17"/>
                <w:szCs w:val="17"/>
                <w:color w:val="auto"/>
              </w:rPr>
            </w:pP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0.0</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10.3</w:t>
            </w:r>
          </w:p>
        </w:tc>
        <w:tc>
          <w:tcPr>
            <w:tcW w:w="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3.9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Specialty Service Tools.......</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w:t>
            </w:r>
          </w:p>
        </w:tc>
        <w:tc>
          <w:tcPr>
            <w:tcW w:w="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3.6</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SPX Credit Corporation........</w:t>
            </w:r>
          </w:p>
        </w:tc>
        <w:tc>
          <w:tcPr>
            <w:tcW w:w="14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Original Equipment Components.</w:t>
            </w:r>
          </w:p>
        </w:tc>
        <w:tc>
          <w:tcPr>
            <w:tcW w:w="14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5.7</w:t>
            </w:r>
          </w:p>
        </w:tc>
        <w:tc>
          <w:tcPr>
            <w:tcW w:w="700" w:type="dxa"/>
            <w:vAlign w:val="bottom"/>
          </w:tcPr>
          <w:p>
            <w:pPr>
              <w:spacing w:after="0"/>
              <w:rPr>
                <w:sz w:val="17"/>
                <w:szCs w:val="17"/>
                <w:color w:val="auto"/>
              </w:rPr>
            </w:pP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0.5</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Businesses sold in 1993.......</w:t>
            </w:r>
          </w:p>
        </w:tc>
        <w:tc>
          <w:tcPr>
            <w:tcW w:w="14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2.2</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General corporate.............</w:t>
            </w:r>
          </w:p>
        </w:tc>
        <w:tc>
          <w:tcPr>
            <w:tcW w:w="14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0.1</w:t>
            </w:r>
          </w:p>
        </w:tc>
        <w:tc>
          <w:tcPr>
            <w:tcW w:w="700" w:type="dxa"/>
            <w:vAlign w:val="bottom"/>
          </w:tcPr>
          <w:p>
            <w:pPr>
              <w:spacing w:after="0"/>
              <w:rPr>
                <w:sz w:val="17"/>
                <w:szCs w:val="17"/>
                <w:color w:val="auto"/>
              </w:rPr>
            </w:pP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0.1</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9.8</w:t>
            </w:r>
          </w:p>
        </w:tc>
        <w:tc>
          <w:tcPr>
            <w:tcW w:w="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6.4</w:t>
            </w:r>
          </w:p>
        </w:tc>
      </w:tr>
      <w:tr>
        <w:trPr>
          <w:trHeight w:val="405"/>
        </w:trPr>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March 31,</w:t>
            </w:r>
          </w:p>
        </w:tc>
        <w:tc>
          <w:tcPr>
            <w:tcW w:w="154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5"/>
              </w:rPr>
              <w:t>December 31</w:t>
            </w:r>
          </w:p>
        </w:tc>
      </w:tr>
      <w:tr>
        <w:trPr>
          <w:trHeight w:val="203"/>
        </w:trPr>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1994</w:t>
            </w:r>
          </w:p>
        </w:tc>
        <w:tc>
          <w:tcPr>
            <w:tcW w:w="70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Specialty Service Tools.......</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422.4</w:t>
            </w:r>
          </w:p>
        </w:tc>
        <w:tc>
          <w:tcPr>
            <w:tcW w:w="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383.3</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SPX Credit Corporation........</w:t>
            </w:r>
          </w:p>
        </w:tc>
        <w:tc>
          <w:tcPr>
            <w:tcW w:w="14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84.6</w:t>
            </w:r>
          </w:p>
        </w:tc>
        <w:tc>
          <w:tcPr>
            <w:tcW w:w="700" w:type="dxa"/>
            <w:vAlign w:val="bottom"/>
          </w:tcPr>
          <w:p>
            <w:pPr>
              <w:spacing w:after="0"/>
              <w:rPr>
                <w:sz w:val="17"/>
                <w:szCs w:val="17"/>
                <w:color w:val="auto"/>
              </w:rPr>
            </w:pP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85.2</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Original Equipment Components.</w:t>
            </w:r>
          </w:p>
        </w:tc>
        <w:tc>
          <w:tcPr>
            <w:tcW w:w="14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356.7</w:t>
            </w:r>
          </w:p>
        </w:tc>
        <w:tc>
          <w:tcPr>
            <w:tcW w:w="700" w:type="dxa"/>
            <w:vAlign w:val="bottom"/>
          </w:tcPr>
          <w:p>
            <w:pPr>
              <w:spacing w:after="0"/>
              <w:rPr>
                <w:sz w:val="17"/>
                <w:szCs w:val="17"/>
                <w:color w:val="auto"/>
              </w:rPr>
            </w:pP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343.8</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General corporate.............</w:t>
            </w:r>
          </w:p>
        </w:tc>
        <w:tc>
          <w:tcPr>
            <w:tcW w:w="14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84.2</w:t>
            </w:r>
          </w:p>
        </w:tc>
        <w:tc>
          <w:tcPr>
            <w:tcW w:w="700" w:type="dxa"/>
            <w:vAlign w:val="bottom"/>
          </w:tcPr>
          <w:p>
            <w:pPr>
              <w:spacing w:after="0"/>
              <w:rPr>
                <w:sz w:val="17"/>
                <w:szCs w:val="17"/>
                <w:color w:val="auto"/>
              </w:rPr>
            </w:pP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212.1</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947.9</w:t>
            </w:r>
          </w:p>
        </w:tc>
        <w:tc>
          <w:tcPr>
            <w:tcW w:w="15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$ 1,024.4</w:t>
            </w:r>
          </w:p>
        </w:tc>
      </w:tr>
    </w:tbl>
    <w:p>
      <w:pPr>
        <w:sectPr>
          <w:pgSz w:w="11900" w:h="16838" w:orient="portrait"/>
          <w:cols w:equalWidth="0" w:num="1">
            <w:col w:w="10211"/>
          </w:cols>
          <w:pgMar w:left="248" w:top="514" w:right="1440" w:bottom="1440" w:gutter="0" w:footer="0" w:header="0"/>
        </w:sectPr>
      </w:pPr>
    </w:p>
    <w:bookmarkStart w:id="5" w:name="page6"/>
    <w:bookmarkEnd w:id="5"/>
    <w:p>
      <w:pPr>
        <w:ind w:right="3159" w:hanging="420"/>
        <w:spacing w:after="0" w:line="238" w:lineRule="auto"/>
        <w:rPr>
          <w:sz w:val="20"/>
          <w:szCs w:val="20"/>
          <w:color w:val="auto"/>
        </w:rPr>
      </w:pPr>
      <w:r>
        <w:rPr>
          <w:rFonts w:ascii="Courier New" w:cs="Courier New" w:eastAsia="Courier New" w:hAnsi="Courier New"/>
          <w:sz w:val="18"/>
          <w:szCs w:val="18"/>
          <w:color w:val="auto"/>
        </w:rPr>
        <w:t>3.In March of 1994, the first portion of the Refinancing was com-pleted when the company closed a $250 million revolving credit facility with First National Bank of Chicago, as agent for a syndicate of banks. This revolving credit facility bears interest at LIBOR plus 1.0% or the prime rate (at the company's option) and expires in 1999. Upon completion of the senior subordinated note offering, this revolving credit facility is to be reduced to $225 million of maximum availability. Pro-ceeds from this revolving credit facility will be used to extinguish SPX debt as follows: Senior Notes aggregating $75 million, the $19.7 million note to the Allen Group, the com-pany's ESOP trust's note of $42.1 million and $68 million of miscellaneous debt, much of which was technically in default of covenant provisions. Also, $15.2 million of letters of credit securing the Industrial Revenue Bonds were renegotiated. At March 31, 1994, approximately $80 million of this indebted-ness had been paid using the revolving credit facility and existing cash.</w:t>
      </w: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By June 30, 1994, the company expects to have completed its $260 million offering of senior subordinated notes. These notes are anticipated to bear interest at a rate of approxi-mately 11% and will be due in or after the year 2002. At that time, the proceeds will be used to retire existing SPT borrow-ings, including the $100 million of 14.5% senior subordinated debentures, the Term Bank Loan, and the Revolving Credit Loans. Excess proceeds will be used to pay down the company's new revolving credit facility at that time.</w:t>
      </w:r>
    </w:p>
    <w:p>
      <w:pPr>
        <w:sectPr>
          <w:pgSz w:w="11900" w:h="16838" w:orient="portrait"/>
          <w:cols w:equalWidth="0" w:num="1">
            <w:col w:w="9799"/>
          </w:cols>
          <w:pgMar w:left="660" w:top="520" w:right="1440" w:bottom="1440" w:gutter="0" w:footer="0" w:header="0"/>
        </w:sectPr>
      </w:pPr>
    </w:p>
    <w:bookmarkStart w:id="6" w:name="page7"/>
    <w:bookmarkEnd w:id="6"/>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2.Management's Discussion and Analysis of Results of Opera-tions and Financial Condition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Quarter 1994 vs. First Quarter 1993</w:t>
      </w:r>
    </w:p>
    <w:p>
      <w:pPr>
        <w:spacing w:after="0" w:line="207" w:lineRule="exact"/>
        <w:rPr>
          <w:sz w:val="20"/>
          <w:szCs w:val="20"/>
          <w:color w:val="auto"/>
        </w:rPr>
      </w:pPr>
    </w:p>
    <w:p>
      <w:pPr>
        <w:ind w:right="3039" w:firstLine="421"/>
        <w:spacing w:after="0" w:line="238" w:lineRule="auto"/>
        <w:rPr>
          <w:sz w:val="20"/>
          <w:szCs w:val="20"/>
          <w:color w:val="auto"/>
        </w:rPr>
      </w:pPr>
      <w:r>
        <w:rPr>
          <w:rFonts w:ascii="Courier New" w:cs="Courier New" w:eastAsia="Courier New" w:hAnsi="Courier New"/>
          <w:sz w:val="18"/>
          <w:szCs w:val="18"/>
          <w:color w:val="auto"/>
        </w:rPr>
        <w:t>The accompanying first quarter 1993 consolidated statement of income does not include the results of Allen Testproducts and Allen Group Leasing as they were acquired June 10, 1993, but does include the results of the Sealed Power Replacement division which was sold October 22, 1993, the results of the Truth division which was sold November 5, 1993, the company's 49% share of the earnings or losses of Sealed Power Technologies Limited Partnership ("SPT"), the equity losses of Sealed Power Technologies Limited Partnership Europe ("SP Europe"). The first quarter 1994 consolidated statement of income reflects the results of SPT and SP Europe in their entirety. For purposes of comparison, certain selected unaudited pro forma 1993 information is presented in the following discussion to enhance understanding. The pro forma first quarter 1993 information re-flects the acquisition of Allen Testproducts and Allen Group Leasing and related restructuring, the divestiture of the Sealed Power Replacement and Truth divisions, the acquisition of 51% of SPT, and the consolidation of SP Europe as if they had occurred as of January 1, 1993.</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following were revenues by business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30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Three months ended March 31</w:t>
            </w:r>
          </w:p>
        </w:tc>
      </w:tr>
      <w:tr>
        <w:trPr>
          <w:trHeight w:val="203"/>
        </w:trPr>
        <w:tc>
          <w:tcPr>
            <w:tcW w:w="3280" w:type="dxa"/>
            <w:vAlign w:val="bottom"/>
          </w:tcPr>
          <w:p>
            <w:pPr>
              <w:spacing w:after="0"/>
              <w:rPr>
                <w:sz w:val="17"/>
                <w:szCs w:val="17"/>
                <w:color w:val="auto"/>
              </w:rPr>
            </w:pPr>
          </w:p>
        </w:tc>
        <w:tc>
          <w:tcPr>
            <w:tcW w:w="18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Historical</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32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1993</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3280" w:type="dxa"/>
            <w:vAlign w:val="bottom"/>
          </w:tcPr>
          <w:p>
            <w:pPr>
              <w:spacing w:after="0"/>
              <w:rPr>
                <w:sz w:val="17"/>
                <w:szCs w:val="17"/>
                <w:color w:val="auto"/>
              </w:rPr>
            </w:pPr>
          </w:p>
        </w:tc>
        <w:tc>
          <w:tcPr>
            <w:tcW w:w="304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(dollars in millions)</w:t>
            </w:r>
          </w:p>
        </w:tc>
      </w:tr>
      <w:tr>
        <w:trPr>
          <w:trHeight w:val="203"/>
        </w:trPr>
        <w:tc>
          <w:tcPr>
            <w:tcW w:w="3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Specialty Service Tools......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$139.7</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$111.4</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$126.4</w:t>
            </w:r>
          </w:p>
        </w:tc>
      </w:tr>
      <w:tr>
        <w:trPr>
          <w:trHeight w:val="203"/>
        </w:trPr>
        <w:tc>
          <w:tcPr>
            <w:tcW w:w="3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SPX Credit Corporation.......</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3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Original Equipment Components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134.4</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119.6</w:t>
            </w:r>
          </w:p>
        </w:tc>
      </w:tr>
      <w:tr>
        <w:trPr>
          <w:trHeight w:val="203"/>
        </w:trPr>
        <w:tc>
          <w:tcPr>
            <w:tcW w:w="3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Businesses sold in 1993......</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61.2</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$277.5</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$179.2</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$250.2</w:t>
            </w:r>
          </w:p>
        </w:tc>
      </w:tr>
    </w:tbl>
    <w:p>
      <w:pPr>
        <w:spacing w:after="0" w:line="207"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Total revenues for the first quarter of 1994 were up signifi-cantly over the first quarter of 1993 due to the inclusion of SPT and SP Europe revenues in 1994 (SPT and SP Europe were consolidated as of December 31, 1993). Also effecting first quarter 1994 reve-nues was the inclusion of the revenues of Allen Testproducts and SPX Credit Corporation (formerly Allen Group Leasing), whereas in 1993, the revenues of Allen Testproducts and Allen Group Leasing were not included until the June 10, 1993 acquisition. Offsetting these in-creases in revenues was the loss of revenues of the Sealed Power Re-placement and Truth divisions, which were sold in the fourth quarter of 1993.</w:t>
      </w:r>
    </w:p>
    <w:p>
      <w:pPr>
        <w:spacing w:after="0" w:line="216" w:lineRule="exact"/>
        <w:rPr>
          <w:sz w:val="20"/>
          <w:szCs w:val="20"/>
          <w:color w:val="auto"/>
        </w:rPr>
      </w:pPr>
    </w:p>
    <w:p>
      <w:pPr>
        <w:ind w:right="3039" w:firstLine="421"/>
        <w:spacing w:after="0" w:line="271" w:lineRule="auto"/>
        <w:rPr>
          <w:sz w:val="20"/>
          <w:szCs w:val="20"/>
          <w:color w:val="auto"/>
        </w:rPr>
      </w:pPr>
      <w:r>
        <w:rPr>
          <w:rFonts w:ascii="Courier New" w:cs="Courier New" w:eastAsia="Courier New" w:hAnsi="Courier New"/>
          <w:sz w:val="16"/>
          <w:szCs w:val="16"/>
          <w:color w:val="auto"/>
        </w:rPr>
        <w:t>Revenues of Specialty Service Tools for the first quarter of 1994 include Allen Testproducts. If Allen Testproducts revenues are included in the first quarter of 1993, pro forma first quarter 1993 revenues would have been $126.4 million. The remaining increase in 1994 revenues over pro forma 1993 revenues, approximately $13 million, was attributable to improved general aftermarket tool sales, strong hand held diagnostic equipment sales, improved high pressure hydraulic sales and higher automotive related refrigerant recovery and recycling equipment sales.</w:t>
      </w:r>
    </w:p>
    <w:p>
      <w:pPr>
        <w:spacing w:after="0" w:line="388"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As stated above, first quarter 1994 revenues of Original Equip-ment Components were up significantly due to the inclusion of SPT. Pro forma first quarter 1993 revenues including SPT and SP Europe would have been $119.6 million. The remaining increase in 1994 over pro forma 1993 revenues, approximately $15 million, was attributable to strong increases in all product line sales to OEMs as production of new vehicles was up from last year. The segment's aftermarket revenues also increased.</w:t>
      </w:r>
    </w:p>
    <w:p>
      <w:pPr>
        <w:spacing w:after="0" w:line="212" w:lineRule="exact"/>
        <w:rPr>
          <w:sz w:val="20"/>
          <w:szCs w:val="20"/>
          <w:color w:val="auto"/>
        </w:rPr>
      </w:pPr>
    </w:p>
    <w:p>
      <w:pPr>
        <w:ind w:right="3259" w:firstLine="421"/>
        <w:spacing w:after="0" w:line="237" w:lineRule="auto"/>
        <w:rPr>
          <w:sz w:val="20"/>
          <w:szCs w:val="20"/>
          <w:color w:val="auto"/>
        </w:rPr>
      </w:pPr>
      <w:r>
        <w:rPr>
          <w:rFonts w:ascii="Courier New" w:cs="Courier New" w:eastAsia="Courier New" w:hAnsi="Courier New"/>
          <w:sz w:val="18"/>
          <w:szCs w:val="18"/>
          <w:color w:val="auto"/>
        </w:rPr>
        <w:t>Revenues of SPX Credit Corporation, which was formed in June 1993, were down from pro forma 1993. SPX Credit Corporation's revenues and lease portfolio were comparable to levels of the last half of 1993 after SPX Credit Corporation merged its existing leasing activities with Allen Group Leasing.</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Gross Profit</w:t>
      </w:r>
    </w:p>
    <w:p>
      <w:pPr>
        <w:spacing w:after="0" w:line="207" w:lineRule="exact"/>
        <w:rPr>
          <w:sz w:val="20"/>
          <w:szCs w:val="20"/>
          <w:color w:val="auto"/>
        </w:rPr>
      </w:pPr>
    </w:p>
    <w:p>
      <w:pPr>
        <w:ind w:right="3259" w:firstLine="421"/>
        <w:spacing w:after="0" w:line="290" w:lineRule="auto"/>
        <w:rPr>
          <w:sz w:val="20"/>
          <w:szCs w:val="20"/>
          <w:color w:val="auto"/>
        </w:rPr>
      </w:pPr>
      <w:r>
        <w:rPr>
          <w:rFonts w:ascii="Courier New" w:cs="Courier New" w:eastAsia="Courier New" w:hAnsi="Courier New"/>
          <w:sz w:val="16"/>
          <w:szCs w:val="16"/>
          <w:color w:val="auto"/>
        </w:rPr>
        <w:t>Gross profit was $70.1 million, or 25.3% of revenues, in the first quarter of 1994 compared to $57.4 million, or 32.0% of reve-</w:t>
      </w:r>
    </w:p>
    <w:p>
      <w:pPr>
        <w:sectPr>
          <w:pgSz w:w="11900" w:h="16838" w:orient="portrait"/>
          <w:cols w:equalWidth="0" w:num="1">
            <w:col w:w="10219"/>
          </w:cols>
          <w:pgMar w:left="240" w:top="520" w:right="1440" w:bottom="0" w:gutter="0" w:footer="0" w:header="0"/>
        </w:sectPr>
      </w:pPr>
    </w:p>
    <w:bookmarkStart w:id="7" w:name="page8"/>
    <w:bookmarkEnd w:id="7"/>
    <w:p>
      <w:pPr>
        <w:ind w:right="3039"/>
        <w:spacing w:after="0" w:line="237" w:lineRule="auto"/>
        <w:rPr>
          <w:sz w:val="20"/>
          <w:szCs w:val="20"/>
          <w:color w:val="auto"/>
        </w:rPr>
      </w:pPr>
      <w:r>
        <w:rPr>
          <w:rFonts w:ascii="Courier New" w:cs="Courier New" w:eastAsia="Courier New" w:hAnsi="Courier New"/>
          <w:sz w:val="18"/>
          <w:szCs w:val="18"/>
          <w:color w:val="auto"/>
        </w:rPr>
        <w:t>nues, in the first quarter of 1993. Due to the significant acquisi-tion and divestiture activity in 1993, these figures are not compa-rable. Pro forma first quarter 1993 gross profit would have been $64.5 million, or 25.8% of revenues.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Selling, General and Administrative Expense ("SG&amp;A")</w:t>
      </w:r>
    </w:p>
    <w:p>
      <w:pPr>
        <w:spacing w:after="0" w:line="207"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SG&amp;A was $54.2 million, or 19.5% of revenues, in the first quarter of 1994 compared to $50.8 million, or 28.3% of revenues, in the first quarter of 1993. Due to the significant acquisition and divestiture activity in 1993, these figures are not comparable. Pro forma first quarter 1993 SG&amp;A would have been $54.5 million, or 21.8% of revenues.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Operating income (loss)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following was operating income loss by business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3040" w:type="dxa"/>
            <w:vAlign w:val="bottom"/>
            <w:gridSpan w:val="6"/>
          </w:tcPr>
          <w:p>
            <w:pPr>
              <w:ind w:left="200"/>
              <w:spacing w:after="0"/>
              <w:rPr>
                <w:sz w:val="20"/>
                <w:szCs w:val="20"/>
                <w:color w:val="auto"/>
              </w:rPr>
            </w:pPr>
            <w:r>
              <w:rPr>
                <w:rFonts w:ascii="Courier New" w:cs="Courier New" w:eastAsia="Courier New" w:hAnsi="Courier New"/>
                <w:sz w:val="18"/>
                <w:szCs w:val="18"/>
                <w:color w:val="auto"/>
                <w:w w:val="96"/>
              </w:rPr>
              <w:t>Three months ended March 31</w:t>
            </w:r>
          </w:p>
        </w:tc>
      </w:tr>
      <w:tr>
        <w:trPr>
          <w:trHeight w:val="203"/>
        </w:trPr>
        <w:tc>
          <w:tcPr>
            <w:tcW w:w="3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Historical</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3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1994</w:t>
            </w:r>
          </w:p>
        </w:tc>
        <w:tc>
          <w:tcPr>
            <w:tcW w:w="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1993</w:t>
            </w:r>
          </w:p>
        </w:tc>
        <w:tc>
          <w:tcPr>
            <w:tcW w:w="32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3280" w:type="dxa"/>
            <w:vAlign w:val="bottom"/>
          </w:tcPr>
          <w:p>
            <w:pPr>
              <w:spacing w:after="0"/>
              <w:rPr>
                <w:sz w:val="17"/>
                <w:szCs w:val="17"/>
                <w:color w:val="auto"/>
              </w:rPr>
            </w:pPr>
          </w:p>
        </w:tc>
        <w:tc>
          <w:tcPr>
            <w:tcW w:w="11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(dollars</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3"/>
              </w:rPr>
              <w:t>in</w:t>
            </w:r>
          </w:p>
        </w:tc>
        <w:tc>
          <w:tcPr>
            <w:tcW w:w="168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millions)</w:t>
            </w:r>
          </w:p>
        </w:tc>
      </w:tr>
      <w:tr>
        <w:trPr>
          <w:trHeight w:val="203"/>
        </w:trPr>
        <w:tc>
          <w:tcPr>
            <w:tcW w:w="3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Specialty Service Tools......</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3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SPX Credit Corporation.......</w:t>
            </w:r>
          </w:p>
        </w:tc>
        <w:tc>
          <w:tcPr>
            <w:tcW w:w="3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w:t>
            </w:r>
          </w:p>
        </w:tc>
        <w:tc>
          <w:tcPr>
            <w:tcW w:w="2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w:t>
            </w:r>
          </w:p>
        </w:tc>
        <w:tc>
          <w:tcPr>
            <w:tcW w:w="32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3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Original Equipment Components</w:t>
            </w:r>
          </w:p>
        </w:tc>
        <w:tc>
          <w:tcPr>
            <w:tcW w:w="3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w:t>
            </w: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(0.5)</w:t>
            </w:r>
          </w:p>
        </w:tc>
        <w:tc>
          <w:tcPr>
            <w:tcW w:w="32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3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Businesses sold in 1993......</w:t>
            </w:r>
          </w:p>
        </w:tc>
        <w:tc>
          <w:tcPr>
            <w:tcW w:w="300" w:type="dxa"/>
            <w:vAlign w:val="bottom"/>
          </w:tcPr>
          <w:p>
            <w:pPr>
              <w:spacing w:after="0"/>
              <w:rPr>
                <w:sz w:val="17"/>
                <w:szCs w:val="17"/>
                <w:color w:val="auto"/>
              </w:rPr>
            </w:pPr>
          </w:p>
        </w:tc>
        <w:tc>
          <w:tcPr>
            <w:tcW w:w="8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w:t>
            </w:r>
          </w:p>
        </w:tc>
        <w:tc>
          <w:tcPr>
            <w:tcW w:w="32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General corporate expenses...</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w:t>
            </w: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(3.9)</w:t>
            </w:r>
          </w:p>
        </w:tc>
        <w:tc>
          <w:tcPr>
            <w:tcW w:w="32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3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15.3</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9.7</w:t>
            </w:r>
          </w:p>
        </w:tc>
      </w:tr>
    </w:tbl>
    <w:p>
      <w:pPr>
        <w:spacing w:after="0" w:line="207" w:lineRule="exact"/>
        <w:rPr>
          <w:sz w:val="20"/>
          <w:szCs w:val="20"/>
          <w:color w:val="auto"/>
        </w:rPr>
      </w:pPr>
    </w:p>
    <w:p>
      <w:pPr>
        <w:ind w:right="3159" w:firstLine="421"/>
        <w:spacing w:after="0" w:line="237" w:lineRule="auto"/>
        <w:rPr>
          <w:sz w:val="20"/>
          <w:szCs w:val="20"/>
          <w:color w:val="auto"/>
        </w:rPr>
      </w:pPr>
      <w:r>
        <w:rPr>
          <w:rFonts w:ascii="Courier New" w:cs="Courier New" w:eastAsia="Courier New" w:hAnsi="Courier New"/>
          <w:sz w:val="18"/>
          <w:szCs w:val="18"/>
          <w:color w:val="auto"/>
        </w:rPr>
        <w:t>Total operating income for the first quarter of 1994 was up significantly over the first quarter of 1993 due to the inclusion of SPT in 1994 (SPT and SP Europe were consolidated as of December 31, 1993). Also affecting first quarter 1994 operating income was the inclusion of the operating income of Allen Testprod-ucts and SPX Credit Corporation, whereas in 1993, operating income was not included until the June 1993 acquisition. Offsetting these increases in operating income was the loss of operating income of the Sealed Power Replacement and Truth divisions, which were sold in the fourth quarter of 1993.</w:t>
      </w:r>
    </w:p>
    <w:p>
      <w:pPr>
        <w:spacing w:after="0" w:line="215" w:lineRule="exact"/>
        <w:rPr>
          <w:sz w:val="20"/>
          <w:szCs w:val="20"/>
          <w:color w:val="auto"/>
        </w:rPr>
      </w:pPr>
    </w:p>
    <w:p>
      <w:pPr>
        <w:ind w:right="3039" w:firstLine="421"/>
        <w:spacing w:after="0" w:line="238" w:lineRule="auto"/>
        <w:rPr>
          <w:sz w:val="20"/>
          <w:szCs w:val="20"/>
          <w:color w:val="auto"/>
        </w:rPr>
      </w:pPr>
      <w:r>
        <w:rPr>
          <w:rFonts w:ascii="Courier New" w:cs="Courier New" w:eastAsia="Courier New" w:hAnsi="Courier New"/>
          <w:sz w:val="18"/>
          <w:szCs w:val="18"/>
          <w:color w:val="auto"/>
        </w:rPr>
        <w:t>First quarter 1994 operating income of Specialty Service Tools segment includes the results of Allen Testproducts which are now in-cluded in the results of the Automotive Diagnostics division. Pro forma first quarter 1993 operating income would have been $6.6 million had it included Allen Testproducts and had certain cost reductions been realized through the combination with the Bear Auto-motive division. While comparative first quarter revenues are up in Specialty Service Tools, the small reduction in comparative operating income reflects the continued operating loss at the Auto-motive Diagnostics division. Also contributing to the reduced operating income were lower margins on the refrigerant recovery and recycling systems.</w:t>
      </w:r>
    </w:p>
    <w:p>
      <w:pPr>
        <w:spacing w:after="0" w:line="207" w:lineRule="exact"/>
        <w:rPr>
          <w:sz w:val="20"/>
          <w:szCs w:val="20"/>
          <w:color w:val="auto"/>
        </w:rPr>
      </w:pPr>
    </w:p>
    <w:p>
      <w:pPr>
        <w:ind w:right="3039" w:firstLine="421"/>
        <w:spacing w:after="0" w:line="272" w:lineRule="auto"/>
        <w:rPr>
          <w:sz w:val="20"/>
          <w:szCs w:val="20"/>
          <w:color w:val="auto"/>
        </w:rPr>
      </w:pPr>
      <w:r>
        <w:rPr>
          <w:rFonts w:ascii="Courier New" w:cs="Courier New" w:eastAsia="Courier New" w:hAnsi="Courier New"/>
          <w:sz w:val="16"/>
          <w:szCs w:val="16"/>
          <w:color w:val="auto"/>
        </w:rPr>
        <w:t>Operating income of Original Equipment Components was up signif-icantly due to the inclusion of SPT. The increase in 1994 first quarter operating income over 1993 pro forma was attributable to continued increases in customer demand as a result of the effect of increased U.S. domestic light vehicle production, combined with an increase in demand for parts in the automotive aftermarket.</w:t>
      </w:r>
    </w:p>
    <w:p>
      <w:pPr>
        <w:spacing w:after="0" w:line="186" w:lineRule="exact"/>
        <w:rPr>
          <w:sz w:val="20"/>
          <w:szCs w:val="20"/>
          <w:color w:val="auto"/>
        </w:rPr>
      </w:pPr>
    </w:p>
    <w:p>
      <w:pPr>
        <w:ind w:right="3159" w:firstLine="421"/>
        <w:spacing w:after="0" w:line="237" w:lineRule="auto"/>
        <w:rPr>
          <w:sz w:val="20"/>
          <w:szCs w:val="20"/>
          <w:color w:val="auto"/>
        </w:rPr>
      </w:pPr>
      <w:r>
        <w:rPr>
          <w:rFonts w:ascii="Courier New" w:cs="Courier New" w:eastAsia="Courier New" w:hAnsi="Courier New"/>
          <w:sz w:val="18"/>
          <w:szCs w:val="18"/>
          <w:color w:val="auto"/>
        </w:rPr>
        <w:t>Operating income of SPX Credit Corporation was down from pro forma 1993. SPX Credit Corporation's operating income was compar-able with levels achieved in the last half of 1993 after SPX Credit Corporation merged its existing leasing activities with Allen Group Leasing.</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Expense, net</w:t>
      </w:r>
    </w:p>
    <w:p>
      <w:pPr>
        <w:spacing w:after="0" w:line="207"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First quarter 1994 interest expense, net was $10.2 million compared to $3.9 million in the first quarter of 1993. The increase was attributable to higher debt levels associated with the purchase of SPT and Allen Testproducts which were partially offset by pro-ceeds from the divestitures of the Sealed Power Replacement and Truth divisions. Additionally, the debt existing during the first quarter of 1994 was at relatively higher interest rates which contributed to the increase in interest expense.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Provision for Income Taxes</w:t>
      </w:r>
    </w:p>
    <w:p>
      <w:pPr>
        <w:spacing w:after="0" w:line="207" w:lineRule="exact"/>
        <w:rPr>
          <w:sz w:val="20"/>
          <w:szCs w:val="20"/>
          <w:color w:val="auto"/>
        </w:rPr>
      </w:pPr>
    </w:p>
    <w:p>
      <w:pPr>
        <w:ind w:right="3259" w:firstLine="421"/>
        <w:spacing w:after="0" w:line="290" w:lineRule="auto"/>
        <w:rPr>
          <w:sz w:val="20"/>
          <w:szCs w:val="20"/>
          <w:color w:val="auto"/>
        </w:rPr>
      </w:pPr>
      <w:r>
        <w:rPr>
          <w:rFonts w:ascii="Courier New" w:cs="Courier New" w:eastAsia="Courier New" w:hAnsi="Courier New"/>
          <w:sz w:val="16"/>
          <w:szCs w:val="16"/>
          <w:color w:val="auto"/>
        </w:rPr>
        <w:t>The first quarter 1994 effective income tax rate was approxi-mately 39% which reflects the company's current estimated rate for</w:t>
      </w:r>
    </w:p>
    <w:p>
      <w:pPr>
        <w:sectPr>
          <w:pgSz w:w="11900" w:h="16838" w:orient="portrait"/>
          <w:cols w:equalWidth="0" w:num="1">
            <w:col w:w="10219"/>
          </w:cols>
          <w:pgMar w:left="240" w:top="142"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Cumulative Effect of Change in Accounting Methods, net of Tax</w:t>
      </w:r>
    </w:p>
    <w:p>
      <w:pPr>
        <w:spacing w:after="0" w:line="207"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In the first quarter of 1993, the company adopted new accounting for its Employee Stock Ownership Plan and adopted SFAS No. 106 - "Employers' Accounting for Postretirement Benefits Other Than Pen-sions" for its then existing 49% share of SPT, resulting in a $31.8 million aftertax charge.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Financial Condition</w:t>
      </w:r>
    </w:p>
    <w:p>
      <w:pPr>
        <w:spacing w:after="0" w:line="207"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As a result of the company's acquisition activity in 1993, the company is more leveraged than in the past. This financial leverage requires the company to focus on cash flows to meet higher interest costs and to maintain dividends. Management believes that opera-tions and the credit arrangements established in the first quarter will be sufficient to supply the future funding needed by the com-pany.</w:t>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260" w:type="dxa"/>
            <w:vAlign w:val="bottom"/>
          </w:tcPr>
          <w:p>
            <w:pPr>
              <w:jc w:val="right"/>
              <w:ind w:right="2232"/>
              <w:spacing w:after="0"/>
              <w:rPr>
                <w:sz w:val="20"/>
                <w:szCs w:val="20"/>
                <w:color w:val="auto"/>
              </w:rPr>
            </w:pPr>
            <w:r>
              <w:rPr>
                <w:rFonts w:ascii="Courier New" w:cs="Courier New" w:eastAsia="Courier New" w:hAnsi="Courier New"/>
                <w:sz w:val="18"/>
                <w:szCs w:val="18"/>
                <w:color w:val="auto"/>
                <w:w w:val="94"/>
              </w:rPr>
              <w:t>Cash Flow</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25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Quarter ended March 31,</w:t>
            </w:r>
          </w:p>
        </w:tc>
      </w:tr>
      <w:tr>
        <w:trPr>
          <w:trHeight w:val="203"/>
        </w:trPr>
        <w:tc>
          <w:tcPr>
            <w:tcW w:w="3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1994</w:t>
            </w:r>
          </w:p>
        </w:tc>
        <w:tc>
          <w:tcPr>
            <w:tcW w:w="420" w:type="dxa"/>
            <w:vAlign w:val="bottom"/>
          </w:tcPr>
          <w:p>
            <w:pPr>
              <w:spacing w:after="0"/>
              <w:rPr>
                <w:sz w:val="17"/>
                <w:szCs w:val="17"/>
                <w:color w:val="auto"/>
              </w:rPr>
            </w:pP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3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203"/>
        </w:trPr>
        <w:tc>
          <w:tcPr>
            <w:tcW w:w="326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Cash flows from:</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3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w:t>
            </w:r>
          </w:p>
        </w:tc>
        <w:tc>
          <w:tcPr>
            <w:tcW w:w="420" w:type="dxa"/>
            <w:vAlign w:val="bottom"/>
          </w:tcPr>
          <w:p>
            <w:pPr>
              <w:spacing w:after="0"/>
              <w:rPr>
                <w:sz w:val="17"/>
                <w:szCs w:val="17"/>
                <w:color w:val="auto"/>
              </w:rPr>
            </w:pP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3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(97.8)</w:t>
            </w:r>
          </w:p>
        </w:tc>
        <w:tc>
          <w:tcPr>
            <w:tcW w:w="420" w:type="dxa"/>
            <w:vAlign w:val="bottom"/>
          </w:tcPr>
          <w:p>
            <w:pPr>
              <w:spacing w:after="0"/>
              <w:rPr>
                <w:sz w:val="17"/>
                <w:szCs w:val="17"/>
                <w:color w:val="auto"/>
              </w:rPr>
            </w:pP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16.7</w:t>
            </w:r>
          </w:p>
        </w:tc>
      </w:tr>
      <w:tr>
        <w:trPr>
          <w:trHeight w:val="203"/>
        </w:trPr>
        <w:tc>
          <w:tcPr>
            <w:tcW w:w="3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Cash flow...........</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(102.9)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w:t>
            </w:r>
          </w:p>
        </w:tc>
      </w:tr>
    </w:tbl>
    <w:p>
      <w:pPr>
        <w:spacing w:after="0" w:line="207" w:lineRule="exact"/>
        <w:rPr>
          <w:sz w:val="20"/>
          <w:szCs w:val="20"/>
          <w:color w:val="auto"/>
        </w:rPr>
      </w:pPr>
    </w:p>
    <w:p>
      <w:pPr>
        <w:ind w:right="3039" w:firstLine="421"/>
        <w:spacing w:after="0" w:line="270" w:lineRule="auto"/>
        <w:rPr>
          <w:sz w:val="20"/>
          <w:szCs w:val="20"/>
          <w:color w:val="auto"/>
        </w:rPr>
      </w:pPr>
      <w:r>
        <w:rPr>
          <w:rFonts w:ascii="Courier New" w:cs="Courier New" w:eastAsia="Courier New" w:hAnsi="Courier New"/>
          <w:sz w:val="16"/>
          <w:szCs w:val="16"/>
          <w:color w:val="auto"/>
        </w:rPr>
        <w:t>Cash flows from operating activities was a $5.2 million inflow in first quarter of 1994 compared to a $9.6 million outflow in the first quarter of 1993. The first quarter tends to increase working capital significantly as higher revenue levels are experienced in the first quarter when compared to the fourth quarter. In the first quarter of both years, accounts receivable increased substantially reflecting the higher revenue levels. In the first quarter of 1994, a significant increase in accounts payable was achieved which mitigated the negative cash flow effect of the increase in accounts receivable. The first quarter of 1994 cash flows from operating activities was also effected by the reduction of accrued liabili-ties, much of which was continued utilization of the Automotive Diagnostic's restructuring reserve. At March 31, 1994, the restruc-turing reserve of $8.9 million is principally required for remaining work force reductions and facility closing costs.</w:t>
      </w:r>
    </w:p>
    <w:p>
      <w:pPr>
        <w:spacing w:after="0" w:line="387"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Cash flows from investing activities was an outflow of $10.3 million in 1994 compared to an outflow of $9.1 million in 1993. While capital expenditures in 1994 were significantly higher than in 1993, the company advanced $5.2 million to SP Europe in the first quarter of 1993, which was consolidated by the company at December 31, 1993.</w:t>
      </w:r>
    </w:p>
    <w:p>
      <w:pPr>
        <w:spacing w:after="0" w:line="210"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Cash flows from financing activities in first quarter of 1993 consisted primarily of debt borrowings to fund operational require-ments and capital expenditures in 1993. The first quarter of 1994 includes the $39 million payment to Riken Corporation to acquire the additional 49% of SPT, payment of approximately $6 million of debt extinguishment costs related to the partial payment of the ESOP trust's note, payment of $4.1 million of debt acquisition costs related to the new revolving credit facility and to pay down $47.6 million on SPX debt.</w:t>
      </w:r>
    </w:p>
    <w:p>
      <w:pPr>
        <w:spacing w:after="0" w:line="214" w:lineRule="exact"/>
        <w:rPr>
          <w:sz w:val="20"/>
          <w:szCs w:val="20"/>
          <w:color w:val="auto"/>
        </w:rPr>
      </w:pPr>
    </w:p>
    <w:p>
      <w:pPr>
        <w:ind w:right="3159" w:firstLine="421"/>
        <w:spacing w:after="0" w:line="268" w:lineRule="auto"/>
        <w:rPr>
          <w:sz w:val="20"/>
          <w:szCs w:val="20"/>
          <w:color w:val="auto"/>
        </w:rPr>
      </w:pPr>
      <w:r>
        <w:rPr>
          <w:rFonts w:ascii="Courier New" w:cs="Courier New" w:eastAsia="Courier New" w:hAnsi="Courier New"/>
          <w:sz w:val="16"/>
          <w:szCs w:val="16"/>
          <w:color w:val="auto"/>
        </w:rPr>
        <w:t>During the second quarter of 1994, the company expects signifi-cant cash expenditures to complete its refinancing, including early extinguishment costs on remaining SPX debt and SPT debt. Also, early in the second quarter, approximately $8 million of payments were made to finalize the dispute with the Internal Revenue Service regarding the company's tax deferred income tax treatment of the</w:t>
      </w:r>
    </w:p>
    <w:p>
      <w:pPr>
        <w:spacing w:after="0" w:line="1"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1989 transaction in which several operating units were contributed to SPT and to finalize certain other tax matters related to the 1989 tax year.</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Capitalization</w:t>
      </w:r>
    </w:p>
    <w:p>
      <w:pPr>
        <w:jc w:val="center"/>
        <w:ind w:right="939"/>
        <w:spacing w:after="0"/>
        <w:tabs>
          <w:tab w:leader="none" w:pos="720" w:val="left"/>
        </w:tabs>
        <w:rPr>
          <w:sz w:val="20"/>
          <w:szCs w:val="20"/>
          <w:color w:val="auto"/>
        </w:rPr>
      </w:pPr>
      <w:r>
        <w:rPr>
          <w:rFonts w:ascii="Courier New" w:cs="Courier New" w:eastAsia="Courier New" w:hAnsi="Courier New"/>
          <w:sz w:val="18"/>
          <w:szCs w:val="18"/>
          <w:color w:val="auto"/>
        </w:rPr>
        <w:t>March 31</w:t>
      </w:r>
      <w:r>
        <w:rPr>
          <w:sz w:val="20"/>
          <w:szCs w:val="20"/>
          <w:color w:val="auto"/>
        </w:rPr>
        <w:tab/>
      </w:r>
      <w:r>
        <w:rPr>
          <w:rFonts w:ascii="Courier New" w:cs="Courier New" w:eastAsia="Courier New" w:hAnsi="Courier New"/>
          <w:sz w:val="16"/>
          <w:szCs w:val="16"/>
          <w:color w:val="auto"/>
        </w:rPr>
        <w:t>Dec. 31</w:t>
      </w:r>
    </w:p>
    <w:p>
      <w:pPr>
        <w:jc w:val="center"/>
        <w:ind w:right="-660"/>
        <w:spacing w:after="0"/>
        <w:tabs>
          <w:tab w:leader="none" w:pos="102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1993</w:t>
      </w:r>
    </w:p>
    <w:p>
      <w:pPr>
        <w:ind w:left="4020"/>
        <w:spacing w:after="0" w:line="237" w:lineRule="auto"/>
        <w:rPr>
          <w:sz w:val="20"/>
          <w:szCs w:val="20"/>
          <w:color w:val="auto"/>
        </w:rPr>
      </w:pPr>
      <w:r>
        <w:rPr>
          <w:rFonts w:ascii="Courier New" w:cs="Courier New" w:eastAsia="Courier New" w:hAnsi="Courier New"/>
          <w:sz w:val="18"/>
          <w:szCs w:val="18"/>
          <w:color w:val="auto"/>
        </w:rPr>
        <w:t>(in millions)</w:t>
      </w:r>
    </w:p>
    <w:p>
      <w:pPr>
        <w:ind w:left="420"/>
        <w:spacing w:after="0" w:line="238" w:lineRule="auto"/>
        <w:rPr>
          <w:sz w:val="20"/>
          <w:szCs w:val="20"/>
          <w:color w:val="auto"/>
        </w:rPr>
      </w:pPr>
      <w:r>
        <w:rPr>
          <w:rFonts w:ascii="Courier New" w:cs="Courier New" w:eastAsia="Courier New" w:hAnsi="Courier New"/>
          <w:sz w:val="18"/>
          <w:szCs w:val="18"/>
          <w:color w:val="auto"/>
        </w:rPr>
        <w:t>Notes payable and current</w:t>
      </w:r>
    </w:p>
    <w:p>
      <w:pPr>
        <w:sectPr>
          <w:pgSz w:w="11900" w:h="16838" w:orient="portrait"/>
          <w:cols w:equalWidth="0" w:num="1">
            <w:col w:w="10219"/>
          </w:cols>
          <w:pgMar w:left="240" w:top="136" w:right="1440" w:bottom="0" w:gutter="0" w:footer="0" w:header="0"/>
        </w:sectPr>
      </w:pPr>
    </w:p>
    <w:bookmarkStart w:id="9" w:name="page10"/>
    <w:bookmarkEnd w:id="9"/>
    <w:tbl>
      <w:tblPr>
        <w:tblLayout w:type="fixed"/>
        <w:tblInd w:w="42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maturities of</w:t>
            </w: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long-term debt $</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44.2</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94.0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Long-term debt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338.5</w:t>
            </w:r>
          </w:p>
        </w:tc>
        <w:tc>
          <w:tcPr>
            <w:tcW w:w="4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336.2</w:t>
            </w:r>
          </w:p>
        </w:tc>
      </w:tr>
      <w:tr>
        <w:trPr>
          <w:trHeight w:val="203"/>
        </w:trPr>
        <w:tc>
          <w:tcPr>
            <w:tcW w:w="3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Total debt................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382.7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430.2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equity........</w:t>
            </w:r>
          </w:p>
        </w:tc>
        <w:tc>
          <w:tcPr>
            <w:tcW w:w="20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148.0</w:t>
            </w:r>
          </w:p>
        </w:tc>
        <w:tc>
          <w:tcPr>
            <w:tcW w:w="4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145.4</w:t>
            </w:r>
          </w:p>
        </w:tc>
      </w:tr>
      <w:tr>
        <w:trPr>
          <w:trHeight w:val="203"/>
        </w:trPr>
        <w:tc>
          <w:tcPr>
            <w:tcW w:w="3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Total capitalization........</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530.7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575.6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debt to</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capitalization</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Ratio.....................</w:t>
            </w:r>
          </w:p>
        </w:tc>
        <w:tc>
          <w:tcPr>
            <w:tcW w:w="20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72.1%</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74.7%</w:t>
            </w:r>
          </w:p>
        </w:tc>
      </w:tr>
    </w:tbl>
    <w:p>
      <w:pPr>
        <w:spacing w:after="0" w:line="207" w:lineRule="exact"/>
        <w:rPr>
          <w:sz w:val="20"/>
          <w:szCs w:val="20"/>
          <w:color w:val="auto"/>
        </w:rPr>
      </w:pPr>
    </w:p>
    <w:p>
      <w:pPr>
        <w:ind w:right="3159" w:firstLine="421"/>
        <w:spacing w:after="0" w:line="237" w:lineRule="auto"/>
        <w:rPr>
          <w:sz w:val="20"/>
          <w:szCs w:val="20"/>
          <w:color w:val="auto"/>
        </w:rPr>
      </w:pPr>
      <w:r>
        <w:rPr>
          <w:rFonts w:ascii="Courier New" w:cs="Courier New" w:eastAsia="Courier New" w:hAnsi="Courier New"/>
          <w:sz w:val="18"/>
          <w:szCs w:val="18"/>
          <w:color w:val="auto"/>
        </w:rPr>
        <w:t>At March 31, 1994, the company's total debt was composed of SPX debt of $174.8 million and of SPT debt of $207.9 million. As of March 31, 1994, the company has used existing cash balances and proceeds from its new $250 million revolving credit facility to pay Riken Corporation for the additional 49% of SPT, extinguish a majority of the company's ESOP trust's note of $42.1 million and to pay off $50 of bank loans. In April, the company completed the extinguishment of the ESOP note, the senior notes of $75 million, the $19.7 million note to the Allen Group and $18 million of other debt utilizing the new revolving credit.</w:t>
      </w:r>
    </w:p>
    <w:p>
      <w:pPr>
        <w:spacing w:after="0" w:line="215"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The company continues with its plan to issue $260 million of senior subordinated notes before the end of the second quarter of 1994. At that time, the outstanding SPT debt will be extinguished using the proceeds from this offering. The March 31, 1994 unaudited pro forma total debt would have been approximately $409 million assuming that the remaining SPX debt was extinguished as well as having the issuance of the senior subordinated notes and the SPT debt extinguishment completed.</w:t>
      </w:r>
    </w:p>
    <w:p>
      <w:pPr>
        <w:spacing w:after="0" w:line="212" w:lineRule="exact"/>
        <w:rPr>
          <w:sz w:val="20"/>
          <w:szCs w:val="20"/>
          <w:color w:val="auto"/>
        </w:rPr>
      </w:pPr>
    </w:p>
    <w:p>
      <w:pPr>
        <w:ind w:right="3039" w:firstLine="421"/>
        <w:spacing w:after="0" w:line="273" w:lineRule="auto"/>
        <w:rPr>
          <w:sz w:val="20"/>
          <w:szCs w:val="20"/>
          <w:color w:val="auto"/>
        </w:rPr>
      </w:pPr>
      <w:r>
        <w:rPr>
          <w:rFonts w:ascii="Courier New" w:cs="Courier New" w:eastAsia="Courier New" w:hAnsi="Courier New"/>
          <w:sz w:val="16"/>
          <w:szCs w:val="16"/>
          <w:color w:val="auto"/>
        </w:rPr>
        <w:t>After the completion of the refinancing, the company's total debt availability will consist of the new revolving credit of $225 million (adjusted), the senior subordinated notes of $260 million and Industrial Revenue Bonds of $15.2 million. Management believes that the additional availability from these facilities is sufficient</w:t>
      </w:r>
    </w:p>
    <w:p>
      <w:pPr>
        <w:sectPr>
          <w:pgSz w:w="11900" w:h="16838" w:orient="portrait"/>
          <w:cols w:equalWidth="0" w:num="1">
            <w:col w:w="10219"/>
          </w:cols>
          <w:pgMar w:left="240" w:top="136" w:right="1440" w:bottom="1440" w:gutter="0" w:footer="0" w:header="0"/>
        </w:sectPr>
      </w:pPr>
    </w:p>
    <w:bookmarkStart w:id="10" w:name="page11"/>
    <w:bookmarkEnd w:id="10"/>
    <w:p>
      <w:pPr>
        <w:ind w:right="3159"/>
        <w:spacing w:after="0" w:line="290" w:lineRule="auto"/>
        <w:rPr>
          <w:sz w:val="20"/>
          <w:szCs w:val="20"/>
          <w:color w:val="auto"/>
        </w:rPr>
      </w:pPr>
      <w:r>
        <w:rPr>
          <w:rFonts w:ascii="Courier New" w:cs="Courier New" w:eastAsia="Courier New" w:hAnsi="Courier New"/>
          <w:sz w:val="16"/>
          <w:szCs w:val="16"/>
          <w:color w:val="auto"/>
        </w:rPr>
        <w:t>to meet operational cash requirements, working capital requirements and capital expenditures planned for 1994 and thereafter.</w:t>
      </w:r>
    </w:p>
    <w:p>
      <w:pPr>
        <w:spacing w:after="0" w:line="170"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If the notes are not issued, the revolving credit facility would remain at $250 million and be secured by the company's assets (ex-cluding SPT) and the SPT debt would remain outstanding. The combi-nation of the unused SPX revolver availability and the unused SPT credit availability would be sufficient to cover the company's planned operational cash requirements, working capital requirements and capital expenditures for 1994 and thereafter.</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Capital Expenditures</w:t>
      </w:r>
    </w:p>
    <w:p>
      <w:pPr>
        <w:spacing w:after="0" w:line="207"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Capital expenditures for the first quarter of 1994 were $10.3 million compared to $3.9 million in the first quarter of 1993. Full year 1994 planned expenditures are estimated to exceed $40 million and the first quarter reflects the annual pace. 1993 capital expen-ditures do not include SPT.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3039" w:firstLine="421"/>
        <w:spacing w:after="0" w:line="271" w:lineRule="auto"/>
        <w:rPr>
          <w:sz w:val="20"/>
          <w:szCs w:val="20"/>
          <w:color w:val="auto"/>
        </w:rPr>
      </w:pPr>
      <w:r>
        <w:rPr>
          <w:rFonts w:ascii="Courier New" w:cs="Courier New" w:eastAsia="Courier New" w:hAnsi="Courier New"/>
          <w:sz w:val="16"/>
          <w:szCs w:val="16"/>
          <w:color w:val="auto"/>
        </w:rPr>
        <w:t>Accounting Pronouncements - As of the beginning of 1994, the company adopted Statement of Financial Accounting Standards, No. 112 - - "Employers' Accounting for Postemployment Benefits." This stan-dard requires that the cost of benefits provided to former or inactive employees be recognized on the accrual basis of accounting. The company's analysis is that the provisions of this statement are not material to its financial position or results of operations.</w:t>
      </w:r>
    </w:p>
    <w:p>
      <w:pPr>
        <w:sectPr>
          <w:pgSz w:w="11900" w:h="16838" w:orient="portrait"/>
          <w:cols w:equalWidth="0" w:num="1">
            <w:col w:w="10219"/>
          </w:cols>
          <w:pgMar w:left="240" w:top="520"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360" w:type="dxa"/>
            <w:vAlign w:val="bottom"/>
            <w:gridSpan w:val="2"/>
          </w:tcPr>
          <w:p>
            <w:pPr>
              <w:ind w:left="1360"/>
              <w:spacing w:after="0"/>
              <w:rPr>
                <w:sz w:val="20"/>
                <w:szCs w:val="20"/>
                <w:color w:val="auto"/>
              </w:rPr>
            </w:pPr>
            <w:r>
              <w:rPr>
                <w:rFonts w:ascii="Courier New" w:cs="Courier New" w:eastAsia="Courier New" w:hAnsi="Courier New"/>
                <w:sz w:val="18"/>
                <w:szCs w:val="18"/>
                <w:color w:val="auto"/>
              </w:rPr>
              <w:t>Exhibits</w:t>
            </w:r>
          </w:p>
        </w:tc>
      </w:tr>
      <w:tr>
        <w:trPr>
          <w:trHeight w:val="405"/>
        </w:trPr>
        <w:tc>
          <w:tcPr>
            <w:tcW w:w="170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Courier New" w:cs="Courier New" w:eastAsia="Courier New" w:hAnsi="Courier New"/>
                <w:sz w:val="18"/>
                <w:szCs w:val="18"/>
                <w:color w:val="auto"/>
              </w:rPr>
              <w:t>(2)</w:t>
            </w: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w w:val="92"/>
              </w:rPr>
              <w:t>None.</w:t>
            </w:r>
          </w:p>
        </w:tc>
      </w:tr>
      <w:tr>
        <w:trPr>
          <w:trHeight w:val="405"/>
        </w:trPr>
        <w:tc>
          <w:tcPr>
            <w:tcW w:w="170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Courier New" w:cs="Courier New" w:eastAsia="Courier New" w:hAnsi="Courier New"/>
                <w:sz w:val="18"/>
                <w:szCs w:val="18"/>
                <w:color w:val="auto"/>
              </w:rPr>
              <w:t>(4)</w:t>
            </w: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w w:val="92"/>
              </w:rPr>
              <w:t>None.</w:t>
            </w:r>
          </w:p>
        </w:tc>
      </w:tr>
      <w:tr>
        <w:trPr>
          <w:trHeight w:val="405"/>
        </w:trPr>
        <w:tc>
          <w:tcPr>
            <w:tcW w:w="170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Courier New" w:cs="Courier New" w:eastAsia="Courier New" w:hAnsi="Courier New"/>
                <w:sz w:val="18"/>
                <w:szCs w:val="18"/>
                <w:color w:val="auto"/>
              </w:rPr>
              <w:t>(11)</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170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Courier New" w:cs="Courier New" w:eastAsia="Courier New" w:hAnsi="Courier New"/>
                <w:sz w:val="18"/>
                <w:szCs w:val="18"/>
                <w:color w:val="auto"/>
              </w:rPr>
              <w:t>(15)</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170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Courier New" w:cs="Courier New" w:eastAsia="Courier New" w:hAnsi="Courier New"/>
                <w:sz w:val="18"/>
                <w:szCs w:val="18"/>
                <w:color w:val="auto"/>
              </w:rPr>
              <w:t>(18)</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170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Courier New" w:cs="Courier New" w:eastAsia="Courier New" w:hAnsi="Courier New"/>
                <w:sz w:val="18"/>
                <w:szCs w:val="18"/>
                <w:color w:val="auto"/>
              </w:rPr>
              <w:t>(19)</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170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Courier New" w:cs="Courier New" w:eastAsia="Courier New" w:hAnsi="Courier New"/>
                <w:sz w:val="18"/>
                <w:szCs w:val="18"/>
                <w:color w:val="auto"/>
              </w:rPr>
              <w:t>(20)</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170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Courier New" w:cs="Courier New" w:eastAsia="Courier New" w:hAnsi="Courier New"/>
                <w:sz w:val="18"/>
                <w:szCs w:val="18"/>
                <w:color w:val="auto"/>
              </w:rPr>
              <w:t>(23)</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170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Courier New" w:cs="Courier New" w:eastAsia="Courier New" w:hAnsi="Courier New"/>
                <w:sz w:val="18"/>
                <w:szCs w:val="18"/>
                <w:color w:val="auto"/>
              </w:rPr>
              <w:t>(24)</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170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Courier New" w:cs="Courier New" w:eastAsia="Courier New" w:hAnsi="Courier New"/>
                <w:sz w:val="18"/>
                <w:szCs w:val="18"/>
                <w:color w:val="auto"/>
              </w:rPr>
              <w:t>(25)</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170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Courier New" w:cs="Courier New" w:eastAsia="Courier New" w:hAnsi="Courier New"/>
                <w:sz w:val="18"/>
                <w:szCs w:val="18"/>
                <w:color w:val="auto"/>
              </w:rPr>
              <w:t>(28)</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3360" w:type="dxa"/>
            <w:vAlign w:val="bottom"/>
            <w:gridSpan w:val="2"/>
          </w:tcPr>
          <w:p>
            <w:pPr>
              <w:ind w:left="1360"/>
              <w:spacing w:after="0"/>
              <w:rPr>
                <w:sz w:val="20"/>
                <w:szCs w:val="20"/>
                <w:color w:val="auto"/>
              </w:rPr>
            </w:pPr>
            <w:r>
              <w:rPr>
                <w:rFonts w:ascii="Courier New" w:cs="Courier New" w:eastAsia="Courier New" w:hAnsi="Courier New"/>
                <w:sz w:val="18"/>
                <w:szCs w:val="18"/>
                <w:color w:val="auto"/>
                <w:w w:val="96"/>
              </w:rPr>
              <w:t>Reports on Form 8-K</w:t>
            </w:r>
          </w:p>
        </w:tc>
      </w:tr>
      <w:tr>
        <w:trPr>
          <w:trHeight w:val="405"/>
        </w:trPr>
        <w:tc>
          <w:tcPr>
            <w:tcW w:w="170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Courier New" w:cs="Courier New" w:eastAsia="Courier New" w:hAnsi="Courier New"/>
                <w:sz w:val="18"/>
                <w:szCs w:val="18"/>
                <w:color w:val="auto"/>
              </w:rPr>
              <w:t>None.</w:t>
            </w:r>
          </w:p>
        </w:tc>
        <w:tc>
          <w:tcPr>
            <w:tcW w:w="142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12" w:name="page13"/>
    <w:bookmarkEnd w:id="12"/>
    <w:p>
      <w:pPr>
        <w:ind w:left="274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SPX CORPORATION</w:t>
      </w:r>
    </w:p>
    <w:p>
      <w:pPr>
        <w:ind w:left="358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720" w:val="left"/>
          <w:tab w:leader="none" w:pos="3460" w:val="left"/>
        </w:tabs>
        <w:rPr>
          <w:sz w:val="20"/>
          <w:szCs w:val="20"/>
          <w:color w:val="auto"/>
        </w:rPr>
      </w:pPr>
      <w:r>
        <w:rPr>
          <w:rFonts w:ascii="Courier New" w:cs="Courier New" w:eastAsia="Courier New" w:hAnsi="Courier New"/>
          <w:sz w:val="18"/>
          <w:szCs w:val="18"/>
          <w:color w:val="auto"/>
        </w:rPr>
        <w:t>Date:</w:t>
        <w:tab/>
        <w:t>May 9, 1994</w:t>
      </w:r>
      <w:r>
        <w:rPr>
          <w:sz w:val="20"/>
          <w:szCs w:val="20"/>
          <w:color w:val="auto"/>
        </w:rPr>
        <w:tab/>
      </w:r>
      <w:r>
        <w:rPr>
          <w:rFonts w:ascii="Courier New" w:cs="Courier New" w:eastAsia="Courier New" w:hAnsi="Courier New"/>
          <w:sz w:val="18"/>
          <w:szCs w:val="18"/>
          <w:color w:val="auto"/>
        </w:rPr>
        <w:t>By</w:t>
      </w:r>
    </w:p>
    <w:p>
      <w:pPr>
        <w:ind w:left="3800"/>
        <w:spacing w:after="0" w:line="238" w:lineRule="auto"/>
        <w:rPr>
          <w:sz w:val="20"/>
          <w:szCs w:val="20"/>
          <w:color w:val="auto"/>
        </w:rPr>
      </w:pPr>
      <w:r>
        <w:rPr>
          <w:rFonts w:ascii="Courier New" w:cs="Courier New" w:eastAsia="Courier New" w:hAnsi="Courier New"/>
          <w:sz w:val="18"/>
          <w:szCs w:val="18"/>
          <w:color w:val="auto"/>
        </w:rPr>
        <w:t>Dale A. Johnson</w:t>
      </w:r>
    </w:p>
    <w:p>
      <w:pPr>
        <w:ind w:left="3800"/>
        <w:spacing w:after="0"/>
        <w:rPr>
          <w:sz w:val="20"/>
          <w:szCs w:val="20"/>
          <w:color w:val="auto"/>
        </w:rPr>
      </w:pPr>
      <w:r>
        <w:rPr>
          <w:rFonts w:ascii="Courier New" w:cs="Courier New" w:eastAsia="Courier New" w:hAnsi="Courier New"/>
          <w:sz w:val="18"/>
          <w:szCs w:val="18"/>
          <w:color w:val="auto"/>
        </w:rPr>
        <w:t>Chairman and</w:t>
      </w:r>
    </w:p>
    <w:p>
      <w:pPr>
        <w:ind w:left="380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 w:leader="none" w:pos="3460" w:val="left"/>
        </w:tabs>
        <w:rPr>
          <w:sz w:val="20"/>
          <w:szCs w:val="20"/>
          <w:color w:val="auto"/>
        </w:rPr>
      </w:pPr>
      <w:r>
        <w:rPr>
          <w:rFonts w:ascii="Courier New" w:cs="Courier New" w:eastAsia="Courier New" w:hAnsi="Courier New"/>
          <w:sz w:val="18"/>
          <w:szCs w:val="18"/>
          <w:color w:val="auto"/>
        </w:rPr>
        <w:t>Date:</w:t>
        <w:tab/>
        <w:t>May 9, 1994</w:t>
      </w:r>
      <w:r>
        <w:rPr>
          <w:sz w:val="20"/>
          <w:szCs w:val="20"/>
          <w:color w:val="auto"/>
        </w:rPr>
        <w:tab/>
      </w:r>
      <w:r>
        <w:rPr>
          <w:rFonts w:ascii="Courier New" w:cs="Courier New" w:eastAsia="Courier New" w:hAnsi="Courier New"/>
          <w:sz w:val="18"/>
          <w:szCs w:val="18"/>
          <w:color w:val="auto"/>
        </w:rPr>
        <w:t>By</w:t>
      </w:r>
    </w:p>
    <w:p>
      <w:pPr>
        <w:ind w:left="3800"/>
        <w:spacing w:after="0" w:line="238" w:lineRule="auto"/>
        <w:rPr>
          <w:sz w:val="20"/>
          <w:szCs w:val="20"/>
          <w:color w:val="auto"/>
        </w:rPr>
      </w:pPr>
      <w:r>
        <w:rPr>
          <w:rFonts w:ascii="Courier New" w:cs="Courier New" w:eastAsia="Courier New" w:hAnsi="Courier New"/>
          <w:sz w:val="18"/>
          <w:szCs w:val="18"/>
          <w:color w:val="auto"/>
        </w:rPr>
        <w:t>R. Budd Werner</w:t>
      </w:r>
    </w:p>
    <w:p>
      <w:pPr>
        <w:ind w:left="3800"/>
        <w:spacing w:after="0"/>
        <w:rPr>
          <w:sz w:val="20"/>
          <w:szCs w:val="20"/>
          <w:color w:val="auto"/>
        </w:rPr>
      </w:pPr>
      <w:r>
        <w:rPr>
          <w:rFonts w:ascii="Courier New" w:cs="Courier New" w:eastAsia="Courier New" w:hAnsi="Courier New"/>
          <w:sz w:val="18"/>
          <w:szCs w:val="18"/>
          <w:color w:val="auto"/>
        </w:rPr>
        <w:t>Vice President, Finance and</w:t>
      </w:r>
    </w:p>
    <w:p>
      <w:pPr>
        <w:ind w:left="3800"/>
        <w:spacing w:after="0" w:line="237"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514" w:right="1440" w:bottom="1440" w:gutter="0" w:footer="0" w:header="0"/>
        </w:sectPr>
      </w:pPr>
    </w:p>
    <w:bookmarkStart w:id="13" w:name="page14"/>
    <w:bookmarkEnd w:id="13"/>
    <w:p>
      <w:pPr>
        <w:ind w:left="274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740" w:type="dxa"/>
            <w:vAlign w:val="bottom"/>
            <w:gridSpan w:val="3"/>
          </w:tcPr>
          <w:p>
            <w:pPr>
              <w:ind w:left="780"/>
              <w:spacing w:after="0"/>
              <w:rPr>
                <w:sz w:val="20"/>
                <w:szCs w:val="20"/>
                <w:color w:val="auto"/>
              </w:rPr>
            </w:pPr>
            <w:r>
              <w:rPr>
                <w:rFonts w:ascii="Courier New" w:cs="Courier New" w:eastAsia="Courier New" w:hAnsi="Courier New"/>
                <w:sz w:val="18"/>
                <w:szCs w:val="18"/>
                <w:color w:val="auto"/>
              </w:rPr>
              <w:t>SPX CORPORATION</w:t>
            </w:r>
          </w:p>
        </w:tc>
        <w:tc>
          <w:tcPr>
            <w:tcW w:w="12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740" w:type="dxa"/>
            <w:vAlign w:val="bottom"/>
            <w:gridSpan w:val="3"/>
          </w:tcPr>
          <w:p>
            <w:pPr>
              <w:ind w:left="880"/>
              <w:spacing w:after="0" w:line="203" w:lineRule="exact"/>
              <w:rPr>
                <w:sz w:val="20"/>
                <w:szCs w:val="20"/>
                <w:color w:val="auto"/>
              </w:rPr>
            </w:pPr>
            <w:r>
              <w:rPr>
                <w:rFonts w:ascii="Courier New" w:cs="Courier New" w:eastAsia="Courier New" w:hAnsi="Courier New"/>
                <w:sz w:val="18"/>
                <w:szCs w:val="18"/>
                <w:color w:val="auto"/>
              </w:rPr>
              <w:t>(Registrant)</w:t>
            </w:r>
          </w:p>
        </w:tc>
        <w:tc>
          <w:tcPr>
            <w:tcW w:w="1200" w:type="dxa"/>
            <w:vAlign w:val="bottom"/>
          </w:tcPr>
          <w:p>
            <w:pPr>
              <w:spacing w:after="0"/>
              <w:rPr>
                <w:sz w:val="17"/>
                <w:szCs w:val="17"/>
                <w:color w:val="auto"/>
              </w:rPr>
            </w:pPr>
          </w:p>
        </w:tc>
      </w:tr>
      <w:tr>
        <w:trPr>
          <w:trHeight w:val="810"/>
        </w:trPr>
        <w:tc>
          <w:tcPr>
            <w:tcW w:w="6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060" w:type="dxa"/>
            <w:vAlign w:val="bottom"/>
          </w:tcPr>
          <w:p>
            <w:pPr>
              <w:ind w:left="100"/>
              <w:spacing w:after="0"/>
              <w:rPr>
                <w:sz w:val="20"/>
                <w:szCs w:val="20"/>
                <w:color w:val="auto"/>
              </w:rPr>
            </w:pPr>
            <w:r>
              <w:rPr>
                <w:rFonts w:ascii="Courier New" w:cs="Courier New" w:eastAsia="Courier New" w:hAnsi="Courier New"/>
                <w:sz w:val="18"/>
                <w:szCs w:val="18"/>
                <w:color w:val="auto"/>
              </w:rPr>
              <w:t>May 9, 1994</w:t>
            </w:r>
          </w:p>
        </w:tc>
        <w:tc>
          <w:tcPr>
            <w:tcW w:w="1040" w:type="dxa"/>
            <w:vAlign w:val="bottom"/>
          </w:tcPr>
          <w:p>
            <w:pPr>
              <w:ind w:left="780"/>
              <w:spacing w:after="0"/>
              <w:rPr>
                <w:sz w:val="20"/>
                <w:szCs w:val="20"/>
                <w:color w:val="auto"/>
              </w:rPr>
            </w:pPr>
            <w:r>
              <w:rPr>
                <w:rFonts w:ascii="Courier New" w:cs="Courier New" w:eastAsia="Courier New" w:hAnsi="Courier New"/>
                <w:sz w:val="18"/>
                <w:szCs w:val="18"/>
                <w:color w:val="auto"/>
              </w:rPr>
              <w:t>By</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s/s</w:t>
            </w:r>
          </w:p>
        </w:tc>
        <w:tc>
          <w:tcPr>
            <w:tcW w:w="2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Dale A. Johnson</w:t>
            </w:r>
          </w:p>
        </w:tc>
      </w:tr>
      <w:tr>
        <w:trPr>
          <w:trHeight w:val="203"/>
        </w:trPr>
        <w:tc>
          <w:tcPr>
            <w:tcW w:w="6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Dale</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Johnson</w:t>
            </w:r>
          </w:p>
        </w:tc>
        <w:tc>
          <w:tcPr>
            <w:tcW w:w="12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Chairman and</w:t>
            </w:r>
          </w:p>
        </w:tc>
        <w:tc>
          <w:tcPr>
            <w:tcW w:w="12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Chief Executive</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810"/>
        </w:trPr>
        <w:tc>
          <w:tcPr>
            <w:tcW w:w="6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060" w:type="dxa"/>
            <w:vAlign w:val="bottom"/>
          </w:tcPr>
          <w:p>
            <w:pPr>
              <w:ind w:left="100"/>
              <w:spacing w:after="0"/>
              <w:rPr>
                <w:sz w:val="20"/>
                <w:szCs w:val="20"/>
                <w:color w:val="auto"/>
              </w:rPr>
            </w:pPr>
            <w:r>
              <w:rPr>
                <w:rFonts w:ascii="Courier New" w:cs="Courier New" w:eastAsia="Courier New" w:hAnsi="Courier New"/>
                <w:sz w:val="18"/>
                <w:szCs w:val="18"/>
                <w:color w:val="auto"/>
              </w:rPr>
              <w:t>May 9, 1994</w:t>
            </w:r>
          </w:p>
        </w:tc>
        <w:tc>
          <w:tcPr>
            <w:tcW w:w="1040" w:type="dxa"/>
            <w:vAlign w:val="bottom"/>
          </w:tcPr>
          <w:p>
            <w:pPr>
              <w:ind w:left="780"/>
              <w:spacing w:after="0"/>
              <w:rPr>
                <w:sz w:val="20"/>
                <w:szCs w:val="20"/>
                <w:color w:val="auto"/>
              </w:rPr>
            </w:pPr>
            <w:r>
              <w:rPr>
                <w:rFonts w:ascii="Courier New" w:cs="Courier New" w:eastAsia="Courier New" w:hAnsi="Courier New"/>
                <w:sz w:val="18"/>
                <w:szCs w:val="18"/>
                <w:color w:val="auto"/>
              </w:rPr>
              <w:t>By</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s/s</w:t>
            </w:r>
          </w:p>
        </w:tc>
        <w:tc>
          <w:tcPr>
            <w:tcW w:w="2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 Budd Werner</w:t>
            </w:r>
          </w:p>
        </w:tc>
      </w:tr>
      <w:tr>
        <w:trPr>
          <w:trHeight w:val="203"/>
        </w:trPr>
        <w:tc>
          <w:tcPr>
            <w:tcW w:w="6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 Budd Werner</w:t>
            </w:r>
          </w:p>
        </w:tc>
        <w:tc>
          <w:tcPr>
            <w:tcW w:w="12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Finance and</w:t>
            </w:r>
          </w:p>
        </w:tc>
      </w:tr>
      <w:tr>
        <w:trPr>
          <w:trHeight w:val="203"/>
        </w:trPr>
        <w:tc>
          <w:tcPr>
            <w:tcW w:w="6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Chief Financial</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w:t>
            </w:r>
          </w:p>
        </w:tc>
      </w:tr>
    </w:tbl>
    <w:p>
      <w:pPr>
        <w:spacing w:after="0" w:line="1" w:lineRule="exact"/>
        <w:rPr>
          <w:sz w:val="20"/>
          <w:szCs w:val="20"/>
          <w:color w:val="auto"/>
        </w:rPr>
      </w:pP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2019-12-13T06:35:18Z</dcterms:created>
  <dcterms:modified xsi:type="dcterms:W3CDTF">2019-12-13T06:35:18Z</dcterms:modified>
</cp:coreProperties>
</file>