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p>
    <w:p>
      <w:pPr>
        <w:jc w:val="center"/>
        <w:ind w:right="-207"/>
        <w:spacing w:after="0"/>
        <w:rPr>
          <w:sz w:val="20"/>
          <w:szCs w:val="20"/>
          <w:color w:val="auto"/>
        </w:rPr>
      </w:pPr>
      <w:r>
        <w:rPr>
          <w:rFonts w:ascii="Arial" w:cs="Arial" w:eastAsia="Arial" w:hAnsi="Arial"/>
          <w:sz w:val="29"/>
          <w:szCs w:val="29"/>
          <w:b w:val="1"/>
          <w:bCs w:val="1"/>
          <w:color w:val="231F20"/>
        </w:rPr>
        <w:t>UNITED STATES</w:t>
      </w:r>
    </w:p>
    <w:p>
      <w:pPr>
        <w:jc w:val="center"/>
        <w:ind w:right="-207"/>
        <w:spacing w:after="0" w:line="219" w:lineRule="auto"/>
        <w:rPr>
          <w:sz w:val="20"/>
          <w:szCs w:val="20"/>
          <w:color w:val="auto"/>
        </w:rPr>
      </w:pPr>
      <w:r>
        <w:rPr>
          <w:rFonts w:ascii="Arial" w:cs="Arial" w:eastAsia="Arial" w:hAnsi="Arial"/>
          <w:sz w:val="28"/>
          <w:szCs w:val="28"/>
          <w:b w:val="1"/>
          <w:bCs w:val="1"/>
          <w:color w:val="231F20"/>
        </w:rPr>
        <w:t>SECURITIES AND EXCHANGE COMMISSION</w:t>
      </w:r>
    </w:p>
    <w:p>
      <w:pPr>
        <w:spacing w:after="0" w:line="1" w:lineRule="exact"/>
        <w:rPr>
          <w:sz w:val="24"/>
          <w:szCs w:val="24"/>
          <w:color w:val="auto"/>
        </w:rPr>
      </w:pPr>
    </w:p>
    <w:p>
      <w:pPr>
        <w:jc w:val="center"/>
        <w:ind w:right="-207"/>
        <w:spacing w:after="0"/>
        <w:rPr>
          <w:sz w:val="20"/>
          <w:szCs w:val="20"/>
          <w:color w:val="auto"/>
        </w:rPr>
      </w:pPr>
      <w:r>
        <w:rPr>
          <w:rFonts w:ascii="Arial" w:cs="Arial" w:eastAsia="Arial" w:hAnsi="Arial"/>
          <w:sz w:val="22"/>
          <w:szCs w:val="22"/>
          <w:b w:val="1"/>
          <w:bCs w:val="1"/>
          <w:color w:val="231F20"/>
        </w:rPr>
        <w:t>Washington, D.C. 20549</w:t>
      </w:r>
    </w:p>
    <w:p>
      <w:pPr>
        <w:spacing w:after="0" w:line="178" w:lineRule="exact"/>
        <w:rPr>
          <w:sz w:val="24"/>
          <w:szCs w:val="24"/>
          <w:color w:val="auto"/>
        </w:rPr>
      </w:pPr>
    </w:p>
    <w:p>
      <w:pPr>
        <w:jc w:val="center"/>
        <w:ind w:right="-207"/>
        <w:spacing w:after="0"/>
        <w:rPr>
          <w:sz w:val="20"/>
          <w:szCs w:val="20"/>
          <w:color w:val="auto"/>
        </w:rPr>
      </w:pPr>
      <w:r>
        <w:rPr>
          <w:rFonts w:ascii="Arial" w:cs="Arial" w:eastAsia="Arial" w:hAnsi="Arial"/>
          <w:sz w:val="29"/>
          <w:szCs w:val="29"/>
          <w:b w:val="1"/>
          <w:bCs w:val="1"/>
          <w:color w:val="231F20"/>
        </w:rPr>
        <w:t>SCHEDULE 14A</w:t>
      </w:r>
    </w:p>
    <w:p>
      <w:pPr>
        <w:spacing w:after="0" w:line="226" w:lineRule="exact"/>
        <w:rPr>
          <w:sz w:val="24"/>
          <w:szCs w:val="24"/>
          <w:color w:val="auto"/>
        </w:rPr>
      </w:pPr>
    </w:p>
    <w:p>
      <w:pPr>
        <w:jc w:val="center"/>
        <w:ind w:right="-207"/>
        <w:spacing w:after="0"/>
        <w:rPr>
          <w:sz w:val="20"/>
          <w:szCs w:val="20"/>
          <w:color w:val="auto"/>
        </w:rPr>
      </w:pPr>
      <w:r>
        <w:rPr>
          <w:rFonts w:ascii="Arial" w:cs="Arial" w:eastAsia="Arial" w:hAnsi="Arial"/>
          <w:sz w:val="22"/>
          <w:szCs w:val="22"/>
          <w:b w:val="1"/>
          <w:bCs w:val="1"/>
          <w:color w:val="231F20"/>
        </w:rPr>
        <w:t>Proxy Statement Pursuant to Section 14(a) of</w:t>
      </w:r>
    </w:p>
    <w:p>
      <w:pPr>
        <w:spacing w:after="0" w:line="12" w:lineRule="exact"/>
        <w:rPr>
          <w:sz w:val="24"/>
          <w:szCs w:val="24"/>
          <w:color w:val="auto"/>
        </w:rPr>
      </w:pPr>
    </w:p>
    <w:p>
      <w:pPr>
        <w:jc w:val="center"/>
        <w:ind w:right="-207"/>
        <w:spacing w:after="0"/>
        <w:tabs>
          <w:tab w:leader="none" w:pos="220" w:val="left"/>
        </w:tabs>
        <w:rPr>
          <w:sz w:val="20"/>
          <w:szCs w:val="20"/>
          <w:color w:val="auto"/>
        </w:rPr>
      </w:pPr>
      <w:r>
        <w:rPr>
          <w:rFonts w:ascii="Arial" w:cs="Arial" w:eastAsia="Arial" w:hAnsi="Arial"/>
          <w:sz w:val="22"/>
          <w:szCs w:val="22"/>
          <w:b w:val="1"/>
          <w:bCs w:val="1"/>
          <w:color w:val="231F20"/>
        </w:rPr>
        <w:t>the Securities Exchange Act of 1934 (Amendment No.</w:t>
      </w:r>
      <w:r>
        <w:rPr>
          <w:sz w:val="20"/>
          <w:szCs w:val="20"/>
          <w:color w:val="auto"/>
        </w:rPr>
        <w:tab/>
      </w:r>
      <w:r>
        <w:rPr>
          <w:rFonts w:ascii="Arial" w:cs="Arial" w:eastAsia="Arial" w:hAnsi="Arial"/>
          <w:sz w:val="18"/>
          <w:szCs w:val="18"/>
          <w:b w:val="1"/>
          <w:bCs w:val="1"/>
          <w:color w:val="231F20"/>
        </w:rPr>
        <w:t>)</w:t>
      </w:r>
    </w:p>
    <w:p>
      <w:pPr>
        <w:spacing w:after="0" w:line="194" w:lineRule="exact"/>
        <w:rPr>
          <w:sz w:val="24"/>
          <w:szCs w:val="24"/>
          <w:color w:val="auto"/>
        </w:rPr>
      </w:pPr>
    </w:p>
    <w:p>
      <w:pPr>
        <w:ind w:left="7"/>
        <w:spacing w:after="0"/>
        <w:rPr>
          <w:sz w:val="20"/>
          <w:szCs w:val="20"/>
          <w:color w:val="auto"/>
        </w:rPr>
      </w:pPr>
      <w:r>
        <w:rPr>
          <w:rFonts w:ascii="Arial" w:cs="Arial" w:eastAsia="Arial" w:hAnsi="Arial"/>
          <w:sz w:val="18"/>
          <w:szCs w:val="18"/>
          <w:color w:val="auto"/>
        </w:rPr>
        <w:t xml:space="preserve">Filed by the Registrant </w:t>
      </w:r>
      <w:r>
        <w:rPr>
          <w:rFonts w:ascii="Arial" w:cs="Arial" w:eastAsia="Arial" w:hAnsi="Arial"/>
          <w:sz w:val="13"/>
          <w:szCs w:val="13"/>
          <w:b w:val="1"/>
          <w:bCs w:val="1"/>
          <w:color w:val="auto"/>
        </w:rPr>
        <w:t>Q</w:t>
      </w:r>
    </w:p>
    <w:p>
      <w:pPr>
        <w:spacing w:after="0" w:line="14" w:lineRule="exact"/>
        <w:rPr>
          <w:sz w:val="24"/>
          <w:szCs w:val="24"/>
          <w:color w:val="auto"/>
        </w:rPr>
      </w:pPr>
    </w:p>
    <w:p>
      <w:pPr>
        <w:ind w:left="7"/>
        <w:spacing w:after="0"/>
        <w:rPr>
          <w:sz w:val="20"/>
          <w:szCs w:val="20"/>
          <w:color w:val="auto"/>
        </w:rPr>
      </w:pPr>
      <w:r>
        <w:rPr>
          <w:rFonts w:ascii="Arial" w:cs="Arial" w:eastAsia="Arial" w:hAnsi="Arial"/>
          <w:sz w:val="18"/>
          <w:szCs w:val="18"/>
          <w:color w:val="auto"/>
        </w:rPr>
        <w:t xml:space="preserve">Filed by a Party other than the Registrant </w:t>
      </w:r>
      <w:r>
        <w:rPr>
          <w:rFonts w:ascii="Webdings" w:cs="Webdings" w:eastAsia="Webdings" w:hAnsi="Webdings"/>
          <w:sz w:val="12"/>
          <w:szCs w:val="12"/>
          <w:b w:val="1"/>
          <w:bCs w:val="1"/>
          <w:color w:val="auto"/>
        </w:rPr>
        <w:t>c</w:t>
      </w:r>
    </w:p>
    <w:p>
      <w:pPr>
        <w:spacing w:after="0" w:line="342" w:lineRule="exact"/>
        <w:rPr>
          <w:sz w:val="24"/>
          <w:szCs w:val="24"/>
          <w:color w:val="auto"/>
        </w:rPr>
      </w:pPr>
    </w:p>
    <w:p>
      <w:pPr>
        <w:ind w:left="7"/>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327" w:hanging="327"/>
        <w:spacing w:after="0"/>
        <w:tabs>
          <w:tab w:leader="none" w:pos="327" w:val="left"/>
        </w:tabs>
        <w:numPr>
          <w:ilvl w:val="0"/>
          <w:numId w:val="1"/>
        </w:numPr>
        <w:rPr>
          <w:rFonts w:ascii="Webdings" w:cs="Webdings" w:eastAsia="Webdings" w:hAnsi="Webdings"/>
          <w:sz w:val="13"/>
          <w:szCs w:val="13"/>
          <w:b w:val="1"/>
          <w:bCs w:val="1"/>
          <w:color w:val="auto"/>
        </w:rPr>
      </w:pPr>
      <w:r>
        <w:rPr>
          <w:rFonts w:ascii="Arial" w:cs="Arial" w:eastAsia="Arial" w:hAnsi="Arial"/>
          <w:sz w:val="18"/>
          <w:szCs w:val="18"/>
          <w:color w:val="auto"/>
        </w:rPr>
        <w:t>Preliminary Proxy Statement</w:t>
      </w:r>
    </w:p>
    <w:p>
      <w:pPr>
        <w:spacing w:after="0" w:line="76" w:lineRule="exact"/>
        <w:rPr>
          <w:rFonts w:ascii="Webdings" w:cs="Webdings" w:eastAsia="Webdings" w:hAnsi="Webdings"/>
          <w:sz w:val="13"/>
          <w:szCs w:val="13"/>
          <w:b w:val="1"/>
          <w:bCs w:val="1"/>
          <w:color w:val="auto"/>
        </w:rPr>
      </w:pPr>
    </w:p>
    <w:p>
      <w:pPr>
        <w:ind w:left="327" w:hanging="327"/>
        <w:spacing w:after="0"/>
        <w:tabs>
          <w:tab w:leader="none" w:pos="327" w:val="left"/>
        </w:tabs>
        <w:numPr>
          <w:ilvl w:val="0"/>
          <w:numId w:val="1"/>
        </w:numPr>
        <w:rPr>
          <w:rFonts w:ascii="Webdings" w:cs="Webdings" w:eastAsia="Webdings" w:hAnsi="Webdings"/>
          <w:sz w:val="13"/>
          <w:szCs w:val="13"/>
          <w:b w:val="1"/>
          <w:bCs w:val="1"/>
          <w:color w:val="auto"/>
        </w:rPr>
      </w:pPr>
      <w:r>
        <w:rPr>
          <w:rFonts w:ascii="Arial" w:cs="Arial" w:eastAsia="Arial" w:hAnsi="Arial"/>
          <w:sz w:val="18"/>
          <w:szCs w:val="18"/>
          <w:b w:val="1"/>
          <w:bCs w:val="1"/>
          <w:color w:val="auto"/>
        </w:rPr>
        <w:t>Confidential, for Use of the Commission Only (as permitted by Rule 14a-6(e)(2))</w:t>
      </w:r>
    </w:p>
    <w:p>
      <w:pPr>
        <w:spacing w:after="0" w:line="76" w:lineRule="exact"/>
        <w:rPr>
          <w:rFonts w:ascii="Webdings" w:cs="Webdings" w:eastAsia="Webdings" w:hAnsi="Webdings"/>
          <w:sz w:val="13"/>
          <w:szCs w:val="13"/>
          <w:b w:val="1"/>
          <w:bCs w:val="1"/>
          <w:color w:val="auto"/>
        </w:rPr>
      </w:pPr>
    </w:p>
    <w:p>
      <w:pPr>
        <w:ind w:left="7"/>
        <w:spacing w:after="0"/>
        <w:rPr>
          <w:rFonts w:ascii="Webdings" w:cs="Webdings" w:eastAsia="Webdings" w:hAnsi="Webdings"/>
          <w:sz w:val="13"/>
          <w:szCs w:val="13"/>
          <w:b w:val="1"/>
          <w:bCs w:val="1"/>
          <w:color w:val="auto"/>
        </w:rPr>
      </w:pPr>
      <w:r>
        <w:rPr>
          <w:rFonts w:ascii="Arial" w:cs="Arial" w:eastAsia="Arial" w:hAnsi="Arial"/>
          <w:sz w:val="13"/>
          <w:szCs w:val="13"/>
          <w:b w:val="1"/>
          <w:bCs w:val="1"/>
          <w:color w:val="auto"/>
        </w:rPr>
        <w:t xml:space="preserve">Q  </w:t>
      </w:r>
      <w:r>
        <w:rPr>
          <w:rFonts w:ascii="Arial" w:cs="Arial" w:eastAsia="Arial" w:hAnsi="Arial"/>
          <w:sz w:val="17"/>
          <w:szCs w:val="17"/>
          <w:color w:val="auto"/>
        </w:rPr>
        <w:t>Definitive Proxy Statement</w:t>
      </w:r>
    </w:p>
    <w:p>
      <w:pPr>
        <w:spacing w:after="0" w:line="115" w:lineRule="exact"/>
        <w:rPr>
          <w:rFonts w:ascii="Webdings" w:cs="Webdings" w:eastAsia="Webdings" w:hAnsi="Webdings"/>
          <w:sz w:val="13"/>
          <w:szCs w:val="13"/>
          <w:b w:val="1"/>
          <w:bCs w:val="1"/>
          <w:color w:val="auto"/>
        </w:rPr>
      </w:pPr>
    </w:p>
    <w:p>
      <w:pPr>
        <w:ind w:left="327" w:hanging="327"/>
        <w:spacing w:after="0"/>
        <w:tabs>
          <w:tab w:leader="none" w:pos="327" w:val="left"/>
        </w:tabs>
        <w:numPr>
          <w:ilvl w:val="0"/>
          <w:numId w:val="1"/>
        </w:numPr>
        <w:rPr>
          <w:rFonts w:ascii="Webdings" w:cs="Webdings" w:eastAsia="Webdings" w:hAnsi="Webdings"/>
          <w:sz w:val="13"/>
          <w:szCs w:val="13"/>
          <w:b w:val="1"/>
          <w:bCs w:val="1"/>
          <w:color w:val="auto"/>
        </w:rPr>
      </w:pPr>
      <w:r>
        <w:rPr>
          <w:rFonts w:ascii="Arial" w:cs="Arial" w:eastAsia="Arial" w:hAnsi="Arial"/>
          <w:sz w:val="18"/>
          <w:szCs w:val="18"/>
          <w:color w:val="auto"/>
        </w:rPr>
        <w:t>Definitive Additional Materials</w:t>
      </w:r>
    </w:p>
    <w:p>
      <w:pPr>
        <w:spacing w:after="0" w:line="76" w:lineRule="exact"/>
        <w:rPr>
          <w:rFonts w:ascii="Webdings" w:cs="Webdings" w:eastAsia="Webdings" w:hAnsi="Webdings"/>
          <w:sz w:val="13"/>
          <w:szCs w:val="13"/>
          <w:b w:val="1"/>
          <w:bCs w:val="1"/>
          <w:color w:val="auto"/>
        </w:rPr>
      </w:pPr>
    </w:p>
    <w:p>
      <w:pPr>
        <w:ind w:left="327" w:hanging="327"/>
        <w:spacing w:after="0"/>
        <w:tabs>
          <w:tab w:leader="none" w:pos="327" w:val="left"/>
        </w:tabs>
        <w:numPr>
          <w:ilvl w:val="0"/>
          <w:numId w:val="1"/>
        </w:numPr>
        <w:rPr>
          <w:rFonts w:ascii="Webdings" w:cs="Webdings" w:eastAsia="Webdings" w:hAnsi="Webdings"/>
          <w:sz w:val="13"/>
          <w:szCs w:val="13"/>
          <w:b w:val="1"/>
          <w:bCs w:val="1"/>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398145</wp:posOffset>
            </wp:positionH>
            <wp:positionV relativeFrom="paragraph">
              <wp:posOffset>223520</wp:posOffset>
            </wp:positionV>
            <wp:extent cx="52203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20335" cy="171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207"/>
        <w:spacing w:after="0"/>
        <w:rPr>
          <w:sz w:val="20"/>
          <w:szCs w:val="20"/>
          <w:color w:val="auto"/>
        </w:rPr>
      </w:pPr>
      <w:r>
        <w:rPr>
          <w:rFonts w:ascii="Arial" w:cs="Arial" w:eastAsia="Arial" w:hAnsi="Arial"/>
          <w:sz w:val="22"/>
          <w:szCs w:val="22"/>
          <w:b w:val="1"/>
          <w:bCs w:val="1"/>
          <w:color w:val="231F20"/>
        </w:rPr>
        <w:t>SPX Technologies, Inc.</w:t>
      </w:r>
    </w:p>
    <w:p>
      <w:pPr>
        <w:spacing w:after="0" w:line="67" w:lineRule="exact"/>
        <w:rPr>
          <w:sz w:val="24"/>
          <w:szCs w:val="24"/>
          <w:color w:val="auto"/>
        </w:rPr>
      </w:pPr>
    </w:p>
    <w:p>
      <w:pPr>
        <w:jc w:val="center"/>
        <w:ind w:right="-207"/>
        <w:spacing w:after="0"/>
        <w:rPr>
          <w:sz w:val="20"/>
          <w:szCs w:val="20"/>
          <w:color w:val="auto"/>
        </w:rPr>
      </w:pPr>
      <w:r>
        <w:rPr>
          <w:rFonts w:ascii="Arial" w:cs="Arial" w:eastAsia="Arial" w:hAnsi="Arial"/>
          <w:sz w:val="18"/>
          <w:szCs w:val="18"/>
          <w:color w:val="231F20"/>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398145</wp:posOffset>
            </wp:positionH>
            <wp:positionV relativeFrom="paragraph">
              <wp:posOffset>343535</wp:posOffset>
            </wp:positionV>
            <wp:extent cx="52203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1867"/>
        <w:spacing w:after="0"/>
        <w:rPr>
          <w:sz w:val="20"/>
          <w:szCs w:val="20"/>
          <w:color w:val="auto"/>
        </w:rPr>
      </w:pPr>
      <w:r>
        <w:rPr>
          <w:rFonts w:ascii="Arial" w:cs="Arial" w:eastAsia="Arial" w:hAnsi="Arial"/>
          <w:sz w:val="18"/>
          <w:szCs w:val="18"/>
          <w:color w:val="231F20"/>
        </w:rPr>
        <w:t>(Name of Person(s) Filing Proxy Statement, if other than the Registrant)</w:t>
      </w:r>
    </w:p>
    <w:p>
      <w:pPr>
        <w:spacing w:after="0" w:line="225" w:lineRule="exact"/>
        <w:rPr>
          <w:sz w:val="24"/>
          <w:szCs w:val="24"/>
          <w:color w:val="auto"/>
        </w:rPr>
      </w:pPr>
    </w:p>
    <w:p>
      <w:pPr>
        <w:ind w:left="7"/>
        <w:spacing w:after="0"/>
        <w:rPr>
          <w:sz w:val="20"/>
          <w:szCs w:val="20"/>
          <w:color w:val="auto"/>
        </w:rPr>
      </w:pPr>
      <w:r>
        <w:rPr>
          <w:rFonts w:ascii="Arial" w:cs="Arial" w:eastAsia="Arial" w:hAnsi="Arial"/>
          <w:sz w:val="18"/>
          <w:szCs w:val="18"/>
          <w:color w:val="auto"/>
        </w:rPr>
        <w:t>Payment of Filing Fee (Check all boxes that apply):</w:t>
      </w:r>
    </w:p>
    <w:p>
      <w:pPr>
        <w:spacing w:after="0" w:line="212" w:lineRule="exact"/>
        <w:rPr>
          <w:sz w:val="24"/>
          <w:szCs w:val="24"/>
          <w:color w:val="auto"/>
        </w:rPr>
      </w:pPr>
    </w:p>
    <w:p>
      <w:pPr>
        <w:ind w:left="367" w:hanging="367"/>
        <w:spacing w:after="0"/>
        <w:tabs>
          <w:tab w:leader="none" w:pos="367" w:val="left"/>
        </w:tabs>
        <w:numPr>
          <w:ilvl w:val="0"/>
          <w:numId w:val="2"/>
        </w:numPr>
        <w:rPr>
          <w:rFonts w:ascii="Arial" w:cs="Arial" w:eastAsia="Arial" w:hAnsi="Arial"/>
          <w:sz w:val="13"/>
          <w:szCs w:val="13"/>
          <w:b w:val="1"/>
          <w:bCs w:val="1"/>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327" w:hanging="327"/>
        <w:spacing w:after="0"/>
        <w:tabs>
          <w:tab w:leader="none" w:pos="327" w:val="left"/>
        </w:tabs>
        <w:numPr>
          <w:ilvl w:val="0"/>
          <w:numId w:val="3"/>
        </w:numPr>
        <w:rPr>
          <w:rFonts w:ascii="Webdings" w:cs="Webdings" w:eastAsia="Webdings" w:hAnsi="Webdings"/>
          <w:sz w:val="13"/>
          <w:szCs w:val="13"/>
          <w:b w:val="1"/>
          <w:bCs w:val="1"/>
          <w:color w:val="auto"/>
        </w:rPr>
      </w:pPr>
      <w:r>
        <w:rPr>
          <w:rFonts w:ascii="Arial" w:cs="Arial" w:eastAsia="Arial" w:hAnsi="Arial"/>
          <w:sz w:val="18"/>
          <w:szCs w:val="18"/>
          <w:color w:val="auto"/>
        </w:rPr>
        <w:t>Fee paid previously with preliminary materials.</w:t>
      </w:r>
    </w:p>
    <w:p>
      <w:pPr>
        <w:spacing w:after="0" w:line="76" w:lineRule="exact"/>
        <w:rPr>
          <w:rFonts w:ascii="Webdings" w:cs="Webdings" w:eastAsia="Webdings" w:hAnsi="Webdings"/>
          <w:sz w:val="13"/>
          <w:szCs w:val="13"/>
          <w:b w:val="1"/>
          <w:bCs w:val="1"/>
          <w:color w:val="auto"/>
        </w:rPr>
      </w:pPr>
    </w:p>
    <w:p>
      <w:pPr>
        <w:ind w:left="327" w:hanging="327"/>
        <w:spacing w:after="0"/>
        <w:tabs>
          <w:tab w:leader="none" w:pos="327" w:val="left"/>
        </w:tabs>
        <w:numPr>
          <w:ilvl w:val="0"/>
          <w:numId w:val="3"/>
        </w:numPr>
        <w:rPr>
          <w:rFonts w:ascii="Webdings" w:cs="Webdings" w:eastAsia="Webdings" w:hAnsi="Webdings"/>
          <w:sz w:val="13"/>
          <w:szCs w:val="13"/>
          <w:b w:val="1"/>
          <w:bCs w:val="1"/>
          <w:color w:val="auto"/>
        </w:rPr>
      </w:pPr>
      <w:r>
        <w:rPr>
          <w:rFonts w:ascii="Arial" w:cs="Arial" w:eastAsia="Arial" w:hAnsi="Arial"/>
          <w:sz w:val="18"/>
          <w:szCs w:val="18"/>
          <w:color w:val="auto"/>
        </w:rPr>
        <w:t>Fee computed on table in exhibit required by Item 25(b) per Exchange Act Rules 14a-(6)(i)(1)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-574040</wp:posOffset>
            </wp:positionH>
            <wp:positionV relativeFrom="paragraph">
              <wp:posOffset>948055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46"/>
          </w:cols>
          <w:pgMar w:left="1213"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073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6106160</wp:posOffset>
            </wp:positionH>
            <wp:positionV relativeFrom="page">
              <wp:posOffset>706120</wp:posOffset>
            </wp:positionV>
            <wp:extent cx="1234440" cy="454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5402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Fellow Stockholders: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behalf of the Board of Directors, we invite you to attend the SPX Technologies, Inc. 2025 Annual Meeting of Stockholders (the “Annual Meeting”) on May 13, 2025, at 8:00 a.m. (Eastern Time). The Annual Meeting will be held in a virtual format, conducted via a live webcast.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2024 Review – Another Year of Strong Growth</w:t>
      </w:r>
    </w:p>
    <w:p>
      <w:pPr>
        <w:spacing w:after="0" w:line="6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SPX Technologies (“SPX”) delivered another very strong year in 2024, demonstrating solid financial and operational performance. Strong organic growth and the acquisition of Ingénia helped drive year-over-year increases of 13.9% in revenue and 38.9% in operating income. Robust cash generation enabled us to fund a $292 million acquisition and end the year in a strong financial position, demonstrating the effectiveness of our value creation framework.</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also made notable progress in our key initiatives. Investments in facility expansions, continuous improvement, and digital contributed to revenue growth and margin expansion, positioning us for continued success. In our sustainability efforts, we introduced several new products that help customers enhance energy efficiency, reduce water consumption, and operate more safely.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Well Positioned to Continue Value Creation Journey</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also entered 2025 with a solid financial foundation, supported by healthy backlogs in both our HVAC and Detection &amp; Measurement segments, and sustained customer demand in key markets that will foster continued growth.</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Looking ahead, we remain focused on driving value by introducing innovative solutions and strategically expanding our position in key growth markets. We will continue to deploy our business system to enhance operational efficiency and pursue strategic acquisitions that strengthen our platforms, while executing on our sustainability and talent development initiatives.</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guidance range for 2025 includes another double-digit increase in Adjusted EBITDA and adjusted earnings per share at the midpoint, excluding any impact from further potential capital deployment. We believe that the goals we have set reflect a high level of expectations for our team, and a commitment to delivering the strong performance that investors have come to expect from SPX.</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Meeting Attendance and Voting</w:t>
      </w:r>
    </w:p>
    <w:p>
      <w:pPr>
        <w:spacing w:after="0" w:line="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All SPX stockholders of record at the close of business on March 17, 2025 are entitled to vote on the matters listed at the Annual Meeting. To ensure that your shares will be represented, we ask you to vote by telephone, mail, or over the internet as soon as possible.</w:t>
      </w:r>
    </w:p>
    <w:p>
      <w:pPr>
        <w:spacing w:after="0" w:line="1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behalf of the Board of Directors and our leadership team, we would like to express our gratitude to our employees for working tirelessly to achieve our goals, and to you, our stockholders, for your valuable feedback and continued interest in SPX Technologies.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20"/>
                <w:szCs w:val="20"/>
                <w:color w:val="auto"/>
              </w:rPr>
            </w:pPr>
            <w:r>
              <w:rPr>
                <w:rFonts w:ascii="Arial" w:cs="Arial" w:eastAsia="Arial" w:hAnsi="Arial"/>
                <w:sz w:val="16"/>
                <w:szCs w:val="16"/>
                <w:color w:val="auto"/>
              </w:rPr>
              <w:t>Sincerely,</w:t>
            </w:r>
          </w:p>
        </w:tc>
        <w:tc>
          <w:tcPr>
            <w:tcW w:w="7040" w:type="dxa"/>
            <w:vAlign w:val="bottom"/>
          </w:tcPr>
          <w:p>
            <w:pPr>
              <w:spacing w:after="0"/>
              <w:rPr>
                <w:sz w:val="18"/>
                <w:szCs w:val="18"/>
                <w:color w:val="auto"/>
              </w:rPr>
            </w:pPr>
          </w:p>
        </w:tc>
      </w:tr>
      <w:tr>
        <w:trPr>
          <w:trHeight w:val="325"/>
        </w:trPr>
        <w:tc>
          <w:tcPr>
            <w:tcW w:w="4200" w:type="dxa"/>
            <w:vAlign w:val="bottom"/>
          </w:tcPr>
          <w:p>
            <w:pPr>
              <w:spacing w:after="0"/>
              <w:rPr>
                <w:sz w:val="20"/>
                <w:szCs w:val="20"/>
                <w:color w:val="auto"/>
              </w:rPr>
            </w:pPr>
            <w:r>
              <w:rPr>
                <w:rFonts w:ascii="Arial" w:cs="Arial" w:eastAsia="Arial" w:hAnsi="Arial"/>
                <w:sz w:val="16"/>
                <w:szCs w:val="16"/>
                <w:b w:val="1"/>
                <w:bCs w:val="1"/>
                <w:color w:val="auto"/>
              </w:rPr>
              <w:t>Patrick O’Leary</w:t>
            </w:r>
          </w:p>
        </w:tc>
        <w:tc>
          <w:tcPr>
            <w:tcW w:w="7040" w:type="dxa"/>
            <w:vAlign w:val="bottom"/>
          </w:tcPr>
          <w:p>
            <w:pPr>
              <w:ind w:left="1700"/>
              <w:spacing w:after="0"/>
              <w:rPr>
                <w:sz w:val="20"/>
                <w:szCs w:val="20"/>
                <w:color w:val="auto"/>
              </w:rPr>
            </w:pPr>
            <w:r>
              <w:rPr>
                <w:rFonts w:ascii="Arial" w:cs="Arial" w:eastAsia="Arial" w:hAnsi="Arial"/>
                <w:sz w:val="16"/>
                <w:szCs w:val="16"/>
                <w:b w:val="1"/>
                <w:bCs w:val="1"/>
                <w:color w:val="auto"/>
              </w:rPr>
              <w:t>Gene Lowe</w:t>
            </w:r>
          </w:p>
        </w:tc>
      </w:tr>
      <w:tr>
        <w:trPr>
          <w:trHeight w:val="215"/>
        </w:trPr>
        <w:tc>
          <w:tcPr>
            <w:tcW w:w="4200" w:type="dxa"/>
            <w:vAlign w:val="bottom"/>
          </w:tcPr>
          <w:p>
            <w:pPr>
              <w:spacing w:after="0"/>
              <w:rPr>
                <w:sz w:val="20"/>
                <w:szCs w:val="20"/>
                <w:color w:val="auto"/>
              </w:rPr>
            </w:pPr>
            <w:r>
              <w:rPr>
                <w:rFonts w:ascii="Arial" w:cs="Arial" w:eastAsia="Arial" w:hAnsi="Arial"/>
                <w:sz w:val="16"/>
                <w:szCs w:val="16"/>
                <w:color w:val="auto"/>
              </w:rPr>
              <w:t>Chairman of the Board of Directors</w:t>
            </w:r>
          </w:p>
        </w:tc>
        <w:tc>
          <w:tcPr>
            <w:tcW w:w="7040" w:type="dxa"/>
            <w:vAlign w:val="bottom"/>
          </w:tcPr>
          <w:p>
            <w:pPr>
              <w:ind w:left="1700"/>
              <w:spacing w:after="0"/>
              <w:rPr>
                <w:sz w:val="20"/>
                <w:szCs w:val="20"/>
                <w:color w:val="auto"/>
              </w:rPr>
            </w:pPr>
            <w:r>
              <w:rPr>
                <w:rFonts w:ascii="Arial" w:cs="Arial" w:eastAsia="Arial" w:hAnsi="Arial"/>
                <w:sz w:val="16"/>
                <w:szCs w:val="16"/>
                <w:color w:val="auto"/>
              </w:rPr>
              <w:t>President and Chief Executive Officer</w:t>
            </w:r>
          </w:p>
        </w:tc>
      </w:tr>
      <w:tr>
        <w:trPr>
          <w:trHeight w:val="1818"/>
        </w:trPr>
        <w:tc>
          <w:tcPr>
            <w:tcW w:w="420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ind w:left="45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3157220</wp:posOffset>
            </wp:positionH>
            <wp:positionV relativeFrom="page">
              <wp:posOffset>88900</wp:posOffset>
            </wp:positionV>
            <wp:extent cx="1234440" cy="4546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54660"/>
                    </a:xfrm>
                    <a:prstGeom prst="rect">
                      <a:avLst/>
                    </a:prstGeom>
                    <a:noFill/>
                  </pic:spPr>
                </pic:pic>
              </a:graphicData>
            </a:graphic>
          </wp:anchor>
        </w:drawing>
        <w:t>6325 Ardrey Kell Rd, Suite 400</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Charlotte, North Carolina 28277</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NOTICE OF ANNUAL MEETING</w:t>
      </w:r>
    </w:p>
    <w:p>
      <w:pPr>
        <w:spacing w:after="0" w:line="83"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OF STOCKHOLDERS</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color w:val="004C97"/>
        </w:rPr>
        <w:t>Tuesday, May 13, 2025</w:t>
      </w:r>
    </w:p>
    <w:p>
      <w:pPr>
        <w:spacing w:after="0" w:line="4" w:lineRule="exact"/>
        <w:rPr>
          <w:sz w:val="20"/>
          <w:szCs w:val="20"/>
          <w:color w:val="auto"/>
        </w:rPr>
      </w:pPr>
    </w:p>
    <w:p>
      <w:pPr>
        <w:spacing w:after="0"/>
        <w:rPr>
          <w:sz w:val="20"/>
          <w:szCs w:val="20"/>
          <w:color w:val="auto"/>
        </w:rPr>
      </w:pPr>
      <w:r>
        <w:rPr>
          <w:rFonts w:ascii="Arial" w:cs="Arial" w:eastAsia="Arial" w:hAnsi="Arial"/>
          <w:sz w:val="29"/>
          <w:szCs w:val="29"/>
          <w:color w:val="auto"/>
        </w:rPr>
        <w:t>8:00 a.m. (Eastern Time)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Virtual format, conducted via a live webcast at meetnow.global/MR5TU2F.</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There is no physical location for the 2025 Annual Meeting of Stockholders. Further information regarding attendance, including how to access the virtual meeting, is set forth in the “Question and Answers” section of the accompanying proxy statement. In this notice and throughout the proxy statement, we refer to SPX Technologies, Inc. as “SPX,” the “Company,” “we” or “us.”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Agenda</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principal business of the Annual Meeting will be to:</w:t>
      </w:r>
    </w:p>
    <w:p>
      <w:pPr>
        <w:spacing w:after="0" w:line="18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Elect the three nominees named in our Proxy Statement to serve as directors until our 2027 Annual Meeting;</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Approve our named executive officers’ compensation, on a non-binding advisory basis;</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Ratify our Audit Committee’s appointment of our independent registered public accounting firm for 2025; and</w:t>
      </w:r>
    </w:p>
    <w:p>
      <w:pPr>
        <w:spacing w:after="0" w:line="126"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Transact any other business properly brought before the meeting or any adjournment thereof.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Record Date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March 17, 2025. You may vote during the virtual Annual Meeting or by proxy if you were a stockholder of record at the close of business on March 17, 2025.</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You may revoke your proxy at any time prior to its exercise at the Annual Meeting.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Proxy Materials</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This year, we are again electronically disseminating Annual Meeting materials to some of our stockholders, as permitted under the “Notice and Access” rules approved by the Securities and Exchange Commission. Stockholders for whom Notice and Access applies will receive a Notice of Internet Availability of Proxy Materials containing instructions on how to access Annual Meeting materials via the internet. The Notice also provides instructions on how to obtain paper copies if preferred.</w:t>
      </w:r>
    </w:p>
    <w:p>
      <w:pPr>
        <w:spacing w:after="0" w:line="186"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By Order of the Board of Directors,</w:t>
      </w:r>
    </w:p>
    <w:p>
      <w:pPr>
        <w:spacing w:after="0" w:line="167" w:lineRule="exact"/>
        <w:rPr>
          <w:sz w:val="20"/>
          <w:szCs w:val="20"/>
          <w:color w:val="auto"/>
        </w:rPr>
      </w:pPr>
    </w:p>
    <w:p>
      <w:pPr>
        <w:ind w:left="5420"/>
        <w:spacing w:after="0"/>
        <w:rPr>
          <w:sz w:val="20"/>
          <w:szCs w:val="20"/>
          <w:color w:val="auto"/>
        </w:rPr>
      </w:pPr>
      <w:r>
        <w:rPr>
          <w:rFonts w:ascii="Arial" w:cs="Arial" w:eastAsia="Arial" w:hAnsi="Arial"/>
          <w:sz w:val="16"/>
          <w:szCs w:val="16"/>
          <w:b w:val="1"/>
          <w:bCs w:val="1"/>
          <w:color w:val="auto"/>
        </w:rPr>
        <w:t>Cherée H. Johnson</w:t>
      </w:r>
    </w:p>
    <w:p>
      <w:pPr>
        <w:spacing w:after="0" w:line="21"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Vice President, Chief Legal Officer and Corporate Secretary</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Approximate Date of Mailing of Proxy Materials or</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Notice of Internet Availability:</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April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 w:name="page5"/>
    <w:bookmarkEnd w:id="4"/>
    <w:p>
      <w:pPr>
        <w:spacing w:after="0"/>
        <w:rPr>
          <w:sz w:val="20"/>
          <w:szCs w:val="20"/>
          <w:color w:val="auto"/>
        </w:rPr>
      </w:pPr>
      <w:r>
        <w:rPr>
          <w:rFonts w:ascii="Arial" w:cs="Arial" w:eastAsia="Arial" w:hAnsi="Arial"/>
          <w:sz w:val="38"/>
          <w:szCs w:val="38"/>
          <w:b w:val="1"/>
          <w:bCs w:val="1"/>
          <w:color w:val="004C97"/>
        </w:rPr>
        <w:t>TABLE OF CONTENTS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4C97"/>
              </w:rPr>
              <w:t>PROXY STATEMENT ANNUAL MEETING OF STOCKHOLDERS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C97"/>
              </w:rPr>
              <w:t>1</w:t>
            </w:r>
          </w:p>
        </w:tc>
      </w:tr>
      <w:tr>
        <w:trPr>
          <w:trHeight w:val="237"/>
        </w:trPr>
        <w:tc>
          <w:tcPr>
            <w:tcW w:w="10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4C97"/>
              </w:rPr>
              <w:t>MEETING AND VOTING HIGHLIGHTS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C97"/>
              </w:rPr>
              <w:t>2</w:t>
            </w:r>
          </w:p>
        </w:tc>
      </w:tr>
      <w:tr>
        <w:trPr>
          <w:trHeight w:val="236"/>
        </w:trPr>
        <w:tc>
          <w:tcPr>
            <w:tcW w:w="10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4C97"/>
              </w:rPr>
              <w:t>CORPORATE GOVERNANCE</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C97"/>
              </w:rPr>
              <w:t>4</w:t>
            </w:r>
          </w:p>
        </w:tc>
      </w:tr>
      <w:tr>
        <w:trPr>
          <w:trHeight w:val="237"/>
        </w:trPr>
        <w:tc>
          <w:tcPr>
            <w:tcW w:w="10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4C97"/>
              </w:rPr>
              <w:t>DIRECTOR COMPENSATION</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C97"/>
              </w:rPr>
              <w:t>11</w:t>
            </w:r>
          </w:p>
        </w:tc>
      </w:tr>
      <w:tr>
        <w:trPr>
          <w:trHeight w:val="225"/>
        </w:trPr>
        <w:tc>
          <w:tcPr>
            <w:tcW w:w="10800" w:type="dxa"/>
            <w:vAlign w:val="bottom"/>
          </w:tcPr>
          <w:p>
            <w:pPr>
              <w:ind w:left="180"/>
              <w:spacing w:after="0"/>
              <w:rPr>
                <w:sz w:val="20"/>
                <w:szCs w:val="20"/>
                <w:color w:val="auto"/>
              </w:rPr>
            </w:pPr>
            <w:r>
              <w:rPr>
                <w:rFonts w:ascii="Arial" w:cs="Arial" w:eastAsia="Arial" w:hAnsi="Arial"/>
                <w:sz w:val="16"/>
                <w:szCs w:val="16"/>
                <w:color w:val="auto"/>
              </w:rPr>
              <w:t>Director Compensation Table</w:t>
            </w:r>
          </w:p>
        </w:tc>
        <w:tc>
          <w:tcPr>
            <w:tcW w:w="4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55"/>
        </w:trPr>
        <w:tc>
          <w:tcPr>
            <w:tcW w:w="10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4C97"/>
              </w:rPr>
              <w:t>PROPOSAL 1: ELECTION OF DIRECTORS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C97"/>
              </w:rPr>
              <w:t>13</w:t>
            </w:r>
          </w:p>
        </w:tc>
      </w:tr>
      <w:tr>
        <w:trPr>
          <w:trHeight w:val="225"/>
        </w:trPr>
        <w:tc>
          <w:tcPr>
            <w:tcW w:w="10800" w:type="dxa"/>
            <w:vAlign w:val="bottom"/>
          </w:tcPr>
          <w:p>
            <w:pPr>
              <w:ind w:left="180"/>
              <w:spacing w:after="0"/>
              <w:rPr>
                <w:sz w:val="20"/>
                <w:szCs w:val="20"/>
                <w:color w:val="auto"/>
              </w:rPr>
            </w:pPr>
            <w:r>
              <w:rPr>
                <w:rFonts w:ascii="Arial" w:cs="Arial" w:eastAsia="Arial" w:hAnsi="Arial"/>
                <w:sz w:val="16"/>
                <w:szCs w:val="16"/>
                <w:color w:val="auto"/>
              </w:rPr>
              <w:t>Nominees for Election</w:t>
            </w:r>
          </w:p>
        </w:tc>
        <w:tc>
          <w:tcPr>
            <w:tcW w:w="4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43"/>
        </w:trPr>
        <w:tc>
          <w:tcPr>
            <w:tcW w:w="10800" w:type="dxa"/>
            <w:vAlign w:val="bottom"/>
          </w:tcPr>
          <w:p>
            <w:pPr>
              <w:ind w:left="180"/>
              <w:spacing w:after="0"/>
              <w:rPr>
                <w:sz w:val="20"/>
                <w:szCs w:val="20"/>
                <w:color w:val="auto"/>
              </w:rPr>
            </w:pPr>
            <w:r>
              <w:rPr>
                <w:rFonts w:ascii="Arial" w:cs="Arial" w:eastAsia="Arial" w:hAnsi="Arial"/>
                <w:sz w:val="16"/>
                <w:szCs w:val="16"/>
                <w:color w:val="auto"/>
              </w:rPr>
              <w:t>Directors Continuing to Serve Until the 2026 Annual Meeting</w:t>
            </w:r>
          </w:p>
        </w:tc>
        <w:tc>
          <w:tcPr>
            <w:tcW w:w="4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43"/>
        </w:trPr>
        <w:tc>
          <w:tcPr>
            <w:tcW w:w="10800" w:type="dxa"/>
            <w:vAlign w:val="bottom"/>
          </w:tcPr>
          <w:p>
            <w:pPr>
              <w:ind w:left="180"/>
              <w:spacing w:after="0"/>
              <w:rPr>
                <w:sz w:val="20"/>
                <w:szCs w:val="20"/>
                <w:color w:val="auto"/>
              </w:rPr>
            </w:pPr>
            <w:r>
              <w:rPr>
                <w:rFonts w:ascii="Arial" w:cs="Arial" w:eastAsia="Arial" w:hAnsi="Arial"/>
                <w:sz w:val="16"/>
                <w:szCs w:val="16"/>
                <w:color w:val="auto"/>
              </w:rPr>
              <w:t>Directors Continuing to Serve Until the 2027 Annual Meeting</w:t>
            </w:r>
          </w:p>
        </w:tc>
        <w:tc>
          <w:tcPr>
            <w:tcW w:w="4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43"/>
        </w:trPr>
        <w:tc>
          <w:tcPr>
            <w:tcW w:w="10800" w:type="dxa"/>
            <w:vAlign w:val="bottom"/>
          </w:tcPr>
          <w:p>
            <w:pPr>
              <w:ind w:left="180"/>
              <w:spacing w:after="0"/>
              <w:rPr>
                <w:sz w:val="20"/>
                <w:szCs w:val="20"/>
                <w:color w:val="auto"/>
              </w:rPr>
            </w:pPr>
            <w:r>
              <w:rPr>
                <w:rFonts w:ascii="Arial" w:cs="Arial" w:eastAsia="Arial" w:hAnsi="Arial"/>
                <w:sz w:val="16"/>
                <w:szCs w:val="16"/>
                <w:color w:val="auto"/>
              </w:rPr>
              <w:t>Director and Nominee Skills and Experience</w:t>
            </w:r>
          </w:p>
        </w:tc>
        <w:tc>
          <w:tcPr>
            <w:tcW w:w="4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55"/>
        </w:trPr>
        <w:tc>
          <w:tcPr>
            <w:tcW w:w="10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4C97"/>
              </w:rPr>
              <w:t>OWNERSHIP OF COMMON STOCK</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C97"/>
              </w:rPr>
              <w:t>21</w:t>
            </w:r>
          </w:p>
        </w:tc>
      </w:tr>
      <w:tr>
        <w:trPr>
          <w:trHeight w:val="225"/>
        </w:trPr>
        <w:tc>
          <w:tcPr>
            <w:tcW w:w="10800" w:type="dxa"/>
            <w:vAlign w:val="bottom"/>
          </w:tcPr>
          <w:p>
            <w:pPr>
              <w:ind w:left="180"/>
              <w:spacing w:after="0"/>
              <w:rPr>
                <w:sz w:val="20"/>
                <w:szCs w:val="20"/>
                <w:color w:val="auto"/>
              </w:rPr>
            </w:pPr>
            <w:r>
              <w:rPr>
                <w:rFonts w:ascii="Arial" w:cs="Arial" w:eastAsia="Arial" w:hAnsi="Arial"/>
                <w:sz w:val="16"/>
                <w:szCs w:val="16"/>
                <w:color w:val="auto"/>
              </w:rPr>
              <w:t>Stock Ownership Guidelines</w:t>
            </w:r>
          </w:p>
        </w:tc>
        <w:tc>
          <w:tcPr>
            <w:tcW w:w="4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43"/>
        </w:trPr>
        <w:tc>
          <w:tcPr>
            <w:tcW w:w="10800" w:type="dxa"/>
            <w:vAlign w:val="bottom"/>
          </w:tcPr>
          <w:p>
            <w:pPr>
              <w:ind w:left="180"/>
              <w:spacing w:after="0"/>
              <w:rPr>
                <w:sz w:val="20"/>
                <w:szCs w:val="20"/>
                <w:color w:val="auto"/>
              </w:rPr>
            </w:pPr>
            <w:r>
              <w:rPr>
                <w:rFonts w:ascii="Arial" w:cs="Arial" w:eastAsia="Arial" w:hAnsi="Arial"/>
                <w:sz w:val="16"/>
                <w:szCs w:val="16"/>
                <w:color w:val="auto"/>
              </w:rPr>
              <w:t>Ownership of Common Stock</w:t>
            </w:r>
          </w:p>
        </w:tc>
        <w:tc>
          <w:tcPr>
            <w:tcW w:w="4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43"/>
        </w:trPr>
        <w:tc>
          <w:tcPr>
            <w:tcW w:w="10800" w:type="dxa"/>
            <w:vAlign w:val="bottom"/>
          </w:tcPr>
          <w:p>
            <w:pPr>
              <w:ind w:left="360"/>
              <w:spacing w:after="0"/>
              <w:rPr>
                <w:sz w:val="20"/>
                <w:szCs w:val="20"/>
                <w:color w:val="auto"/>
              </w:rPr>
            </w:pPr>
            <w:r>
              <w:rPr>
                <w:rFonts w:ascii="Arial" w:cs="Arial" w:eastAsia="Arial" w:hAnsi="Arial"/>
                <w:sz w:val="16"/>
                <w:szCs w:val="16"/>
                <w:color w:val="auto"/>
              </w:rPr>
              <w:t>Directors and Executive Officers</w:t>
            </w:r>
          </w:p>
        </w:tc>
        <w:tc>
          <w:tcPr>
            <w:tcW w:w="4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43"/>
        </w:trPr>
        <w:tc>
          <w:tcPr>
            <w:tcW w:w="10800" w:type="dxa"/>
            <w:vAlign w:val="bottom"/>
          </w:tcPr>
          <w:p>
            <w:pPr>
              <w:ind w:left="360"/>
              <w:spacing w:after="0"/>
              <w:rPr>
                <w:sz w:val="20"/>
                <w:szCs w:val="20"/>
                <w:color w:val="auto"/>
              </w:rPr>
            </w:pPr>
            <w:r>
              <w:rPr>
                <w:rFonts w:ascii="Arial" w:cs="Arial" w:eastAsia="Arial" w:hAnsi="Arial"/>
                <w:sz w:val="16"/>
                <w:szCs w:val="16"/>
                <w:color w:val="auto"/>
              </w:rPr>
              <w:t>Principal Stockholders</w:t>
            </w:r>
          </w:p>
        </w:tc>
        <w:tc>
          <w:tcPr>
            <w:tcW w:w="4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10800" w:type="dxa"/>
            <w:vAlign w:val="bottom"/>
          </w:tcPr>
          <w:p>
            <w:pPr>
              <w:ind w:left="180"/>
              <w:spacing w:after="0"/>
              <w:rPr>
                <w:sz w:val="20"/>
                <w:szCs w:val="20"/>
                <w:color w:val="auto"/>
              </w:rPr>
            </w:pPr>
            <w:r>
              <w:rPr>
                <w:rFonts w:ascii="Arial" w:cs="Arial" w:eastAsia="Arial" w:hAnsi="Arial"/>
                <w:sz w:val="16"/>
                <w:szCs w:val="16"/>
                <w:color w:val="auto"/>
              </w:rPr>
              <w:t>Section 16(a) Reports</w:t>
            </w:r>
          </w:p>
        </w:tc>
        <w:tc>
          <w:tcPr>
            <w:tcW w:w="4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55"/>
        </w:trPr>
        <w:tc>
          <w:tcPr>
            <w:tcW w:w="10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4C97"/>
              </w:rPr>
              <w:t>EXECUTIVE COMPENSATION</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C97"/>
              </w:rPr>
              <w:t>24</w:t>
            </w:r>
          </w:p>
        </w:tc>
      </w:tr>
      <w:tr>
        <w:trPr>
          <w:trHeight w:val="225"/>
        </w:trPr>
        <w:tc>
          <w:tcPr>
            <w:tcW w:w="10800" w:type="dxa"/>
            <w:vAlign w:val="bottom"/>
          </w:tcPr>
          <w:p>
            <w:pPr>
              <w:ind w:left="180"/>
              <w:spacing w:after="0"/>
              <w:rPr>
                <w:sz w:val="20"/>
                <w:szCs w:val="20"/>
                <w:color w:val="auto"/>
              </w:rPr>
            </w:pPr>
            <w:r>
              <w:rPr>
                <w:rFonts w:ascii="Arial" w:cs="Arial" w:eastAsia="Arial" w:hAnsi="Arial"/>
                <w:sz w:val="16"/>
                <w:szCs w:val="16"/>
                <w:color w:val="auto"/>
              </w:rPr>
              <w:t>Compensation Discussion and Analysis</w:t>
            </w:r>
          </w:p>
        </w:tc>
        <w:tc>
          <w:tcPr>
            <w:tcW w:w="4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43"/>
        </w:trPr>
        <w:tc>
          <w:tcPr>
            <w:tcW w:w="10800" w:type="dxa"/>
            <w:vAlign w:val="bottom"/>
          </w:tcPr>
          <w:p>
            <w:pPr>
              <w:ind w:left="180"/>
              <w:spacing w:after="0"/>
              <w:rPr>
                <w:sz w:val="20"/>
                <w:szCs w:val="20"/>
                <w:color w:val="auto"/>
              </w:rPr>
            </w:pPr>
            <w:r>
              <w:rPr>
                <w:rFonts w:ascii="Arial" w:cs="Arial" w:eastAsia="Arial" w:hAnsi="Arial"/>
                <w:sz w:val="16"/>
                <w:szCs w:val="16"/>
                <w:color w:val="auto"/>
              </w:rPr>
              <w:t>Risk Analysis</w:t>
            </w:r>
          </w:p>
        </w:tc>
        <w:tc>
          <w:tcPr>
            <w:tcW w:w="4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43"/>
        </w:trPr>
        <w:tc>
          <w:tcPr>
            <w:tcW w:w="10800" w:type="dxa"/>
            <w:vAlign w:val="bottom"/>
          </w:tcPr>
          <w:p>
            <w:pPr>
              <w:ind w:left="180"/>
              <w:spacing w:after="0"/>
              <w:rPr>
                <w:sz w:val="20"/>
                <w:szCs w:val="20"/>
                <w:color w:val="auto"/>
              </w:rPr>
            </w:pPr>
            <w:r>
              <w:rPr>
                <w:rFonts w:ascii="Arial" w:cs="Arial" w:eastAsia="Arial" w:hAnsi="Arial"/>
                <w:sz w:val="16"/>
                <w:szCs w:val="16"/>
                <w:color w:val="auto"/>
              </w:rPr>
              <w:t>Compensation Committee Report</w:t>
            </w:r>
          </w:p>
        </w:tc>
        <w:tc>
          <w:tcPr>
            <w:tcW w:w="4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43"/>
        </w:trPr>
        <w:tc>
          <w:tcPr>
            <w:tcW w:w="10800" w:type="dxa"/>
            <w:vAlign w:val="bottom"/>
          </w:tcPr>
          <w:p>
            <w:pPr>
              <w:ind w:left="180"/>
              <w:spacing w:after="0"/>
              <w:rPr>
                <w:sz w:val="20"/>
                <w:szCs w:val="20"/>
                <w:color w:val="auto"/>
              </w:rPr>
            </w:pPr>
            <w:r>
              <w:rPr>
                <w:rFonts w:ascii="Arial" w:cs="Arial" w:eastAsia="Arial" w:hAnsi="Arial"/>
                <w:sz w:val="16"/>
                <w:szCs w:val="16"/>
                <w:color w:val="auto"/>
              </w:rPr>
              <w:t>Compensation Tables</w:t>
            </w:r>
          </w:p>
        </w:tc>
        <w:tc>
          <w:tcPr>
            <w:tcW w:w="4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43"/>
        </w:trPr>
        <w:tc>
          <w:tcPr>
            <w:tcW w:w="10800" w:type="dxa"/>
            <w:vAlign w:val="bottom"/>
          </w:tcPr>
          <w:p>
            <w:pPr>
              <w:ind w:left="360"/>
              <w:spacing w:after="0"/>
              <w:rPr>
                <w:sz w:val="20"/>
                <w:szCs w:val="20"/>
                <w:color w:val="auto"/>
              </w:rPr>
            </w:pPr>
            <w:r>
              <w:rPr>
                <w:rFonts w:ascii="Arial" w:cs="Arial" w:eastAsia="Arial" w:hAnsi="Arial"/>
                <w:sz w:val="16"/>
                <w:szCs w:val="16"/>
                <w:color w:val="auto"/>
              </w:rPr>
              <w:t>Summary Compensation Table</w:t>
            </w:r>
          </w:p>
        </w:tc>
        <w:tc>
          <w:tcPr>
            <w:tcW w:w="4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43"/>
        </w:trPr>
        <w:tc>
          <w:tcPr>
            <w:tcW w:w="10800" w:type="dxa"/>
            <w:vAlign w:val="bottom"/>
          </w:tcPr>
          <w:p>
            <w:pPr>
              <w:ind w:left="360"/>
              <w:spacing w:after="0"/>
              <w:rPr>
                <w:sz w:val="20"/>
                <w:szCs w:val="20"/>
                <w:color w:val="auto"/>
              </w:rPr>
            </w:pPr>
            <w:r>
              <w:rPr>
                <w:rFonts w:ascii="Arial" w:cs="Arial" w:eastAsia="Arial" w:hAnsi="Arial"/>
                <w:sz w:val="16"/>
                <w:szCs w:val="16"/>
                <w:color w:val="auto"/>
              </w:rPr>
              <w:t>Grants of Plan-Based Awards</w:t>
            </w:r>
          </w:p>
        </w:tc>
        <w:tc>
          <w:tcPr>
            <w:tcW w:w="4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43"/>
        </w:trPr>
        <w:tc>
          <w:tcPr>
            <w:tcW w:w="10800" w:type="dxa"/>
            <w:vAlign w:val="bottom"/>
          </w:tcPr>
          <w:p>
            <w:pPr>
              <w:ind w:left="360"/>
              <w:spacing w:after="0"/>
              <w:rPr>
                <w:sz w:val="20"/>
                <w:szCs w:val="20"/>
                <w:color w:val="auto"/>
              </w:rPr>
            </w:pPr>
            <w:r>
              <w:rPr>
                <w:rFonts w:ascii="Arial" w:cs="Arial" w:eastAsia="Arial" w:hAnsi="Arial"/>
                <w:sz w:val="16"/>
                <w:szCs w:val="16"/>
                <w:color w:val="auto"/>
              </w:rPr>
              <w:t>Outstanding Equity Awards at Fiscal Year-End</w:t>
            </w:r>
          </w:p>
        </w:tc>
        <w:tc>
          <w:tcPr>
            <w:tcW w:w="4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43"/>
        </w:trPr>
        <w:tc>
          <w:tcPr>
            <w:tcW w:w="10800" w:type="dxa"/>
            <w:vAlign w:val="bottom"/>
          </w:tcPr>
          <w:p>
            <w:pPr>
              <w:ind w:left="360"/>
              <w:spacing w:after="0"/>
              <w:rPr>
                <w:sz w:val="20"/>
                <w:szCs w:val="20"/>
                <w:color w:val="auto"/>
              </w:rPr>
            </w:pPr>
            <w:r>
              <w:rPr>
                <w:rFonts w:ascii="Arial" w:cs="Arial" w:eastAsia="Arial" w:hAnsi="Arial"/>
                <w:sz w:val="16"/>
                <w:szCs w:val="16"/>
                <w:color w:val="auto"/>
              </w:rPr>
              <w:t>Option Exercises and Stock Vested</w:t>
            </w:r>
          </w:p>
        </w:tc>
        <w:tc>
          <w:tcPr>
            <w:tcW w:w="4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43"/>
        </w:trPr>
        <w:tc>
          <w:tcPr>
            <w:tcW w:w="10800" w:type="dxa"/>
            <w:vAlign w:val="bottom"/>
          </w:tcPr>
          <w:p>
            <w:pPr>
              <w:ind w:left="360"/>
              <w:spacing w:after="0"/>
              <w:rPr>
                <w:sz w:val="20"/>
                <w:szCs w:val="20"/>
                <w:color w:val="auto"/>
              </w:rPr>
            </w:pPr>
            <w:r>
              <w:rPr>
                <w:rFonts w:ascii="Arial" w:cs="Arial" w:eastAsia="Arial" w:hAnsi="Arial"/>
                <w:sz w:val="16"/>
                <w:szCs w:val="16"/>
                <w:color w:val="auto"/>
              </w:rPr>
              <w:t>Nonqualified Deferred Compensation</w:t>
            </w:r>
          </w:p>
        </w:tc>
        <w:tc>
          <w:tcPr>
            <w:tcW w:w="4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43"/>
        </w:trPr>
        <w:tc>
          <w:tcPr>
            <w:tcW w:w="10800" w:type="dxa"/>
            <w:vAlign w:val="bottom"/>
          </w:tcPr>
          <w:p>
            <w:pPr>
              <w:ind w:left="360"/>
              <w:spacing w:after="0"/>
              <w:rPr>
                <w:sz w:val="20"/>
                <w:szCs w:val="20"/>
                <w:color w:val="auto"/>
              </w:rPr>
            </w:pPr>
            <w:r>
              <w:rPr>
                <w:rFonts w:ascii="Arial" w:cs="Arial" w:eastAsia="Arial" w:hAnsi="Arial"/>
                <w:sz w:val="16"/>
                <w:szCs w:val="16"/>
                <w:color w:val="auto"/>
              </w:rPr>
              <w:t>Potential Payments upon Termination or Change-In-Control</w:t>
            </w:r>
          </w:p>
        </w:tc>
        <w:tc>
          <w:tcPr>
            <w:tcW w:w="4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43"/>
        </w:trPr>
        <w:tc>
          <w:tcPr>
            <w:tcW w:w="10800" w:type="dxa"/>
            <w:vAlign w:val="bottom"/>
          </w:tcPr>
          <w:p>
            <w:pPr>
              <w:ind w:left="180"/>
              <w:spacing w:after="0"/>
              <w:rPr>
                <w:sz w:val="20"/>
                <w:szCs w:val="20"/>
                <w:color w:val="auto"/>
              </w:rPr>
            </w:pPr>
            <w:r>
              <w:rPr>
                <w:rFonts w:ascii="Arial" w:cs="Arial" w:eastAsia="Arial" w:hAnsi="Arial"/>
                <w:sz w:val="16"/>
                <w:szCs w:val="16"/>
                <w:color w:val="auto"/>
              </w:rPr>
              <w:t>CEO Pay Ratio</w:t>
            </w:r>
          </w:p>
        </w:tc>
        <w:tc>
          <w:tcPr>
            <w:tcW w:w="4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43"/>
        </w:trPr>
        <w:tc>
          <w:tcPr>
            <w:tcW w:w="10800" w:type="dxa"/>
            <w:vAlign w:val="bottom"/>
          </w:tcPr>
          <w:p>
            <w:pPr>
              <w:ind w:left="180"/>
              <w:spacing w:after="0"/>
              <w:rPr>
                <w:sz w:val="20"/>
                <w:szCs w:val="20"/>
                <w:color w:val="auto"/>
              </w:rPr>
            </w:pPr>
            <w:r>
              <w:rPr>
                <w:rFonts w:ascii="Arial" w:cs="Arial" w:eastAsia="Arial" w:hAnsi="Arial"/>
                <w:sz w:val="16"/>
                <w:szCs w:val="16"/>
                <w:color w:val="auto"/>
              </w:rPr>
              <w:t>Pay Versus Performance Disclosure</w:t>
            </w:r>
          </w:p>
        </w:tc>
        <w:tc>
          <w:tcPr>
            <w:tcW w:w="44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43"/>
        </w:trPr>
        <w:tc>
          <w:tcPr>
            <w:tcW w:w="10800" w:type="dxa"/>
            <w:vAlign w:val="bottom"/>
          </w:tcPr>
          <w:p>
            <w:pPr>
              <w:ind w:left="180"/>
              <w:spacing w:after="0"/>
              <w:rPr>
                <w:sz w:val="20"/>
                <w:szCs w:val="20"/>
                <w:color w:val="auto"/>
              </w:rPr>
            </w:pPr>
            <w:r>
              <w:rPr>
                <w:rFonts w:ascii="Arial" w:cs="Arial" w:eastAsia="Arial" w:hAnsi="Arial"/>
                <w:sz w:val="16"/>
                <w:szCs w:val="16"/>
                <w:color w:val="auto"/>
              </w:rPr>
              <w:t>Equity Compensation Plan Information</w:t>
            </w:r>
          </w:p>
        </w:tc>
        <w:tc>
          <w:tcPr>
            <w:tcW w:w="4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55"/>
        </w:trPr>
        <w:tc>
          <w:tcPr>
            <w:tcW w:w="10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4C97"/>
              </w:rPr>
              <w:t>PROPOSAL 2: APPROVAL OF NAMED EXECUTIVE OFFICERS’ COMPENSATION, ON A NON-BINDING ADVISORY BASIS (“SAY-ON-PAY”)</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C97"/>
              </w:rPr>
              <w:t>51</w:t>
            </w:r>
          </w:p>
        </w:tc>
      </w:tr>
      <w:tr>
        <w:trPr>
          <w:trHeight w:val="237"/>
        </w:trPr>
        <w:tc>
          <w:tcPr>
            <w:tcW w:w="10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4C97"/>
              </w:rPr>
              <w:t>AUDIT MATTERS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C97"/>
              </w:rPr>
              <w:t>52</w:t>
            </w:r>
          </w:p>
        </w:tc>
      </w:tr>
      <w:tr>
        <w:trPr>
          <w:trHeight w:val="225"/>
        </w:trPr>
        <w:tc>
          <w:tcPr>
            <w:tcW w:w="10800" w:type="dxa"/>
            <w:vAlign w:val="bottom"/>
          </w:tcPr>
          <w:p>
            <w:pPr>
              <w:ind w:left="180"/>
              <w:spacing w:after="0"/>
              <w:rPr>
                <w:sz w:val="20"/>
                <w:szCs w:val="20"/>
                <w:color w:val="auto"/>
              </w:rPr>
            </w:pPr>
            <w:r>
              <w:rPr>
                <w:rFonts w:ascii="Arial" w:cs="Arial" w:eastAsia="Arial" w:hAnsi="Arial"/>
                <w:sz w:val="16"/>
                <w:szCs w:val="16"/>
                <w:color w:val="auto"/>
              </w:rPr>
              <w:t>Audit Committee Report</w:t>
            </w:r>
          </w:p>
        </w:tc>
        <w:tc>
          <w:tcPr>
            <w:tcW w:w="44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1791"/>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5" w:name="page6"/>
    <w:bookmarkEnd w:id="5"/>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780" w:type="dxa"/>
            <w:vAlign w:val="bottom"/>
          </w:tcPr>
          <w:p>
            <w:pPr>
              <w:ind w:left="180"/>
              <w:spacing w:after="0"/>
              <w:rPr>
                <w:sz w:val="20"/>
                <w:szCs w:val="20"/>
                <w:color w:val="auto"/>
              </w:rPr>
            </w:pPr>
            <w:r>
              <w:rPr>
                <w:rFonts w:ascii="Arial" w:cs="Arial" w:eastAsia="Arial" w:hAnsi="Arial"/>
                <w:sz w:val="16"/>
                <w:szCs w:val="16"/>
                <w:color w:val="auto"/>
              </w:rPr>
              <w:t>Other Audit Information</w:t>
            </w:r>
          </w:p>
        </w:tc>
        <w:tc>
          <w:tcPr>
            <w:tcW w:w="14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43"/>
        </w:trPr>
        <w:tc>
          <w:tcPr>
            <w:tcW w:w="9780" w:type="dxa"/>
            <w:vAlign w:val="bottom"/>
          </w:tcPr>
          <w:p>
            <w:pPr>
              <w:ind w:left="360"/>
              <w:spacing w:after="0"/>
              <w:rPr>
                <w:sz w:val="20"/>
                <w:szCs w:val="20"/>
                <w:color w:val="auto"/>
              </w:rPr>
            </w:pPr>
            <w:r>
              <w:rPr>
                <w:rFonts w:ascii="Arial" w:cs="Arial" w:eastAsia="Arial" w:hAnsi="Arial"/>
                <w:sz w:val="16"/>
                <w:szCs w:val="16"/>
                <w:color w:val="auto"/>
              </w:rPr>
              <w:t>Audit and Non-Audit Fee Table</w:t>
            </w:r>
          </w:p>
        </w:tc>
        <w:tc>
          <w:tcPr>
            <w:tcW w:w="14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43"/>
        </w:trPr>
        <w:tc>
          <w:tcPr>
            <w:tcW w:w="9780" w:type="dxa"/>
            <w:vAlign w:val="bottom"/>
          </w:tcPr>
          <w:p>
            <w:pPr>
              <w:ind w:left="360"/>
              <w:spacing w:after="0"/>
              <w:rPr>
                <w:sz w:val="20"/>
                <w:szCs w:val="20"/>
                <w:color w:val="auto"/>
              </w:rPr>
            </w:pPr>
            <w:r>
              <w:rPr>
                <w:rFonts w:ascii="Arial" w:cs="Arial" w:eastAsia="Arial" w:hAnsi="Arial"/>
                <w:sz w:val="16"/>
                <w:szCs w:val="16"/>
                <w:color w:val="auto"/>
              </w:rPr>
              <w:t>Pre-Approval By Audit Committee</w:t>
            </w:r>
          </w:p>
        </w:tc>
        <w:tc>
          <w:tcPr>
            <w:tcW w:w="14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55"/>
        </w:trPr>
        <w:tc>
          <w:tcPr>
            <w:tcW w:w="9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4C97"/>
              </w:rPr>
              <w:t>PROPOSAL 3: RATIFICATION OF APPOINTMENT OF INDEPENDENT REGISTERED PUBLIC ACCOUNTING FIRM</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C97"/>
              </w:rPr>
              <w:t>54</w:t>
            </w:r>
          </w:p>
        </w:tc>
      </w:tr>
      <w:tr>
        <w:trPr>
          <w:trHeight w:val="237"/>
        </w:trPr>
        <w:tc>
          <w:tcPr>
            <w:tcW w:w="9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4C97"/>
              </w:rPr>
              <w:t>QUESTIONS AND ANSWERS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C97"/>
              </w:rPr>
              <w:t>55</w:t>
            </w:r>
          </w:p>
        </w:tc>
      </w:tr>
      <w:tr>
        <w:trPr>
          <w:trHeight w:val="225"/>
        </w:trPr>
        <w:tc>
          <w:tcPr>
            <w:tcW w:w="9780" w:type="dxa"/>
            <w:vAlign w:val="bottom"/>
          </w:tcPr>
          <w:p>
            <w:pPr>
              <w:ind w:left="180"/>
              <w:spacing w:after="0"/>
              <w:rPr>
                <w:sz w:val="20"/>
                <w:szCs w:val="20"/>
                <w:color w:val="auto"/>
              </w:rPr>
            </w:pPr>
            <w:r>
              <w:rPr>
                <w:rFonts w:ascii="Arial" w:cs="Arial" w:eastAsia="Arial" w:hAnsi="Arial"/>
                <w:sz w:val="16"/>
                <w:szCs w:val="16"/>
                <w:color w:val="auto"/>
              </w:rPr>
              <w:t>Proxy Materials</w:t>
            </w:r>
          </w:p>
        </w:tc>
        <w:tc>
          <w:tcPr>
            <w:tcW w:w="14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43"/>
        </w:trPr>
        <w:tc>
          <w:tcPr>
            <w:tcW w:w="9780" w:type="dxa"/>
            <w:vAlign w:val="bottom"/>
          </w:tcPr>
          <w:p>
            <w:pPr>
              <w:ind w:left="180"/>
              <w:spacing w:after="0"/>
              <w:rPr>
                <w:sz w:val="20"/>
                <w:szCs w:val="20"/>
                <w:color w:val="auto"/>
              </w:rPr>
            </w:pPr>
            <w:r>
              <w:rPr>
                <w:rFonts w:ascii="Arial" w:cs="Arial" w:eastAsia="Arial" w:hAnsi="Arial"/>
                <w:sz w:val="16"/>
                <w:szCs w:val="16"/>
                <w:color w:val="auto"/>
              </w:rPr>
              <w:t>Annual Meeting</w:t>
            </w:r>
          </w:p>
        </w:tc>
        <w:tc>
          <w:tcPr>
            <w:tcW w:w="14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43"/>
        </w:trPr>
        <w:tc>
          <w:tcPr>
            <w:tcW w:w="9780" w:type="dxa"/>
            <w:vAlign w:val="bottom"/>
          </w:tcPr>
          <w:p>
            <w:pPr>
              <w:ind w:left="180"/>
              <w:spacing w:after="0"/>
              <w:rPr>
                <w:sz w:val="20"/>
                <w:szCs w:val="20"/>
                <w:color w:val="auto"/>
              </w:rPr>
            </w:pPr>
            <w:r>
              <w:rPr>
                <w:rFonts w:ascii="Arial" w:cs="Arial" w:eastAsia="Arial" w:hAnsi="Arial"/>
                <w:sz w:val="16"/>
                <w:szCs w:val="16"/>
                <w:color w:val="auto"/>
              </w:rPr>
              <w:t>Voting and Quorum</w:t>
            </w:r>
          </w:p>
        </w:tc>
        <w:tc>
          <w:tcPr>
            <w:tcW w:w="146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52"/>
        </w:trPr>
        <w:tc>
          <w:tcPr>
            <w:tcW w:w="97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Communications and Stockholder Proposals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r>
      <w:tr>
        <w:trPr>
          <w:trHeight w:val="239"/>
        </w:trPr>
        <w:tc>
          <w:tcPr>
            <w:tcW w:w="9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4C97"/>
              </w:rPr>
              <w:t>APPENDIX A – RECONCILIATION OF GAAP TO NON-GAAP FINANCIAL MEASURES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4C97"/>
              </w:rPr>
              <w:t>A-1</w:t>
            </w:r>
          </w:p>
        </w:tc>
      </w:tr>
    </w:tbl>
    <w:p>
      <w:pPr>
        <w:spacing w:after="0" w:line="35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 xml:space="preserve">Non-GAAP Financial Measures: </w:t>
      </w:r>
      <w:r>
        <w:rPr>
          <w:rFonts w:ascii="Arial" w:cs="Arial" w:eastAsia="Arial" w:hAnsi="Arial"/>
          <w:sz w:val="16"/>
          <w:szCs w:val="16"/>
          <w:color w:val="auto"/>
        </w:rPr>
        <w:t>Our adjusted earnings per share guidance and adjusted EBITDA guidance for full year 2025 are not measures under</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accepted accounting principles in the United States (“GAAP”) and exclude items, which would be included in our comparable GAAP financial measures, that we do not consider indicative of our on-going performance; and each is calculated in a manner consistent with the presentation of the similarly titled historical non-GAAP measure presented in our earnings release for the quarter and fiscal year ended December 31, 2024 furnished as Exhibit 99.1 to our Current Report on Form 8-K dated February 25, 2025. These items include, but are not limited to, acquisition related costs, costs associated with dispositions, and potential non-cash income or expense items associated with changes in market interest rates and actuarial or other data related to our pension and postretirement plans, as the ultimate aggregate amounts associated with these items are out of our control and/or cannot be reasonably predicted. Accordingly, a reconciliation of our non-GAAP financial guidance to the most comparable GAAP financial measures is not practicable. The full-year guidance excludes impacts from future acquisitions, dispositions and related transaction costs, restructuring costs, incremental impacts of tariffs and trade tensions on market demand and costs subsequent to February 25, 2025, the impact of foreign exchange rate changes subsequent to December 31, 2024, and environmental and litigation charges. See Appendix A for additional information with respect to certain non-GAAP financial measures used to evaluate performance for the purpose of executive officer incentive compensation, which is discussed elsewhere in this Proxy Statement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973455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Proxy Statement Annual Meeting of Stockholders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Annual Meeting of our stockholders will be held at 8:00 a.m. (Eastern Time), on Tuesday, May 13, 2025, in a virtual format, conducted via a live webcast.</w:t>
      </w:r>
    </w:p>
    <w:p>
      <w:pPr>
        <w:spacing w:after="0" w:line="33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You will be able to attend the Annual Meeting, vote (if you are a stockholder of record) and submit questions during the meeting by visiting </w:t>
      </w:r>
      <w:r>
        <w:rPr>
          <w:rFonts w:ascii="Arial" w:cs="Arial" w:eastAsia="Arial" w:hAnsi="Arial"/>
          <w:sz w:val="16"/>
          <w:szCs w:val="16"/>
          <w:b w:val="1"/>
          <w:bCs w:val="1"/>
          <w:color w:val="auto"/>
        </w:rPr>
        <w:t>meetnow.global/MR5TU2F</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who hold shares of our common stock in “street name” may direct the holder of record how to vote their shares at</w:t>
      </w:r>
      <w:r>
        <w:rPr>
          <w:rFonts w:ascii="Arial" w:cs="Arial" w:eastAsia="Arial" w:hAnsi="Arial"/>
          <w:sz w:val="16"/>
          <w:szCs w:val="16"/>
          <w:b w:val="1"/>
          <w:bCs w:val="1"/>
          <w:color w:val="auto"/>
        </w:rPr>
        <w:t xml:space="preserve"> </w:t>
      </w:r>
      <w:r>
        <w:rPr>
          <w:rFonts w:ascii="Arial" w:cs="Arial" w:eastAsia="Arial" w:hAnsi="Arial"/>
          <w:sz w:val="16"/>
          <w:szCs w:val="16"/>
          <w:color w:val="auto"/>
        </w:rPr>
        <w:t>the meeting by following the instructions that they receive from the holder of record.</w:t>
      </w:r>
    </w:p>
    <w:p>
      <w:pPr>
        <w:spacing w:after="0" w:line="12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are furnishing this Proxy Statement to our stockholders of record as of March 17, 2025 in connection with the solicitation of proxies by our Board of Directors for the 2025 Annual Meeting of Stockholders and any adjournment or postponement of the meeting.</w:t>
      </w:r>
    </w:p>
    <w:p>
      <w:pPr>
        <w:spacing w:after="0" w:line="10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Our 2024 Annual Report to Stockholders, which includes our annual report on Form 10-K without exhibits, accompanies this Proxy Statement. You may obtain a copy of the exhibits described in the Form 10-K for a fee upon request. Please contact Paul Clegg, Vice President, Investor Relations and Communications, SPX Technologies, Inc., 6325 Ardrey Kell Rd, Suite 400, Charlotte, North Carolina 28277.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0575"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600075"/>
                    </a:xfrm>
                    <a:prstGeom prst="rect">
                      <a:avLst/>
                    </a:prstGeom>
                    <a:noFill/>
                  </pic:spPr>
                </pic:pic>
              </a:graphicData>
            </a:graphic>
          </wp:anchor>
        </w:drawing>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4C97"/>
        </w:rPr>
        <w:t>Important Notice Regarding the Availability of Proxy Materials for the 2025 Annual Meeting of Stockholders:</w:t>
      </w:r>
    </w:p>
    <w:p>
      <w:pPr>
        <w:spacing w:after="0" w:line="127" w:lineRule="exact"/>
        <w:rPr>
          <w:sz w:val="20"/>
          <w:szCs w:val="20"/>
          <w:color w:val="auto"/>
        </w:rPr>
      </w:pPr>
    </w:p>
    <w:p>
      <w:pPr>
        <w:jc w:val="both"/>
        <w:ind w:left="860" w:right="840" w:firstLine="49"/>
        <w:spacing w:after="0" w:line="296" w:lineRule="auto"/>
        <w:rPr>
          <w:sz w:val="20"/>
          <w:szCs w:val="20"/>
          <w:color w:val="auto"/>
        </w:rPr>
      </w:pPr>
      <w:r>
        <w:rPr>
          <w:rFonts w:ascii="Arial" w:cs="Arial" w:eastAsia="Arial" w:hAnsi="Arial"/>
          <w:sz w:val="16"/>
          <w:szCs w:val="16"/>
          <w:b w:val="1"/>
          <w:bCs w:val="1"/>
          <w:color w:val="004C97"/>
        </w:rPr>
        <w:t>The Notice of Annual Meeting, Proxy Statement, and our 2024 Annual Report to Stockholders are available electronically at www.envisionreports.com/SPXC (for stockholders of record) or www.edocumentview.com/SPXC (for all other stockholders).</w:t>
      </w:r>
    </w:p>
    <w:p>
      <w:pPr>
        <w:spacing w:after="0" w:line="248"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Certain statements in this Proxy Statement are forward-looking statements within the meaning of Section 27A of the Securities Act and Section 21E of the Securities Exchange Act of 1934, as amended (the “Exchange Act”), and are subject to the safe harbor created thereby. These statements relate to future events or our future financial performance and involve known and unknown risks, uncertainties and other factors that may cause our businesses’ or our industries’ actual results, levels of activity, performance or achievements to be materially different from those expressed or implied by any forward-looking statements. Such statements may address our plans, our strategies, our prospects, changes and trends in our business and the markets in which we operate. In some cases, you can identify forward-looking statements by terminology such as “may,” “could,” “would,” “should,” “expect,” “plan,” “anticipate,” “intend,” “believe,” “estimate,” “predict,” “project,” “potential” or “continue” or the negative of those terms or other comparable terminology. Please consider these forward-looking statements in conjunction with the Company’s documents filed with the Securities and Exchange Commission, including the Company’s most recent annual report on Form 10-K, which identify important risk factors and other uncertainties that could cause actual results to differ from those contained in the forward-looking statements, including the following: cyclical changes and specific industry events in the Company’s markets; changes in anticipated capital investment and maintenance expenditures by customers; availability, limitations or cost increases of raw materials and/or commodities, including as a result of new or increased tariffs, that cannot be recovered in product pricing; the impact of competition on profit margins and the Company’s ability to maintain or increase market share; inadequate performance by third-party suppliers and subcontractors for outsourced products, components and services and other supply-chain risks; the uncertainty of claims resolution with respect to environmental and other contingent liabilities; the impact of climate change and any legal or regulatory actions taken in response thereto; cyber-security risks; risks with respect to the protection of intellectual property, including with respect to the Company’s digitalization initiatives; the impact of overruns, inflation and the incurrence of delays with respect to long-term fixed-price contracts; defects or errors in current or planned products; the impact of pandemics and governmental and other actions taken in response; domestic economic, political, legal, accounting and business developments adversely affecting the Company’s business, including regulatory changes; changes in worldwide economic conditions, including as a result of geopolitical conflicts; uncertainties with respect to the Company’s ability to identify acceptable acquisition targets; uncertainties surrounding successful completion of acquisition or disposition transactions, including with respect to integrating acquisitions and achieving cost savings or other benefits from acquisitions; the impact of retained liabilities of disposed businesses; potential labor disputes; and extreme weather conditions and natural and other disasters. These statements are only predictions and actual events or results may differ materially. Accordingly, forward-looking statements should not be relied upon as a prediction of actual results. In addition, management’s estimates of future operating results are based on the Company’s current complement of businesses, which is subject to change as management selects strategic markets.</w:t>
      </w:r>
    </w:p>
    <w:p>
      <w:pPr>
        <w:spacing w:after="0" w:line="14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Information with respect to our officers and directors presented in this proxy statement for periods prior to the consummation of our holding company reorganization completed on August 15, 2022 include their respective service, and compensation from, our corporate predecessor, SPX Corporation. For example, although each of the directors was first elected to the Company’s Board of Directors in August 2022 in connection with the reorganization, the biographical and other information herein with respect such directors includes their service as directors of SPX Corporation for periods prior to the consummation of the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649605</wp:posOffset>
            </wp:positionV>
            <wp:extent cx="40322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322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6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65"/>
        </w:trPr>
        <w:tc>
          <w:tcPr>
            <w:tcW w:w="10360" w:type="dxa"/>
            <w:vAlign w:val="bottom"/>
            <w:tcBorders>
              <w:bottom w:val="single" w:sz="8" w:color="9A9A9A"/>
            </w:tcBorders>
          </w:tcPr>
          <w:p>
            <w:pPr>
              <w:spacing w:after="0"/>
              <w:rPr>
                <w:sz w:val="23"/>
                <w:szCs w:val="23"/>
                <w:color w:val="auto"/>
              </w:rPr>
            </w:pPr>
          </w:p>
        </w:tc>
        <w:tc>
          <w:tcPr>
            <w:tcW w:w="8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Arial" w:cs="Arial" w:eastAsia="Arial" w:hAnsi="Arial"/>
          <w:sz w:val="38"/>
          <w:szCs w:val="38"/>
          <w:b w:val="1"/>
          <w:bCs w:val="1"/>
          <w:color w:val="004C97"/>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675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675370"/>
                    </a:xfrm>
                    <a:prstGeom prst="rect">
                      <a:avLst/>
                    </a:prstGeom>
                    <a:noFill/>
                  </pic:spPr>
                </pic:pic>
              </a:graphicData>
            </a:graphic>
          </wp:anchor>
        </w:drawing>
        <w:t>MEETING AND VOTING HIGHLIGHTS</w:t>
      </w:r>
    </w:p>
    <w:p>
      <w:pPr>
        <w:spacing w:after="0" w:line="26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This summary highlights information about the Company, voting recommendations of our Board of Directors (“Board”), and certain information contained elsewhere in this proxy statement (“Proxy Statement”) for the Company’s 2025 Annual Meeting of Stockholders (“Annual Meeting” or “meeting”). This summary does not contain all of the information that you should consider in voting your shares. Before voting, you should carefully read the entire Proxy Statement and our 2024 Annual Report to Stockholders.</w:t>
      </w:r>
    </w:p>
    <w:p>
      <w:pPr>
        <w:spacing w:after="0" w:line="20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Annual Meeting</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1700" w:type="dxa"/>
            <w:vAlign w:val="bottom"/>
          </w:tcPr>
          <w:p>
            <w:pPr>
              <w:spacing w:after="0"/>
              <w:rPr>
                <w:sz w:val="20"/>
                <w:szCs w:val="20"/>
                <w:color w:val="auto"/>
              </w:rPr>
            </w:pPr>
            <w:r>
              <w:rPr>
                <w:rFonts w:ascii="Arial" w:cs="Arial" w:eastAsia="Arial" w:hAnsi="Arial"/>
                <w:sz w:val="16"/>
                <w:szCs w:val="16"/>
                <w:b w:val="1"/>
                <w:bCs w:val="1"/>
                <w:i w:val="1"/>
                <w:iCs w:val="1"/>
                <w:color w:val="auto"/>
              </w:rPr>
              <w:t>Time and Date:</w:t>
            </w:r>
          </w:p>
        </w:tc>
        <w:tc>
          <w:tcPr>
            <w:tcW w:w="5980" w:type="dxa"/>
            <w:vAlign w:val="bottom"/>
          </w:tcPr>
          <w:p>
            <w:pPr>
              <w:ind w:left="540"/>
              <w:spacing w:after="0"/>
              <w:rPr>
                <w:sz w:val="20"/>
                <w:szCs w:val="20"/>
                <w:color w:val="auto"/>
              </w:rPr>
            </w:pPr>
            <w:r>
              <w:rPr>
                <w:rFonts w:ascii="Arial" w:cs="Arial" w:eastAsia="Arial" w:hAnsi="Arial"/>
                <w:sz w:val="16"/>
                <w:szCs w:val="16"/>
                <w:color w:val="auto"/>
              </w:rPr>
              <w:t>8:00 a.m. (Eastern Time), Tuesday, May 13, 2025</w:t>
            </w:r>
          </w:p>
        </w:tc>
      </w:tr>
      <w:tr>
        <w:trPr>
          <w:trHeight w:val="255"/>
        </w:trPr>
        <w:tc>
          <w:tcPr>
            <w:tcW w:w="1700" w:type="dxa"/>
            <w:vAlign w:val="bottom"/>
          </w:tcPr>
          <w:p>
            <w:pPr>
              <w:spacing w:after="0"/>
              <w:rPr>
                <w:sz w:val="20"/>
                <w:szCs w:val="20"/>
                <w:color w:val="auto"/>
              </w:rPr>
            </w:pPr>
            <w:r>
              <w:rPr>
                <w:rFonts w:ascii="Arial" w:cs="Arial" w:eastAsia="Arial" w:hAnsi="Arial"/>
                <w:sz w:val="16"/>
                <w:szCs w:val="16"/>
                <w:b w:val="1"/>
                <w:bCs w:val="1"/>
                <w:i w:val="1"/>
                <w:iCs w:val="1"/>
                <w:color w:val="auto"/>
              </w:rPr>
              <w:t>Place:</w:t>
            </w:r>
          </w:p>
        </w:tc>
        <w:tc>
          <w:tcPr>
            <w:tcW w:w="5980" w:type="dxa"/>
            <w:vAlign w:val="bottom"/>
          </w:tcPr>
          <w:p>
            <w:pPr>
              <w:ind w:left="540"/>
              <w:spacing w:after="0"/>
              <w:rPr>
                <w:sz w:val="20"/>
                <w:szCs w:val="20"/>
                <w:color w:val="auto"/>
              </w:rPr>
            </w:pPr>
            <w:r>
              <w:rPr>
                <w:rFonts w:ascii="Arial" w:cs="Arial" w:eastAsia="Arial" w:hAnsi="Arial"/>
                <w:sz w:val="16"/>
                <w:szCs w:val="16"/>
                <w:color w:val="auto"/>
              </w:rPr>
              <w:t xml:space="preserve">Virtual format, conducted via a live webcast at: </w:t>
            </w:r>
            <w:r>
              <w:rPr>
                <w:rFonts w:ascii="Arial" w:cs="Arial" w:eastAsia="Arial" w:hAnsi="Arial"/>
                <w:sz w:val="17"/>
                <w:szCs w:val="17"/>
                <w:color w:val="auto"/>
              </w:rPr>
              <w:t>meetnow.global/</w:t>
            </w:r>
            <w:r>
              <w:rPr>
                <w:rFonts w:ascii="Arial" w:cs="Arial" w:eastAsia="Arial" w:hAnsi="Arial"/>
                <w:sz w:val="16"/>
                <w:szCs w:val="16"/>
                <w:color w:val="auto"/>
              </w:rPr>
              <w:t>MR5TU2F</w:t>
            </w:r>
          </w:p>
        </w:tc>
      </w:tr>
      <w:tr>
        <w:trPr>
          <w:trHeight w:val="420"/>
        </w:trPr>
        <w:tc>
          <w:tcPr>
            <w:tcW w:w="1700" w:type="dxa"/>
            <w:vAlign w:val="bottom"/>
          </w:tcPr>
          <w:p>
            <w:pPr>
              <w:spacing w:after="0"/>
              <w:rPr>
                <w:sz w:val="20"/>
                <w:szCs w:val="20"/>
                <w:color w:val="auto"/>
              </w:rPr>
            </w:pPr>
            <w:r>
              <w:rPr>
                <w:rFonts w:ascii="Arial" w:cs="Arial" w:eastAsia="Arial" w:hAnsi="Arial"/>
                <w:sz w:val="16"/>
                <w:szCs w:val="16"/>
                <w:b w:val="1"/>
                <w:bCs w:val="1"/>
                <w:i w:val="1"/>
                <w:iCs w:val="1"/>
                <w:color w:val="auto"/>
              </w:rPr>
              <w:t>Record Date:</w:t>
            </w:r>
          </w:p>
        </w:tc>
        <w:tc>
          <w:tcPr>
            <w:tcW w:w="5980" w:type="dxa"/>
            <w:vAlign w:val="bottom"/>
          </w:tcPr>
          <w:p>
            <w:pPr>
              <w:ind w:left="540"/>
              <w:spacing w:after="0"/>
              <w:rPr>
                <w:sz w:val="20"/>
                <w:szCs w:val="20"/>
                <w:color w:val="auto"/>
              </w:rPr>
            </w:pPr>
            <w:r>
              <w:rPr>
                <w:rFonts w:ascii="Arial" w:cs="Arial" w:eastAsia="Arial" w:hAnsi="Arial"/>
                <w:sz w:val="16"/>
                <w:szCs w:val="16"/>
                <w:color w:val="auto"/>
              </w:rPr>
              <w:t>March 17, 2025</w:t>
            </w:r>
          </w:p>
        </w:tc>
      </w:tr>
    </w:tbl>
    <w:p>
      <w:pPr>
        <w:spacing w:after="0" w:line="39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Purpose of Meeting and Board Recommendations</w:t>
      </w:r>
    </w:p>
    <w:p>
      <w:pPr>
        <w:spacing w:after="0" w:line="27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180" w:type="dxa"/>
            <w:vAlign w:val="bottom"/>
            <w:tcBorders>
              <w:top w:val="single" w:sz="8" w:color="auto"/>
              <w:left w:val="single" w:sz="8" w:color="auto"/>
              <w:right w:val="single" w:sz="8" w:color="004C97"/>
            </w:tcBorders>
            <w:shd w:val="clear" w:color="auto" w:fill="004C97"/>
          </w:tcPr>
          <w:p>
            <w:pPr>
              <w:spacing w:after="0"/>
              <w:rPr>
                <w:sz w:val="17"/>
                <w:szCs w:val="17"/>
                <w:color w:val="auto"/>
              </w:rPr>
            </w:pPr>
          </w:p>
        </w:tc>
        <w:tc>
          <w:tcPr>
            <w:tcW w:w="4400" w:type="dxa"/>
            <w:vAlign w:val="bottom"/>
            <w:tcBorders>
              <w:top w:val="single" w:sz="8" w:color="auto"/>
              <w:right w:val="single" w:sz="8" w:color="auto"/>
            </w:tcBorders>
            <w:shd w:val="clear" w:color="auto" w:fill="004C97"/>
          </w:tcPr>
          <w:p>
            <w:pPr>
              <w:spacing w:after="0"/>
              <w:rPr>
                <w:sz w:val="17"/>
                <w:szCs w:val="17"/>
                <w:color w:val="auto"/>
              </w:rPr>
            </w:pPr>
          </w:p>
        </w:tc>
        <w:tc>
          <w:tcPr>
            <w:tcW w:w="214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Board Vote</w:t>
            </w:r>
          </w:p>
        </w:tc>
        <w:tc>
          <w:tcPr>
            <w:tcW w:w="230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Votes Required for</w:t>
            </w:r>
          </w:p>
        </w:tc>
        <w:tc>
          <w:tcPr>
            <w:tcW w:w="124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Page</w:t>
            </w:r>
          </w:p>
        </w:tc>
        <w:tc>
          <w:tcPr>
            <w:tcW w:w="0" w:type="dxa"/>
            <w:vAlign w:val="bottom"/>
          </w:tcPr>
          <w:p>
            <w:pPr>
              <w:spacing w:after="0"/>
              <w:rPr>
                <w:sz w:val="1"/>
                <w:szCs w:val="1"/>
                <w:color w:val="auto"/>
              </w:rPr>
            </w:pPr>
          </w:p>
        </w:tc>
      </w:tr>
      <w:tr>
        <w:trPr>
          <w:trHeight w:val="205"/>
        </w:trPr>
        <w:tc>
          <w:tcPr>
            <w:tcW w:w="1180" w:type="dxa"/>
            <w:vAlign w:val="bottom"/>
            <w:tcBorders>
              <w:left w:val="single" w:sz="8" w:color="auto"/>
              <w:bottom w:val="single" w:sz="8" w:color="auto"/>
              <w:right w:val="single" w:sz="8" w:color="004C97"/>
            </w:tcBorders>
            <w:shd w:val="clear" w:color="auto" w:fill="004C97"/>
          </w:tcPr>
          <w:p>
            <w:pPr>
              <w:spacing w:after="0"/>
              <w:rPr>
                <w:sz w:val="17"/>
                <w:szCs w:val="17"/>
                <w:color w:val="auto"/>
              </w:rPr>
            </w:pPr>
          </w:p>
        </w:tc>
        <w:tc>
          <w:tcPr>
            <w:tcW w:w="4400" w:type="dxa"/>
            <w:vAlign w:val="bottom"/>
            <w:tcBorders>
              <w:bottom w:val="single" w:sz="8" w:color="auto"/>
              <w:right w:val="single" w:sz="8" w:color="auto"/>
            </w:tcBorders>
            <w:shd w:val="clear" w:color="auto" w:fill="004C97"/>
          </w:tcPr>
          <w:p>
            <w:pPr>
              <w:ind w:left="1260"/>
              <w:spacing w:after="0"/>
              <w:rPr>
                <w:sz w:val="20"/>
                <w:szCs w:val="20"/>
                <w:color w:val="auto"/>
              </w:rPr>
            </w:pPr>
            <w:r>
              <w:rPr>
                <w:rFonts w:ascii="Arial" w:cs="Arial" w:eastAsia="Arial" w:hAnsi="Arial"/>
                <w:sz w:val="14"/>
                <w:szCs w:val="14"/>
                <w:b w:val="1"/>
                <w:bCs w:val="1"/>
                <w:color w:val="FFFFFF"/>
              </w:rPr>
              <w:t>Proposals</w:t>
            </w:r>
          </w:p>
        </w:tc>
        <w:tc>
          <w:tcPr>
            <w:tcW w:w="214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Recommendation</w:t>
            </w:r>
          </w:p>
        </w:tc>
        <w:tc>
          <w:tcPr>
            <w:tcW w:w="23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Approval</w:t>
            </w:r>
          </w:p>
        </w:tc>
        <w:tc>
          <w:tcPr>
            <w:tcW w:w="124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Reference</w:t>
            </w:r>
          </w:p>
        </w:tc>
        <w:tc>
          <w:tcPr>
            <w:tcW w:w="0" w:type="dxa"/>
            <w:vAlign w:val="bottom"/>
          </w:tcPr>
          <w:p>
            <w:pPr>
              <w:spacing w:after="0"/>
              <w:rPr>
                <w:sz w:val="1"/>
                <w:szCs w:val="1"/>
                <w:color w:val="auto"/>
              </w:rPr>
            </w:pPr>
          </w:p>
        </w:tc>
      </w:tr>
      <w:tr>
        <w:trPr>
          <w:trHeight w:val="193"/>
        </w:trPr>
        <w:tc>
          <w:tcPr>
            <w:tcW w:w="1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Proposal 1:</w:t>
            </w:r>
          </w:p>
        </w:tc>
        <w:tc>
          <w:tcPr>
            <w:tcW w:w="44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Election of Directors</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FOR</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Majority of votes cast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96"/>
        </w:trPr>
        <w:tc>
          <w:tcPr>
            <w:tcW w:w="1180" w:type="dxa"/>
            <w:vAlign w:val="bottom"/>
            <w:tcBorders>
              <w:left w:val="single" w:sz="8" w:color="auto"/>
              <w:right w:val="single" w:sz="8" w:color="auto"/>
            </w:tcBorders>
          </w:tcPr>
          <w:p>
            <w:pPr>
              <w:spacing w:after="0"/>
              <w:rPr>
                <w:sz w:val="8"/>
                <w:szCs w:val="8"/>
                <w:color w:val="auto"/>
              </w:rPr>
            </w:pPr>
          </w:p>
        </w:tc>
        <w:tc>
          <w:tcPr>
            <w:tcW w:w="4400" w:type="dxa"/>
            <w:vAlign w:val="bottom"/>
            <w:tcBorders>
              <w:right w:val="single" w:sz="8" w:color="auto"/>
            </w:tcBorders>
          </w:tcPr>
          <w:p>
            <w:pPr>
              <w:spacing w:after="0"/>
              <w:rPr>
                <w:sz w:val="8"/>
                <w:szCs w:val="8"/>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each nominee</w:t>
            </w:r>
          </w:p>
        </w:tc>
        <w:tc>
          <w:tcPr>
            <w:tcW w:w="230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4400" w:type="dxa"/>
            <w:vAlign w:val="bottom"/>
            <w:tcBorders>
              <w:bottom w:val="single" w:sz="8" w:color="auto"/>
              <w:right w:val="single" w:sz="8" w:color="auto"/>
            </w:tcBorders>
          </w:tcPr>
          <w:p>
            <w:pPr>
              <w:spacing w:after="0"/>
              <w:rPr>
                <w:sz w:val="9"/>
                <w:szCs w:val="9"/>
                <w:color w:val="auto"/>
              </w:rPr>
            </w:pPr>
          </w:p>
        </w:tc>
        <w:tc>
          <w:tcPr>
            <w:tcW w:w="2140" w:type="dxa"/>
            <w:vAlign w:val="bottom"/>
            <w:tcBorders>
              <w:bottom w:val="single" w:sz="8" w:color="auto"/>
              <w:right w:val="single" w:sz="8" w:color="auto"/>
            </w:tcBorders>
            <w:vMerge w:val="continue"/>
          </w:tcPr>
          <w:p>
            <w:pPr>
              <w:spacing w:after="0"/>
              <w:rPr>
                <w:sz w:val="9"/>
                <w:szCs w:val="9"/>
                <w:color w:val="auto"/>
              </w:rPr>
            </w:pPr>
          </w:p>
        </w:tc>
        <w:tc>
          <w:tcPr>
            <w:tcW w:w="230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Proposal 2:</w:t>
            </w:r>
          </w:p>
        </w:tc>
        <w:tc>
          <w:tcPr>
            <w:tcW w:w="44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Approval of Named Executive Officers’ Compensation, on a Non-</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FOR</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Majority of votes cast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96"/>
        </w:trPr>
        <w:tc>
          <w:tcPr>
            <w:tcW w:w="1180" w:type="dxa"/>
            <w:vAlign w:val="bottom"/>
            <w:tcBorders>
              <w:left w:val="single" w:sz="8" w:color="auto"/>
              <w:right w:val="single" w:sz="8" w:color="auto"/>
            </w:tcBorders>
          </w:tcPr>
          <w:p>
            <w:pPr>
              <w:spacing w:after="0"/>
              <w:rPr>
                <w:sz w:val="8"/>
                <w:szCs w:val="8"/>
                <w:color w:val="auto"/>
              </w:rPr>
            </w:pPr>
          </w:p>
        </w:tc>
        <w:tc>
          <w:tcPr>
            <w:tcW w:w="4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binding Advisory Basis (“Say-on-Pay”)</w:t>
            </w:r>
          </w:p>
        </w:tc>
        <w:tc>
          <w:tcPr>
            <w:tcW w:w="2140" w:type="dxa"/>
            <w:vAlign w:val="bottom"/>
            <w:tcBorders>
              <w:right w:val="single" w:sz="8" w:color="auto"/>
            </w:tcBorders>
          </w:tcPr>
          <w:p>
            <w:pPr>
              <w:spacing w:after="0"/>
              <w:rPr>
                <w:sz w:val="8"/>
                <w:szCs w:val="8"/>
                <w:color w:val="auto"/>
              </w:rPr>
            </w:pPr>
          </w:p>
        </w:tc>
        <w:tc>
          <w:tcPr>
            <w:tcW w:w="230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80" w:type="dxa"/>
            <w:vAlign w:val="bottom"/>
            <w:tcBorders>
              <w:left w:val="single" w:sz="8" w:color="auto"/>
              <w:right w:val="single" w:sz="8" w:color="auto"/>
            </w:tcBorders>
          </w:tcPr>
          <w:p>
            <w:pPr>
              <w:spacing w:after="0"/>
              <w:rPr>
                <w:sz w:val="8"/>
                <w:szCs w:val="8"/>
                <w:color w:val="auto"/>
              </w:rPr>
            </w:pPr>
          </w:p>
        </w:tc>
        <w:tc>
          <w:tcPr>
            <w:tcW w:w="4400" w:type="dxa"/>
            <w:vAlign w:val="bottom"/>
            <w:tcBorders>
              <w:right w:val="single" w:sz="8" w:color="auto"/>
            </w:tcBorders>
            <w:vMerge w:val="continue"/>
          </w:tcPr>
          <w:p>
            <w:pPr>
              <w:spacing w:after="0"/>
              <w:rPr>
                <w:sz w:val="8"/>
                <w:szCs w:val="8"/>
                <w:color w:val="auto"/>
              </w:rPr>
            </w:pPr>
          </w:p>
        </w:tc>
        <w:tc>
          <w:tcPr>
            <w:tcW w:w="2140" w:type="dxa"/>
            <w:vAlign w:val="bottom"/>
            <w:tcBorders>
              <w:right w:val="single" w:sz="8" w:color="auto"/>
            </w:tcBorders>
          </w:tcPr>
          <w:p>
            <w:pPr>
              <w:spacing w:after="0"/>
              <w:rPr>
                <w:sz w:val="8"/>
                <w:szCs w:val="8"/>
                <w:color w:val="auto"/>
              </w:rPr>
            </w:pPr>
          </w:p>
        </w:tc>
        <w:tc>
          <w:tcPr>
            <w:tcW w:w="230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0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230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Proposal 3:</w:t>
            </w:r>
          </w:p>
        </w:tc>
        <w:tc>
          <w:tcPr>
            <w:tcW w:w="44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Ratification of Appointment of Independent Registered Public</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FOR</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Majority of shares present or</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75"/>
        </w:trPr>
        <w:tc>
          <w:tcPr>
            <w:tcW w:w="1180" w:type="dxa"/>
            <w:vAlign w:val="bottom"/>
            <w:tcBorders>
              <w:left w:val="single" w:sz="8" w:color="auto"/>
              <w:right w:val="single" w:sz="8" w:color="auto"/>
            </w:tcBorders>
          </w:tcPr>
          <w:p>
            <w:pPr>
              <w:spacing w:after="0"/>
              <w:rPr>
                <w:sz w:val="15"/>
                <w:szCs w:val="15"/>
                <w:color w:val="auto"/>
              </w:rPr>
            </w:pPr>
          </w:p>
        </w:tc>
        <w:tc>
          <w:tcPr>
            <w:tcW w:w="44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Accounting Firm</w:t>
            </w:r>
          </w:p>
        </w:tc>
        <w:tc>
          <w:tcPr>
            <w:tcW w:w="214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represented by proxy and entitled</w:t>
            </w:r>
          </w:p>
        </w:tc>
        <w:tc>
          <w:tcPr>
            <w:tcW w:w="12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80" w:type="dxa"/>
            <w:vAlign w:val="bottom"/>
            <w:tcBorders>
              <w:left w:val="single" w:sz="8" w:color="auto"/>
              <w:bottom w:val="single" w:sz="8" w:color="auto"/>
              <w:right w:val="single" w:sz="8" w:color="auto"/>
            </w:tcBorders>
          </w:tcPr>
          <w:p>
            <w:pPr>
              <w:spacing w:after="0"/>
              <w:rPr>
                <w:sz w:val="16"/>
                <w:szCs w:val="16"/>
                <w:color w:val="auto"/>
              </w:rPr>
            </w:pPr>
          </w:p>
        </w:tc>
        <w:tc>
          <w:tcPr>
            <w:tcW w:w="4400" w:type="dxa"/>
            <w:vAlign w:val="bottom"/>
            <w:tcBorders>
              <w:bottom w:val="single" w:sz="8" w:color="auto"/>
              <w:right w:val="single" w:sz="8" w:color="auto"/>
            </w:tcBorders>
          </w:tcPr>
          <w:p>
            <w:pPr>
              <w:spacing w:after="0"/>
              <w:rPr>
                <w:sz w:val="16"/>
                <w:szCs w:val="16"/>
                <w:color w:val="auto"/>
              </w:rPr>
            </w:pPr>
          </w:p>
        </w:tc>
        <w:tc>
          <w:tcPr>
            <w:tcW w:w="214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to vote</w:t>
            </w:r>
          </w:p>
        </w:tc>
        <w:tc>
          <w:tcPr>
            <w:tcW w:w="12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strongly encourages you to exercise your right to vote on these matters. Your vote is important.</w:t>
      </w: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Who May Vote</w:t>
      </w:r>
    </w:p>
    <w:p>
      <w:pPr>
        <w:spacing w:after="0" w:line="254"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Holders of SPX common stock whose shares are recorded directly in their names in our stock register (“stockholders of record”) at the close of business on March 17, 2025, may vote their shares on the matters to be acted upon at the meeting. Stockholders who hold shares of our common stock in “street name,” that is, through an account with a broker, bank, trustee, or other holder of record, as of such date may direct the holder of record how to vote their shares at the meeting by following the instructions that they receive from the holder of record.</w:t>
      </w:r>
    </w:p>
    <w:p>
      <w:pPr>
        <w:spacing w:after="0" w:line="114"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 list of stockholders entitled to vote at the meeting will be available for examination at our principal executive offices located at 6325 Ardrey Kell Rd, Suite 400, Charlotte, North Carolina 28277, for a period of at least ten days prior to the Annual Meeting. The stock register will not be closed between the record date and the date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2</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20" w:right="319" w:bottom="1440" w:gutter="0" w:footer="0" w:header="0"/>
        </w:sectPr>
      </w:pPr>
    </w:p>
    <w:bookmarkStart w:id="8" w:name="page9"/>
    <w:bookmarkEnd w:id="8"/>
    <w:p>
      <w:pPr>
        <w:spacing w:after="0" w:line="1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092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092440"/>
                    </a:xfrm>
                    <a:prstGeom prst="rect">
                      <a:avLst/>
                    </a:prstGeom>
                    <a:noFill/>
                  </pic:spPr>
                </pic:pic>
              </a:graphicData>
            </a:graphic>
          </wp:anchor>
        </w:drawing>
      </w:r>
    </w:p>
    <w:p>
      <w:pPr>
        <w:spacing w:after="0"/>
        <w:rPr>
          <w:sz w:val="20"/>
          <w:szCs w:val="20"/>
          <w:color w:val="auto"/>
        </w:rPr>
      </w:pPr>
      <w:r>
        <w:rPr>
          <w:rFonts w:ascii="Arial" w:cs="Arial" w:eastAsia="Arial" w:hAnsi="Arial"/>
          <w:sz w:val="29"/>
          <w:szCs w:val="29"/>
          <w:b w:val="1"/>
          <w:bCs w:val="1"/>
          <w:color w:val="auto"/>
        </w:rPr>
        <w:t>How to Vote</w:t>
      </w:r>
    </w:p>
    <w:p>
      <w:pPr>
        <w:spacing w:after="0" w:line="27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520" w:type="dxa"/>
            <w:vAlign w:val="bottom"/>
            <w:tcBorders>
              <w:top w:val="single" w:sz="8" w:color="auto"/>
              <w:left w:val="single" w:sz="8" w:color="auto"/>
              <w:right w:val="single" w:sz="8" w:color="004C97"/>
            </w:tcBorders>
            <w:shd w:val="clear" w:color="auto" w:fill="004C97"/>
          </w:tcPr>
          <w:p>
            <w:pPr>
              <w:spacing w:after="0"/>
              <w:rPr>
                <w:sz w:val="20"/>
                <w:szCs w:val="20"/>
                <w:color w:val="auto"/>
              </w:rPr>
            </w:pPr>
          </w:p>
        </w:tc>
        <w:tc>
          <w:tcPr>
            <w:tcW w:w="4320" w:type="dxa"/>
            <w:vAlign w:val="bottom"/>
            <w:tcBorders>
              <w:top w:val="single" w:sz="8" w:color="auto"/>
              <w:right w:val="single" w:sz="8" w:color="auto"/>
            </w:tcBorders>
            <w:shd w:val="clear" w:color="auto" w:fill="004C97"/>
          </w:tcPr>
          <w:p>
            <w:pPr>
              <w:spacing w:after="0"/>
              <w:rPr>
                <w:sz w:val="20"/>
                <w:szCs w:val="20"/>
                <w:color w:val="auto"/>
              </w:rPr>
            </w:pPr>
          </w:p>
        </w:tc>
        <w:tc>
          <w:tcPr>
            <w:tcW w:w="236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8"/>
                <w:szCs w:val="18"/>
                <w:b w:val="1"/>
                <w:bCs w:val="1"/>
                <w:color w:val="FFFFFF"/>
                <w:w w:val="99"/>
              </w:rPr>
              <w:t>Stockholders of</w:t>
            </w:r>
          </w:p>
        </w:tc>
        <w:tc>
          <w:tcPr>
            <w:tcW w:w="306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8"/>
                <w:szCs w:val="18"/>
                <w:b w:val="1"/>
                <w:bCs w:val="1"/>
                <w:color w:val="FFFFFF"/>
                <w:w w:val="98"/>
              </w:rPr>
              <w:t>Street Name</w:t>
            </w:r>
          </w:p>
        </w:tc>
        <w:tc>
          <w:tcPr>
            <w:tcW w:w="0" w:type="dxa"/>
            <w:vAlign w:val="bottom"/>
          </w:tcPr>
          <w:p>
            <w:pPr>
              <w:spacing w:after="0"/>
              <w:rPr>
                <w:sz w:val="1"/>
                <w:szCs w:val="1"/>
                <w:color w:val="auto"/>
              </w:rPr>
            </w:pPr>
          </w:p>
        </w:tc>
      </w:tr>
      <w:tr>
        <w:trPr>
          <w:trHeight w:val="255"/>
        </w:trPr>
        <w:tc>
          <w:tcPr>
            <w:tcW w:w="1520" w:type="dxa"/>
            <w:vAlign w:val="bottom"/>
            <w:tcBorders>
              <w:left w:val="single" w:sz="8" w:color="auto"/>
              <w:bottom w:val="single" w:sz="8" w:color="auto"/>
              <w:right w:val="single" w:sz="8" w:color="004C97"/>
            </w:tcBorders>
            <w:shd w:val="clear" w:color="auto" w:fill="004C97"/>
          </w:tcPr>
          <w:p>
            <w:pPr>
              <w:spacing w:after="0"/>
              <w:rPr>
                <w:sz w:val="22"/>
                <w:szCs w:val="22"/>
                <w:color w:val="auto"/>
              </w:rPr>
            </w:pPr>
          </w:p>
        </w:tc>
        <w:tc>
          <w:tcPr>
            <w:tcW w:w="4320" w:type="dxa"/>
            <w:vAlign w:val="bottom"/>
            <w:tcBorders>
              <w:bottom w:val="single" w:sz="8" w:color="auto"/>
              <w:right w:val="single" w:sz="8" w:color="auto"/>
            </w:tcBorders>
            <w:shd w:val="clear" w:color="auto" w:fill="004C97"/>
          </w:tcPr>
          <w:p>
            <w:pPr>
              <w:ind w:left="880"/>
              <w:spacing w:after="0"/>
              <w:rPr>
                <w:sz w:val="20"/>
                <w:szCs w:val="20"/>
                <w:color w:val="auto"/>
              </w:rPr>
            </w:pPr>
            <w:r>
              <w:rPr>
                <w:rFonts w:ascii="Arial" w:cs="Arial" w:eastAsia="Arial" w:hAnsi="Arial"/>
                <w:sz w:val="18"/>
                <w:szCs w:val="18"/>
                <w:b w:val="1"/>
                <w:bCs w:val="1"/>
                <w:color w:val="FFFFFF"/>
              </w:rPr>
              <w:t>How to Vote</w:t>
            </w:r>
          </w:p>
        </w:tc>
        <w:tc>
          <w:tcPr>
            <w:tcW w:w="236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8"/>
                <w:szCs w:val="18"/>
                <w:b w:val="1"/>
                <w:bCs w:val="1"/>
                <w:color w:val="FFFFFF"/>
              </w:rPr>
              <w:t>Record*</w:t>
            </w:r>
          </w:p>
        </w:tc>
        <w:tc>
          <w:tcPr>
            <w:tcW w:w="306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8"/>
                <w:szCs w:val="18"/>
                <w:b w:val="1"/>
                <w:bCs w:val="1"/>
                <w:color w:val="FFFFFF"/>
                <w:w w:val="98"/>
              </w:rPr>
              <w:t>Holders†</w:t>
            </w:r>
          </w:p>
        </w:tc>
        <w:tc>
          <w:tcPr>
            <w:tcW w:w="0" w:type="dxa"/>
            <w:vAlign w:val="bottom"/>
          </w:tcPr>
          <w:p>
            <w:pPr>
              <w:spacing w:after="0"/>
              <w:rPr>
                <w:sz w:val="1"/>
                <w:szCs w:val="1"/>
                <w:color w:val="auto"/>
              </w:rPr>
            </w:pPr>
          </w:p>
        </w:tc>
      </w:tr>
      <w:tr>
        <w:trPr>
          <w:trHeight w:val="532"/>
        </w:trPr>
        <w:tc>
          <w:tcPr>
            <w:tcW w:w="1520" w:type="dxa"/>
            <w:vAlign w:val="bottom"/>
            <w:tcBorders>
              <w:left w:val="single" w:sz="8" w:color="auto"/>
              <w:right w:val="single" w:sz="8" w:color="auto"/>
            </w:tcBorders>
          </w:tcPr>
          <w:p>
            <w:pPr>
              <w:spacing w:after="0"/>
              <w:rPr>
                <w:sz w:val="24"/>
                <w:szCs w:val="24"/>
                <w:color w:val="auto"/>
              </w:rPr>
            </w:pPr>
          </w:p>
        </w:tc>
        <w:tc>
          <w:tcPr>
            <w:tcW w:w="43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Scan the QR Code to vote using your mobile device:</w:t>
            </w:r>
          </w:p>
        </w:tc>
        <w:tc>
          <w:tcPr>
            <w:tcW w:w="2360" w:type="dxa"/>
            <w:vAlign w:val="bottom"/>
            <w:tcBorders>
              <w:right w:val="single" w:sz="8" w:color="auto"/>
            </w:tcBorders>
          </w:tcPr>
          <w:p>
            <w:pPr>
              <w:spacing w:after="0"/>
              <w:rPr>
                <w:sz w:val="24"/>
                <w:szCs w:val="24"/>
                <w:color w:val="auto"/>
              </w:rPr>
            </w:pP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Refer to voting instruction form.</w:t>
            </w:r>
          </w:p>
        </w:tc>
        <w:tc>
          <w:tcPr>
            <w:tcW w:w="0" w:type="dxa"/>
            <w:vAlign w:val="bottom"/>
          </w:tcPr>
          <w:p>
            <w:pPr>
              <w:spacing w:after="0"/>
              <w:rPr>
                <w:sz w:val="1"/>
                <w:szCs w:val="1"/>
                <w:color w:val="auto"/>
              </w:rPr>
            </w:pPr>
          </w:p>
        </w:tc>
      </w:tr>
      <w:tr>
        <w:trPr>
          <w:trHeight w:val="342"/>
        </w:trPr>
        <w:tc>
          <w:tcPr>
            <w:tcW w:w="1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004C97"/>
                <w:w w:val="97"/>
              </w:rPr>
              <w:t>MOBILE DEVICE</w:t>
            </w:r>
          </w:p>
        </w:tc>
        <w:tc>
          <w:tcPr>
            <w:tcW w:w="432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1520" w:type="dxa"/>
            <w:vAlign w:val="bottom"/>
            <w:tcBorders>
              <w:left w:val="single" w:sz="8" w:color="auto"/>
              <w:right w:val="single" w:sz="8" w:color="auto"/>
            </w:tcBorders>
          </w:tcPr>
          <w:p>
            <w:pPr>
              <w:spacing w:after="0"/>
              <w:rPr>
                <w:sz w:val="24"/>
                <w:szCs w:val="24"/>
                <w:color w:val="auto"/>
              </w:rPr>
            </w:pPr>
          </w:p>
        </w:tc>
        <w:tc>
          <w:tcPr>
            <w:tcW w:w="43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Visit the applicable voting website:</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www.envisionreports.com/ SPXC</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www.proxyvote.com</w:t>
            </w:r>
          </w:p>
        </w:tc>
        <w:tc>
          <w:tcPr>
            <w:tcW w:w="0" w:type="dxa"/>
            <w:vAlign w:val="bottom"/>
          </w:tcPr>
          <w:p>
            <w:pPr>
              <w:spacing w:after="0"/>
              <w:rPr>
                <w:sz w:val="1"/>
                <w:szCs w:val="1"/>
                <w:color w:val="auto"/>
              </w:rPr>
            </w:pPr>
          </w:p>
        </w:tc>
      </w:tr>
      <w:tr>
        <w:trPr>
          <w:trHeight w:val="274"/>
        </w:trPr>
        <w:tc>
          <w:tcPr>
            <w:tcW w:w="1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004C97"/>
                <w:w w:val="98"/>
              </w:rPr>
              <w:t>INTERNET</w:t>
            </w:r>
          </w:p>
        </w:tc>
        <w:tc>
          <w:tcPr>
            <w:tcW w:w="4320" w:type="dxa"/>
            <w:vAlign w:val="bottom"/>
            <w:tcBorders>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spacing w:after="0"/>
              <w:rPr>
                <w:sz w:val="23"/>
                <w:szCs w:val="23"/>
                <w:color w:val="auto"/>
              </w:rPr>
            </w:pPr>
          </w:p>
        </w:tc>
        <w:tc>
          <w:tcPr>
            <w:tcW w:w="30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53"/>
        </w:trPr>
        <w:tc>
          <w:tcPr>
            <w:tcW w:w="1520" w:type="dxa"/>
            <w:vAlign w:val="bottom"/>
            <w:tcBorders>
              <w:left w:val="single" w:sz="8" w:color="auto"/>
              <w:right w:val="single" w:sz="8" w:color="auto"/>
            </w:tcBorders>
          </w:tcPr>
          <w:p>
            <w:pPr>
              <w:spacing w:after="0"/>
              <w:rPr>
                <w:sz w:val="24"/>
                <w:szCs w:val="24"/>
                <w:color w:val="auto"/>
              </w:rPr>
            </w:pPr>
          </w:p>
        </w:tc>
        <w:tc>
          <w:tcPr>
            <w:tcW w:w="43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Within the United States, U.S. Territories, and</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1-800-652-VOTE (8683)</w:t>
            </w:r>
          </w:p>
        </w:tc>
        <w:tc>
          <w:tcPr>
            <w:tcW w:w="3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Refer to voting instruction form.</w:t>
            </w:r>
          </w:p>
        </w:tc>
        <w:tc>
          <w:tcPr>
            <w:tcW w:w="0" w:type="dxa"/>
            <w:vAlign w:val="bottom"/>
          </w:tcPr>
          <w:p>
            <w:pPr>
              <w:spacing w:after="0"/>
              <w:rPr>
                <w:sz w:val="1"/>
                <w:szCs w:val="1"/>
                <w:color w:val="auto"/>
              </w:rPr>
            </w:pPr>
          </w:p>
        </w:tc>
      </w:tr>
      <w:tr>
        <w:trPr>
          <w:trHeight w:val="96"/>
        </w:trPr>
        <w:tc>
          <w:tcPr>
            <w:tcW w:w="1520" w:type="dxa"/>
            <w:vAlign w:val="bottom"/>
            <w:tcBorders>
              <w:left w:val="single" w:sz="8" w:color="auto"/>
              <w:right w:val="single" w:sz="8" w:color="auto"/>
            </w:tcBorders>
          </w:tcPr>
          <w:p>
            <w:pPr>
              <w:spacing w:after="0"/>
              <w:rPr>
                <w:sz w:val="8"/>
                <w:szCs w:val="8"/>
                <w:color w:val="auto"/>
              </w:rPr>
            </w:pPr>
          </w:p>
        </w:tc>
        <w:tc>
          <w:tcPr>
            <w:tcW w:w="4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Canada, on touch-tone telephone, call toll free:</w:t>
            </w:r>
          </w:p>
        </w:tc>
        <w:tc>
          <w:tcPr>
            <w:tcW w:w="2360" w:type="dxa"/>
            <w:vAlign w:val="bottom"/>
            <w:tcBorders>
              <w:right w:val="single" w:sz="8" w:color="auto"/>
            </w:tcBorders>
            <w:vMerge w:val="continue"/>
          </w:tcPr>
          <w:p>
            <w:pPr>
              <w:spacing w:after="0"/>
              <w:rPr>
                <w:sz w:val="8"/>
                <w:szCs w:val="8"/>
                <w:color w:val="auto"/>
              </w:rPr>
            </w:pPr>
          </w:p>
        </w:tc>
        <w:tc>
          <w:tcPr>
            <w:tcW w:w="30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20" w:type="dxa"/>
            <w:vAlign w:val="bottom"/>
            <w:tcBorders>
              <w:left w:val="single" w:sz="8" w:color="auto"/>
              <w:right w:val="single" w:sz="8" w:color="auto"/>
            </w:tcBorders>
          </w:tcPr>
          <w:p>
            <w:pPr>
              <w:spacing w:after="0"/>
              <w:rPr>
                <w:sz w:val="8"/>
                <w:szCs w:val="8"/>
                <w:color w:val="auto"/>
              </w:rPr>
            </w:pPr>
          </w:p>
        </w:tc>
        <w:tc>
          <w:tcPr>
            <w:tcW w:w="432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tcPr>
          <w:p>
            <w:pPr>
              <w:spacing w:after="0"/>
              <w:rPr>
                <w:sz w:val="8"/>
                <w:szCs w:val="8"/>
                <w:color w:val="auto"/>
              </w:rPr>
            </w:pPr>
          </w:p>
        </w:tc>
        <w:tc>
          <w:tcPr>
            <w:tcW w:w="3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004C97"/>
                <w:w w:val="95"/>
              </w:rPr>
              <w:t>TELEPHONE</w:t>
            </w:r>
          </w:p>
        </w:tc>
        <w:tc>
          <w:tcPr>
            <w:tcW w:w="432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right w:val="single" w:sz="8" w:color="auto"/>
            </w:tcBorders>
          </w:tcPr>
          <w:p>
            <w:pPr>
              <w:spacing w:after="0"/>
              <w:rPr>
                <w:sz w:val="15"/>
                <w:szCs w:val="15"/>
                <w:color w:val="auto"/>
              </w:rPr>
            </w:pPr>
          </w:p>
        </w:tc>
        <w:tc>
          <w:tcPr>
            <w:tcW w:w="3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1520" w:type="dxa"/>
            <w:vAlign w:val="bottom"/>
            <w:tcBorders>
              <w:left w:val="single" w:sz="8" w:color="auto"/>
              <w:right w:val="single" w:sz="8" w:color="auto"/>
            </w:tcBorders>
          </w:tcPr>
          <w:p>
            <w:pPr>
              <w:spacing w:after="0"/>
              <w:rPr>
                <w:sz w:val="24"/>
                <w:szCs w:val="24"/>
                <w:color w:val="auto"/>
              </w:rPr>
            </w:pPr>
          </w:p>
        </w:tc>
        <w:tc>
          <w:tcPr>
            <w:tcW w:w="9740" w:type="dxa"/>
            <w:vAlign w:val="bottom"/>
            <w:tcBorders>
              <w:right w:val="single" w:sz="8" w:color="auto"/>
            </w:tcBorders>
            <w:gridSpan w:val="3"/>
          </w:tcPr>
          <w:p>
            <w:pPr>
              <w:ind w:left="100"/>
              <w:spacing w:after="0"/>
              <w:rPr>
                <w:sz w:val="20"/>
                <w:szCs w:val="20"/>
                <w:color w:val="auto"/>
              </w:rPr>
            </w:pPr>
            <w:r>
              <w:rPr>
                <w:rFonts w:ascii="Arial" w:cs="Arial" w:eastAsia="Arial" w:hAnsi="Arial"/>
                <w:sz w:val="14"/>
                <w:szCs w:val="14"/>
                <w:color w:val="auto"/>
              </w:rPr>
              <w:t>Complete, sign, and mail your proxy card or voting instruction form in the self-addressed envelope provided for receipt no later than May 12, 2025.</w:t>
            </w:r>
          </w:p>
        </w:tc>
        <w:tc>
          <w:tcPr>
            <w:tcW w:w="0" w:type="dxa"/>
            <w:vAlign w:val="bottom"/>
          </w:tcPr>
          <w:p>
            <w:pPr>
              <w:spacing w:after="0"/>
              <w:rPr>
                <w:sz w:val="1"/>
                <w:szCs w:val="1"/>
                <w:color w:val="auto"/>
              </w:rPr>
            </w:pPr>
          </w:p>
        </w:tc>
      </w:tr>
      <w:tr>
        <w:trPr>
          <w:trHeight w:val="234"/>
        </w:trPr>
        <w:tc>
          <w:tcPr>
            <w:tcW w:w="1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004C97"/>
                <w:w w:val="94"/>
              </w:rPr>
              <w:t>MAIL</w:t>
            </w:r>
          </w:p>
        </w:tc>
        <w:tc>
          <w:tcPr>
            <w:tcW w:w="43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3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5"/>
        </w:trPr>
        <w:tc>
          <w:tcPr>
            <w:tcW w:w="1520" w:type="dxa"/>
            <w:vAlign w:val="bottom"/>
            <w:tcBorders>
              <w:left w:val="single" w:sz="8" w:color="auto"/>
              <w:right w:val="single" w:sz="8" w:color="auto"/>
            </w:tcBorders>
          </w:tcPr>
          <w:p>
            <w:pPr>
              <w:spacing w:after="0"/>
              <w:rPr>
                <w:sz w:val="24"/>
                <w:szCs w:val="24"/>
                <w:color w:val="auto"/>
              </w:rPr>
            </w:pPr>
          </w:p>
        </w:tc>
        <w:tc>
          <w:tcPr>
            <w:tcW w:w="9740" w:type="dxa"/>
            <w:vAlign w:val="bottom"/>
            <w:tcBorders>
              <w:right w:val="single" w:sz="8" w:color="auto"/>
            </w:tcBorders>
            <w:gridSpan w:val="3"/>
          </w:tcPr>
          <w:p>
            <w:pPr>
              <w:ind w:left="100"/>
              <w:spacing w:after="0"/>
              <w:rPr>
                <w:sz w:val="20"/>
                <w:szCs w:val="20"/>
                <w:color w:val="auto"/>
              </w:rPr>
            </w:pPr>
            <w:r>
              <w:rPr>
                <w:rFonts w:ascii="Arial" w:cs="Arial" w:eastAsia="Arial" w:hAnsi="Arial"/>
                <w:sz w:val="14"/>
                <w:szCs w:val="14"/>
                <w:color w:val="auto"/>
              </w:rPr>
              <w:t>For instructions on attending and voting during the Annual Meeting, conducted via a live webcast, please see below and page 55.</w:t>
            </w:r>
          </w:p>
        </w:tc>
        <w:tc>
          <w:tcPr>
            <w:tcW w:w="0" w:type="dxa"/>
            <w:vAlign w:val="bottom"/>
          </w:tcPr>
          <w:p>
            <w:pPr>
              <w:spacing w:after="0"/>
              <w:rPr>
                <w:sz w:val="1"/>
                <w:szCs w:val="1"/>
                <w:color w:val="auto"/>
              </w:rPr>
            </w:pPr>
          </w:p>
        </w:tc>
      </w:tr>
      <w:tr>
        <w:trPr>
          <w:trHeight w:val="288"/>
        </w:trPr>
        <w:tc>
          <w:tcPr>
            <w:tcW w:w="1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004C97"/>
                <w:w w:val="97"/>
              </w:rPr>
              <w:t>MEETING</w:t>
            </w:r>
          </w:p>
        </w:tc>
        <w:tc>
          <w:tcPr>
            <w:tcW w:w="43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00" w:hanging="92"/>
        <w:spacing w:after="0"/>
        <w:tabs>
          <w:tab w:leader="none" w:pos="100" w:val="left"/>
        </w:tabs>
        <w:numPr>
          <w:ilvl w:val="0"/>
          <w:numId w:val="5"/>
        </w:numPr>
        <w:rPr>
          <w:rFonts w:ascii="Arial" w:cs="Arial" w:eastAsia="Arial" w:hAnsi="Arial"/>
          <w:sz w:val="13"/>
          <w:szCs w:val="13"/>
          <w:color w:val="auto"/>
        </w:rPr>
      </w:pPr>
      <w:r>
        <w:rPr>
          <w:rFonts w:ascii="Arial" w:cs="Arial" w:eastAsia="Arial" w:hAnsi="Arial"/>
          <w:sz w:val="13"/>
          <w:szCs w:val="13"/>
          <w:color w:val="auto"/>
        </w:rPr>
        <w:t>You hold shares registered in your name with SPX’s transfer agent, Computershare, or you are an Employee Benefit Plan Participant.</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 You hold shares held through a broker, bank, trustee, or other holder of record.</w:t>
      </w:r>
    </w:p>
    <w:p>
      <w:pPr>
        <w:spacing w:after="0" w:line="153"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b w:val="1"/>
          <w:bCs w:val="1"/>
          <w:color w:val="auto"/>
        </w:rPr>
        <w:t>Your voting instructions must be received prior to the start of the meeting at 8:00 a.m. (Eastern Time), on May 13, 2025, if you are not voting at the meeting. Voting instructions submitted by participants in the KSOP Trust must be received by 9:00 a.m. (Eastern Time) on May 9, 2025.</w:t>
      </w:r>
    </w:p>
    <w:p>
      <w:pPr>
        <w:spacing w:after="0" w:line="10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Admission to Meeting</w:t>
      </w:r>
    </w:p>
    <w:p>
      <w:pPr>
        <w:spacing w:after="0" w:line="254"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Annual Meeting will be held solely in a virtual format, conducted via a live webcast. You will be able to attend the Annual Meeting by visiting the Company’s virtual meeting website (meetnow.global/MR5TU2F) at the meeting time. Upon visiting the meeting website, you will be prompted to enter your 15-digit control number provided on your Notice of Internet Availability of Proxy Materials or proxy card you received with your proxy materials.</w:t>
      </w:r>
    </w:p>
    <w:p>
      <w:pPr>
        <w:spacing w:after="0" w:line="110"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If you hold your shares in street name, in order to join the virtual meeting as a stockholder and be able to vote and submit questions during the Annual Meeting, you will need to contact your broker, bank or other holder to receive proof of your beneficial ownership and submit such proof, along with your name and email information, to Computershare in advance of the Annual Meeting no later than 5:00 p.m. (Eastern Time) on May 8, 2025, which may be submitted via email to legalproxy@computershare.com, or via mail to Computershare, SPX Technologies, Inc. Legal Proxy, P.O. Box 43001, Providence, Rhode Island 02940-3001. Upon receipt of such beneficial ownership proof, Computershare will then register you for attendance at the virtual meeting and provide you with registration information needed to join the meeting as a stockholder.</w:t>
      </w:r>
    </w:p>
    <w:p>
      <w:pPr>
        <w:spacing w:after="0" w:line="26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Additional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More detailed information about the Annual Meeting and voting can be found in “Questions and Answers” beginning on page 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6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265"/>
        </w:trPr>
        <w:tc>
          <w:tcPr>
            <w:tcW w:w="10360" w:type="dxa"/>
            <w:vAlign w:val="bottom"/>
            <w:tcBorders>
              <w:bottom w:val="single" w:sz="8" w:color="9A9A9A"/>
            </w:tcBorders>
          </w:tcPr>
          <w:p>
            <w:pPr>
              <w:spacing w:after="0"/>
              <w:rPr>
                <w:sz w:val="23"/>
                <w:szCs w:val="23"/>
                <w:color w:val="auto"/>
              </w:rPr>
            </w:pPr>
          </w:p>
        </w:tc>
        <w:tc>
          <w:tcPr>
            <w:tcW w:w="8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9" w:name="page10"/>
    <w:bookmarkEnd w:id="9"/>
    <w:p>
      <w:pPr>
        <w:spacing w:after="0"/>
        <w:rPr>
          <w:sz w:val="20"/>
          <w:szCs w:val="20"/>
          <w:color w:val="auto"/>
        </w:rPr>
      </w:pPr>
      <w:r>
        <w:rPr>
          <w:rFonts w:ascii="Arial" w:cs="Arial" w:eastAsia="Arial" w:hAnsi="Arial"/>
          <w:sz w:val="38"/>
          <w:szCs w:val="38"/>
          <w:b w:val="1"/>
          <w:bCs w:val="1"/>
          <w:color w:val="004C97"/>
        </w:rPr>
        <w:t>CORPORATE GOVERNANCE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ETHICS AND BUSINESS CONDUCT</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adopted a Code of Ethics and Business Conduct that applies to all our directors, officers, and employees, including our chief executive officer and senior financial and accounting officers. Our Code of Ethics and Business Conduct requires each director, officer, and employee to avoid conflicts of interest; comply with all laws and other legal requirements, conduct business in an honest and ethical manner, and otherwise act with integrity and in the best interest of our Company and our stockholders. In addition, our Code of Ethics and Business Conduct acknowledges special ethical obligations for financial reporting.</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maintain a current copy of our Code of Ethics and Business Conduct, and we will promptly post any amendments to or waivers of our Code of Ethics and Business Conduct regarding our principal executive officer, principal financial officer, principal accounting officer or controller, or persons performing similar functions, on our website (www.spx.com) under the heading “Investor Relations—Corporate Governance—Commitment to Ethics and Compliance.”</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 GUIDELINES</w:t>
      </w:r>
    </w:p>
    <w:p>
      <w:pPr>
        <w:spacing w:after="0" w:line="6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part of its ongoing commitment to good corporate governance, the Board has codified its corporate governance practices into a set of Corporate Governance Guidelines. These guidelines are reviewed annually by the Governance &amp; Sustainability Committee and approved by the full Board to maintain the most up-to-date governance practices. These guidelines assist the Board in the exercise of its responsibilities and may be amended by the Board from time to time. Our Corporate Governance Guidelines are available on our website (www.spx.com) under the heading “Investor Relations—Corporate Governance.”</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STRUCTURE OF THE BOARD OF DIRECTORS</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Board of Directors is currently classified into three separate classes. At our 2024 annual meeting of stockholders, the Company’s stockholders approved an amendment to the Company’s Certificate of Incorporation providing for the elimination of the classified board structure over a three-year period (the “Declassification Amendment”). As a result of the approval of the Declassification Amendment, our classified board structure is being phased out, and the annual election of the entire Board of Directors is being phased in over a three-year period concluding at the 2027 annual meeting of stockholders.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INDEPENDENCE</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Corporate Governance Guidelines require that a substantial majority of the Board meet the independence requirements of the listing standards of the New York Stock Exchange (“NYSE”). At least annually, our Board reviews whether each of our directors is independent. The Board has adopted Independence Standards to help guide it in this process. Our Independence Standards are available on our website (www.spx.com) under the heading “Investor Relations—Corporate Governance.” Based on its most recent annual review, the Board has concluded that Patrick J. O’Leary, Ricky D. Puckett, David A. Roberts, Meenal A. Sethna, Ruth G. Shaw, Robert B. Toth, Tana L. Utley, and Angel Shelton Willis, are independent, as defined in our Independence Standards and the listing standards of the NYSE. The Board has concluded that Eugene J. Lowe, SPX’s President and Chief Executive Officer (“CEO”), is not independent as defined in our Independence Standards and the listing standards of the NYSE.</w:t>
      </w:r>
    </w:p>
    <w:p>
      <w:pPr>
        <w:spacing w:after="0" w:line="13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non-employee members of the Board meet regularly in executive session without management. In addition, the non-employee members of the Board meet in executive session on a regular basis with the CEO and such other management as the Board deems appropriate.</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SUSTAINABILITY MATTERS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addition to our Corporate Governance Guidelines, we have implemented programs to incorporate sustainability practices both in the products we make and how we make them. The Governance &amp; Sustainability Committee of the Board oversees the governance of SPX’s sustainability program. At the direction of the Board, the Company has formed a Sustainability Steering Committee, a management committee that provides periodic reports to the Governance &amp; Sustainability Committee on the Company’s sustainability initiatives and efforts. In September 2024, SPX published its Seventh Annual Sustainability Report reflecting significant progress across several measures and initiatives, including reaching our 2030 Greenhouse Gas emissions intensity target ahead of plan, improvements in safety metrics, enhanced governance processes, and the introduction of multiple climate-conscious solutions for our customers. A copy of this Sustainability Report can be found on our website (www.spx.com), under the heading “Investor Relations—Sustainability.”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652145</wp:posOffset>
            </wp:positionV>
            <wp:extent cx="40259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259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4</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0" w:name="page11"/>
    <w:bookmarkEnd w:id="10"/>
    <w:p>
      <w:pPr>
        <w:ind w:left="9260"/>
        <w:spacing w:after="0"/>
        <w:rPr>
          <w:sz w:val="20"/>
          <w:szCs w:val="20"/>
          <w:color w:val="auto"/>
        </w:rPr>
      </w:pPr>
      <w:r>
        <w:rPr>
          <w:rFonts w:ascii="Arial" w:cs="Arial" w:eastAsia="Arial" w:hAnsi="Arial"/>
          <w:sz w:val="14"/>
          <w:szCs w:val="14"/>
          <w:color w:val="004C9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OVERSIGHT</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Board exercises overall risk governance at SPX, with committees taking the lead in discrete areas of risk oversight. For example, the Audit Committee is primarily responsible for risk oversight relating to financial statements and cybersecurity; the Compensation Committee is primarily responsible for risk oversight relating to executive compensation; and the Governance &amp; Sustainability Committee is primarily responsible for risk oversight relating to corporate governance, including with respect to sustainability matters. Committees report to the Board on risk management matters on a regular basis.</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Management presents to the Audit Committee its view of the principal risks facing SPX in a dedicated “enterprise risk management” presentation at least once a year. Matters such as risk tolerance and management of risk are also discussed at this meeting. Further, management periodically reviews with the Audit Committee our major risk exposures, identified through the enterprise risk management process, as well as the steps management has taken to monitor and control such exposures.</w:t>
      </w:r>
    </w:p>
    <w:p>
      <w:pPr>
        <w:spacing w:after="0" w:line="13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conduct an annual in-depth review of the risks associated with our incentive-based compensation arrangements and practices, and management presents to the Compensation Committee its view on such risks. In 2024, we again determined that the risks associated with these arrangements are appropriate. See “Risk Analysis,” on page 36, for further discussion.</w:t>
      </w:r>
    </w:p>
    <w:p>
      <w:pPr>
        <w:spacing w:after="0" w:line="11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the Board explicitly addresses risk in a wide range of discussions, including those relating to segment or business unit activities, specific corporate functions (such as treasury, tax, capital allocation, legal, etc.), cybersecurity, ongoing litigation, and consideration of extraordinary transactions. In particular, the Audit Committee reviews cybersecurity risk mitigation each quarter and conducts an annual in-depth review of our material cybersecurity risks and our defensive posture with management and SPX’s Chief Information Officer and Chief Information Security Officer. In addition to the Board’s active role in these discussions, the Board has full access to management, as well as the ability to engage advisors, in order to assist in its risk oversight role.</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CHARITABLE CONTRIBUTIONS</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It is the policy of the Board that no officer or director shall solicit contributions for charities from other officers or directors or directly from SPX if the director or officer soliciting the contributions personally controls the charity. In addition, no officer or director shall solicit contributions from other officers or directors for charities controlled by SPX.</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From time to time, SPX may make contributions to charitable organizations for which a member of our Board or one of our executive officers serves as a director or officer. In the past three fiscal years, however, the amount of any of these contributions in any single fiscal year has not exceeded the greater of $1 million or 2% of the charitable organization’s consolidated gross revenues.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STRATEGIC PLANNING</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Board meets regularly to discuss the strategic direction and the issues and opportunities facing our Company. Our Board has been instrumental in determining our next steps as we focus on growth with an emphasis on strengthening our current complement of businesses while living up to our values and our commitment to sustainability principles.</w:t>
      </w:r>
    </w:p>
    <w:p>
      <w:pPr>
        <w:spacing w:after="0" w:line="124" w:lineRule="exact"/>
        <w:rPr>
          <w:sz w:val="20"/>
          <w:szCs w:val="20"/>
          <w:color w:val="auto"/>
        </w:rPr>
      </w:pPr>
    </w:p>
    <w:p>
      <w:pPr>
        <w:ind w:left="200" w:hanging="192"/>
        <w:spacing w:after="0" w:line="286" w:lineRule="auto"/>
        <w:tabs>
          <w:tab w:leader="none" w:pos="197"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Constant Focus on Strategy: </w:t>
      </w:r>
      <w:r>
        <w:rPr>
          <w:rFonts w:ascii="Arial" w:cs="Arial" w:eastAsia="Arial" w:hAnsi="Arial"/>
          <w:sz w:val="16"/>
          <w:szCs w:val="16"/>
          <w:color w:val="auto"/>
        </w:rPr>
        <w:t>Throughout the year, our Board provides guidance to management on strategy and helps to refine business plans to</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 the strategy.</w:t>
      </w:r>
    </w:p>
    <w:p>
      <w:pPr>
        <w:spacing w:after="0" w:line="101" w:lineRule="exact"/>
        <w:rPr>
          <w:rFonts w:ascii="Arial" w:cs="Arial" w:eastAsia="Arial" w:hAnsi="Arial"/>
          <w:sz w:val="16"/>
          <w:szCs w:val="16"/>
          <w:color w:val="auto"/>
        </w:rPr>
      </w:pPr>
    </w:p>
    <w:p>
      <w:pPr>
        <w:jc w:val="both"/>
        <w:ind w:left="200" w:hanging="192"/>
        <w:spacing w:after="0" w:line="275" w:lineRule="auto"/>
        <w:tabs>
          <w:tab w:leader="none" w:pos="197"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Detailed Annual Review of Strategy: </w:t>
      </w:r>
      <w:r>
        <w:rPr>
          <w:rFonts w:ascii="Arial" w:cs="Arial" w:eastAsia="Arial" w:hAnsi="Arial"/>
          <w:sz w:val="16"/>
          <w:szCs w:val="16"/>
          <w:color w:val="auto"/>
        </w:rPr>
        <w:t>Each year, typically during the third quarter, the Board holds an extensive meeting with senior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dedicated to discussing and reviewing our long-term business plans and overall corporate strategy. As part of this meeting, our CEO leads a discussion of potential growth opportunities, key risks to the plans and strategy, and risk mitigation plans and activities.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Furthermore, in setting our business strategy, the Board plays a critical role in determining the types and appropriate levels of risk undertaken by the Company.</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COMMUNICATIONS WITH DIRECTORS</w:t>
      </w:r>
    </w:p>
    <w:p>
      <w:pPr>
        <w:spacing w:after="0" w:line="77"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Interested parties may communicate with any of our non-employee directors by writing to the director in care of our Corporate Secretary at our address shown on the Notice of Annual Meeting of Stockholders accompanying this Proxy Statement. In accordance with the policy adopted by our non-employee directors, our Corporate Secretary will promptly relay to the addressee all communications that she determines require prompt attention by a non-employee director and will regularly provide the non-employee directors with a summary of all substantive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650240</wp:posOffset>
            </wp:positionV>
            <wp:extent cx="40322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322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6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265"/>
        </w:trPr>
        <w:tc>
          <w:tcPr>
            <w:tcW w:w="10360" w:type="dxa"/>
            <w:vAlign w:val="bottom"/>
            <w:tcBorders>
              <w:bottom w:val="single" w:sz="8" w:color="9A9A9A"/>
            </w:tcBorders>
          </w:tcPr>
          <w:p>
            <w:pPr>
              <w:spacing w:after="0"/>
              <w:rPr>
                <w:sz w:val="23"/>
                <w:szCs w:val="23"/>
                <w:color w:val="auto"/>
              </w:rPr>
            </w:pPr>
          </w:p>
        </w:tc>
        <w:tc>
          <w:tcPr>
            <w:tcW w:w="8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14"/>
          <w:szCs w:val="14"/>
          <w:color w:val="004C9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NOMINEES AND QUALIFICATIONS</w:t>
      </w:r>
    </w:p>
    <w:p>
      <w:pPr>
        <w:spacing w:after="0" w:line="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Governance &amp; Sustainability Committee is responsible for proposing director nominees and will consider director nominee recommendations offered by stockholders in accordance with our By-laws. The Governance &amp; Sustainability Committee selects individuals as director nominees based on the following:</w:t>
      </w:r>
    </w:p>
    <w:p>
      <w:pPr>
        <w:spacing w:after="0" w:line="102"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6"/>
          <w:szCs w:val="16"/>
          <w:color w:val="auto"/>
        </w:rPr>
      </w:pPr>
      <w:r>
        <w:rPr>
          <w:rFonts w:ascii="Arial" w:cs="Arial" w:eastAsia="Arial" w:hAnsi="Arial"/>
          <w:sz w:val="16"/>
          <w:szCs w:val="16"/>
          <w:color w:val="auto"/>
        </w:rPr>
        <w:t>Business and professional accomplishments;</w:t>
      </w:r>
    </w:p>
    <w:p>
      <w:pPr>
        <w:spacing w:after="0" w:line="72" w:lineRule="exact"/>
        <w:rPr>
          <w:rFonts w:ascii="Arial" w:cs="Arial" w:eastAsia="Arial" w:hAnsi="Arial"/>
          <w:sz w:val="16"/>
          <w:szCs w:val="16"/>
          <w:color w:val="auto"/>
        </w:rPr>
      </w:pPr>
    </w:p>
    <w:p>
      <w:pPr>
        <w:ind w:left="200" w:hanging="192"/>
        <w:spacing w:after="0"/>
        <w:tabs>
          <w:tab w:leader="none" w:pos="2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Integrity;</w:t>
      </w:r>
    </w:p>
    <w:p>
      <w:pPr>
        <w:spacing w:after="0" w:line="59" w:lineRule="exact"/>
        <w:rPr>
          <w:rFonts w:ascii="Arial" w:cs="Arial" w:eastAsia="Arial" w:hAnsi="Arial"/>
          <w:sz w:val="16"/>
          <w:szCs w:val="16"/>
          <w:color w:val="auto"/>
        </w:rPr>
      </w:pPr>
    </w:p>
    <w:p>
      <w:pPr>
        <w:ind w:left="200" w:hanging="192"/>
        <w:spacing w:after="0"/>
        <w:tabs>
          <w:tab w:leader="none" w:pos="20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Demonstrated ability to make independent analytical inquiries;</w:t>
      </w:r>
    </w:p>
    <w:p>
      <w:pPr>
        <w:spacing w:after="0" w:line="72" w:lineRule="exact"/>
        <w:rPr>
          <w:rFonts w:ascii="Arial" w:cs="Arial" w:eastAsia="Arial" w:hAnsi="Arial"/>
          <w:sz w:val="16"/>
          <w:szCs w:val="16"/>
          <w:color w:val="auto"/>
        </w:rPr>
      </w:pPr>
    </w:p>
    <w:p>
      <w:pPr>
        <w:ind w:left="200" w:hanging="192"/>
        <w:spacing w:after="0"/>
        <w:tabs>
          <w:tab w:leader="none" w:pos="2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Ability to understand our businesses;</w:t>
      </w:r>
    </w:p>
    <w:p>
      <w:pPr>
        <w:spacing w:after="0" w:line="59" w:lineRule="exact"/>
        <w:rPr>
          <w:rFonts w:ascii="Arial" w:cs="Arial" w:eastAsia="Arial" w:hAnsi="Arial"/>
          <w:sz w:val="16"/>
          <w:szCs w:val="16"/>
          <w:color w:val="auto"/>
        </w:rPr>
      </w:pPr>
    </w:p>
    <w:p>
      <w:pPr>
        <w:ind w:left="200" w:hanging="192"/>
        <w:spacing w:after="0"/>
        <w:tabs>
          <w:tab w:leader="none" w:pos="2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Absence of conflicts of interest;</w:t>
      </w:r>
    </w:p>
    <w:p>
      <w:pPr>
        <w:spacing w:after="0" w:line="59" w:lineRule="exact"/>
        <w:rPr>
          <w:rFonts w:ascii="Arial" w:cs="Arial" w:eastAsia="Arial" w:hAnsi="Arial"/>
          <w:sz w:val="16"/>
          <w:szCs w:val="16"/>
          <w:color w:val="auto"/>
        </w:rPr>
      </w:pPr>
    </w:p>
    <w:p>
      <w:pPr>
        <w:ind w:left="200" w:hanging="192"/>
        <w:spacing w:after="0"/>
        <w:tabs>
          <w:tab w:leader="none" w:pos="2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Willingness to devote the necessary time to Board duties; and</w:t>
      </w:r>
    </w:p>
    <w:p>
      <w:pPr>
        <w:spacing w:after="0" w:line="72" w:lineRule="exact"/>
        <w:rPr>
          <w:rFonts w:ascii="Arial" w:cs="Arial" w:eastAsia="Arial" w:hAnsi="Arial"/>
          <w:sz w:val="16"/>
          <w:szCs w:val="16"/>
          <w:color w:val="auto"/>
        </w:rPr>
      </w:pPr>
    </w:p>
    <w:p>
      <w:pPr>
        <w:ind w:left="200" w:hanging="192"/>
        <w:spacing w:after="0" w:line="286" w:lineRule="auto"/>
        <w:tabs>
          <w:tab w:leader="none" w:pos="197" w:val="left"/>
        </w:tabs>
        <w:numPr>
          <w:ilvl w:val="0"/>
          <w:numId w:val="7"/>
        </w:numPr>
        <w:rPr>
          <w:rFonts w:ascii="Arial" w:cs="Arial" w:eastAsia="Arial" w:hAnsi="Arial"/>
          <w:sz w:val="16"/>
          <w:szCs w:val="16"/>
          <w:color w:val="auto"/>
        </w:rPr>
      </w:pPr>
      <w:r>
        <w:rPr>
          <w:rFonts w:ascii="Arial" w:cs="Arial" w:eastAsia="Arial" w:hAnsi="Arial"/>
          <w:sz w:val="16"/>
          <w:szCs w:val="16"/>
          <w:color w:val="auto"/>
        </w:rPr>
        <w:t>Alignment of skills with those identified by the Board as desirable for the advancement of the Company; for more details on such identified areas, see our skills matrix under “Director and Nominee Skills and Experience” on page 20.</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Board and the Governance &amp; Sustainability Committee require each director to have a proven record of success and leadership. In order to maintain appropriate flexibility to adjust to evolving needs, neither the Board nor the Governance &amp; Sustainability Committee has set minimum requirements with respect to age, education, or years of business experience or has designated specific expertise required for directors. Rather, the Governance &amp; Sustainability Committee seeks to structure the Board so that it consists of a diverse group of individuals, each with a unique combination of skills, experience, and background. The Governance &amp; Sustainability Committee has no set diversity policy or targets, but places what it believes to be appropriate emphasis on certain skills, experience, and background that it determines adds, or would add, value to our Board. Knowledge of our industries and strategic perspective, as well as financial expertise, operational experience, and expertise with strategy development (including mergers and acquisitions), are examples of attributes that our Board and the Governance &amp; Sustainability Committee consider important. The Governance &amp; Sustainability Committee also considers effective interaction among Board members and between the Board and management to be crucial factors in considering individuals for nomination.</w:t>
      </w:r>
    </w:p>
    <w:p>
      <w:pPr>
        <w:spacing w:after="0" w:line="31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Governance &amp; Sustainability Committee regularly reviews the participation of individual directors to assure that each director is devoting adequate time and attention to Company matters. In addition, our Corporate Governance Guidelines provide that:</w:t>
      </w:r>
    </w:p>
    <w:p>
      <w:pPr>
        <w:spacing w:after="0" w:line="87" w:lineRule="exact"/>
        <w:rPr>
          <w:sz w:val="20"/>
          <w:szCs w:val="20"/>
          <w:color w:val="auto"/>
        </w:rPr>
      </w:pPr>
    </w:p>
    <w:p>
      <w:pPr>
        <w:jc w:val="both"/>
        <w:ind w:left="200" w:hanging="192"/>
        <w:spacing w:after="0" w:line="275" w:lineRule="auto"/>
        <w:tabs>
          <w:tab w:leader="none" w:pos="197" w:val="left"/>
        </w:tabs>
        <w:numPr>
          <w:ilvl w:val="0"/>
          <w:numId w:val="8"/>
        </w:numPr>
        <w:rPr>
          <w:rFonts w:ascii="Arial" w:cs="Arial" w:eastAsia="Arial" w:hAnsi="Arial"/>
          <w:sz w:val="16"/>
          <w:szCs w:val="16"/>
          <w:color w:val="auto"/>
        </w:rPr>
      </w:pPr>
      <w:r>
        <w:rPr>
          <w:rFonts w:ascii="Arial" w:cs="Arial" w:eastAsia="Arial" w:hAnsi="Arial"/>
          <w:sz w:val="16"/>
          <w:szCs w:val="16"/>
          <w:color w:val="auto"/>
        </w:rPr>
        <w:t>Non-management directors should not serve on more than four public company boards, including the Company’s Board, and are required to notify the Governance &amp; Sustainability Committee prior to accepting an invitation to serve on the board, audit committee or compensation committee of another public company;</w:t>
      </w:r>
    </w:p>
    <w:p>
      <w:pPr>
        <w:spacing w:after="0" w:line="110" w:lineRule="exact"/>
        <w:rPr>
          <w:rFonts w:ascii="Arial" w:cs="Arial" w:eastAsia="Arial" w:hAnsi="Arial"/>
          <w:sz w:val="16"/>
          <w:szCs w:val="16"/>
          <w:color w:val="auto"/>
        </w:rPr>
      </w:pPr>
    </w:p>
    <w:p>
      <w:pPr>
        <w:ind w:left="200" w:hanging="192"/>
        <w:spacing w:after="0" w:line="304" w:lineRule="auto"/>
        <w:tabs>
          <w:tab w:leader="none" w:pos="197" w:val="left"/>
        </w:tabs>
        <w:numPr>
          <w:ilvl w:val="0"/>
          <w:numId w:val="8"/>
        </w:numPr>
        <w:rPr>
          <w:rFonts w:ascii="Arial" w:cs="Arial" w:eastAsia="Arial" w:hAnsi="Arial"/>
          <w:sz w:val="16"/>
          <w:szCs w:val="16"/>
          <w:color w:val="auto"/>
        </w:rPr>
      </w:pPr>
      <w:r>
        <w:rPr>
          <w:rFonts w:ascii="Arial" w:cs="Arial" w:eastAsia="Arial" w:hAnsi="Arial"/>
          <w:sz w:val="16"/>
          <w:szCs w:val="16"/>
          <w:color w:val="auto"/>
        </w:rPr>
        <w:t>Directors who are also full-time executives either at the Company or another entity, including without limitation, the Company’s Chief Executive Officer, should not serve on more than two public company boards, including the Company’s Board;</w:t>
      </w:r>
    </w:p>
    <w:p>
      <w:pPr>
        <w:spacing w:after="0" w:line="87" w:lineRule="exact"/>
        <w:rPr>
          <w:rFonts w:ascii="Arial" w:cs="Arial" w:eastAsia="Arial" w:hAnsi="Arial"/>
          <w:sz w:val="16"/>
          <w:szCs w:val="16"/>
          <w:color w:val="auto"/>
        </w:rPr>
      </w:pPr>
    </w:p>
    <w:p>
      <w:pPr>
        <w:ind w:left="200" w:right="20" w:hanging="192"/>
        <w:spacing w:after="0" w:line="304" w:lineRule="auto"/>
        <w:tabs>
          <w:tab w:leader="none" w:pos="197"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Committee chairs should not serve as the chair of more than three public company board committees, including his or her role as chair of a Company Board committee; and</w:t>
      </w:r>
    </w:p>
    <w:p>
      <w:pPr>
        <w:spacing w:after="0" w:line="87" w:lineRule="exact"/>
        <w:rPr>
          <w:rFonts w:ascii="Arial" w:cs="Arial" w:eastAsia="Arial" w:hAnsi="Arial"/>
          <w:sz w:val="16"/>
          <w:szCs w:val="16"/>
          <w:color w:val="auto"/>
        </w:rPr>
      </w:pPr>
    </w:p>
    <w:p>
      <w:pPr>
        <w:ind w:left="200" w:hanging="192"/>
        <w:spacing w:after="0" w:line="286" w:lineRule="auto"/>
        <w:tabs>
          <w:tab w:leader="none" w:pos="19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chair of the Audit Committee should not serve as the chair of more than three audit committees (including the Company Audit Committee, but excluding the audit committees of any non-profit organizations).</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Governance &amp; Sustainability Committee considers the criteria listed in the paragraphs above at least each time a director is re-nominated for Board membership or when considering additions to the Board. At such times as the Board and the Governance &amp; Sustainability Committee determine there is a need to add or replace a director, the Governance &amp; Sustainability Committee identifies director candidates through references from its members, other directors, management, or, if appropriate, outside search firms. The Governance &amp; Sustainability Committee applies the same process and standards to the evaluation of each potential director nominee, regardless of whether he or she is recommended by one or more stockholders or is identified by some other method. The Board does not mandate director retirement based on age.</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Any stockholder who wishes to recommend an individual for consideration by the Governance &amp; Sustainability Committee should provide written notice of the recommendation to our Corporate Secretary at our address shown on the Notice of Annual Meeting of Stockholders accompanying this Proxy Statement. Such notice must be accompanied by certain disclosures, including written information about the recommended nominee’s business experience and background, and documentation required under our By-laws for stockholder nominations of directors, as well as a consent in writing signed by the recommended nominee that he or she is willing to be considered as a nominee and, if nominated and elected, that he or she will serve as a director. In addition, any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777240</wp:posOffset>
            </wp:positionV>
            <wp:extent cx="40259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259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6</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12" w:name="page13"/>
    <w:bookmarkEnd w:id="12"/>
    <w:p>
      <w:pPr>
        <w:ind w:left="9260"/>
        <w:spacing w:after="0"/>
        <w:rPr>
          <w:sz w:val="20"/>
          <w:szCs w:val="20"/>
          <w:color w:val="auto"/>
        </w:rPr>
      </w:pPr>
      <w:r>
        <w:rPr>
          <w:rFonts w:ascii="Arial" w:cs="Arial" w:eastAsia="Arial" w:hAnsi="Arial"/>
          <w:sz w:val="14"/>
          <w:szCs w:val="14"/>
          <w:color w:val="004C9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nominee must provide information we may reasonably request in order for us to determine the eligibility of such nominee to serve as an independent director.</w:t>
      </w:r>
    </w:p>
    <w:p>
      <w:pPr>
        <w:spacing w:after="0" w:line="35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Once the Governance &amp; Sustainability Committee identifies a director candidate, directors and members of management interview the candidate. Following that process, the Governance &amp; Sustainability Committee and the Board determine whether to nominate the candidate for election at an annual meeting of stockholders or, if applicable, to appoint the candidate as a director. Any such nomination or appointment is subject to acceptance by the candidate. Our By-Laws require that any director appointed to the Board other than at an annual meeting of stockholders be submitted for election by our stockholders at the next annual meeting.</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ELECTION</w:t>
      </w:r>
    </w:p>
    <w:p>
      <w:pPr>
        <w:spacing w:after="0" w:line="6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uncontested elections, we elect directors by majority vote. Under this voting standard, the number of shares voted “for” a director must exceed the number of shares voted “against” that director. In a contested election, directors are elected by a plurality of the votes represented in person or by proxy at the meeting. An election is contested if the number of nominees exceeds the number of directors to be elected. Whether or not an election is contested is determined ten days in advance of the date we file our definitive proxy statement with the Securities and Exchange Commission (“SEC”). This year’s election is uncontested. Accordingly, the majority vote standard will apply.</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If a nominee already serving as a director is not elected at an annual meeting, then the law of the State of Delaware (SPX’s state of organization) provides that the director will continue to serve on the Board as a “holdover director” until his or her successor is elected. Our Governance &amp; Sustainability Committee, however, has established procedures in our Corporate Governance Guidelines requiring directors to tender to the Board advance resignations. The Board will nominate for election or re-election as a director only those candidates who agree to tender, promptly following each annual meeting of stockholders at which they are subject to re-election as a director, irrevocable resignations that will be effective only if (1) the director fails to receive a sufficient number of votes for re-election at the next annual meeting of stockholders at which he or she faces re-election, and (2) the Board accepts the resignation. In addition, the Board will fill director vacancies and new directorships only with candidates who agree to tender, promptly following their appointment to the Board, the same form of resignation tendered by other directors in accordance with this provision.</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the event a resignation is triggered as a result of a director failing to receive sufficient votes, the Governance &amp; Sustainability Committee will consider the resignation and make a recommendation to the Board on whether to accept or reject it, or whether other action should be taken. The Board will consider the Governance &amp; Sustainability Committee’s recommendation and publicly disclose its decision and the rationale behind it in a Current Report on Form 8-K filed with the SEC within 90 days from the date of certification of the election results.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ATTENDANCE AT ANNUAL MEETING</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It is our policy to invite all members of our Board to attend our Annual Meeting. While their attendance is not required, all of our directors attended our 2024 annual meeting of stockholders.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CONSIDERATION OF RELATED-PARTY TRANSACTIONS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Pursuant to its charter and a written related-party policy, the Audit Committee is charged with reviewing and approving any related-party transactions. A related-party transaction is a transaction involving SPX and any of the following persons: a director, director nominee, or executive officer of SPX; a holder of more than 5% of SPX common stock; or an immediate family member or person sharing the household of any of these persons. When considering a transaction, the Audit Committee is required to review all relevant factors, including whether the transaction is in the best interest of our Company; our Company’s rationale for entering into the transaction; alternatives to the transaction; whether the transaction is on terms at least as fair to our Company as would be the case were the transaction entered into with an unrelated third party; potential for an actual or apparent conflict of interest; and the extent of the related party’s interest in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652145</wp:posOffset>
            </wp:positionV>
            <wp:extent cx="40322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0322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6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279"/>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14"/>
          <w:szCs w:val="14"/>
          <w:color w:val="004C9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LEADERSHIP STRUCTURE</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governance documents provide the Board with flexibility to select the leadership structure that is most appropriate for the Company and its stockholders in consideration of then-current circumstances. The Board regularly evaluates the Company’s leadership structure and has concluded that the Company and its stockholders are best served by not having a formal policy regarding whether the same individual should serve as both Chairman of the Board and CEO. This approach allows the Board to elect the most qualified director as Chairman of the Board while also maintaining the ability to combine or separate the Chairman of the Board and CEO roles when necessary or appropriate. We currently separate the positions of Chairman of the Board and CEO.</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Currently, Eugene J. Lowe, III, serves as our President and CEO, a position he has held since September 26, 2015. In this role, Mr. Lowe is responsible for managing the day-to-day operations of the Company and for planning, formulating, and coordinating the development and execution of our corporate strategy, policies, goals, and objectives. Mr. Lowe is accountable for Company performance and reports directly to the Board.</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Patrick J. O’Leary has served as our non-employee Chairman of the Board since September 26, 2015. In this role, Mr. O’Leary’s responsibilities include the following:</w:t>
      </w:r>
    </w:p>
    <w:p>
      <w:pPr>
        <w:spacing w:after="0" w:line="115"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Serving as a resource to the President and CEO in connection with strategic planning and other matters of strategic importance to the Company;</w:t>
      </w:r>
    </w:p>
    <w:p>
      <w:pPr>
        <w:spacing w:after="0" w:line="167" w:lineRule="exact"/>
        <w:rPr>
          <w:rFonts w:ascii="Arial" w:cs="Arial" w:eastAsia="Arial" w:hAnsi="Arial"/>
          <w:sz w:val="16"/>
          <w:szCs w:val="16"/>
          <w:color w:val="auto"/>
        </w:rPr>
      </w:pPr>
    </w:p>
    <w:p>
      <w:pPr>
        <w:ind w:left="200" w:hanging="192"/>
        <w:spacing w:after="0" w:line="286" w:lineRule="auto"/>
        <w:tabs>
          <w:tab w:leader="none" w:pos="197" w:val="left"/>
        </w:tabs>
        <w:numPr>
          <w:ilvl w:val="0"/>
          <w:numId w:val="9"/>
        </w:numPr>
        <w:rPr>
          <w:rFonts w:ascii="Arial" w:cs="Arial" w:eastAsia="Arial" w:hAnsi="Arial"/>
          <w:sz w:val="16"/>
          <w:szCs w:val="16"/>
          <w:color w:val="auto"/>
        </w:rPr>
      </w:pPr>
      <w:r>
        <w:rPr>
          <w:rFonts w:ascii="Arial" w:cs="Arial" w:eastAsia="Arial" w:hAnsi="Arial"/>
          <w:sz w:val="16"/>
          <w:szCs w:val="16"/>
          <w:color w:val="auto"/>
        </w:rPr>
        <w:t>Receiving reports from the President and CEO, organizing and facilitating the President and CEO evaluation process, and providing ongoing, constructive feedback to the President and CEO;</w:t>
      </w:r>
    </w:p>
    <w:p>
      <w:pPr>
        <w:spacing w:after="0" w:line="115" w:lineRule="exact"/>
        <w:rPr>
          <w:rFonts w:ascii="Arial" w:cs="Arial" w:eastAsia="Arial" w:hAnsi="Arial"/>
          <w:sz w:val="16"/>
          <w:szCs w:val="16"/>
          <w:color w:val="auto"/>
        </w:rPr>
      </w:pPr>
    </w:p>
    <w:p>
      <w:pPr>
        <w:ind w:left="200" w:hanging="192"/>
        <w:spacing w:after="0" w:line="286" w:lineRule="auto"/>
        <w:tabs>
          <w:tab w:leader="none" w:pos="197"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Consulting with the President and CEO regarding the Company’s relations and communications with stockholders of the Company, analysts, and the investor community;</w:t>
      </w:r>
    </w:p>
    <w:p>
      <w:pPr>
        <w:spacing w:after="0" w:line="101" w:lineRule="exact"/>
        <w:rPr>
          <w:rFonts w:ascii="Arial" w:cs="Arial" w:eastAsia="Arial" w:hAnsi="Arial"/>
          <w:sz w:val="16"/>
          <w:szCs w:val="16"/>
          <w:color w:val="auto"/>
        </w:rPr>
      </w:pPr>
    </w:p>
    <w:p>
      <w:pPr>
        <w:ind w:left="200" w:hanging="192"/>
        <w:spacing w:after="0"/>
        <w:tabs>
          <w:tab w:leader="none" w:pos="2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Chairing meetings of the Board;</w:t>
      </w:r>
    </w:p>
    <w:p>
      <w:pPr>
        <w:spacing w:after="0" w:line="180" w:lineRule="exact"/>
        <w:rPr>
          <w:rFonts w:ascii="Arial" w:cs="Arial" w:eastAsia="Arial" w:hAnsi="Arial"/>
          <w:sz w:val="16"/>
          <w:szCs w:val="16"/>
          <w:color w:val="auto"/>
        </w:rPr>
      </w:pPr>
    </w:p>
    <w:p>
      <w:pPr>
        <w:ind w:left="200" w:hanging="192"/>
        <w:spacing w:after="0"/>
        <w:tabs>
          <w:tab w:leader="none" w:pos="2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Setting the schedule and agenda for Board meetings in consultation with the President and CEO;</w:t>
      </w:r>
    </w:p>
    <w:p>
      <w:pPr>
        <w:spacing w:after="0" w:line="167" w:lineRule="exact"/>
        <w:rPr>
          <w:rFonts w:ascii="Arial" w:cs="Arial" w:eastAsia="Arial" w:hAnsi="Arial"/>
          <w:sz w:val="16"/>
          <w:szCs w:val="16"/>
          <w:color w:val="auto"/>
        </w:rPr>
      </w:pPr>
    </w:p>
    <w:p>
      <w:pPr>
        <w:ind w:left="200" w:hanging="192"/>
        <w:spacing w:after="0"/>
        <w:tabs>
          <w:tab w:leader="none" w:pos="2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Determining the information that is sent to the Board in consultation with the President and CEO;</w:t>
      </w:r>
    </w:p>
    <w:p>
      <w:pPr>
        <w:spacing w:after="0" w:line="180" w:lineRule="exact"/>
        <w:rPr>
          <w:rFonts w:ascii="Arial" w:cs="Arial" w:eastAsia="Arial" w:hAnsi="Arial"/>
          <w:sz w:val="16"/>
          <w:szCs w:val="16"/>
          <w:color w:val="auto"/>
        </w:rPr>
      </w:pPr>
    </w:p>
    <w:p>
      <w:pPr>
        <w:ind w:left="200" w:hanging="192"/>
        <w:spacing w:after="0"/>
        <w:tabs>
          <w:tab w:leader="none" w:pos="2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Presiding over the executive sessions and other meetings of the non-employee directors; and</w:t>
      </w:r>
    </w:p>
    <w:p>
      <w:pPr>
        <w:spacing w:after="0" w:line="167" w:lineRule="exact"/>
        <w:rPr>
          <w:rFonts w:ascii="Arial" w:cs="Arial" w:eastAsia="Arial" w:hAnsi="Arial"/>
          <w:sz w:val="16"/>
          <w:szCs w:val="16"/>
          <w:color w:val="auto"/>
        </w:rPr>
      </w:pPr>
    </w:p>
    <w:p>
      <w:pPr>
        <w:ind w:left="200" w:hanging="192"/>
        <w:spacing w:after="0"/>
        <w:tabs>
          <w:tab w:leader="none" w:pos="2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Communicating the results of meetings of the non-employee directors to the President and CEO and other members of management, as appropriate.</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Corporate Governance Guidelines provide that in the event the Board determines that the same individual should again serve as both Chairman of the Board and CEO, the Board will appoint an independent director to serve as Lead Director. In that circumstance, the Lead Director would serve as the principal liaison between the non-employee directors and the Chairman and CEO; chair meetings of non-employee directors; develop the Board’s agenda in collaboration with the Chairman and CEO; and review and advise on the quality of the information provided to the Board.</w:t>
      </w:r>
    </w:p>
    <w:p>
      <w:pPr>
        <w:spacing w:after="0" w:line="11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small size of our Board and the relationship between management and non-employee directors put each director in a position to influence agendas, the flow of information, and other matters. Our non-employee directors meet regularly in private session, without management, as part of our Board meetings and can also call additional meetings of the non-employee directors at their discretion. The Board believes that its current leadership structure provides an appropriate balance among strategy development, operational execution, and independent oversight, and that this structure is currently in the best interests of the Company and its stockholders.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COMMITTEES</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Board met six times in 2024. The Board currently has a standing Audit Committee, Compensation Committee, and Governance &amp; Sustainability Committee. All directors attended at least 75% of the meetings of the Board and of the committees on which they served in 2024, during his or her period of service. Each committee has adopted a charter that specifies the composition and responsibilities of the committee. Each committee charter is posted on our website (www.spx.com) under the heading “Investor Relations—Corporate Governance—Board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641985</wp:posOffset>
            </wp:positionV>
            <wp:extent cx="40259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0259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8</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14" w:name="page15"/>
    <w:bookmarkEnd w:id="14"/>
    <w:p>
      <w:pPr>
        <w:ind w:left="9260"/>
        <w:spacing w:after="0"/>
        <w:rPr>
          <w:sz w:val="20"/>
          <w:szCs w:val="20"/>
          <w:color w:val="auto"/>
        </w:rPr>
      </w:pPr>
      <w:r>
        <w:rPr>
          <w:rFonts w:ascii="Arial" w:cs="Arial" w:eastAsia="Arial" w:hAnsi="Arial"/>
          <w:sz w:val="14"/>
          <w:szCs w:val="14"/>
          <w:color w:val="004C9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provides the member and 2024 meeting information for each of the Board committees.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860" w:type="dxa"/>
            <w:vAlign w:val="bottom"/>
            <w:tcBorders>
              <w:top w:val="single" w:sz="8" w:color="auto"/>
              <w:left w:val="single" w:sz="8" w:color="auto"/>
              <w:right w:val="single" w:sz="8" w:color="auto"/>
            </w:tcBorders>
            <w:shd w:val="clear" w:color="auto" w:fill="004C97"/>
          </w:tcPr>
          <w:p>
            <w:pPr>
              <w:spacing w:after="0"/>
              <w:rPr>
                <w:sz w:val="17"/>
                <w:szCs w:val="17"/>
                <w:color w:val="auto"/>
              </w:rPr>
            </w:pPr>
          </w:p>
        </w:tc>
        <w:tc>
          <w:tcPr>
            <w:tcW w:w="256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Audit</w:t>
            </w:r>
          </w:p>
        </w:tc>
        <w:tc>
          <w:tcPr>
            <w:tcW w:w="262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Compensation</w:t>
            </w:r>
          </w:p>
        </w:tc>
        <w:tc>
          <w:tcPr>
            <w:tcW w:w="222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Governance &amp; Sustainability</w:t>
            </w:r>
          </w:p>
        </w:tc>
      </w:tr>
      <w:tr>
        <w:trPr>
          <w:trHeight w:val="205"/>
        </w:trPr>
        <w:tc>
          <w:tcPr>
            <w:tcW w:w="3860" w:type="dxa"/>
            <w:vAlign w:val="bottom"/>
            <w:tcBorders>
              <w:left w:val="single" w:sz="8" w:color="auto"/>
              <w:bottom w:val="single" w:sz="8" w:color="auto"/>
              <w:right w:val="single" w:sz="8" w:color="auto"/>
            </w:tcBorders>
            <w:shd w:val="clear" w:color="auto" w:fill="004C97"/>
          </w:tcPr>
          <w:p>
            <w:pPr>
              <w:ind w:left="1620"/>
              <w:spacing w:after="0"/>
              <w:rPr>
                <w:sz w:val="20"/>
                <w:szCs w:val="20"/>
                <w:color w:val="auto"/>
              </w:rPr>
            </w:pPr>
            <w:r>
              <w:rPr>
                <w:rFonts w:ascii="Arial" w:cs="Arial" w:eastAsia="Arial" w:hAnsi="Arial"/>
                <w:sz w:val="14"/>
                <w:szCs w:val="14"/>
                <w:b w:val="1"/>
                <w:bCs w:val="1"/>
                <w:color w:val="FFFFFF"/>
              </w:rPr>
              <w:t>Directors</w:t>
            </w:r>
          </w:p>
        </w:tc>
        <w:tc>
          <w:tcPr>
            <w:tcW w:w="256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Committee</w:t>
            </w:r>
          </w:p>
        </w:tc>
        <w:tc>
          <w:tcPr>
            <w:tcW w:w="262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Committee</w:t>
            </w:r>
          </w:p>
        </w:tc>
        <w:tc>
          <w:tcPr>
            <w:tcW w:w="222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Committee</w:t>
            </w:r>
          </w:p>
        </w:tc>
      </w:tr>
      <w:tr>
        <w:trPr>
          <w:trHeight w:val="234"/>
        </w:trPr>
        <w:tc>
          <w:tcPr>
            <w:tcW w:w="3860" w:type="dxa"/>
            <w:vAlign w:val="bottom"/>
            <w:tcBorders>
              <w:left w:val="single" w:sz="8" w:color="auto"/>
              <w:bottom w:val="single" w:sz="8" w:color="E5E5E5"/>
              <w:right w:val="single" w:sz="8" w:color="auto"/>
            </w:tcBorders>
            <w:shd w:val="clear" w:color="auto" w:fill="E5E5E5"/>
          </w:tcPr>
          <w:p>
            <w:pPr>
              <w:ind w:left="200"/>
              <w:spacing w:after="0"/>
              <w:rPr>
                <w:sz w:val="20"/>
                <w:szCs w:val="20"/>
                <w:color w:val="auto"/>
              </w:rPr>
            </w:pPr>
            <w:r>
              <w:rPr>
                <w:rFonts w:ascii="Arial" w:cs="Arial" w:eastAsia="Arial" w:hAnsi="Arial"/>
                <w:sz w:val="14"/>
                <w:szCs w:val="14"/>
                <w:color w:val="auto"/>
              </w:rPr>
              <w:t>Patrick O’Leary</w:t>
            </w:r>
          </w:p>
        </w:tc>
        <w:tc>
          <w:tcPr>
            <w:tcW w:w="2560" w:type="dxa"/>
            <w:vAlign w:val="bottom"/>
            <w:tcBorders>
              <w:bottom w:val="single" w:sz="8" w:color="E5E5E5"/>
              <w:right w:val="single" w:sz="8" w:color="auto"/>
            </w:tcBorders>
            <w:shd w:val="clear" w:color="auto" w:fill="E5E5E5"/>
          </w:tcPr>
          <w:p>
            <w:pPr>
              <w:spacing w:after="0"/>
              <w:rPr>
                <w:sz w:val="19"/>
                <w:szCs w:val="19"/>
                <w:color w:val="auto"/>
              </w:rPr>
            </w:pPr>
          </w:p>
        </w:tc>
        <w:tc>
          <w:tcPr>
            <w:tcW w:w="2620" w:type="dxa"/>
            <w:vAlign w:val="bottom"/>
            <w:tcBorders>
              <w:bottom w:val="single" w:sz="8" w:color="E5E5E5"/>
              <w:right w:val="single" w:sz="8" w:color="auto"/>
            </w:tcBorders>
            <w:shd w:val="clear" w:color="auto" w:fill="E5E5E5"/>
          </w:tcPr>
          <w:p>
            <w:pPr>
              <w:spacing w:after="0"/>
              <w:rPr>
                <w:sz w:val="19"/>
                <w:szCs w:val="19"/>
                <w:color w:val="auto"/>
              </w:rPr>
            </w:pPr>
          </w:p>
        </w:tc>
        <w:tc>
          <w:tcPr>
            <w:tcW w:w="22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X</w:t>
            </w:r>
          </w:p>
        </w:tc>
      </w:tr>
      <w:tr>
        <w:trPr>
          <w:trHeight w:val="202"/>
        </w:trPr>
        <w:tc>
          <w:tcPr>
            <w:tcW w:w="38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Ricky D. Puckett</w:t>
            </w:r>
          </w:p>
        </w:tc>
        <w:tc>
          <w:tcPr>
            <w:tcW w:w="2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2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Chair</w:t>
            </w:r>
          </w:p>
        </w:tc>
        <w:tc>
          <w:tcPr>
            <w:tcW w:w="2220" w:type="dxa"/>
            <w:vAlign w:val="bottom"/>
            <w:tcBorders>
              <w:top w:val="single" w:sz="8" w:color="auto"/>
              <w:right w:val="single" w:sz="8" w:color="auto"/>
            </w:tcBorders>
          </w:tcPr>
          <w:p>
            <w:pPr>
              <w:spacing w:after="0"/>
              <w:rPr>
                <w:sz w:val="17"/>
                <w:szCs w:val="17"/>
                <w:color w:val="auto"/>
              </w:rPr>
            </w:pPr>
          </w:p>
        </w:tc>
      </w:tr>
      <w:tr>
        <w:trPr>
          <w:trHeight w:val="35"/>
        </w:trPr>
        <w:tc>
          <w:tcPr>
            <w:tcW w:w="3860" w:type="dxa"/>
            <w:vAlign w:val="bottom"/>
            <w:tcBorders>
              <w:left w:val="single" w:sz="8" w:color="auto"/>
              <w:bottom w:val="single" w:sz="8" w:color="auto"/>
              <w:right w:val="single" w:sz="8" w:color="auto"/>
            </w:tcBorders>
          </w:tcPr>
          <w:p>
            <w:pPr>
              <w:spacing w:after="0"/>
              <w:rPr>
                <w:sz w:val="3"/>
                <w:szCs w:val="3"/>
                <w:color w:val="auto"/>
              </w:rPr>
            </w:pPr>
          </w:p>
        </w:tc>
        <w:tc>
          <w:tcPr>
            <w:tcW w:w="256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r>
      <w:tr>
        <w:trPr>
          <w:trHeight w:val="228"/>
        </w:trPr>
        <w:tc>
          <w:tcPr>
            <w:tcW w:w="3860" w:type="dxa"/>
            <w:vAlign w:val="bottom"/>
            <w:tcBorders>
              <w:left w:val="single" w:sz="8" w:color="auto"/>
              <w:bottom w:val="single" w:sz="8" w:color="E5E5E5"/>
              <w:right w:val="single" w:sz="8" w:color="auto"/>
            </w:tcBorders>
            <w:shd w:val="clear" w:color="auto" w:fill="E5E5E5"/>
          </w:tcPr>
          <w:p>
            <w:pPr>
              <w:ind w:left="200"/>
              <w:spacing w:after="0"/>
              <w:rPr>
                <w:sz w:val="20"/>
                <w:szCs w:val="20"/>
                <w:color w:val="auto"/>
              </w:rPr>
            </w:pPr>
            <w:r>
              <w:rPr>
                <w:rFonts w:ascii="Arial" w:cs="Arial" w:eastAsia="Arial" w:hAnsi="Arial"/>
                <w:sz w:val="14"/>
                <w:szCs w:val="14"/>
                <w:color w:val="auto"/>
              </w:rPr>
              <w:t>David A. Roberts</w:t>
            </w:r>
          </w:p>
        </w:tc>
        <w:tc>
          <w:tcPr>
            <w:tcW w:w="2560" w:type="dxa"/>
            <w:vAlign w:val="bottom"/>
            <w:tcBorders>
              <w:bottom w:val="single" w:sz="8" w:color="E5E5E5"/>
              <w:right w:val="single" w:sz="8" w:color="auto"/>
            </w:tcBorders>
            <w:shd w:val="clear" w:color="auto" w:fill="E5E5E5"/>
          </w:tcPr>
          <w:p>
            <w:pPr>
              <w:spacing w:after="0"/>
              <w:rPr>
                <w:sz w:val="19"/>
                <w:szCs w:val="19"/>
                <w:color w:val="auto"/>
              </w:rPr>
            </w:pPr>
          </w:p>
        </w:tc>
        <w:tc>
          <w:tcPr>
            <w:tcW w:w="26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X</w:t>
            </w:r>
          </w:p>
        </w:tc>
        <w:tc>
          <w:tcPr>
            <w:tcW w:w="22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X</w:t>
            </w:r>
          </w:p>
        </w:tc>
      </w:tr>
      <w:tr>
        <w:trPr>
          <w:trHeight w:val="201"/>
        </w:trPr>
        <w:tc>
          <w:tcPr>
            <w:tcW w:w="38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Meenal A. Sethna</w:t>
            </w:r>
          </w:p>
        </w:tc>
        <w:tc>
          <w:tcPr>
            <w:tcW w:w="2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Chair</w:t>
            </w:r>
          </w:p>
        </w:tc>
        <w:tc>
          <w:tcPr>
            <w:tcW w:w="2620" w:type="dxa"/>
            <w:vAlign w:val="bottom"/>
            <w:tcBorders>
              <w:top w:val="single" w:sz="8" w:color="auto"/>
              <w:right w:val="single" w:sz="8" w:color="auto"/>
            </w:tcBorders>
          </w:tcPr>
          <w:p>
            <w:pPr>
              <w:spacing w:after="0"/>
              <w:rPr>
                <w:sz w:val="17"/>
                <w:szCs w:val="17"/>
                <w:color w:val="auto"/>
              </w:rPr>
            </w:pP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X</w:t>
            </w:r>
          </w:p>
        </w:tc>
      </w:tr>
      <w:tr>
        <w:trPr>
          <w:trHeight w:val="22"/>
        </w:trPr>
        <w:tc>
          <w:tcPr>
            <w:tcW w:w="38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6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860" w:type="dxa"/>
            <w:vAlign w:val="bottom"/>
            <w:tcBorders>
              <w:left w:val="single" w:sz="8" w:color="auto"/>
              <w:bottom w:val="single" w:sz="8" w:color="E5E5E5"/>
              <w:right w:val="single" w:sz="8" w:color="auto"/>
            </w:tcBorders>
            <w:shd w:val="clear" w:color="auto" w:fill="E5E5E5"/>
          </w:tcPr>
          <w:p>
            <w:pPr>
              <w:ind w:left="200"/>
              <w:spacing w:after="0"/>
              <w:rPr>
                <w:sz w:val="20"/>
                <w:szCs w:val="20"/>
                <w:color w:val="auto"/>
              </w:rPr>
            </w:pPr>
            <w:r>
              <w:rPr>
                <w:rFonts w:ascii="Arial" w:cs="Arial" w:eastAsia="Arial" w:hAnsi="Arial"/>
                <w:sz w:val="14"/>
                <w:szCs w:val="14"/>
                <w:color w:val="auto"/>
              </w:rPr>
              <w:t>Ruth G. Shaw</w:t>
            </w:r>
          </w:p>
        </w:tc>
        <w:tc>
          <w:tcPr>
            <w:tcW w:w="2560" w:type="dxa"/>
            <w:vAlign w:val="bottom"/>
            <w:tcBorders>
              <w:bottom w:val="single" w:sz="8" w:color="E5E5E5"/>
              <w:right w:val="single" w:sz="8" w:color="auto"/>
            </w:tcBorders>
            <w:shd w:val="clear" w:color="auto" w:fill="E5E5E5"/>
          </w:tcPr>
          <w:p>
            <w:pPr>
              <w:spacing w:after="0"/>
              <w:rPr>
                <w:sz w:val="19"/>
                <w:szCs w:val="19"/>
                <w:color w:val="auto"/>
              </w:rPr>
            </w:pPr>
          </w:p>
        </w:tc>
        <w:tc>
          <w:tcPr>
            <w:tcW w:w="26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X</w:t>
            </w:r>
          </w:p>
        </w:tc>
        <w:tc>
          <w:tcPr>
            <w:tcW w:w="22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Chair</w:t>
            </w:r>
          </w:p>
        </w:tc>
      </w:tr>
      <w:tr>
        <w:trPr>
          <w:trHeight w:val="202"/>
        </w:trPr>
        <w:tc>
          <w:tcPr>
            <w:tcW w:w="38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Robert B. Toth</w:t>
            </w:r>
          </w:p>
        </w:tc>
        <w:tc>
          <w:tcPr>
            <w:tcW w:w="2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2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2220" w:type="dxa"/>
            <w:vAlign w:val="bottom"/>
            <w:tcBorders>
              <w:top w:val="single" w:sz="8" w:color="auto"/>
              <w:right w:val="single" w:sz="8" w:color="auto"/>
            </w:tcBorders>
          </w:tcPr>
          <w:p>
            <w:pPr>
              <w:spacing w:after="0"/>
              <w:rPr>
                <w:sz w:val="17"/>
                <w:szCs w:val="17"/>
                <w:color w:val="auto"/>
              </w:rPr>
            </w:pPr>
          </w:p>
        </w:tc>
      </w:tr>
      <w:tr>
        <w:trPr>
          <w:trHeight w:val="35"/>
        </w:trPr>
        <w:tc>
          <w:tcPr>
            <w:tcW w:w="3860" w:type="dxa"/>
            <w:vAlign w:val="bottom"/>
            <w:tcBorders>
              <w:left w:val="single" w:sz="8" w:color="auto"/>
              <w:bottom w:val="single" w:sz="8" w:color="auto"/>
              <w:right w:val="single" w:sz="8" w:color="auto"/>
            </w:tcBorders>
          </w:tcPr>
          <w:p>
            <w:pPr>
              <w:spacing w:after="0"/>
              <w:rPr>
                <w:sz w:val="3"/>
                <w:szCs w:val="3"/>
                <w:color w:val="auto"/>
              </w:rPr>
            </w:pPr>
          </w:p>
        </w:tc>
        <w:tc>
          <w:tcPr>
            <w:tcW w:w="256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r>
      <w:tr>
        <w:trPr>
          <w:trHeight w:val="242"/>
        </w:trPr>
        <w:tc>
          <w:tcPr>
            <w:tcW w:w="3860" w:type="dxa"/>
            <w:vAlign w:val="bottom"/>
            <w:tcBorders>
              <w:left w:val="single" w:sz="8" w:color="auto"/>
              <w:bottom w:val="single" w:sz="8" w:color="E5E5E5"/>
              <w:right w:val="single" w:sz="8" w:color="auto"/>
            </w:tcBorders>
            <w:shd w:val="clear" w:color="auto" w:fill="E5E5E5"/>
          </w:tcPr>
          <w:p>
            <w:pPr>
              <w:ind w:left="200"/>
              <w:spacing w:after="0"/>
              <w:rPr>
                <w:sz w:val="20"/>
                <w:szCs w:val="20"/>
                <w:color w:val="auto"/>
              </w:rPr>
            </w:pPr>
            <w:r>
              <w:rPr>
                <w:rFonts w:ascii="Arial" w:cs="Arial" w:eastAsia="Arial" w:hAnsi="Arial"/>
                <w:sz w:val="14"/>
                <w:szCs w:val="14"/>
                <w:color w:val="auto"/>
              </w:rPr>
              <w:t>Tana L. Utley</w:t>
            </w:r>
          </w:p>
        </w:tc>
        <w:tc>
          <w:tcPr>
            <w:tcW w:w="256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X</w:t>
            </w:r>
          </w:p>
        </w:tc>
        <w:tc>
          <w:tcPr>
            <w:tcW w:w="26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X</w:t>
            </w:r>
          </w:p>
        </w:tc>
        <w:tc>
          <w:tcPr>
            <w:tcW w:w="2220" w:type="dxa"/>
            <w:vAlign w:val="bottom"/>
            <w:tcBorders>
              <w:bottom w:val="single" w:sz="8" w:color="E5E5E5"/>
              <w:right w:val="single" w:sz="8" w:color="auto"/>
            </w:tcBorders>
            <w:shd w:val="clear" w:color="auto" w:fill="E5E5E5"/>
          </w:tcPr>
          <w:p>
            <w:pPr>
              <w:spacing w:after="0"/>
              <w:rPr>
                <w:sz w:val="20"/>
                <w:szCs w:val="20"/>
                <w:color w:val="auto"/>
              </w:rPr>
            </w:pPr>
          </w:p>
        </w:tc>
      </w:tr>
      <w:tr>
        <w:trPr>
          <w:trHeight w:val="201"/>
        </w:trPr>
        <w:tc>
          <w:tcPr>
            <w:tcW w:w="38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Angel Shelton Willis</w:t>
            </w:r>
          </w:p>
        </w:tc>
        <w:tc>
          <w:tcPr>
            <w:tcW w:w="2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2620" w:type="dxa"/>
            <w:vAlign w:val="bottom"/>
            <w:tcBorders>
              <w:top w:val="single" w:sz="8" w:color="auto"/>
              <w:right w:val="single" w:sz="8" w:color="auto"/>
            </w:tcBorders>
          </w:tcPr>
          <w:p>
            <w:pPr>
              <w:spacing w:after="0"/>
              <w:rPr>
                <w:sz w:val="17"/>
                <w:szCs w:val="17"/>
                <w:color w:val="auto"/>
              </w:rPr>
            </w:pP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X</w:t>
            </w:r>
          </w:p>
        </w:tc>
      </w:tr>
      <w:tr>
        <w:trPr>
          <w:trHeight w:val="22"/>
        </w:trPr>
        <w:tc>
          <w:tcPr>
            <w:tcW w:w="38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6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r>
      <w:tr>
        <w:trPr>
          <w:trHeight w:val="203"/>
        </w:trPr>
        <w:tc>
          <w:tcPr>
            <w:tcW w:w="3860" w:type="dxa"/>
            <w:vAlign w:val="bottom"/>
            <w:tcBorders>
              <w:left w:val="single" w:sz="8" w:color="auto"/>
              <w:bottom w:val="single" w:sz="8" w:color="E5E5E5"/>
              <w:right w:val="single" w:sz="8" w:color="auto"/>
            </w:tcBorders>
            <w:shd w:val="clear" w:color="auto" w:fill="E5E5E5"/>
          </w:tcPr>
          <w:p>
            <w:pPr>
              <w:ind w:left="200"/>
              <w:spacing w:after="0"/>
              <w:rPr>
                <w:sz w:val="20"/>
                <w:szCs w:val="20"/>
                <w:color w:val="auto"/>
              </w:rPr>
            </w:pPr>
            <w:r>
              <w:rPr>
                <w:rFonts w:ascii="Arial" w:cs="Arial" w:eastAsia="Arial" w:hAnsi="Arial"/>
                <w:sz w:val="14"/>
                <w:szCs w:val="14"/>
                <w:color w:val="auto"/>
              </w:rPr>
              <w:t>Number of Meetings</w:t>
            </w:r>
          </w:p>
        </w:tc>
        <w:tc>
          <w:tcPr>
            <w:tcW w:w="256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5</w:t>
            </w:r>
          </w:p>
        </w:tc>
        <w:tc>
          <w:tcPr>
            <w:tcW w:w="26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5</w:t>
            </w:r>
          </w:p>
        </w:tc>
        <w:tc>
          <w:tcPr>
            <w:tcW w:w="22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4</w:t>
            </w:r>
          </w:p>
        </w:tc>
      </w:tr>
      <w:tr>
        <w:trPr>
          <w:trHeight w:val="20"/>
        </w:trPr>
        <w:tc>
          <w:tcPr>
            <w:tcW w:w="38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560" w:type="dxa"/>
            <w:vAlign w:val="bottom"/>
            <w:tcBorders>
              <w:right w:val="single" w:sz="8" w:color="auto"/>
            </w:tcBorders>
            <w:shd w:val="clear" w:color="auto" w:fill="000000"/>
          </w:tcPr>
          <w:p>
            <w:pPr>
              <w:spacing w:after="0" w:line="20" w:lineRule="exact"/>
              <w:rPr>
                <w:sz w:val="1"/>
                <w:szCs w:val="1"/>
                <w:color w:val="auto"/>
              </w:rPr>
            </w:pPr>
          </w:p>
        </w:tc>
        <w:tc>
          <w:tcPr>
            <w:tcW w:w="2620" w:type="dxa"/>
            <w:vAlign w:val="bottom"/>
            <w:tcBorders>
              <w:right w:val="single" w:sz="8" w:color="auto"/>
            </w:tcBorders>
            <w:shd w:val="clear" w:color="auto" w:fill="000000"/>
          </w:tcPr>
          <w:p>
            <w:pPr>
              <w:spacing w:after="0" w:line="20" w:lineRule="exact"/>
              <w:rPr>
                <w:sz w:val="1"/>
                <w:szCs w:val="1"/>
                <w:color w:val="auto"/>
              </w:rPr>
            </w:pPr>
          </w:p>
        </w:tc>
        <w:tc>
          <w:tcPr>
            <w:tcW w:w="2220" w:type="dxa"/>
            <w:vAlign w:val="bottom"/>
            <w:tcBorders>
              <w:right w:val="single" w:sz="8" w:color="auto"/>
            </w:tcBorders>
            <w:shd w:val="clear" w:color="auto" w:fill="000000"/>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Membership</w:t>
      </w:r>
    </w:p>
    <w:p>
      <w:pPr>
        <w:spacing w:after="0" w:line="6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Board has determined that each member of the Audit Committee is independent in accordance with our Audit Committee Charter, Corporate Governance Guidelines, and Independence Standards, as well as with the rules of the SEC and the listing standards of the NYSE. In addition, the Board has determined that each member of the Audit Committee has a working familiarity with basic finance and accounting practices, including the ability to read and understand financial statements. Finally, the Board has determined that each of Mr. Puckett and Ms. Sethna is an “audit committee financial expert” under the rules of the SEC and has accounting and/or related financial management expertise, as required by the listing standards of the NYSE.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Function</w:t>
      </w:r>
    </w:p>
    <w:p>
      <w:pPr>
        <w:spacing w:after="0" w:line="6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Audit Committee is responsible for ensuring the integrity of the financial information reported by our Company. The Audit Committee appoints the independent registered public accounting firm, approves the scope of audits performed by it and by the internal audit staff, and reviews the results of those audits. The Audit Committee also meets with management, the Company’s independent registered public accounting firm, and the internal audit staff to review audit and non-audit results, as well as financial, cybersecurity, accounting, compliance, and internal control matters. In addition, the Board has delegated oversight of the Company’s enterprise risk management program and cybersecurity risk management program to the Audit Committee.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on the Audit Committee and its activities is set forth in the “Audit Committee Report” on page 52.</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Membership</w:t>
      </w:r>
    </w:p>
    <w:p>
      <w:pPr>
        <w:spacing w:after="0" w:line="6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The Board has determined that each member of the Compensation Committee is independent in accordance with our Compensation Committee Charter, Corporate Governance Guidelines, and Independence Standards, as well as with the rules of the SEC and the listing standards of the NYSE. In addition, the Board has determined that each member of the Compensation Committee meets the “non-employee director” requirements as defined under Section 16(a) of the Exchange Act.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Function</w:t>
      </w:r>
    </w:p>
    <w:p>
      <w:pPr>
        <w:spacing w:after="0" w:line="6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The Compensation Committee sets the compensation for our executive officers, including agreements with our executive officers, equity grants, and other awards, and makes recommendations to the Board on these same matters for our CEO. The Committee Chair conducts the annual review of performance and objectives of the CEO. The Compensation Committee receives input regarding compensation for our executive officers, including proposed compensation, from its independent compensation consultant, as well as from our CEO for his direct reports. The Compensation Committee has delegated to our CEO the authority to issue one-time equity grants of up to $50,000 per individual and $250,000 in the aggregate annually to non-officer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641350</wp:posOffset>
            </wp:positionV>
            <wp:extent cx="403225"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322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6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w:t>
            </w:r>
          </w:p>
        </w:tc>
      </w:tr>
      <w:tr>
        <w:trPr>
          <w:trHeight w:val="279"/>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92" w:right="319" w:bottom="1440" w:gutter="0" w:footer="0" w:header="0"/>
        </w:sectPr>
      </w:pPr>
    </w:p>
    <w:bookmarkStart w:id="15" w:name="page16"/>
    <w:bookmarkEnd w:id="15"/>
    <w:p>
      <w:pPr>
        <w:ind w:left="20"/>
        <w:spacing w:after="0"/>
        <w:rPr>
          <w:sz w:val="20"/>
          <w:szCs w:val="20"/>
          <w:color w:val="auto"/>
        </w:rPr>
      </w:pPr>
      <w:r>
        <w:rPr>
          <w:rFonts w:ascii="Arial" w:cs="Arial" w:eastAsia="Arial" w:hAnsi="Arial"/>
          <w:sz w:val="14"/>
          <w:szCs w:val="14"/>
          <w:color w:val="004C9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Compensation Committee has the authority under its charter to retain, terminate, and set fees and retention terms for its independent compensation consultant or such other outside advisors as it deems necessary or appropriate in its sole discretion. The Compensation Committee reviews outside consultants and advisors on at least an annual basis to determine objectivity and review performance, including a review of the total fees paid to such consultants and advisors.</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Additional information on the Compensation Committee, its activities, and its relationship with its independent compensation consultant, and on management’s role in setting compensation, is set forth in “Compensation Discussion and Analysis,” beginning on page 24.</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GOVERNANCE &amp; SUSTAINABILITY COMMITTEE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Membership</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Board has determined that each member of the Governance &amp; Sustainability Committee is independent in accordance with our Governance &amp; Sustainability Committee Charter, Corporate Governance Guidelines, and Independence Standards, as well as with the listing standards of the NYSE.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Function</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Governance &amp; Sustainability Committee assists the Board in identifying qualified individuals to become Board members and by recommending director nominees to the Board; develops and recommends to the Board our Corporate Governance Guidelines; leads the Board in its annual review of the Board’s performance; and makes recommendations to the Board regarding the compensation of non-employee directors (including equity awards) and the assignment of individual directors to various committees. Pursuant to its charter, the Governance &amp; Sustainability Committee also oversees the governance of the Company’s sustainability program; reviews and approves our sustainability goals and targets; monitors performance against those goals; reviews and approves our annual sustainability report; and works with management to assess climate risks and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643890</wp:posOffset>
            </wp:positionV>
            <wp:extent cx="40259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259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10</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38"/>
          <w:szCs w:val="38"/>
          <w:b w:val="1"/>
          <w:bCs w:val="1"/>
          <w:color w:val="004C97"/>
        </w:rPr>
        <w:t>DIRECTOR COMPENSATION</w:t>
      </w:r>
    </w:p>
    <w:p>
      <w:pPr>
        <w:spacing w:after="0" w:line="35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Annual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Our non-employee directors receive the following compensation:</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9700" w:type="dxa"/>
            <w:vAlign w:val="bottom"/>
            <w:tcBorders>
              <w:top w:val="single" w:sz="8" w:color="939598"/>
              <w:left w:val="single" w:sz="8" w:color="939598"/>
              <w:bottom w:val="single" w:sz="8" w:color="E5E5E5"/>
              <w:right w:val="single" w:sz="8" w:color="939598"/>
            </w:tcBorders>
            <w:shd w:val="clear" w:color="auto" w:fill="E5E5E5"/>
          </w:tcPr>
          <w:p>
            <w:pPr>
              <w:ind w:left="200"/>
              <w:spacing w:after="0"/>
              <w:rPr>
                <w:sz w:val="20"/>
                <w:szCs w:val="20"/>
                <w:color w:val="auto"/>
              </w:rPr>
            </w:pPr>
            <w:r>
              <w:rPr>
                <w:rFonts w:ascii="Arial" w:cs="Arial" w:eastAsia="Arial" w:hAnsi="Arial"/>
                <w:sz w:val="14"/>
                <w:szCs w:val="14"/>
                <w:color w:val="auto"/>
              </w:rPr>
              <w:t>Annual Retainer of Cash</w:t>
            </w:r>
          </w:p>
        </w:tc>
        <w:tc>
          <w:tcPr>
            <w:tcW w:w="1560" w:type="dxa"/>
            <w:vAlign w:val="bottom"/>
            <w:tcBorders>
              <w:top w:val="single" w:sz="8" w:color="939598"/>
              <w:bottom w:val="single" w:sz="8" w:color="E5E5E5"/>
              <w:right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$ 90,000</w:t>
            </w:r>
          </w:p>
        </w:tc>
      </w:tr>
      <w:tr>
        <w:trPr>
          <w:trHeight w:val="202"/>
        </w:trPr>
        <w:tc>
          <w:tcPr>
            <w:tcW w:w="9700" w:type="dxa"/>
            <w:vAlign w:val="bottom"/>
            <w:tcBorders>
              <w:top w:val="single" w:sz="8" w:color="939598"/>
              <w:left w:val="single" w:sz="8" w:color="939598"/>
              <w:right w:val="single" w:sz="8" w:color="939598"/>
            </w:tcBorders>
          </w:tcPr>
          <w:p>
            <w:pPr>
              <w:ind w:left="200"/>
              <w:spacing w:after="0"/>
              <w:rPr>
                <w:sz w:val="20"/>
                <w:szCs w:val="20"/>
                <w:color w:val="auto"/>
              </w:rPr>
            </w:pPr>
            <w:r>
              <w:rPr>
                <w:rFonts w:ascii="Arial" w:cs="Arial" w:eastAsia="Arial" w:hAnsi="Arial"/>
                <w:sz w:val="14"/>
                <w:szCs w:val="14"/>
                <w:color w:val="auto"/>
              </w:rPr>
              <w:t>Annual Equity Grant of Restricted Stock Units</w:t>
            </w:r>
          </w:p>
        </w:tc>
        <w:tc>
          <w:tcPr>
            <w:tcW w:w="1560" w:type="dxa"/>
            <w:vAlign w:val="bottom"/>
            <w:tcBorders>
              <w:top w:val="single" w:sz="8" w:color="939598"/>
              <w:right w:val="single" w:sz="8" w:color="939598"/>
            </w:tcBorders>
          </w:tcPr>
          <w:p>
            <w:pPr>
              <w:jc w:val="right"/>
              <w:spacing w:after="0"/>
              <w:rPr>
                <w:sz w:val="20"/>
                <w:szCs w:val="20"/>
                <w:color w:val="auto"/>
              </w:rPr>
            </w:pPr>
            <w:r>
              <w:rPr>
                <w:rFonts w:ascii="Arial" w:cs="Arial" w:eastAsia="Arial" w:hAnsi="Arial"/>
                <w:sz w:val="14"/>
                <w:szCs w:val="14"/>
                <w:color w:val="auto"/>
              </w:rPr>
              <w:t>$140,000</w:t>
            </w:r>
          </w:p>
        </w:tc>
      </w:tr>
      <w:tr>
        <w:trPr>
          <w:trHeight w:val="22"/>
        </w:trPr>
        <w:tc>
          <w:tcPr>
            <w:tcW w:w="9700" w:type="dxa"/>
            <w:vAlign w:val="bottom"/>
            <w:tcBorders>
              <w:left w:val="single" w:sz="8" w:color="939598"/>
              <w:bottom w:val="single" w:sz="8" w:color="939598"/>
              <w:right w:val="single" w:sz="8" w:color="939598"/>
            </w:tcBorders>
          </w:tcPr>
          <w:p>
            <w:pPr>
              <w:spacing w:after="0" w:line="20" w:lineRule="exact"/>
              <w:rPr>
                <w:sz w:val="1"/>
                <w:szCs w:val="1"/>
                <w:color w:val="auto"/>
              </w:rPr>
            </w:pPr>
          </w:p>
        </w:tc>
        <w:tc>
          <w:tcPr>
            <w:tcW w:w="1560" w:type="dxa"/>
            <w:vAlign w:val="bottom"/>
            <w:tcBorders>
              <w:bottom w:val="single" w:sz="8" w:color="939598"/>
              <w:right w:val="single" w:sz="8" w:color="939598"/>
            </w:tcBorders>
          </w:tcPr>
          <w:p>
            <w:pPr>
              <w:spacing w:after="0" w:line="20" w:lineRule="exact"/>
              <w:rPr>
                <w:sz w:val="1"/>
                <w:szCs w:val="1"/>
                <w:color w:val="auto"/>
              </w:rPr>
            </w:pPr>
          </w:p>
        </w:tc>
      </w:tr>
      <w:tr>
        <w:trPr>
          <w:trHeight w:val="228"/>
        </w:trPr>
        <w:tc>
          <w:tcPr>
            <w:tcW w:w="9700" w:type="dxa"/>
            <w:vAlign w:val="bottom"/>
            <w:tcBorders>
              <w:left w:val="single" w:sz="8" w:color="939598"/>
              <w:bottom w:val="single" w:sz="8" w:color="E5E5E5"/>
              <w:right w:val="single" w:sz="8" w:color="939598"/>
            </w:tcBorders>
            <w:shd w:val="clear" w:color="auto" w:fill="E5E5E5"/>
          </w:tcPr>
          <w:p>
            <w:pPr>
              <w:ind w:left="200"/>
              <w:spacing w:after="0"/>
              <w:rPr>
                <w:sz w:val="20"/>
                <w:szCs w:val="20"/>
                <w:color w:val="auto"/>
              </w:rPr>
            </w:pPr>
            <w:r>
              <w:rPr>
                <w:rFonts w:ascii="Arial" w:cs="Arial" w:eastAsia="Arial" w:hAnsi="Arial"/>
                <w:sz w:val="14"/>
                <w:szCs w:val="14"/>
                <w:color w:val="auto"/>
              </w:rPr>
              <w:t>Additional Fees:</w:t>
            </w:r>
          </w:p>
        </w:tc>
        <w:tc>
          <w:tcPr>
            <w:tcW w:w="1560" w:type="dxa"/>
            <w:vAlign w:val="bottom"/>
            <w:tcBorders>
              <w:bottom w:val="single" w:sz="8" w:color="E5E5E5"/>
              <w:right w:val="single" w:sz="8" w:color="939598"/>
            </w:tcBorders>
            <w:shd w:val="clear" w:color="auto" w:fill="E5E5E5"/>
          </w:tcPr>
          <w:p>
            <w:pPr>
              <w:spacing w:after="0"/>
              <w:rPr>
                <w:sz w:val="19"/>
                <w:szCs w:val="19"/>
                <w:color w:val="auto"/>
              </w:rPr>
            </w:pPr>
          </w:p>
        </w:tc>
      </w:tr>
      <w:tr>
        <w:trPr>
          <w:trHeight w:val="202"/>
        </w:trPr>
        <w:tc>
          <w:tcPr>
            <w:tcW w:w="9700" w:type="dxa"/>
            <w:vAlign w:val="bottom"/>
            <w:tcBorders>
              <w:top w:val="single" w:sz="8" w:color="939598"/>
              <w:left w:val="single" w:sz="8" w:color="939598"/>
              <w:right w:val="single" w:sz="8" w:color="939598"/>
            </w:tcBorders>
          </w:tcPr>
          <w:p>
            <w:pPr>
              <w:ind w:left="360"/>
              <w:spacing w:after="0"/>
              <w:rPr>
                <w:sz w:val="20"/>
                <w:szCs w:val="20"/>
                <w:color w:val="auto"/>
              </w:rPr>
            </w:pPr>
            <w:r>
              <w:rPr>
                <w:rFonts w:ascii="Arial" w:cs="Arial" w:eastAsia="Arial" w:hAnsi="Arial"/>
                <w:sz w:val="14"/>
                <w:szCs w:val="14"/>
                <w:i w:val="1"/>
                <w:iCs w:val="1"/>
                <w:color w:val="auto"/>
              </w:rPr>
              <w:t>Chairman of the Board</w:t>
            </w:r>
          </w:p>
        </w:tc>
        <w:tc>
          <w:tcPr>
            <w:tcW w:w="1560" w:type="dxa"/>
            <w:vAlign w:val="bottom"/>
            <w:tcBorders>
              <w:top w:val="single" w:sz="8" w:color="939598"/>
              <w:right w:val="single" w:sz="8" w:color="939598"/>
            </w:tcBorders>
          </w:tcPr>
          <w:p>
            <w:pPr>
              <w:jc w:val="right"/>
              <w:spacing w:after="0"/>
              <w:rPr>
                <w:sz w:val="20"/>
                <w:szCs w:val="20"/>
                <w:color w:val="auto"/>
              </w:rPr>
            </w:pPr>
            <w:r>
              <w:rPr>
                <w:rFonts w:ascii="Arial" w:cs="Arial" w:eastAsia="Arial" w:hAnsi="Arial"/>
                <w:sz w:val="14"/>
                <w:szCs w:val="14"/>
                <w:color w:val="auto"/>
              </w:rPr>
              <w:t>$125,000</w:t>
            </w:r>
          </w:p>
        </w:tc>
      </w:tr>
      <w:tr>
        <w:trPr>
          <w:trHeight w:val="22"/>
        </w:trPr>
        <w:tc>
          <w:tcPr>
            <w:tcW w:w="9700" w:type="dxa"/>
            <w:vAlign w:val="bottom"/>
            <w:tcBorders>
              <w:left w:val="single" w:sz="8" w:color="939598"/>
              <w:bottom w:val="single" w:sz="8" w:color="939598"/>
              <w:right w:val="single" w:sz="8" w:color="939598"/>
            </w:tcBorders>
          </w:tcPr>
          <w:p>
            <w:pPr>
              <w:spacing w:after="0" w:line="20" w:lineRule="exact"/>
              <w:rPr>
                <w:sz w:val="1"/>
                <w:szCs w:val="1"/>
                <w:color w:val="auto"/>
              </w:rPr>
            </w:pPr>
          </w:p>
        </w:tc>
        <w:tc>
          <w:tcPr>
            <w:tcW w:w="1560" w:type="dxa"/>
            <w:vAlign w:val="bottom"/>
            <w:tcBorders>
              <w:bottom w:val="single" w:sz="8" w:color="939598"/>
              <w:right w:val="single" w:sz="8" w:color="939598"/>
            </w:tcBorders>
          </w:tcPr>
          <w:p>
            <w:pPr>
              <w:spacing w:after="0" w:line="20" w:lineRule="exact"/>
              <w:rPr>
                <w:sz w:val="1"/>
                <w:szCs w:val="1"/>
                <w:color w:val="auto"/>
              </w:rPr>
            </w:pPr>
          </w:p>
        </w:tc>
      </w:tr>
      <w:tr>
        <w:trPr>
          <w:trHeight w:val="228"/>
        </w:trPr>
        <w:tc>
          <w:tcPr>
            <w:tcW w:w="9700" w:type="dxa"/>
            <w:vAlign w:val="bottom"/>
            <w:tcBorders>
              <w:left w:val="single" w:sz="8" w:color="939598"/>
              <w:bottom w:val="single" w:sz="8" w:color="E5E5E5"/>
              <w:right w:val="single" w:sz="8" w:color="939598"/>
            </w:tcBorders>
            <w:shd w:val="clear" w:color="auto" w:fill="E5E5E5"/>
          </w:tcPr>
          <w:p>
            <w:pPr>
              <w:ind w:left="360"/>
              <w:spacing w:after="0"/>
              <w:rPr>
                <w:sz w:val="20"/>
                <w:szCs w:val="20"/>
                <w:color w:val="auto"/>
              </w:rPr>
            </w:pPr>
            <w:r>
              <w:rPr>
                <w:rFonts w:ascii="Arial" w:cs="Arial" w:eastAsia="Arial" w:hAnsi="Arial"/>
                <w:sz w:val="14"/>
                <w:szCs w:val="14"/>
                <w:i w:val="1"/>
                <w:iCs w:val="1"/>
                <w:color w:val="auto"/>
              </w:rPr>
              <w:t>Audit Committee Chair</w:t>
            </w:r>
          </w:p>
        </w:tc>
        <w:tc>
          <w:tcPr>
            <w:tcW w:w="1560" w:type="dxa"/>
            <w:vAlign w:val="bottom"/>
            <w:tcBorders>
              <w:bottom w:val="single" w:sz="8" w:color="E5E5E5"/>
              <w:right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$ 20,000</w:t>
            </w:r>
          </w:p>
        </w:tc>
      </w:tr>
      <w:tr>
        <w:trPr>
          <w:trHeight w:val="201"/>
        </w:trPr>
        <w:tc>
          <w:tcPr>
            <w:tcW w:w="9700" w:type="dxa"/>
            <w:vAlign w:val="bottom"/>
            <w:tcBorders>
              <w:top w:val="single" w:sz="8" w:color="939598"/>
              <w:left w:val="single" w:sz="8" w:color="939598"/>
              <w:right w:val="single" w:sz="8" w:color="939598"/>
            </w:tcBorders>
          </w:tcPr>
          <w:p>
            <w:pPr>
              <w:ind w:left="360"/>
              <w:spacing w:after="0"/>
              <w:rPr>
                <w:sz w:val="20"/>
                <w:szCs w:val="20"/>
                <w:color w:val="auto"/>
              </w:rPr>
            </w:pPr>
            <w:r>
              <w:rPr>
                <w:rFonts w:ascii="Arial" w:cs="Arial" w:eastAsia="Arial" w:hAnsi="Arial"/>
                <w:sz w:val="14"/>
                <w:szCs w:val="14"/>
                <w:i w:val="1"/>
                <w:iCs w:val="1"/>
                <w:color w:val="auto"/>
              </w:rPr>
              <w:t>Compensation Committee Chair</w:t>
            </w:r>
          </w:p>
        </w:tc>
        <w:tc>
          <w:tcPr>
            <w:tcW w:w="1560" w:type="dxa"/>
            <w:vAlign w:val="bottom"/>
            <w:tcBorders>
              <w:top w:val="single" w:sz="8" w:color="939598"/>
              <w:right w:val="single" w:sz="8" w:color="939598"/>
            </w:tcBorders>
          </w:tcPr>
          <w:p>
            <w:pPr>
              <w:jc w:val="right"/>
              <w:spacing w:after="0"/>
              <w:rPr>
                <w:sz w:val="20"/>
                <w:szCs w:val="20"/>
                <w:color w:val="auto"/>
              </w:rPr>
            </w:pPr>
            <w:r>
              <w:rPr>
                <w:rFonts w:ascii="Arial" w:cs="Arial" w:eastAsia="Arial" w:hAnsi="Arial"/>
                <w:sz w:val="14"/>
                <w:szCs w:val="14"/>
                <w:color w:val="auto"/>
              </w:rPr>
              <w:t>$ 15,000</w:t>
            </w:r>
          </w:p>
        </w:tc>
      </w:tr>
      <w:tr>
        <w:trPr>
          <w:trHeight w:val="22"/>
        </w:trPr>
        <w:tc>
          <w:tcPr>
            <w:tcW w:w="9700" w:type="dxa"/>
            <w:vAlign w:val="bottom"/>
            <w:tcBorders>
              <w:left w:val="single" w:sz="8" w:color="939598"/>
              <w:bottom w:val="single" w:sz="8" w:color="939598"/>
              <w:right w:val="single" w:sz="8" w:color="939598"/>
            </w:tcBorders>
          </w:tcPr>
          <w:p>
            <w:pPr>
              <w:spacing w:after="0" w:line="20" w:lineRule="exact"/>
              <w:rPr>
                <w:sz w:val="1"/>
                <w:szCs w:val="1"/>
                <w:color w:val="auto"/>
              </w:rPr>
            </w:pPr>
          </w:p>
        </w:tc>
        <w:tc>
          <w:tcPr>
            <w:tcW w:w="1560" w:type="dxa"/>
            <w:vAlign w:val="bottom"/>
            <w:tcBorders>
              <w:bottom w:val="single" w:sz="8" w:color="939598"/>
              <w:right w:val="single" w:sz="8" w:color="939598"/>
            </w:tcBorders>
          </w:tcPr>
          <w:p>
            <w:pPr>
              <w:spacing w:after="0" w:line="20" w:lineRule="exact"/>
              <w:rPr>
                <w:sz w:val="1"/>
                <w:szCs w:val="1"/>
                <w:color w:val="auto"/>
              </w:rPr>
            </w:pPr>
          </w:p>
        </w:tc>
      </w:tr>
      <w:tr>
        <w:trPr>
          <w:trHeight w:val="203"/>
        </w:trPr>
        <w:tc>
          <w:tcPr>
            <w:tcW w:w="9700" w:type="dxa"/>
            <w:vAlign w:val="bottom"/>
            <w:tcBorders>
              <w:left w:val="single" w:sz="8" w:color="939598"/>
              <w:bottom w:val="single" w:sz="8" w:color="E5E5E5"/>
              <w:right w:val="single" w:sz="8" w:color="939598"/>
            </w:tcBorders>
            <w:shd w:val="clear" w:color="auto" w:fill="E5E5E5"/>
          </w:tcPr>
          <w:p>
            <w:pPr>
              <w:ind w:left="360"/>
              <w:spacing w:after="0"/>
              <w:rPr>
                <w:sz w:val="20"/>
                <w:szCs w:val="20"/>
                <w:color w:val="auto"/>
              </w:rPr>
            </w:pPr>
            <w:r>
              <w:rPr>
                <w:rFonts w:ascii="Arial" w:cs="Arial" w:eastAsia="Arial" w:hAnsi="Arial"/>
                <w:sz w:val="14"/>
                <w:szCs w:val="14"/>
                <w:i w:val="1"/>
                <w:iCs w:val="1"/>
                <w:color w:val="auto"/>
              </w:rPr>
              <w:t>Governance &amp; Sustainability Committee Chair</w:t>
            </w:r>
          </w:p>
        </w:tc>
        <w:tc>
          <w:tcPr>
            <w:tcW w:w="1560" w:type="dxa"/>
            <w:vAlign w:val="bottom"/>
            <w:tcBorders>
              <w:bottom w:val="single" w:sz="8" w:color="E5E5E5"/>
              <w:right w:val="single" w:sz="8" w:color="939598"/>
            </w:tcBorders>
            <w:shd w:val="clear" w:color="auto" w:fill="E5E5E5"/>
          </w:tcPr>
          <w:p>
            <w:pPr>
              <w:jc w:val="right"/>
              <w:spacing w:after="0"/>
              <w:rPr>
                <w:sz w:val="20"/>
                <w:szCs w:val="20"/>
                <w:color w:val="auto"/>
              </w:rPr>
            </w:pPr>
            <w:r>
              <w:rPr>
                <w:rFonts w:ascii="Arial" w:cs="Arial" w:eastAsia="Arial" w:hAnsi="Arial"/>
                <w:sz w:val="14"/>
                <w:szCs w:val="14"/>
                <w:color w:val="auto"/>
              </w:rPr>
              <w:t>$ 15,000</w:t>
            </w:r>
          </w:p>
        </w:tc>
      </w:tr>
      <w:tr>
        <w:trPr>
          <w:trHeight w:val="20"/>
        </w:trPr>
        <w:tc>
          <w:tcPr>
            <w:tcW w:w="9700" w:type="dxa"/>
            <w:vAlign w:val="bottom"/>
            <w:tcBorders>
              <w:left w:val="single" w:sz="8" w:color="939598"/>
              <w:right w:val="single" w:sz="8" w:color="939598"/>
            </w:tcBorders>
            <w:shd w:val="clear" w:color="auto" w:fill="939598"/>
          </w:tcPr>
          <w:p>
            <w:pPr>
              <w:spacing w:after="0" w:line="20" w:lineRule="exact"/>
              <w:rPr>
                <w:sz w:val="1"/>
                <w:szCs w:val="1"/>
                <w:color w:val="auto"/>
              </w:rPr>
            </w:pPr>
          </w:p>
        </w:tc>
        <w:tc>
          <w:tcPr>
            <w:tcW w:w="1560" w:type="dxa"/>
            <w:vAlign w:val="bottom"/>
            <w:tcBorders>
              <w:right w:val="single" w:sz="8" w:color="939598"/>
            </w:tcBorders>
            <w:shd w:val="clear" w:color="auto" w:fill="939598"/>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We pay the annual cash retainer and any applicable additional cash fees to our non-employee directors in equal quarterly installments, paid in arrears. The portion of cash compensation for a director who has a partial quarter of service (due to joining or leaving the Board, or beginning or ending service as Chairman or a Committee Chair, during the quarter) is pro-rated. We do not pay meeting fees or additional compensation to directors for special meetings.</w:t>
      </w:r>
    </w:p>
    <w:p>
      <w:pPr>
        <w:spacing w:after="0" w:line="13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annual equity grant of restricted stock units (“RSU”) is made under the SPX 2019 Stock Compensation Plan (the “2019 Stock Plan”). The number of RSUs awarded is calculated by dividing the $140,000 annual equity retainer by the closing price of the Company’s stock on the date of grant and rounding up to a full share. The RSU award is granted in connection with our Annual Meeting and vests the day before the following annual meeting. Vesting is subject to the director’s continued service on our Board through such vesting date. The annual equity grant for a director who has a partial year of service (due to joining the Board during the year) is pro-rated.</w:t>
      </w:r>
    </w:p>
    <w:p>
      <w:pPr>
        <w:spacing w:after="0" w:line="137"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Our non-employee directors have the option to defer settlement and payout of vested RSU grants until six months after separating from service on our Board (or, if earlier, a Change in Control as defined in the 2019 Stock Plan). A non-employee director must generally make such deferral election in the year prior to the grant of the RSU award.</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We do not currently pay dividends or dividend equivalents with respect to the RSUs.</w:t>
      </w:r>
    </w:p>
    <w:p>
      <w:pPr>
        <w:spacing w:after="0" w:line="167"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Directors who are SPX employees receive no compensation for their service as directors. Mr. Lowe, our President and CEO, received no compensation for his service as a director in 2024.</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BENEFITS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Matching Gifts Program</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We will make matching donations for qualified charitable contributions for any non-employee director up to a total of $10,000 per year.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Travel Reimbursements</w:t>
      </w:r>
    </w:p>
    <w:p>
      <w:pPr>
        <w:spacing w:after="0" w:line="6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We reimburse non-employee directors for the reasonable expenses of attending Board and committee meetings and for expenses associated with director training and development. From time to time, a director’s spouse may accompany the director to certain business functions, including on our corporate aircraft; in such instances, the value of the spouse’s travel is imputed for income tax purposes as income to the director (determined under the U.S. Department of Transportation’s standard industry fare level (“SIFL”)) and the incremental cost to SPX, if any, is included as other compensation in our Director Compensation Table if it, together with any other personal benefits, exceeds the threshold specified under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641350</wp:posOffset>
            </wp:positionV>
            <wp:extent cx="40322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0322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4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r>
        <w:trPr>
          <w:trHeight w:val="279"/>
        </w:trPr>
        <w:tc>
          <w:tcPr>
            <w:tcW w:w="10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20" w:right="319" w:bottom="1440" w:gutter="0" w:footer="0" w:header="0"/>
        </w:sectPr>
      </w:pPr>
    </w:p>
    <w:bookmarkStart w:id="17" w:name="page18"/>
    <w:bookmarkEnd w:id="17"/>
    <w:p>
      <w:pPr>
        <w:ind w:left="20"/>
        <w:spacing w:after="0"/>
        <w:rPr>
          <w:sz w:val="20"/>
          <w:szCs w:val="20"/>
          <w:color w:val="auto"/>
        </w:rPr>
      </w:pPr>
      <w:r>
        <w:rPr>
          <w:rFonts w:ascii="Arial" w:cs="Arial" w:eastAsia="Arial" w:hAnsi="Arial"/>
          <w:sz w:val="14"/>
          <w:szCs w:val="14"/>
          <w:color w:val="004C97"/>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EVALUATION PRACTICES</w:t>
      </w:r>
    </w:p>
    <w:p>
      <w:pPr>
        <w:spacing w:after="0" w:line="77"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The Governance &amp; Sustainability Committee periodically reviews non-employee director compensation and makes recommendations to the Board. The Governance &amp; Sustainability Committee evaluates our non-employee director compensation against our peer companies and consults with our independent compensation consultant when reviewing compensation amounts and structure.</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OWNERSHIP GUIDELINES</w:t>
      </w:r>
    </w:p>
    <w:p>
      <w:pPr>
        <w:spacing w:after="0" w:line="6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Our Stock Ownership Guidelines are designed to help ensure that our directors are engaged and have interests closely aligned with those of our long-term stockholders. We request that all non-employee directors achieve holdings in Company stock of five times the annual cash retainer within five years of his or her date of initial election to the Board. All of our directors were in compliance with these requirements as of March 17, 2025. For additional information on our Stock Ownership Guidelines, see “Stock Ownership Guidelines,” beginning on page 21.</w:t>
      </w:r>
    </w:p>
    <w:p>
      <w:pPr>
        <w:spacing w:after="0" w:line="25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compensation of our non-employee directors who served during 2024.</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5000" w:type="dxa"/>
            <w:vAlign w:val="bottom"/>
            <w:tcBorders>
              <w:top w:val="single" w:sz="8" w:color="auto"/>
              <w:left w:val="single" w:sz="8" w:color="auto"/>
              <w:right w:val="single" w:sz="8" w:color="auto"/>
            </w:tcBorders>
            <w:shd w:val="clear" w:color="auto" w:fill="004C97"/>
          </w:tcPr>
          <w:p>
            <w:pPr>
              <w:spacing w:after="0"/>
              <w:rPr>
                <w:sz w:val="16"/>
                <w:szCs w:val="16"/>
                <w:color w:val="auto"/>
              </w:rPr>
            </w:pPr>
          </w:p>
        </w:tc>
        <w:tc>
          <w:tcPr>
            <w:tcW w:w="190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Fees Earned or</w:t>
            </w:r>
          </w:p>
        </w:tc>
        <w:tc>
          <w:tcPr>
            <w:tcW w:w="144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1560" w:type="dxa"/>
            <w:vAlign w:val="bottom"/>
            <w:tcBorders>
              <w:top w:val="single" w:sz="8" w:color="auto"/>
              <w:right w:val="single" w:sz="8" w:color="auto"/>
            </w:tcBorders>
            <w:shd w:val="clear" w:color="auto" w:fill="004C97"/>
          </w:tcPr>
          <w:p>
            <w:pPr>
              <w:spacing w:after="0"/>
              <w:rPr>
                <w:sz w:val="16"/>
                <w:szCs w:val="16"/>
                <w:color w:val="auto"/>
              </w:rPr>
            </w:pPr>
          </w:p>
        </w:tc>
        <w:tc>
          <w:tcPr>
            <w:tcW w:w="1360" w:type="dxa"/>
            <w:vAlign w:val="bottom"/>
            <w:tcBorders>
              <w:top w:val="single" w:sz="8" w:color="auto"/>
              <w:right w:val="single" w:sz="8" w:color="auto"/>
            </w:tcBorders>
            <w:shd w:val="clear" w:color="auto" w:fill="004C97"/>
          </w:tcPr>
          <w:p>
            <w:pPr>
              <w:spacing w:after="0"/>
              <w:rPr>
                <w:sz w:val="16"/>
                <w:szCs w:val="16"/>
                <w:color w:val="auto"/>
              </w:rPr>
            </w:pPr>
          </w:p>
        </w:tc>
      </w:tr>
      <w:tr>
        <w:trPr>
          <w:trHeight w:val="162"/>
        </w:trPr>
        <w:tc>
          <w:tcPr>
            <w:tcW w:w="5000" w:type="dxa"/>
            <w:vAlign w:val="bottom"/>
            <w:tcBorders>
              <w:left w:val="single" w:sz="8" w:color="auto"/>
              <w:right w:val="single" w:sz="8" w:color="auto"/>
            </w:tcBorders>
            <w:shd w:val="clear" w:color="auto" w:fill="004C97"/>
          </w:tcPr>
          <w:p>
            <w:pPr>
              <w:spacing w:after="0"/>
              <w:rPr>
                <w:sz w:val="14"/>
                <w:szCs w:val="14"/>
                <w:color w:val="auto"/>
              </w:rPr>
            </w:pPr>
          </w:p>
        </w:tc>
        <w:tc>
          <w:tcPr>
            <w:tcW w:w="19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Paid in Cash</w:t>
            </w:r>
          </w:p>
        </w:tc>
        <w:tc>
          <w:tcPr>
            <w:tcW w:w="144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Awards</w:t>
            </w:r>
          </w:p>
        </w:tc>
        <w:tc>
          <w:tcPr>
            <w:tcW w:w="156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All Other</w:t>
            </w:r>
          </w:p>
        </w:tc>
        <w:tc>
          <w:tcPr>
            <w:tcW w:w="1360" w:type="dxa"/>
            <w:vAlign w:val="bottom"/>
            <w:tcBorders>
              <w:right w:val="single" w:sz="8" w:color="auto"/>
            </w:tcBorders>
            <w:shd w:val="clear" w:color="auto" w:fill="004C97"/>
          </w:tcPr>
          <w:p>
            <w:pPr>
              <w:ind w:left="500"/>
              <w:spacing w:after="0"/>
              <w:rPr>
                <w:sz w:val="20"/>
                <w:szCs w:val="20"/>
                <w:color w:val="auto"/>
              </w:rPr>
            </w:pPr>
            <w:r>
              <w:rPr>
                <w:rFonts w:ascii="Arial" w:cs="Arial" w:eastAsia="Arial" w:hAnsi="Arial"/>
                <w:sz w:val="14"/>
                <w:szCs w:val="14"/>
                <w:b w:val="1"/>
                <w:bCs w:val="1"/>
                <w:color w:val="FFFFFF"/>
              </w:rPr>
              <w:t>Total</w:t>
            </w:r>
          </w:p>
        </w:tc>
      </w:tr>
      <w:tr>
        <w:trPr>
          <w:trHeight w:val="225"/>
        </w:trPr>
        <w:tc>
          <w:tcPr>
            <w:tcW w:w="5000" w:type="dxa"/>
            <w:vAlign w:val="bottom"/>
            <w:tcBorders>
              <w:left w:val="single" w:sz="8" w:color="auto"/>
              <w:bottom w:val="single" w:sz="8" w:color="auto"/>
              <w:right w:val="single" w:sz="8" w:color="auto"/>
            </w:tcBorders>
            <w:shd w:val="clear" w:color="auto" w:fill="004C97"/>
          </w:tcPr>
          <w:p>
            <w:pPr>
              <w:ind w:left="2180"/>
              <w:spacing w:after="0"/>
              <w:rPr>
                <w:sz w:val="20"/>
                <w:szCs w:val="20"/>
                <w:color w:val="auto"/>
              </w:rPr>
            </w:pPr>
            <w:r>
              <w:rPr>
                <w:rFonts w:ascii="Arial" w:cs="Arial" w:eastAsia="Arial" w:hAnsi="Arial"/>
                <w:sz w:val="14"/>
                <w:szCs w:val="14"/>
                <w:b w:val="1"/>
                <w:bCs w:val="1"/>
                <w:color w:val="FFFFFF"/>
              </w:rPr>
              <w:t>Directors</w:t>
            </w:r>
          </w:p>
        </w:tc>
        <w:tc>
          <w:tcPr>
            <w:tcW w:w="1900" w:type="dxa"/>
            <w:vAlign w:val="bottom"/>
            <w:tcBorders>
              <w:bottom w:val="single" w:sz="8" w:color="auto"/>
              <w:right w:val="single" w:sz="8" w:color="auto"/>
            </w:tcBorders>
            <w:shd w:val="clear" w:color="auto" w:fill="004C97"/>
          </w:tcPr>
          <w:p>
            <w:pPr>
              <w:jc w:val="center"/>
              <w:spacing w:after="0" w:line="225" w:lineRule="exact"/>
              <w:rPr>
                <w:sz w:val="20"/>
                <w:szCs w:val="20"/>
                <w:color w:val="auto"/>
              </w:rPr>
            </w:pPr>
            <w:r>
              <w:rPr>
                <w:rFonts w:ascii="Arial" w:cs="Arial" w:eastAsia="Arial" w:hAnsi="Arial"/>
                <w:sz w:val="26"/>
                <w:szCs w:val="26"/>
                <w:b w:val="1"/>
                <w:bCs w:val="1"/>
                <w:color w:val="FFFFFF"/>
                <w:w w:val="93"/>
                <w:vertAlign w:val="subscript"/>
              </w:rPr>
              <w:t>($)</w:t>
            </w:r>
            <w:r>
              <w:rPr>
                <w:rFonts w:ascii="Arial" w:cs="Arial" w:eastAsia="Arial" w:hAnsi="Arial"/>
                <w:sz w:val="9"/>
                <w:szCs w:val="9"/>
                <w:b w:val="1"/>
                <w:bCs w:val="1"/>
                <w:color w:val="FFFFFF"/>
                <w:w w:val="93"/>
              </w:rPr>
              <w:t>(1)</w:t>
            </w:r>
          </w:p>
        </w:tc>
        <w:tc>
          <w:tcPr>
            <w:tcW w:w="1440" w:type="dxa"/>
            <w:vAlign w:val="bottom"/>
            <w:tcBorders>
              <w:bottom w:val="single" w:sz="8" w:color="auto"/>
              <w:right w:val="single" w:sz="8" w:color="auto"/>
            </w:tcBorders>
            <w:shd w:val="clear" w:color="auto" w:fill="004C97"/>
          </w:tcPr>
          <w:p>
            <w:pPr>
              <w:jc w:val="center"/>
              <w:spacing w:after="0" w:line="225" w:lineRule="exact"/>
              <w:rPr>
                <w:sz w:val="20"/>
                <w:szCs w:val="20"/>
                <w:color w:val="auto"/>
              </w:rPr>
            </w:pPr>
            <w:r>
              <w:rPr>
                <w:rFonts w:ascii="Arial" w:cs="Arial" w:eastAsia="Arial" w:hAnsi="Arial"/>
                <w:sz w:val="26"/>
                <w:szCs w:val="26"/>
                <w:b w:val="1"/>
                <w:bCs w:val="1"/>
                <w:color w:val="FFFFFF"/>
                <w:w w:val="93"/>
                <w:vertAlign w:val="subscript"/>
              </w:rPr>
              <w:t>($)</w:t>
            </w:r>
            <w:r>
              <w:rPr>
                <w:rFonts w:ascii="Arial" w:cs="Arial" w:eastAsia="Arial" w:hAnsi="Arial"/>
                <w:sz w:val="9"/>
                <w:szCs w:val="9"/>
                <w:b w:val="1"/>
                <w:bCs w:val="1"/>
                <w:color w:val="FFFFFF"/>
                <w:w w:val="93"/>
              </w:rPr>
              <w:t>(2)</w:t>
            </w:r>
          </w:p>
        </w:tc>
        <w:tc>
          <w:tcPr>
            <w:tcW w:w="156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Compensation ($)</w:t>
            </w:r>
            <w:r>
              <w:rPr>
                <w:rFonts w:ascii="Arial" w:cs="Arial" w:eastAsia="Arial" w:hAnsi="Arial"/>
                <w:sz w:val="9"/>
                <w:szCs w:val="9"/>
                <w:b w:val="1"/>
                <w:bCs w:val="1"/>
                <w:color w:val="FFFFFF"/>
              </w:rPr>
              <w:t>(3)</w:t>
            </w:r>
          </w:p>
        </w:tc>
        <w:tc>
          <w:tcPr>
            <w:tcW w:w="136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w:t>
            </w:r>
          </w:p>
        </w:tc>
      </w:tr>
      <w:tr>
        <w:trPr>
          <w:trHeight w:val="223"/>
        </w:trPr>
        <w:tc>
          <w:tcPr>
            <w:tcW w:w="5000" w:type="dxa"/>
            <w:vAlign w:val="bottom"/>
            <w:tcBorders>
              <w:left w:val="single" w:sz="8" w:color="auto"/>
              <w:bottom w:val="single" w:sz="8" w:color="auto"/>
              <w:right w:val="single" w:sz="8" w:color="auto"/>
            </w:tcBorders>
            <w:shd w:val="clear" w:color="auto" w:fill="E5E5E5"/>
          </w:tcPr>
          <w:p>
            <w:pPr>
              <w:ind w:left="200"/>
              <w:spacing w:after="0"/>
              <w:rPr>
                <w:sz w:val="20"/>
                <w:szCs w:val="20"/>
                <w:color w:val="auto"/>
              </w:rPr>
            </w:pPr>
            <w:r>
              <w:rPr>
                <w:rFonts w:ascii="Arial" w:cs="Arial" w:eastAsia="Arial" w:hAnsi="Arial"/>
                <w:sz w:val="14"/>
                <w:szCs w:val="14"/>
                <w:color w:val="auto"/>
              </w:rPr>
              <w:t>Patrick J. O’Leary</w:t>
            </w:r>
          </w:p>
        </w:tc>
        <w:tc>
          <w:tcPr>
            <w:tcW w:w="190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w w:val="97"/>
              </w:rPr>
              <w:t>215,000</w:t>
            </w:r>
            <w:r>
              <w:rPr>
                <w:rFonts w:ascii="Arial" w:cs="Arial" w:eastAsia="Arial" w:hAnsi="Arial"/>
                <w:sz w:val="18"/>
                <w:szCs w:val="18"/>
                <w:color w:val="auto"/>
                <w:w w:val="97"/>
                <w:vertAlign w:val="superscript"/>
              </w:rPr>
              <w:t>(a)</w:t>
            </w:r>
          </w:p>
        </w:tc>
        <w:tc>
          <w:tcPr>
            <w:tcW w:w="144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w w:val="98"/>
              </w:rPr>
              <w:t>140,119</w:t>
            </w:r>
          </w:p>
        </w:tc>
        <w:tc>
          <w:tcPr>
            <w:tcW w:w="156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10,000</w:t>
            </w:r>
          </w:p>
        </w:tc>
        <w:tc>
          <w:tcPr>
            <w:tcW w:w="136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w w:val="98"/>
              </w:rPr>
              <w:t>365,119</w:t>
            </w:r>
          </w:p>
        </w:tc>
      </w:tr>
      <w:tr>
        <w:trPr>
          <w:trHeight w:val="223"/>
        </w:trPr>
        <w:tc>
          <w:tcPr>
            <w:tcW w:w="500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Ricky D. Puckett</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105,000</w:t>
            </w:r>
            <w:r>
              <w:rPr>
                <w:rFonts w:ascii="Arial" w:cs="Arial" w:eastAsia="Arial" w:hAnsi="Arial"/>
                <w:sz w:val="18"/>
                <w:szCs w:val="18"/>
                <w:color w:val="auto"/>
                <w:w w:val="97"/>
                <w:vertAlign w:val="superscript"/>
              </w:rPr>
              <w:t>(b)</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140,119</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10,000</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255,119</w:t>
            </w:r>
          </w:p>
        </w:tc>
      </w:tr>
      <w:tr>
        <w:trPr>
          <w:trHeight w:val="228"/>
        </w:trPr>
        <w:tc>
          <w:tcPr>
            <w:tcW w:w="5000" w:type="dxa"/>
            <w:vAlign w:val="bottom"/>
            <w:tcBorders>
              <w:left w:val="single" w:sz="8" w:color="auto"/>
              <w:bottom w:val="single" w:sz="8" w:color="E5E5E5"/>
              <w:right w:val="single" w:sz="8" w:color="auto"/>
            </w:tcBorders>
            <w:shd w:val="clear" w:color="auto" w:fill="E5E5E5"/>
          </w:tcPr>
          <w:p>
            <w:pPr>
              <w:ind w:left="200"/>
              <w:spacing w:after="0"/>
              <w:rPr>
                <w:sz w:val="20"/>
                <w:szCs w:val="20"/>
                <w:color w:val="auto"/>
              </w:rPr>
            </w:pPr>
            <w:r>
              <w:rPr>
                <w:rFonts w:ascii="Arial" w:cs="Arial" w:eastAsia="Arial" w:hAnsi="Arial"/>
                <w:sz w:val="14"/>
                <w:szCs w:val="14"/>
                <w:color w:val="auto"/>
              </w:rPr>
              <w:t>David A. Roberts</w:t>
            </w:r>
          </w:p>
        </w:tc>
        <w:tc>
          <w:tcPr>
            <w:tcW w:w="190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90,000</w:t>
            </w:r>
          </w:p>
        </w:tc>
        <w:tc>
          <w:tcPr>
            <w:tcW w:w="144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w w:val="98"/>
              </w:rPr>
              <w:t>140,119</w:t>
            </w:r>
          </w:p>
        </w:tc>
        <w:tc>
          <w:tcPr>
            <w:tcW w:w="156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10,000</w:t>
            </w:r>
          </w:p>
        </w:tc>
        <w:tc>
          <w:tcPr>
            <w:tcW w:w="136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w w:val="98"/>
              </w:rPr>
              <w:t>240,119</w:t>
            </w:r>
          </w:p>
        </w:tc>
      </w:tr>
      <w:tr>
        <w:trPr>
          <w:trHeight w:val="223"/>
        </w:trPr>
        <w:tc>
          <w:tcPr>
            <w:tcW w:w="5000" w:type="dxa"/>
            <w:vAlign w:val="bottom"/>
            <w:tcBorders>
              <w:top w:val="single" w:sz="8" w:color="auto"/>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Meenal A. Sethna</w:t>
            </w:r>
          </w:p>
        </w:tc>
        <w:tc>
          <w:tcPr>
            <w:tcW w:w="1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110,000</w:t>
            </w:r>
            <w:r>
              <w:rPr>
                <w:rFonts w:ascii="Arial" w:cs="Arial" w:eastAsia="Arial" w:hAnsi="Arial"/>
                <w:sz w:val="18"/>
                <w:szCs w:val="18"/>
                <w:color w:val="auto"/>
                <w:w w:val="95"/>
                <w:vertAlign w:val="superscript"/>
              </w:rPr>
              <w:t>(c)</w:t>
            </w:r>
          </w:p>
        </w:tc>
        <w:tc>
          <w:tcPr>
            <w:tcW w:w="1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140,119</w:t>
            </w:r>
          </w:p>
        </w:tc>
        <w:tc>
          <w:tcPr>
            <w:tcW w:w="1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8,906</w:t>
            </w:r>
          </w:p>
        </w:tc>
        <w:tc>
          <w:tcPr>
            <w:tcW w:w="1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259,025</w:t>
            </w:r>
          </w:p>
        </w:tc>
      </w:tr>
      <w:tr>
        <w:trPr>
          <w:trHeight w:val="223"/>
        </w:trPr>
        <w:tc>
          <w:tcPr>
            <w:tcW w:w="5000" w:type="dxa"/>
            <w:vAlign w:val="bottom"/>
            <w:tcBorders>
              <w:left w:val="single" w:sz="8" w:color="auto"/>
              <w:bottom w:val="single" w:sz="8" w:color="auto"/>
              <w:right w:val="single" w:sz="8" w:color="auto"/>
            </w:tcBorders>
            <w:shd w:val="clear" w:color="auto" w:fill="E5E5E5"/>
          </w:tcPr>
          <w:p>
            <w:pPr>
              <w:ind w:left="200"/>
              <w:spacing w:after="0"/>
              <w:rPr>
                <w:sz w:val="20"/>
                <w:szCs w:val="20"/>
                <w:color w:val="auto"/>
              </w:rPr>
            </w:pPr>
            <w:r>
              <w:rPr>
                <w:rFonts w:ascii="Arial" w:cs="Arial" w:eastAsia="Arial" w:hAnsi="Arial"/>
                <w:sz w:val="14"/>
                <w:szCs w:val="14"/>
                <w:color w:val="auto"/>
              </w:rPr>
              <w:t>Ruth G. Shaw</w:t>
            </w:r>
          </w:p>
        </w:tc>
        <w:tc>
          <w:tcPr>
            <w:tcW w:w="190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w w:val="97"/>
              </w:rPr>
              <w:t>105,000</w:t>
            </w:r>
            <w:r>
              <w:rPr>
                <w:rFonts w:ascii="Arial" w:cs="Arial" w:eastAsia="Arial" w:hAnsi="Arial"/>
                <w:sz w:val="18"/>
                <w:szCs w:val="18"/>
                <w:color w:val="auto"/>
                <w:w w:val="97"/>
                <w:vertAlign w:val="superscript"/>
              </w:rPr>
              <w:t>(d)</w:t>
            </w:r>
          </w:p>
        </w:tc>
        <w:tc>
          <w:tcPr>
            <w:tcW w:w="144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w w:val="98"/>
              </w:rPr>
              <w:t>140,119</w:t>
            </w:r>
          </w:p>
        </w:tc>
        <w:tc>
          <w:tcPr>
            <w:tcW w:w="1560" w:type="dxa"/>
            <w:vAlign w:val="bottom"/>
            <w:tcBorders>
              <w:bottom w:val="single" w:sz="8" w:color="auto"/>
              <w:right w:val="single" w:sz="8" w:color="auto"/>
            </w:tcBorders>
            <w:shd w:val="clear" w:color="auto" w:fill="E5E5E5"/>
          </w:tcPr>
          <w:p>
            <w:pPr>
              <w:spacing w:after="0"/>
              <w:rPr>
                <w:sz w:val="19"/>
                <w:szCs w:val="19"/>
                <w:color w:val="auto"/>
              </w:rPr>
            </w:pPr>
          </w:p>
        </w:tc>
        <w:tc>
          <w:tcPr>
            <w:tcW w:w="136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w w:val="98"/>
              </w:rPr>
              <w:t>245,119</w:t>
            </w:r>
          </w:p>
        </w:tc>
      </w:tr>
      <w:tr>
        <w:trPr>
          <w:trHeight w:val="201"/>
        </w:trPr>
        <w:tc>
          <w:tcPr>
            <w:tcW w:w="500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Robert B. Toth</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90,000</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140,119</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9,500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239,619</w:t>
            </w:r>
          </w:p>
        </w:tc>
      </w:tr>
      <w:tr>
        <w:trPr>
          <w:trHeight w:val="22"/>
        </w:trPr>
        <w:tc>
          <w:tcPr>
            <w:tcW w:w="5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000" w:type="dxa"/>
            <w:vAlign w:val="bottom"/>
            <w:tcBorders>
              <w:left w:val="single" w:sz="8" w:color="auto"/>
              <w:bottom w:val="single" w:sz="8" w:color="E5E5E5"/>
              <w:right w:val="single" w:sz="8" w:color="auto"/>
            </w:tcBorders>
            <w:shd w:val="clear" w:color="auto" w:fill="E5E5E5"/>
          </w:tcPr>
          <w:p>
            <w:pPr>
              <w:ind w:left="200"/>
              <w:spacing w:after="0"/>
              <w:rPr>
                <w:sz w:val="20"/>
                <w:szCs w:val="20"/>
                <w:color w:val="auto"/>
              </w:rPr>
            </w:pPr>
            <w:r>
              <w:rPr>
                <w:rFonts w:ascii="Arial" w:cs="Arial" w:eastAsia="Arial" w:hAnsi="Arial"/>
                <w:sz w:val="14"/>
                <w:szCs w:val="14"/>
                <w:color w:val="auto"/>
              </w:rPr>
              <w:t>Tana L. Utley</w:t>
            </w:r>
          </w:p>
        </w:tc>
        <w:tc>
          <w:tcPr>
            <w:tcW w:w="190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90,000</w:t>
            </w:r>
          </w:p>
        </w:tc>
        <w:tc>
          <w:tcPr>
            <w:tcW w:w="144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w w:val="98"/>
              </w:rPr>
              <w:t>140,119</w:t>
            </w:r>
          </w:p>
        </w:tc>
        <w:tc>
          <w:tcPr>
            <w:tcW w:w="1560" w:type="dxa"/>
            <w:vAlign w:val="bottom"/>
            <w:tcBorders>
              <w:bottom w:val="single" w:sz="8" w:color="E5E5E5"/>
              <w:right w:val="single" w:sz="8" w:color="auto"/>
            </w:tcBorders>
            <w:shd w:val="clear" w:color="auto" w:fill="E5E5E5"/>
          </w:tcPr>
          <w:p>
            <w:pPr>
              <w:spacing w:after="0"/>
              <w:rPr>
                <w:sz w:val="19"/>
                <w:szCs w:val="19"/>
                <w:color w:val="auto"/>
              </w:rPr>
            </w:pPr>
          </w:p>
        </w:tc>
        <w:tc>
          <w:tcPr>
            <w:tcW w:w="136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w w:val="98"/>
              </w:rPr>
              <w:t>230,119</w:t>
            </w:r>
          </w:p>
        </w:tc>
      </w:tr>
      <w:tr>
        <w:trPr>
          <w:trHeight w:val="201"/>
        </w:trPr>
        <w:tc>
          <w:tcPr>
            <w:tcW w:w="500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Angel Shelton Willis</w:t>
            </w: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90,000</w:t>
            </w: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140,119</w:t>
            </w:r>
          </w:p>
        </w:tc>
        <w:tc>
          <w:tcPr>
            <w:tcW w:w="1560" w:type="dxa"/>
            <w:vAlign w:val="bottom"/>
            <w:tcBorders>
              <w:top w:val="single" w:sz="8" w:color="auto"/>
              <w:right w:val="single" w:sz="8" w:color="auto"/>
            </w:tcBorders>
          </w:tcPr>
          <w:p>
            <w:pPr>
              <w:spacing w:after="0"/>
              <w:rPr>
                <w:sz w:val="17"/>
                <w:szCs w:val="17"/>
                <w:color w:val="auto"/>
              </w:rPr>
            </w:pP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230,119</w:t>
            </w:r>
          </w:p>
        </w:tc>
      </w:tr>
      <w:tr>
        <w:trPr>
          <w:trHeight w:val="22"/>
        </w:trPr>
        <w:tc>
          <w:tcPr>
            <w:tcW w:w="5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Represents annual retainer of $90,000. In addition:</w:t>
      </w:r>
    </w:p>
    <w:p>
      <w:pPr>
        <w:spacing w:after="0" w:line="53" w:lineRule="exact"/>
        <w:rPr>
          <w:rFonts w:ascii="Arial" w:cs="Arial" w:eastAsia="Arial" w:hAnsi="Arial"/>
          <w:sz w:val="13"/>
          <w:szCs w:val="13"/>
          <w:color w:val="auto"/>
        </w:rPr>
      </w:pPr>
    </w:p>
    <w:p>
      <w:pPr>
        <w:ind w:left="640" w:hanging="308"/>
        <w:spacing w:after="0"/>
        <w:tabs>
          <w:tab w:leader="none" w:pos="640" w:val="left"/>
        </w:tabs>
        <w:numPr>
          <w:ilvl w:val="1"/>
          <w:numId w:val="10"/>
        </w:numPr>
        <w:rPr>
          <w:rFonts w:ascii="Arial" w:cs="Arial" w:eastAsia="Arial" w:hAnsi="Arial"/>
          <w:sz w:val="13"/>
          <w:szCs w:val="13"/>
          <w:color w:val="auto"/>
        </w:rPr>
      </w:pPr>
      <w:r>
        <w:rPr>
          <w:rFonts w:ascii="Arial" w:cs="Arial" w:eastAsia="Arial" w:hAnsi="Arial"/>
          <w:sz w:val="13"/>
          <w:szCs w:val="13"/>
          <w:color w:val="auto"/>
        </w:rPr>
        <w:t>Mr. O’Leary’s fees include $125,000, representing the additional fee for serving as Chairman of the Board.</w:t>
      </w:r>
    </w:p>
    <w:p>
      <w:pPr>
        <w:spacing w:after="0" w:line="66" w:lineRule="exact"/>
        <w:rPr>
          <w:rFonts w:ascii="Arial" w:cs="Arial" w:eastAsia="Arial" w:hAnsi="Arial"/>
          <w:sz w:val="13"/>
          <w:szCs w:val="13"/>
          <w:color w:val="auto"/>
        </w:rPr>
      </w:pPr>
    </w:p>
    <w:p>
      <w:pPr>
        <w:ind w:left="640" w:hanging="308"/>
        <w:spacing w:after="0"/>
        <w:tabs>
          <w:tab w:leader="none" w:pos="640" w:val="left"/>
        </w:tabs>
        <w:numPr>
          <w:ilvl w:val="1"/>
          <w:numId w:val="10"/>
        </w:numPr>
        <w:rPr>
          <w:rFonts w:ascii="Arial" w:cs="Arial" w:eastAsia="Arial" w:hAnsi="Arial"/>
          <w:sz w:val="13"/>
          <w:szCs w:val="13"/>
          <w:color w:val="auto"/>
        </w:rPr>
      </w:pPr>
      <w:r>
        <w:rPr>
          <w:rFonts w:ascii="Arial" w:cs="Arial" w:eastAsia="Arial" w:hAnsi="Arial"/>
          <w:sz w:val="13"/>
          <w:szCs w:val="13"/>
          <w:color w:val="auto"/>
        </w:rPr>
        <w:t>Mr. Puckett’s fees include $15,000, representing the additional fee for serving as Compensation Committee Chair.</w:t>
      </w:r>
    </w:p>
    <w:p>
      <w:pPr>
        <w:spacing w:after="0" w:line="53" w:lineRule="exact"/>
        <w:rPr>
          <w:rFonts w:ascii="Arial" w:cs="Arial" w:eastAsia="Arial" w:hAnsi="Arial"/>
          <w:sz w:val="13"/>
          <w:szCs w:val="13"/>
          <w:color w:val="auto"/>
        </w:rPr>
      </w:pPr>
    </w:p>
    <w:p>
      <w:pPr>
        <w:ind w:left="660" w:hanging="328"/>
        <w:spacing w:after="0"/>
        <w:tabs>
          <w:tab w:leader="none" w:pos="660" w:val="left"/>
        </w:tabs>
        <w:numPr>
          <w:ilvl w:val="1"/>
          <w:numId w:val="10"/>
        </w:numPr>
        <w:rPr>
          <w:rFonts w:ascii="Arial" w:cs="Arial" w:eastAsia="Arial" w:hAnsi="Arial"/>
          <w:sz w:val="13"/>
          <w:szCs w:val="13"/>
          <w:color w:val="auto"/>
        </w:rPr>
      </w:pPr>
      <w:r>
        <w:rPr>
          <w:rFonts w:ascii="Arial" w:cs="Arial" w:eastAsia="Arial" w:hAnsi="Arial"/>
          <w:sz w:val="13"/>
          <w:szCs w:val="13"/>
          <w:color w:val="auto"/>
        </w:rPr>
        <w:t>Ms. Sethna’s fees include $20,000, representing the additional fee for serving as Audit Committee Chair.</w:t>
      </w:r>
    </w:p>
    <w:p>
      <w:pPr>
        <w:spacing w:after="0" w:line="53" w:lineRule="exact"/>
        <w:rPr>
          <w:rFonts w:ascii="Arial" w:cs="Arial" w:eastAsia="Arial" w:hAnsi="Arial"/>
          <w:sz w:val="13"/>
          <w:szCs w:val="13"/>
          <w:color w:val="auto"/>
        </w:rPr>
      </w:pPr>
    </w:p>
    <w:p>
      <w:pPr>
        <w:ind w:left="640" w:hanging="308"/>
        <w:spacing w:after="0"/>
        <w:tabs>
          <w:tab w:leader="none" w:pos="640" w:val="left"/>
        </w:tabs>
        <w:numPr>
          <w:ilvl w:val="1"/>
          <w:numId w:val="10"/>
        </w:numPr>
        <w:rPr>
          <w:rFonts w:ascii="Arial" w:cs="Arial" w:eastAsia="Arial" w:hAnsi="Arial"/>
          <w:sz w:val="13"/>
          <w:szCs w:val="13"/>
          <w:color w:val="auto"/>
        </w:rPr>
      </w:pPr>
      <w:r>
        <w:rPr>
          <w:rFonts w:ascii="Arial" w:cs="Arial" w:eastAsia="Arial" w:hAnsi="Arial"/>
          <w:sz w:val="13"/>
          <w:szCs w:val="13"/>
          <w:color w:val="auto"/>
        </w:rPr>
        <w:t>Dr. Shaw’s fees include $15,000, representing the additional fee for serving as Governance &amp; Sustainability Committee Chair.</w:t>
      </w:r>
    </w:p>
    <w:p>
      <w:pPr>
        <w:spacing w:after="0" w:line="53" w:lineRule="exact"/>
        <w:rPr>
          <w:rFonts w:ascii="Arial" w:cs="Arial" w:eastAsia="Arial" w:hAnsi="Arial"/>
          <w:sz w:val="13"/>
          <w:szCs w:val="13"/>
          <w:color w:val="auto"/>
        </w:rPr>
      </w:pPr>
    </w:p>
    <w:p>
      <w:pPr>
        <w:ind w:left="320" w:hanging="312"/>
        <w:spacing w:after="0"/>
        <w:tabs>
          <w:tab w:leader="none" w:pos="3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On May 14, 2024, each non-employee director received a RSU grant with a grant date fair value of $140,119 (998 RSUs) that vests the day before the next annual meeting following the grant date.</w:t>
      </w:r>
    </w:p>
    <w:p>
      <w:pPr>
        <w:spacing w:after="0" w:line="64" w:lineRule="exact"/>
        <w:rPr>
          <w:rFonts w:ascii="Arial" w:cs="Arial" w:eastAsia="Arial" w:hAnsi="Arial"/>
          <w:sz w:val="12"/>
          <w:szCs w:val="12"/>
          <w:color w:val="auto"/>
        </w:rPr>
      </w:pPr>
    </w:p>
    <w:p>
      <w:pPr>
        <w:ind w:left="320" w:hanging="312"/>
        <w:spacing w:after="0"/>
        <w:tabs>
          <w:tab w:leader="none" w:pos="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Represents matching donations for qualified charitable contributions for Mr. O’Leary, Mr. Puckett, Mr. Roberts, Ms. Sethna, and Mr. 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610870</wp:posOffset>
            </wp:positionV>
            <wp:extent cx="40259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0259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12</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84" w:right="319" w:bottom="1440" w:gutter="0" w:footer="0" w:header="0"/>
        </w:sectPr>
      </w:pPr>
    </w:p>
    <w:bookmarkStart w:id="18" w:name="page19"/>
    <w:bookmarkEnd w:id="18"/>
    <w:p>
      <w:pPr>
        <w:spacing w:after="0"/>
        <w:rPr>
          <w:sz w:val="20"/>
          <w:szCs w:val="20"/>
          <w:color w:val="auto"/>
        </w:rPr>
      </w:pPr>
      <w:r>
        <w:rPr>
          <w:rFonts w:ascii="Arial" w:cs="Arial" w:eastAsia="Arial" w:hAnsi="Arial"/>
          <w:sz w:val="38"/>
          <w:szCs w:val="38"/>
          <w:b w:val="1"/>
          <w:bCs w:val="1"/>
          <w:color w:val="004C97"/>
        </w:rPr>
        <w:t>PROPOSAL 1: ELECTION OF DIRECTORS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Our Board currently consists of nine directors. The directors are currently divided into three classes and there are three directors in each of three classes.</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Following approval by our stockholders at the 2024 annual meeting of stockholders, we filed an Amended and Restated Certificate of Incorporation (the “Amended and Restated Certificate”) to implement a gradual declassification of the Board of Directors over a three-year period. Pursuant to the Declassification Amendment, the Amended and Restated Certificate provides that, at this Annual Meeting, the successors of the class of directors whose terms expire at this Annual Meeting will be elected to hold office for a term expiring at the annual meeting of stockholders to be held in 2027 (the “2027 Annual Meeting”). Commencing with the annual meeting of stockholders to be held in 2026, directors will be elected for one-year terms expiring at the 2027 Annual Meeting. After the 2027 Annual Meeting, directors will no longer be divided into classes.</w:t>
      </w:r>
    </w:p>
    <w:p>
      <w:pPr>
        <w:spacing w:after="0" w:line="122"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At this Annual Meeting, you will be asked to elect three directors, Mr. Lowe, Mr. O’Leary, and Mr. Roberts, for a two-year term expiring at the 2027 Annual Meeting. Each of the director nominees is a current SPX director.</w:t>
      </w:r>
    </w:p>
    <w:p>
      <w:pPr>
        <w:spacing w:after="0" w:line="8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Mr. Puckett, Ms. Sethna, and Ms. Utley were each elected to a three-year term by our stockholders at our 2023 Annual Meeting of Stockholders, and Dr. Shaw, Mr. Toth, and Ms. Willis were each elected to a three-year term by our stockholders at our 2024 Annual Meeting of Stockholders, and they will continue to serve on the Board as described below.</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Each director has agreed to tender, promptly following his or her election, an irrevocable resignation effective upon his or her failure to receive the required vote for re-election at the next meeting at which he or she would face re-election and the acceptance of such resignation by the Board, in accordance with our Corporate Governance Guidelines.</w:t>
      </w:r>
    </w:p>
    <w:p>
      <w:pPr>
        <w:spacing w:after="0" w:line="110" w:lineRule="exact"/>
        <w:rPr>
          <w:sz w:val="20"/>
          <w:szCs w:val="20"/>
          <w:color w:val="auto"/>
        </w:rPr>
      </w:pPr>
    </w:p>
    <w:p>
      <w:pPr>
        <w:jc w:val="both"/>
        <w:ind w:right="180"/>
        <w:spacing w:after="0" w:line="265" w:lineRule="auto"/>
        <w:rPr>
          <w:sz w:val="20"/>
          <w:szCs w:val="20"/>
          <w:color w:val="auto"/>
        </w:rPr>
      </w:pPr>
      <w:r>
        <w:rPr>
          <w:rFonts w:ascii="Arial" w:cs="Arial" w:eastAsia="Arial" w:hAnsi="Arial"/>
          <w:sz w:val="16"/>
          <w:szCs w:val="16"/>
          <w:color w:val="auto"/>
        </w:rPr>
        <w:t>Your shares will be voted as you specify on the proxy card that accompanies this Proxy Statement. If you do not specify how you want your shares voted, then we will vote them FOR the election of each of Mr. Lowe, Mr. O’Leary, and Mr. Roberts. If unforeseen circumstances (such as death or disability of the nominee) make it necessary for the Board to substitute another person for any of the nominees, then your shares will be voted FOR that other person. The Board does not anticipate that any of the nominees will be unable to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3993515</wp:posOffset>
            </wp:positionV>
            <wp:extent cx="403225"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0322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2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27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4"/>
          <w:szCs w:val="14"/>
          <w:color w:val="004C97"/>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Nominees for Election to Serve Until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228600</wp:posOffset>
            </wp:positionV>
            <wp:extent cx="7089140" cy="15170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89140" cy="151701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4C97"/>
        </w:rPr>
        <w:t>Gene Lowe</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004C97"/>
        </w:rPr>
        <w:t>President and CEO,</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color w:val="004C97"/>
        </w:rPr>
        <w:t>SPX Technologies, Inc.</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C97"/>
        </w:rPr>
        <w:t>Age</w:t>
      </w:r>
      <w:r>
        <w:rPr>
          <w:rFonts w:ascii="Arial" w:cs="Arial" w:eastAsia="Arial" w:hAnsi="Arial"/>
          <w:sz w:val="14"/>
          <w:szCs w:val="14"/>
          <w:color w:val="004C97"/>
        </w:rPr>
        <w:t>: 57</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C97"/>
        </w:rPr>
        <w:t>Director since</w:t>
      </w:r>
      <w:r>
        <w:rPr>
          <w:rFonts w:ascii="Arial" w:cs="Arial" w:eastAsia="Arial" w:hAnsi="Arial"/>
          <w:sz w:val="14"/>
          <w:szCs w:val="14"/>
          <w:color w:val="004C97"/>
        </w:rPr>
        <w:t>: 2015</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C97"/>
        </w:rPr>
        <w:t>Committees</w:t>
      </w:r>
      <w:r>
        <w:rPr>
          <w:rFonts w:ascii="Arial" w:cs="Arial" w:eastAsia="Arial" w:hAnsi="Arial"/>
          <w:sz w:val="14"/>
          <w:szCs w:val="14"/>
          <w:color w:val="004C97"/>
        </w:rPr>
        <w:t>:</w:t>
      </w:r>
    </w:p>
    <w:p>
      <w:pPr>
        <w:spacing w:after="0" w:line="14" w:lineRule="exact"/>
        <w:rPr>
          <w:sz w:val="20"/>
          <w:szCs w:val="20"/>
          <w:color w:val="auto"/>
        </w:rPr>
      </w:pPr>
    </w:p>
    <w:p>
      <w:pPr>
        <w:ind w:left="220" w:hanging="194"/>
        <w:spacing w:after="0"/>
        <w:tabs>
          <w:tab w:leader="none" w:pos="220" w:val="left"/>
        </w:tabs>
        <w:numPr>
          <w:ilvl w:val="0"/>
          <w:numId w:val="11"/>
        </w:numPr>
        <w:rPr>
          <w:rFonts w:ascii="Arial" w:cs="Arial" w:eastAsia="Arial" w:hAnsi="Arial"/>
          <w:sz w:val="16"/>
          <w:szCs w:val="16"/>
          <w:color w:val="auto"/>
        </w:rPr>
      </w:pPr>
      <w:r>
        <w:rPr>
          <w:rFonts w:ascii="Arial" w:cs="Arial" w:eastAsia="Arial" w:hAnsi="Arial"/>
          <w:sz w:val="14"/>
          <w:szCs w:val="14"/>
          <w:color w:val="004C97"/>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300355</wp:posOffset>
            </wp:positionV>
            <wp:extent cx="1200150" cy="15005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0" cy="15005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HIGHLIGHTS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Eugene J. Lowe, III </w:t>
      </w:r>
      <w:r>
        <w:rPr>
          <w:rFonts w:ascii="Arial" w:cs="Arial" w:eastAsia="Arial" w:hAnsi="Arial"/>
          <w:sz w:val="16"/>
          <w:szCs w:val="16"/>
          <w:color w:val="auto"/>
        </w:rPr>
        <w:t>has served as President and Chief Executive Officer of SPX since September 2015. He was</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an officer of SPX in 2014 and previously served as Segment President, Thermal Equipment and Services, from 2013 to 2015; President, Global Evaporative Cooling, from 2010 to 2013; and Vice President of Global Business Development and Marketing, Thermal Equipment and Services, from 2008 to 2010. Prior to joining SPX, Mr. Lowe held positions with Milliken &amp; Company, Lazard Technology Partners, Bain &amp; Company, and Andersen Consulting. Mr. Lowe is currently a director of Federal Signal Corporation. He earned his bachelor’s degree in Management Science from Virginia Tech and his MBA from Dartmouth’s Tuck School of Business.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Mr. Lowe brings valuable operations, strategic planning, marketing, and business development experience to our Board. As the only member of SPX management to serve on the Board, Mr. Lowe also contributes a level of understanding of our Company not easily attained by an outside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850265</wp:posOffset>
            </wp:positionV>
            <wp:extent cx="53492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092" w:lineRule="exact"/>
        <w:rPr>
          <w:sz w:val="20"/>
          <w:szCs w:val="20"/>
          <w:color w:val="auto"/>
        </w:rPr>
      </w:pPr>
    </w:p>
    <w:p>
      <w:pPr>
        <w:sectPr>
          <w:pgSz w:w="11900" w:h="16838" w:orient="portrait"/>
          <w:cols w:equalWidth="0" w:num="2">
            <w:col w:w="2120" w:space="720"/>
            <w:col w:w="8380"/>
          </w:cols>
          <w:pgMar w:left="320" w:top="29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4C97"/>
        </w:rPr>
        <w:t>Patrick O’Leary</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004C97"/>
        </w:rPr>
        <w:t>Retired Executive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004C97"/>
        </w:rPr>
        <w:t>Vice President, Finance,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004C97"/>
        </w:rPr>
        <w:t>Treasurer and CFO,</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004C97"/>
        </w:rPr>
        <w:t>SPX Corporation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C97"/>
        </w:rPr>
        <w:t>Age</w:t>
      </w:r>
      <w:r>
        <w:rPr>
          <w:rFonts w:ascii="Arial" w:cs="Arial" w:eastAsia="Arial" w:hAnsi="Arial"/>
          <w:sz w:val="14"/>
          <w:szCs w:val="14"/>
          <w:color w:val="004C97"/>
        </w:rPr>
        <w:t>: 67</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C97"/>
        </w:rPr>
        <w:t>Director since</w:t>
      </w:r>
      <w:r>
        <w:rPr>
          <w:rFonts w:ascii="Arial" w:cs="Arial" w:eastAsia="Arial" w:hAnsi="Arial"/>
          <w:sz w:val="14"/>
          <w:szCs w:val="14"/>
          <w:color w:val="004C97"/>
        </w:rPr>
        <w:t>: 2015</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C97"/>
        </w:rPr>
        <w:t>Committees</w:t>
      </w:r>
      <w:r>
        <w:rPr>
          <w:rFonts w:ascii="Arial" w:cs="Arial" w:eastAsia="Arial" w:hAnsi="Arial"/>
          <w:sz w:val="14"/>
          <w:szCs w:val="14"/>
          <w:color w:val="004C97"/>
        </w:rPr>
        <w:t>:</w:t>
      </w:r>
    </w:p>
    <w:p>
      <w:pPr>
        <w:spacing w:after="0" w:line="14" w:lineRule="exact"/>
        <w:rPr>
          <w:sz w:val="20"/>
          <w:szCs w:val="20"/>
          <w:color w:val="auto"/>
        </w:rPr>
      </w:pPr>
    </w:p>
    <w:p>
      <w:pPr>
        <w:ind w:left="220" w:hanging="194"/>
        <w:spacing w:after="0"/>
        <w:tabs>
          <w:tab w:leader="none" w:pos="220" w:val="left"/>
        </w:tabs>
        <w:numPr>
          <w:ilvl w:val="0"/>
          <w:numId w:val="12"/>
        </w:numPr>
        <w:rPr>
          <w:rFonts w:ascii="Arial" w:cs="Arial" w:eastAsia="Arial" w:hAnsi="Arial"/>
          <w:sz w:val="16"/>
          <w:szCs w:val="16"/>
          <w:color w:val="auto"/>
        </w:rPr>
      </w:pPr>
      <w:r>
        <w:rPr>
          <w:rFonts w:ascii="Arial" w:cs="Arial" w:eastAsia="Arial" w:hAnsi="Arial"/>
          <w:sz w:val="14"/>
          <w:szCs w:val="14"/>
          <w:color w:val="004C97"/>
        </w:rPr>
        <w:t>Gov. &amp; Sustainability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HIGHLIGHTS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 xml:space="preserve">Patrick J. O’Leary </w:t>
      </w:r>
      <w:r>
        <w:rPr>
          <w:rFonts w:ascii="Arial" w:cs="Arial" w:eastAsia="Arial" w:hAnsi="Arial"/>
          <w:sz w:val="16"/>
          <w:szCs w:val="16"/>
          <w:color w:val="auto"/>
        </w:rPr>
        <w:t>retired in August 2012 from SPX, having served as Vice President, Finance, Treasurer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from 1996, and later as Executive Vice President in 2004. During his more than 15 years with SPX, he was a principal architect of the Company’s transformation until his retirement. Prior to joining SPX, Mr. O’Leary served as Chief Financial Officer and a director of Carlisle Plastics, Inc., from 1994 to 1996. He began his career with Deloitte &amp; Touche LLP, where he held various roles of increasing responsibility from 1978 to 1994, including Partner in the firm’s Boston office from 1988 to 1994. Mr. O’Leary is currently a director of Avanos Medical Inc. He earned his bachelor’s degree in Accountancy and Law from the University of Southampton, England and is a Certified Public Accountant in Massachusetts.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1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Mr. O’Leary contributes a deep understanding of SPX history and businesses to our Board. In addition, he brings broad financial strategy expertise, including strong financial acumen, and mergers and acquisition and governance experience. Mr. O’Leary also contributes leadership skills developed through his experience serving on various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1361440</wp:posOffset>
            </wp:positionV>
            <wp:extent cx="40259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02590" cy="145415"/>
                    </a:xfrm>
                    <a:prstGeom prst="rect">
                      <a:avLst/>
                    </a:prstGeom>
                    <a:noFill/>
                  </pic:spPr>
                </pic:pic>
              </a:graphicData>
            </a:graphic>
          </wp:anchor>
        </w:drawing>
      </w:r>
    </w:p>
    <w:p>
      <w:pPr>
        <w:spacing w:after="0" w:line="1061" w:lineRule="exact"/>
        <w:rPr>
          <w:sz w:val="20"/>
          <w:szCs w:val="20"/>
          <w:color w:val="auto"/>
        </w:rPr>
      </w:pPr>
    </w:p>
    <w:p>
      <w:pPr>
        <w:sectPr>
          <w:pgSz w:w="11900" w:h="16838" w:orient="portrait"/>
          <w:cols w:equalWidth="0" w:num="2">
            <w:col w:w="2120" w:space="720"/>
            <w:col w:w="8380"/>
          </w:cols>
          <w:pgMar w:left="320" w:top="29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14</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type w:val="continuous"/>
        </w:sectPr>
      </w:pPr>
    </w:p>
    <w:bookmarkStart w:id="20" w:name="page21"/>
    <w:bookmarkEnd w:id="20"/>
    <w:p>
      <w:pPr>
        <w:ind w:left="10080"/>
        <w:spacing w:after="0"/>
        <w:rPr>
          <w:sz w:val="20"/>
          <w:szCs w:val="20"/>
          <w:color w:val="auto"/>
        </w:rPr>
      </w:pPr>
      <w:r>
        <w:rPr>
          <w:rFonts w:ascii="Arial" w:cs="Arial" w:eastAsia="Arial" w:hAnsi="Arial"/>
          <w:sz w:val="14"/>
          <w:szCs w:val="14"/>
          <w:color w:val="004C97"/>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915035</wp:posOffset>
            </wp:positionV>
            <wp:extent cx="7089140" cy="1517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89140" cy="151701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4C97"/>
        </w:rPr>
        <w:t>Dave Roberts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4"/>
          <w:szCs w:val="14"/>
          <w:color w:val="004C97"/>
        </w:rPr>
        <w:t>Retired Chairman of the Board</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color w:val="004C97"/>
        </w:rPr>
        <w:t>and Executive Chairman,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004C97"/>
        </w:rPr>
        <w:t>President and CEO,</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004C97"/>
        </w:rPr>
        <w:t>Carlisle Companies, Inc.</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C97"/>
        </w:rPr>
        <w:t>Age</w:t>
      </w:r>
      <w:r>
        <w:rPr>
          <w:rFonts w:ascii="Arial" w:cs="Arial" w:eastAsia="Arial" w:hAnsi="Arial"/>
          <w:sz w:val="14"/>
          <w:szCs w:val="14"/>
          <w:color w:val="004C97"/>
        </w:rPr>
        <w:t>: 77</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C97"/>
        </w:rPr>
        <w:t>Director since: 2015</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C97"/>
        </w:rPr>
        <w:t>Committees</w:t>
      </w:r>
      <w:r>
        <w:rPr>
          <w:rFonts w:ascii="Arial" w:cs="Arial" w:eastAsia="Arial" w:hAnsi="Arial"/>
          <w:sz w:val="14"/>
          <w:szCs w:val="14"/>
          <w:color w:val="004C97"/>
        </w:rPr>
        <w:t>:</w:t>
      </w:r>
    </w:p>
    <w:p>
      <w:pPr>
        <w:spacing w:after="0" w:line="14" w:lineRule="exact"/>
        <w:rPr>
          <w:sz w:val="20"/>
          <w:szCs w:val="20"/>
          <w:color w:val="auto"/>
        </w:rPr>
      </w:pPr>
    </w:p>
    <w:p>
      <w:pPr>
        <w:ind w:left="220" w:hanging="194"/>
        <w:spacing w:after="0"/>
        <w:tabs>
          <w:tab w:leader="none" w:pos="220" w:val="left"/>
        </w:tabs>
        <w:numPr>
          <w:ilvl w:val="0"/>
          <w:numId w:val="13"/>
        </w:numPr>
        <w:rPr>
          <w:rFonts w:ascii="Arial" w:cs="Arial" w:eastAsia="Arial" w:hAnsi="Arial"/>
          <w:sz w:val="16"/>
          <w:szCs w:val="16"/>
          <w:color w:val="auto"/>
        </w:rPr>
      </w:pPr>
      <w:r>
        <w:rPr>
          <w:rFonts w:ascii="Arial" w:cs="Arial" w:eastAsia="Arial" w:hAnsi="Arial"/>
          <w:sz w:val="14"/>
          <w:szCs w:val="14"/>
          <w:color w:val="004C97"/>
        </w:rPr>
        <w:t>Compensation</w:t>
      </w:r>
    </w:p>
    <w:p>
      <w:pPr>
        <w:spacing w:after="0" w:line="12" w:lineRule="exact"/>
        <w:rPr>
          <w:rFonts w:ascii="Arial" w:cs="Arial" w:eastAsia="Arial" w:hAnsi="Arial"/>
          <w:sz w:val="16"/>
          <w:szCs w:val="16"/>
          <w:color w:val="auto"/>
        </w:rPr>
      </w:pPr>
    </w:p>
    <w:p>
      <w:pPr>
        <w:ind w:left="220" w:hanging="194"/>
        <w:spacing w:after="0"/>
        <w:tabs>
          <w:tab w:leader="none" w:pos="220" w:val="left"/>
        </w:tabs>
        <w:numPr>
          <w:ilvl w:val="0"/>
          <w:numId w:val="13"/>
        </w:numPr>
        <w:rPr>
          <w:rFonts w:ascii="Arial" w:cs="Arial" w:eastAsia="Arial" w:hAnsi="Arial"/>
          <w:sz w:val="16"/>
          <w:szCs w:val="16"/>
          <w:color w:val="auto"/>
        </w:rPr>
      </w:pPr>
      <w:r>
        <w:rPr>
          <w:rFonts w:ascii="Arial" w:cs="Arial" w:eastAsia="Arial" w:hAnsi="Arial"/>
          <w:sz w:val="14"/>
          <w:szCs w:val="14"/>
          <w:color w:val="004C97"/>
        </w:rPr>
        <w:t>Gov. &amp; Sustainability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HIGHLIGHTS</w:t>
      </w:r>
    </w:p>
    <w:p>
      <w:pPr>
        <w:spacing w:after="0" w:line="16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b w:val="1"/>
          <w:bCs w:val="1"/>
          <w:color w:val="auto"/>
        </w:rPr>
        <w:t xml:space="preserve">David A. Roberts </w:t>
      </w:r>
      <w:r>
        <w:rPr>
          <w:rFonts w:ascii="Arial" w:cs="Arial" w:eastAsia="Arial" w:hAnsi="Arial"/>
          <w:sz w:val="16"/>
          <w:szCs w:val="16"/>
          <w:color w:val="auto"/>
        </w:rPr>
        <w:t>retired in 2020 as Chairman of the Board of Carlisle Companies, Inc., a diversified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 position he held since 2017. He previously served as Carlisle’s Executive Chairman of the Board, in 2016; its Chairman and Chief Executive Officer, from 2014 to 2015; and its Chairman, President and Chief Executive Officer, from 2007 to 2014. Prior to joining Carlisle, Mr. Roberts served as Chairman, President and Chief Executive Officer of Graco, Inc., a fluid handling system provider, from 2001 to 2007. Prior to that, Mr. Roberts served as a Group Vice President of The Marmon Group, LLC, a diversified industrial holding company, from 1995 to 2001. He began his career serving in a variety of manufacturing, engineering, and general management positions with The Budd Company, Pitney Bowes, and FMC Corporation. Mr. Roberts previously served as a director of Franklin Electric Co., Inc. and Horizon Global Corporation. He earned his bachelor’s degree from Purdue University and his MBA from Indiana University.</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18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Mr. Roberts brings extensive experience in senior management of multinational companies, including expertise in the industrial and manufacturing sectors, and mergers and acquisitions, to our Board. Mr. Roberts also contributes strong financial acumen and experience from his service on various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1189355</wp:posOffset>
            </wp:positionV>
            <wp:extent cx="7140575" cy="677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0575" cy="677545"/>
                    </a:xfrm>
                    <a:prstGeom prst="rect">
                      <a:avLst/>
                    </a:prstGeom>
                    <a:noFill/>
                  </pic:spPr>
                </pic:pic>
              </a:graphicData>
            </a:graphic>
          </wp:anchor>
        </w:drawing>
      </w:r>
    </w:p>
    <w:p>
      <w:pPr>
        <w:spacing w:after="0" w:line="1066" w:lineRule="exact"/>
        <w:rPr>
          <w:sz w:val="20"/>
          <w:szCs w:val="20"/>
          <w:color w:val="auto"/>
        </w:rPr>
      </w:pPr>
    </w:p>
    <w:p>
      <w:pPr>
        <w:sectPr>
          <w:pgSz w:w="11900" w:h="16838" w:orient="portrait"/>
          <w:cols w:equalWidth="0" w:num="2">
            <w:col w:w="2120" w:space="720"/>
            <w:col w:w="8400"/>
          </w:cols>
          <w:pgMar w:left="320" w:top="29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920"/>
        <w:spacing w:after="0"/>
        <w:rPr>
          <w:sz w:val="20"/>
          <w:szCs w:val="20"/>
          <w:color w:val="auto"/>
        </w:rPr>
      </w:pPr>
      <w:r>
        <w:rPr>
          <w:rFonts w:ascii="Arial" w:cs="Arial" w:eastAsia="Arial" w:hAnsi="Arial"/>
          <w:sz w:val="18"/>
          <w:szCs w:val="18"/>
          <w:color w:val="004C97"/>
        </w:rPr>
        <w:t xml:space="preserve">YOUR BOARD OF DIRECTORS UNANIMOUSLY RECOMMENDS A VOTE </w:t>
      </w:r>
      <w:r>
        <w:rPr>
          <w:rFonts w:ascii="Arial" w:cs="Arial" w:eastAsia="Arial" w:hAnsi="Arial"/>
          <w:sz w:val="18"/>
          <w:szCs w:val="18"/>
          <w:b w:val="1"/>
          <w:bCs w:val="1"/>
          <w:color w:val="004C97"/>
        </w:rPr>
        <w:t>“FOR”</w:t>
      </w:r>
      <w:r>
        <w:rPr>
          <w:rFonts w:ascii="Arial" w:cs="Arial" w:eastAsia="Arial" w:hAnsi="Arial"/>
          <w:sz w:val="18"/>
          <w:szCs w:val="18"/>
          <w:color w:val="004C97"/>
        </w:rPr>
        <w:t xml:space="preserve"> THE</w:t>
      </w:r>
    </w:p>
    <w:p>
      <w:pPr>
        <w:spacing w:after="0" w:line="27" w:lineRule="exact"/>
        <w:rPr>
          <w:sz w:val="20"/>
          <w:szCs w:val="20"/>
          <w:color w:val="auto"/>
        </w:rPr>
      </w:pPr>
    </w:p>
    <w:p>
      <w:pPr>
        <w:ind w:left="2920"/>
        <w:spacing w:after="0"/>
        <w:rPr>
          <w:sz w:val="20"/>
          <w:szCs w:val="20"/>
          <w:color w:val="auto"/>
        </w:rPr>
      </w:pPr>
      <w:r>
        <w:rPr>
          <w:rFonts w:ascii="Arial" w:cs="Arial" w:eastAsia="Arial" w:hAnsi="Arial"/>
          <w:sz w:val="18"/>
          <w:szCs w:val="18"/>
          <w:color w:val="004C97"/>
        </w:rPr>
        <w:t>ELECTION OF MR. LOWE, MR. O’LEARY AND MR. ROBERTS AS DIRECTORS FOR A</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004C97"/>
        </w:rPr>
        <w:t>TWO-YEAR TERM EXPIRING AT THE ANNUAL MEETING OF STOCKHOLDERS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1000760</wp:posOffset>
            </wp:positionV>
            <wp:extent cx="40322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0322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2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15</w:t>
            </w:r>
          </w:p>
        </w:tc>
      </w:tr>
      <w:tr>
        <w:trPr>
          <w:trHeight w:val="265"/>
        </w:trPr>
        <w:tc>
          <w:tcPr>
            <w:tcW w:w="1032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21" w:name="page22"/>
    <w:bookmarkEnd w:id="21"/>
    <w:p>
      <w:pPr>
        <w:ind w:left="20"/>
        <w:spacing w:after="0"/>
        <w:rPr>
          <w:sz w:val="20"/>
          <w:szCs w:val="20"/>
          <w:color w:val="auto"/>
        </w:rPr>
      </w:pPr>
      <w:r>
        <w:rPr>
          <w:rFonts w:ascii="Arial" w:cs="Arial" w:eastAsia="Arial" w:hAnsi="Arial"/>
          <w:sz w:val="14"/>
          <w:szCs w:val="14"/>
          <w:color w:val="004C97"/>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Directors Continuing to Serve Until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228600</wp:posOffset>
            </wp:positionV>
            <wp:extent cx="7089140" cy="1517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89140" cy="151701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4C97"/>
        </w:rPr>
        <w:t>Rick Puckett</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color w:val="004C97"/>
        </w:rPr>
        <w:t>Retired Executive</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color w:val="004C97"/>
        </w:rPr>
        <w:t>Vice President, CFO,</w:t>
      </w:r>
    </w:p>
    <w:p>
      <w:pPr>
        <w:spacing w:after="0" w:line="1" w:lineRule="exact"/>
        <w:rPr>
          <w:sz w:val="20"/>
          <w:szCs w:val="20"/>
          <w:color w:val="auto"/>
        </w:rPr>
      </w:pPr>
    </w:p>
    <w:p>
      <w:pPr>
        <w:ind w:left="20" w:right="580"/>
        <w:spacing w:after="0" w:line="261" w:lineRule="auto"/>
        <w:rPr>
          <w:sz w:val="20"/>
          <w:szCs w:val="20"/>
          <w:color w:val="auto"/>
        </w:rPr>
      </w:pPr>
      <w:r>
        <w:rPr>
          <w:rFonts w:ascii="Arial" w:cs="Arial" w:eastAsia="Arial" w:hAnsi="Arial"/>
          <w:sz w:val="14"/>
          <w:szCs w:val="14"/>
          <w:color w:val="004C97"/>
        </w:rPr>
        <w:t xml:space="preserve">Treasurer and Chief Administrative Officer, Snyder’s-Lance, Inc. </w:t>
      </w:r>
      <w:r>
        <w:rPr>
          <w:rFonts w:ascii="Arial" w:cs="Arial" w:eastAsia="Arial" w:hAnsi="Arial"/>
          <w:sz w:val="14"/>
          <w:szCs w:val="14"/>
          <w:b w:val="1"/>
          <w:bCs w:val="1"/>
          <w:color w:val="004C97"/>
        </w:rPr>
        <w:t>Age</w:t>
      </w:r>
      <w:r>
        <w:rPr>
          <w:rFonts w:ascii="Arial" w:cs="Arial" w:eastAsia="Arial" w:hAnsi="Arial"/>
          <w:sz w:val="14"/>
          <w:szCs w:val="14"/>
          <w:color w:val="004C97"/>
        </w:rPr>
        <w:t>: 71</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C97"/>
        </w:rPr>
        <w:t>Director since</w:t>
      </w:r>
      <w:r>
        <w:rPr>
          <w:rFonts w:ascii="Arial" w:cs="Arial" w:eastAsia="Arial" w:hAnsi="Arial"/>
          <w:sz w:val="14"/>
          <w:szCs w:val="14"/>
          <w:color w:val="004C97"/>
        </w:rPr>
        <w:t>: 2015</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C97"/>
        </w:rPr>
        <w:t>Committees</w:t>
      </w:r>
      <w:r>
        <w:rPr>
          <w:rFonts w:ascii="Arial" w:cs="Arial" w:eastAsia="Arial" w:hAnsi="Arial"/>
          <w:sz w:val="14"/>
          <w:szCs w:val="14"/>
          <w:color w:val="004C97"/>
        </w:rPr>
        <w:t>:</w:t>
      </w:r>
    </w:p>
    <w:p>
      <w:pPr>
        <w:spacing w:after="0" w:line="14" w:lineRule="exact"/>
        <w:rPr>
          <w:sz w:val="20"/>
          <w:szCs w:val="20"/>
          <w:color w:val="auto"/>
        </w:rPr>
      </w:pPr>
    </w:p>
    <w:p>
      <w:pPr>
        <w:ind w:left="220" w:hanging="194"/>
        <w:spacing w:after="0"/>
        <w:tabs>
          <w:tab w:leader="none" w:pos="220" w:val="left"/>
        </w:tabs>
        <w:numPr>
          <w:ilvl w:val="0"/>
          <w:numId w:val="14"/>
        </w:numPr>
        <w:rPr>
          <w:rFonts w:ascii="Arial" w:cs="Arial" w:eastAsia="Arial" w:hAnsi="Arial"/>
          <w:sz w:val="16"/>
          <w:szCs w:val="16"/>
          <w:color w:val="auto"/>
        </w:rPr>
      </w:pPr>
      <w:r>
        <w:rPr>
          <w:rFonts w:ascii="Arial" w:cs="Arial" w:eastAsia="Arial" w:hAnsi="Arial"/>
          <w:sz w:val="14"/>
          <w:szCs w:val="14"/>
          <w:color w:val="004C97"/>
        </w:rPr>
        <w:t>Audit</w:t>
      </w:r>
    </w:p>
    <w:p>
      <w:pPr>
        <w:spacing w:after="0" w:line="18" w:lineRule="exact"/>
        <w:rPr>
          <w:rFonts w:ascii="Arial" w:cs="Arial" w:eastAsia="Arial" w:hAnsi="Arial"/>
          <w:sz w:val="16"/>
          <w:szCs w:val="16"/>
          <w:color w:val="auto"/>
        </w:rPr>
      </w:pPr>
    </w:p>
    <w:p>
      <w:pPr>
        <w:ind w:left="220" w:hanging="194"/>
        <w:spacing w:after="0"/>
        <w:tabs>
          <w:tab w:leader="none" w:pos="220" w:val="left"/>
        </w:tabs>
        <w:numPr>
          <w:ilvl w:val="0"/>
          <w:numId w:val="14"/>
        </w:numPr>
        <w:rPr>
          <w:rFonts w:ascii="Arial" w:cs="Arial" w:eastAsia="Arial" w:hAnsi="Arial"/>
          <w:sz w:val="16"/>
          <w:szCs w:val="16"/>
          <w:color w:val="auto"/>
        </w:rPr>
      </w:pPr>
      <w:r>
        <w:rPr>
          <w:rFonts w:ascii="Arial" w:cs="Arial" w:eastAsia="Arial" w:hAnsi="Arial"/>
          <w:sz w:val="14"/>
          <w:szCs w:val="14"/>
          <w:color w:val="004C97"/>
        </w:rPr>
        <w:t>Compensation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317500</wp:posOffset>
            </wp:positionV>
            <wp:extent cx="1200150" cy="15005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015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4C97"/>
        </w:rPr>
        <w:t>Meenal Sethna</w:t>
      </w:r>
    </w:p>
    <w:p>
      <w:pPr>
        <w:spacing w:after="0" w:line="189" w:lineRule="exact"/>
        <w:rPr>
          <w:sz w:val="20"/>
          <w:szCs w:val="20"/>
          <w:color w:val="auto"/>
        </w:rPr>
      </w:pPr>
    </w:p>
    <w:p>
      <w:pPr>
        <w:ind w:left="20" w:right="240"/>
        <w:spacing w:after="0" w:line="261" w:lineRule="auto"/>
        <w:rPr>
          <w:sz w:val="20"/>
          <w:szCs w:val="20"/>
          <w:color w:val="auto"/>
        </w:rPr>
      </w:pPr>
      <w:r>
        <w:rPr>
          <w:rFonts w:ascii="Arial" w:cs="Arial" w:eastAsia="Arial" w:hAnsi="Arial"/>
          <w:sz w:val="14"/>
          <w:szCs w:val="14"/>
          <w:color w:val="004C97"/>
        </w:rPr>
        <w:t>Executive Vice President and Chief Financial Officer,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004C97"/>
        </w:rPr>
        <w:t>Littelfuse,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C97"/>
        </w:rPr>
        <w:t>Age</w:t>
      </w:r>
      <w:r>
        <w:rPr>
          <w:rFonts w:ascii="Arial" w:cs="Arial" w:eastAsia="Arial" w:hAnsi="Arial"/>
          <w:sz w:val="14"/>
          <w:szCs w:val="14"/>
          <w:color w:val="004C97"/>
        </w:rPr>
        <w:t>: 55</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C97"/>
        </w:rPr>
        <w:t>Director since</w:t>
      </w:r>
      <w:r>
        <w:rPr>
          <w:rFonts w:ascii="Arial" w:cs="Arial" w:eastAsia="Arial" w:hAnsi="Arial"/>
          <w:sz w:val="14"/>
          <w:szCs w:val="14"/>
          <w:color w:val="004C97"/>
        </w:rPr>
        <w:t>: 2019</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C97"/>
        </w:rPr>
        <w:t>Committees</w:t>
      </w:r>
      <w:r>
        <w:rPr>
          <w:rFonts w:ascii="Arial" w:cs="Arial" w:eastAsia="Arial" w:hAnsi="Arial"/>
          <w:sz w:val="14"/>
          <w:szCs w:val="14"/>
          <w:color w:val="004C97"/>
        </w:rPr>
        <w:t>:</w:t>
      </w:r>
    </w:p>
    <w:p>
      <w:pPr>
        <w:spacing w:after="0" w:line="14" w:lineRule="exact"/>
        <w:rPr>
          <w:sz w:val="20"/>
          <w:szCs w:val="20"/>
          <w:color w:val="auto"/>
        </w:rPr>
      </w:pPr>
    </w:p>
    <w:p>
      <w:pPr>
        <w:ind w:left="220" w:hanging="194"/>
        <w:spacing w:after="0"/>
        <w:tabs>
          <w:tab w:leader="none" w:pos="220" w:val="left"/>
        </w:tabs>
        <w:numPr>
          <w:ilvl w:val="0"/>
          <w:numId w:val="15"/>
        </w:numPr>
        <w:rPr>
          <w:rFonts w:ascii="Arial" w:cs="Arial" w:eastAsia="Arial" w:hAnsi="Arial"/>
          <w:sz w:val="16"/>
          <w:szCs w:val="16"/>
          <w:color w:val="auto"/>
        </w:rPr>
      </w:pPr>
      <w:r>
        <w:rPr>
          <w:rFonts w:ascii="Arial" w:cs="Arial" w:eastAsia="Arial" w:hAnsi="Arial"/>
          <w:sz w:val="14"/>
          <w:szCs w:val="14"/>
          <w:color w:val="004C97"/>
        </w:rPr>
        <w:t>Audit (Chair)</w:t>
      </w:r>
    </w:p>
    <w:p>
      <w:pPr>
        <w:spacing w:after="0" w:line="18" w:lineRule="exact"/>
        <w:rPr>
          <w:rFonts w:ascii="Arial" w:cs="Arial" w:eastAsia="Arial" w:hAnsi="Arial"/>
          <w:sz w:val="16"/>
          <w:szCs w:val="16"/>
          <w:color w:val="auto"/>
        </w:rPr>
      </w:pPr>
    </w:p>
    <w:p>
      <w:pPr>
        <w:ind w:left="220" w:hanging="194"/>
        <w:spacing w:after="0"/>
        <w:tabs>
          <w:tab w:leader="none" w:pos="220" w:val="left"/>
        </w:tabs>
        <w:numPr>
          <w:ilvl w:val="0"/>
          <w:numId w:val="15"/>
        </w:numPr>
        <w:rPr>
          <w:rFonts w:ascii="Arial" w:cs="Arial" w:eastAsia="Arial" w:hAnsi="Arial"/>
          <w:sz w:val="16"/>
          <w:szCs w:val="16"/>
          <w:color w:val="auto"/>
        </w:rPr>
      </w:pPr>
      <w:r>
        <w:rPr>
          <w:rFonts w:ascii="Arial" w:cs="Arial" w:eastAsia="Arial" w:hAnsi="Arial"/>
          <w:sz w:val="14"/>
          <w:szCs w:val="14"/>
          <w:color w:val="004C97"/>
        </w:rPr>
        <w:t>Gov. &amp; Sustainability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HIGHLIGHTS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 xml:space="preserve">Ricky D. Puckett </w:t>
      </w:r>
      <w:r>
        <w:rPr>
          <w:rFonts w:ascii="Arial" w:cs="Arial" w:eastAsia="Arial" w:hAnsi="Arial"/>
          <w:sz w:val="16"/>
          <w:szCs w:val="16"/>
          <w:color w:val="auto"/>
        </w:rPr>
        <w:t>retired in December 2017 from Snyder’s-Lance, Inc., a snack foods manufacturer, where he had</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Executive Vice President, Chief Financial Officer and Treasurer since December 2010, adding the role of Chief Administrative Officer, with responsibility for Human Resources and Legal, in 2014. Mr. Puckett served as Executive Vice President, Chief Financial Officer and Treasurer of Lance, Inc., from 2006 until its merger with Snyder’s-Lance, Inc. in 2010. Prior to joining Lance, Inc., Mr. Puckett served as Executive Vice President, Chief Financial Officer, Secretary and Treasurer of United Natural Foods, Inc., a wholesale distributor of natural and organic products, from 2005 to 2006; and as Senior Vice President, Chief Financial Officer and Treasurer of United Natural Foods, Inc., from 2003 to 2005. Mr. Puckett is a director of, and serves as audit committee chair of, each of Whitehorse Finance, Inc. and Driven Brands Inc. He has served on the board of the North Carolina Blumenthal Performing Arts Center and the Wake Forest Graduate School in Charlotte. He received his BA in Accounting and his MBA from the University of Kentucky and is a Certified Public Accountant in New Jersey.</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Mr. Puckett brings extensive accounting and financial experience, including financial strategy and governance to our Board. In addition, he offers a deep understanding of mergers and acquisitions; strategic planning and analysis; commodity risk management; strategic information technology; organizational development; human resources, compensation management; and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710565</wp:posOffset>
            </wp:positionV>
            <wp:extent cx="54178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HIGHLIGHTS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 xml:space="preserve">Meenal A. Sethna </w:t>
      </w:r>
      <w:r>
        <w:rPr>
          <w:rFonts w:ascii="Arial" w:cs="Arial" w:eastAsia="Arial" w:hAnsi="Arial"/>
          <w:sz w:val="16"/>
          <w:szCs w:val="16"/>
          <w:color w:val="auto"/>
        </w:rPr>
        <w:t>has served as Executive Vice President and Chief Financial Officer of Littelfuse, Inc., a diversified,</w:t>
      </w:r>
      <w:r>
        <w:rPr>
          <w:rFonts w:ascii="Arial" w:cs="Arial" w:eastAsia="Arial" w:hAnsi="Arial"/>
          <w:sz w:val="16"/>
          <w:szCs w:val="16"/>
          <w:b w:val="1"/>
          <w:bCs w:val="1"/>
          <w:color w:val="auto"/>
        </w:rPr>
        <w:t xml:space="preserve"> </w:t>
      </w:r>
      <w:r>
        <w:rPr>
          <w:rFonts w:ascii="Arial" w:cs="Arial" w:eastAsia="Arial" w:hAnsi="Arial"/>
          <w:sz w:val="16"/>
          <w:szCs w:val="16"/>
          <w:color w:val="auto"/>
        </w:rPr>
        <w:t>industrial technology manufacturing company, since 2016 and is responsible for finance and accounting, tax and treasury, investor relations, digital and information technology and internal audit as well as supply chain operations. Prior to joining Littelfuse in May, 2015, Ms. Sethna spent four years at Illinois Tool Works as Vice President and Corporate Controller. Previous to that, she worked at Motorola Inc., most recently as Vice President, Finance. She began her career at Baxter International, holding a variety of finance roles during her tenure. Ms. Sethna is a graduate of the Kellogg School of Management at Northwestern University and the University of Illinois-Urbana, and is a Certified Public Accountant in Illinois.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Ms. Sethna brings a rich background in accounting and finance to our Board. In addition, she has deep experience in strategic planning; mergers &amp; acquisitions; business growth; investor relations; risk management; and information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1510665</wp:posOffset>
            </wp:positionV>
            <wp:extent cx="40259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02590" cy="145415"/>
                    </a:xfrm>
                    <a:prstGeom prst="rect">
                      <a:avLst/>
                    </a:prstGeom>
                    <a:noFill/>
                  </pic:spPr>
                </pic:pic>
              </a:graphicData>
            </a:graphic>
          </wp:anchor>
        </w:drawing>
      </w:r>
    </w:p>
    <w:p>
      <w:pPr>
        <w:spacing w:after="0" w:line="1268" w:lineRule="exact"/>
        <w:rPr>
          <w:sz w:val="20"/>
          <w:szCs w:val="20"/>
          <w:color w:val="auto"/>
        </w:rPr>
      </w:pPr>
    </w:p>
    <w:p>
      <w:pPr>
        <w:sectPr>
          <w:pgSz w:w="11900" w:h="16838" w:orient="portrait"/>
          <w:cols w:equalWidth="0" w:num="2">
            <w:col w:w="2000" w:space="720"/>
            <w:col w:w="8500"/>
          </w:cols>
          <w:pgMar w:left="320" w:top="29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16</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type w:val="continuous"/>
        </w:sectPr>
      </w:pPr>
    </w:p>
    <w:bookmarkStart w:id="22" w:name="page23"/>
    <w:bookmarkEnd w:id="22"/>
    <w:p>
      <w:pPr>
        <w:ind w:left="10080"/>
        <w:spacing w:after="0"/>
        <w:rPr>
          <w:sz w:val="20"/>
          <w:szCs w:val="20"/>
          <w:color w:val="auto"/>
        </w:rPr>
      </w:pPr>
      <w:r>
        <w:rPr>
          <w:rFonts w:ascii="Arial" w:cs="Arial" w:eastAsia="Arial" w:hAnsi="Arial"/>
          <w:sz w:val="14"/>
          <w:szCs w:val="14"/>
          <w:color w:val="004C97"/>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709295</wp:posOffset>
            </wp:positionV>
            <wp:extent cx="7089140" cy="15170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89140" cy="151701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4C97"/>
        </w:rPr>
        <w:t>Tana Utley</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4"/>
          <w:szCs w:val="14"/>
          <w:color w:val="004C97"/>
        </w:rPr>
        <w:t>Retired Vice President of</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color w:val="004C97"/>
        </w:rPr>
        <w:t>Large Power Systems Division,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004C97"/>
        </w:rPr>
        <w:t>Caterpillar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C97"/>
        </w:rPr>
        <w:t>Age</w:t>
      </w:r>
      <w:r>
        <w:rPr>
          <w:rFonts w:ascii="Arial" w:cs="Arial" w:eastAsia="Arial" w:hAnsi="Arial"/>
          <w:sz w:val="14"/>
          <w:szCs w:val="14"/>
          <w:color w:val="004C97"/>
        </w:rPr>
        <w:t>: 61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C97"/>
        </w:rPr>
        <w:t>Director since</w:t>
      </w:r>
      <w:r>
        <w:rPr>
          <w:rFonts w:ascii="Arial" w:cs="Arial" w:eastAsia="Arial" w:hAnsi="Arial"/>
          <w:sz w:val="14"/>
          <w:szCs w:val="14"/>
          <w:color w:val="004C97"/>
        </w:rPr>
        <w:t>: 2015</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C97"/>
        </w:rPr>
        <w:t>Committees</w:t>
      </w:r>
      <w:r>
        <w:rPr>
          <w:rFonts w:ascii="Arial" w:cs="Arial" w:eastAsia="Arial" w:hAnsi="Arial"/>
          <w:sz w:val="14"/>
          <w:szCs w:val="14"/>
          <w:color w:val="004C97"/>
        </w:rPr>
        <w:t>:</w:t>
      </w:r>
    </w:p>
    <w:p>
      <w:pPr>
        <w:spacing w:after="0" w:line="14" w:lineRule="exact"/>
        <w:rPr>
          <w:sz w:val="20"/>
          <w:szCs w:val="20"/>
          <w:color w:val="auto"/>
        </w:rPr>
      </w:pPr>
    </w:p>
    <w:p>
      <w:pPr>
        <w:ind w:left="220" w:hanging="194"/>
        <w:spacing w:after="0"/>
        <w:tabs>
          <w:tab w:leader="none" w:pos="220" w:val="left"/>
        </w:tabs>
        <w:numPr>
          <w:ilvl w:val="0"/>
          <w:numId w:val="16"/>
        </w:numPr>
        <w:rPr>
          <w:rFonts w:ascii="Arial" w:cs="Arial" w:eastAsia="Arial" w:hAnsi="Arial"/>
          <w:sz w:val="16"/>
          <w:szCs w:val="16"/>
          <w:color w:val="auto"/>
        </w:rPr>
      </w:pPr>
      <w:r>
        <w:rPr>
          <w:rFonts w:ascii="Arial" w:cs="Arial" w:eastAsia="Arial" w:hAnsi="Arial"/>
          <w:sz w:val="14"/>
          <w:szCs w:val="14"/>
          <w:color w:val="004C97"/>
        </w:rPr>
        <w:t>Audit</w:t>
      </w:r>
    </w:p>
    <w:p>
      <w:pPr>
        <w:spacing w:after="0" w:line="12" w:lineRule="exact"/>
        <w:rPr>
          <w:rFonts w:ascii="Arial" w:cs="Arial" w:eastAsia="Arial" w:hAnsi="Arial"/>
          <w:sz w:val="16"/>
          <w:szCs w:val="16"/>
          <w:color w:val="auto"/>
        </w:rPr>
      </w:pPr>
    </w:p>
    <w:p>
      <w:pPr>
        <w:ind w:left="220" w:hanging="194"/>
        <w:spacing w:after="0"/>
        <w:tabs>
          <w:tab w:leader="none" w:pos="220" w:val="left"/>
        </w:tabs>
        <w:numPr>
          <w:ilvl w:val="0"/>
          <w:numId w:val="16"/>
        </w:numPr>
        <w:rPr>
          <w:rFonts w:ascii="Arial" w:cs="Arial" w:eastAsia="Arial" w:hAnsi="Arial"/>
          <w:sz w:val="16"/>
          <w:szCs w:val="16"/>
          <w:color w:val="auto"/>
        </w:rPr>
      </w:pPr>
      <w:r>
        <w:rPr>
          <w:rFonts w:ascii="Arial" w:cs="Arial" w:eastAsia="Arial" w:hAnsi="Arial"/>
          <w:sz w:val="14"/>
          <w:szCs w:val="14"/>
          <w:color w:val="004C97"/>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HIGHLIGHTS</w:t>
      </w:r>
    </w:p>
    <w:p>
      <w:pPr>
        <w:spacing w:after="0" w:line="167"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b w:val="1"/>
          <w:bCs w:val="1"/>
          <w:color w:val="auto"/>
        </w:rPr>
        <w:t xml:space="preserve">Tana L. Utley </w:t>
      </w:r>
      <w:r>
        <w:rPr>
          <w:rFonts w:ascii="Arial" w:cs="Arial" w:eastAsia="Arial" w:hAnsi="Arial"/>
          <w:sz w:val="16"/>
          <w:szCs w:val="16"/>
          <w:color w:val="auto"/>
        </w:rPr>
        <w:t>is a retired Vice President for Caterpillar Inc., a manufacturer of construction and mining equipment,</w:t>
      </w:r>
      <w:r>
        <w:rPr>
          <w:rFonts w:ascii="Arial" w:cs="Arial" w:eastAsia="Arial" w:hAnsi="Arial"/>
          <w:sz w:val="16"/>
          <w:szCs w:val="16"/>
          <w:b w:val="1"/>
          <w:bCs w:val="1"/>
          <w:color w:val="auto"/>
        </w:rPr>
        <w:t xml:space="preserve"> </w:t>
      </w:r>
      <w:r>
        <w:rPr>
          <w:rFonts w:ascii="Arial" w:cs="Arial" w:eastAsia="Arial" w:hAnsi="Arial"/>
          <w:sz w:val="16"/>
          <w:szCs w:val="16"/>
          <w:color w:val="auto"/>
        </w:rPr>
        <w:t>engines, turbines, and locomotives. She was an officer for the company for over 13 years of her 36 year tenure. She was appointed an officer and as Chief Technology Officer of Caterpillar in 2007, having joined that company in 1986. Previously, she held a number of roles with Caterpillar, including a variety of engineering and general management positions. Ms. Utley has served in key engineering and leadership roles in the development of near zero-emissions engines, and she has held general management positions in Caterpillar’s components and engines businesses. Ms. Utley also serves as a director of Woodward, Inc. She earned her bachelor’s degree in Mechanical Engineering from Bradley University and her M.S. in Management from the Massachusetts Institute of Technology.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16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Ms. Utley brings a wealth of knowledge in engineering, operations, continuous improvement, and implementation of new programs to our Board. Ms. Utley also brings a depth of understanding of technology and cybersecurity, multi-industrial manufacturing, and how to minimize the environmental impact of manufacturing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5547995</wp:posOffset>
            </wp:positionV>
            <wp:extent cx="403225"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03225" cy="146050"/>
                    </a:xfrm>
                    <a:prstGeom prst="rect">
                      <a:avLst/>
                    </a:prstGeom>
                    <a:noFill/>
                  </pic:spPr>
                </pic:pic>
              </a:graphicData>
            </a:graphic>
          </wp:anchor>
        </w:drawing>
      </w:r>
    </w:p>
    <w:p>
      <w:pPr>
        <w:spacing w:after="0" w:line="1262" w:lineRule="exact"/>
        <w:rPr>
          <w:sz w:val="20"/>
          <w:szCs w:val="20"/>
          <w:color w:val="auto"/>
        </w:rPr>
      </w:pPr>
    </w:p>
    <w:p>
      <w:pPr>
        <w:sectPr>
          <w:pgSz w:w="11900" w:h="16838" w:orient="portrait"/>
          <w:cols w:equalWidth="0" w:num="2">
            <w:col w:w="2020" w:space="700"/>
            <w:col w:w="8520"/>
          </w:cols>
          <w:pgMar w:left="320" w:top="29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2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17</w:t>
            </w:r>
          </w:p>
        </w:tc>
      </w:tr>
      <w:tr>
        <w:trPr>
          <w:trHeight w:val="27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23" w:name="page24"/>
    <w:bookmarkEnd w:id="23"/>
    <w:p>
      <w:pPr>
        <w:ind w:left="20"/>
        <w:spacing w:after="0"/>
        <w:rPr>
          <w:sz w:val="20"/>
          <w:szCs w:val="20"/>
          <w:color w:val="auto"/>
        </w:rPr>
      </w:pPr>
      <w:r>
        <w:rPr>
          <w:rFonts w:ascii="Arial" w:cs="Arial" w:eastAsia="Arial" w:hAnsi="Arial"/>
          <w:sz w:val="14"/>
          <w:szCs w:val="14"/>
          <w:color w:val="004C97"/>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Directors Continuing to Serve Until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228600</wp:posOffset>
            </wp:positionV>
            <wp:extent cx="7089140" cy="1517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89140" cy="151701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4C97"/>
        </w:rPr>
        <w:t>Ruth Shaw</w:t>
      </w:r>
    </w:p>
    <w:p>
      <w:pPr>
        <w:spacing w:after="0" w:line="189" w:lineRule="exact"/>
        <w:rPr>
          <w:sz w:val="20"/>
          <w:szCs w:val="20"/>
          <w:color w:val="auto"/>
        </w:rPr>
      </w:pPr>
    </w:p>
    <w:p>
      <w:pPr>
        <w:ind w:left="20" w:right="1000"/>
        <w:spacing w:after="0" w:line="261" w:lineRule="auto"/>
        <w:rPr>
          <w:sz w:val="20"/>
          <w:szCs w:val="20"/>
          <w:color w:val="auto"/>
        </w:rPr>
      </w:pPr>
      <w:r>
        <w:rPr>
          <w:rFonts w:ascii="Arial" w:cs="Arial" w:eastAsia="Arial" w:hAnsi="Arial"/>
          <w:sz w:val="14"/>
          <w:szCs w:val="14"/>
          <w:color w:val="004C97"/>
        </w:rPr>
        <w:t>Retired Group Executive for Public Policy and President of</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004C97"/>
        </w:rPr>
        <w:t>Duke Nuclear, Duke Energy Corporation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C97"/>
        </w:rPr>
        <w:t xml:space="preserve">Age: </w:t>
      </w:r>
      <w:r>
        <w:rPr>
          <w:rFonts w:ascii="Arial" w:cs="Arial" w:eastAsia="Arial" w:hAnsi="Arial"/>
          <w:sz w:val="14"/>
          <w:szCs w:val="14"/>
          <w:color w:val="004C97"/>
        </w:rPr>
        <w:t>77</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C97"/>
        </w:rPr>
        <w:t>Director since</w:t>
      </w:r>
      <w:r>
        <w:rPr>
          <w:rFonts w:ascii="Arial" w:cs="Arial" w:eastAsia="Arial" w:hAnsi="Arial"/>
          <w:sz w:val="14"/>
          <w:szCs w:val="14"/>
          <w:color w:val="004C97"/>
        </w:rPr>
        <w:t>: 2015</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C97"/>
        </w:rPr>
        <w:t>Committees:</w:t>
      </w:r>
    </w:p>
    <w:p>
      <w:pPr>
        <w:spacing w:after="0" w:line="2" w:lineRule="exact"/>
        <w:rPr>
          <w:sz w:val="20"/>
          <w:szCs w:val="20"/>
          <w:color w:val="auto"/>
        </w:rPr>
      </w:pPr>
    </w:p>
    <w:p>
      <w:pPr>
        <w:ind w:left="220" w:hanging="194"/>
        <w:spacing w:after="0"/>
        <w:tabs>
          <w:tab w:leader="none" w:pos="220" w:val="left"/>
        </w:tabs>
        <w:numPr>
          <w:ilvl w:val="0"/>
          <w:numId w:val="17"/>
        </w:numPr>
        <w:rPr>
          <w:rFonts w:ascii="Arial" w:cs="Arial" w:eastAsia="Arial" w:hAnsi="Arial"/>
          <w:sz w:val="16"/>
          <w:szCs w:val="16"/>
          <w:color w:val="auto"/>
        </w:rPr>
      </w:pPr>
      <w:r>
        <w:rPr>
          <w:rFonts w:ascii="Arial" w:cs="Arial" w:eastAsia="Arial" w:hAnsi="Arial"/>
          <w:sz w:val="14"/>
          <w:szCs w:val="14"/>
          <w:color w:val="004C97"/>
        </w:rPr>
        <w:t>Compensation</w:t>
      </w:r>
    </w:p>
    <w:p>
      <w:pPr>
        <w:spacing w:after="0" w:line="18" w:lineRule="exact"/>
        <w:rPr>
          <w:rFonts w:ascii="Arial" w:cs="Arial" w:eastAsia="Arial" w:hAnsi="Arial"/>
          <w:sz w:val="16"/>
          <w:szCs w:val="16"/>
          <w:color w:val="auto"/>
        </w:rPr>
      </w:pPr>
    </w:p>
    <w:p>
      <w:pPr>
        <w:ind w:left="220" w:hanging="194"/>
        <w:spacing w:after="0"/>
        <w:tabs>
          <w:tab w:leader="none" w:pos="220" w:val="left"/>
        </w:tabs>
        <w:numPr>
          <w:ilvl w:val="0"/>
          <w:numId w:val="17"/>
        </w:numPr>
        <w:rPr>
          <w:rFonts w:ascii="Arial" w:cs="Arial" w:eastAsia="Arial" w:hAnsi="Arial"/>
          <w:sz w:val="16"/>
          <w:szCs w:val="16"/>
          <w:color w:val="auto"/>
        </w:rPr>
      </w:pPr>
      <w:r>
        <w:rPr>
          <w:rFonts w:ascii="Arial" w:cs="Arial" w:eastAsia="Arial" w:hAnsi="Arial"/>
          <w:sz w:val="14"/>
          <w:szCs w:val="14"/>
          <w:color w:val="004C97"/>
        </w:rPr>
        <w:t>Gov. &amp; Sustainability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635000</wp:posOffset>
            </wp:positionV>
            <wp:extent cx="1200150" cy="15005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015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4C97"/>
        </w:rPr>
        <w:t>Bob Toth</w:t>
      </w:r>
    </w:p>
    <w:p>
      <w:pPr>
        <w:spacing w:after="0" w:line="189" w:lineRule="exact"/>
        <w:rPr>
          <w:sz w:val="20"/>
          <w:szCs w:val="20"/>
          <w:color w:val="auto"/>
        </w:rPr>
      </w:pPr>
    </w:p>
    <w:p>
      <w:pPr>
        <w:ind w:left="20" w:right="1040"/>
        <w:spacing w:after="0" w:line="261" w:lineRule="auto"/>
        <w:rPr>
          <w:sz w:val="20"/>
          <w:szCs w:val="20"/>
          <w:color w:val="auto"/>
        </w:rPr>
      </w:pPr>
      <w:r>
        <w:rPr>
          <w:rFonts w:ascii="Arial" w:cs="Arial" w:eastAsia="Arial" w:hAnsi="Arial"/>
          <w:sz w:val="14"/>
          <w:szCs w:val="14"/>
          <w:color w:val="004C97"/>
        </w:rPr>
        <w:t>Former Chairman, Chief Executive Officer and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004C97"/>
        </w:rPr>
        <w:t>President, Polypore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004C97"/>
        </w:rPr>
        <w:t>International,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C97"/>
        </w:rPr>
        <w:t>Age</w:t>
      </w:r>
      <w:r>
        <w:rPr>
          <w:rFonts w:ascii="Arial" w:cs="Arial" w:eastAsia="Arial" w:hAnsi="Arial"/>
          <w:sz w:val="14"/>
          <w:szCs w:val="14"/>
          <w:color w:val="004C97"/>
        </w:rPr>
        <w:t>: 64</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C97"/>
        </w:rPr>
        <w:t>Director since</w:t>
      </w:r>
      <w:r>
        <w:rPr>
          <w:rFonts w:ascii="Arial" w:cs="Arial" w:eastAsia="Arial" w:hAnsi="Arial"/>
          <w:sz w:val="14"/>
          <w:szCs w:val="14"/>
          <w:color w:val="004C97"/>
        </w:rPr>
        <w:t>: 2017</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C97"/>
        </w:rPr>
        <w:t>Committees</w:t>
      </w:r>
      <w:r>
        <w:rPr>
          <w:rFonts w:ascii="Arial" w:cs="Arial" w:eastAsia="Arial" w:hAnsi="Arial"/>
          <w:sz w:val="14"/>
          <w:szCs w:val="14"/>
          <w:color w:val="004C97"/>
        </w:rPr>
        <w:t>:</w:t>
      </w:r>
    </w:p>
    <w:p>
      <w:pPr>
        <w:spacing w:after="0" w:line="14" w:lineRule="exact"/>
        <w:rPr>
          <w:sz w:val="20"/>
          <w:szCs w:val="20"/>
          <w:color w:val="auto"/>
        </w:rPr>
      </w:pPr>
    </w:p>
    <w:p>
      <w:pPr>
        <w:ind w:left="220" w:hanging="194"/>
        <w:spacing w:after="0"/>
        <w:tabs>
          <w:tab w:leader="none" w:pos="220" w:val="left"/>
        </w:tabs>
        <w:numPr>
          <w:ilvl w:val="0"/>
          <w:numId w:val="18"/>
        </w:numPr>
        <w:rPr>
          <w:rFonts w:ascii="Arial" w:cs="Arial" w:eastAsia="Arial" w:hAnsi="Arial"/>
          <w:sz w:val="16"/>
          <w:szCs w:val="16"/>
          <w:color w:val="auto"/>
        </w:rPr>
      </w:pPr>
      <w:r>
        <w:rPr>
          <w:rFonts w:ascii="Arial" w:cs="Arial" w:eastAsia="Arial" w:hAnsi="Arial"/>
          <w:sz w:val="14"/>
          <w:szCs w:val="14"/>
          <w:color w:val="004C97"/>
        </w:rPr>
        <w:t>Audit</w:t>
      </w:r>
    </w:p>
    <w:p>
      <w:pPr>
        <w:spacing w:after="0" w:line="12" w:lineRule="exact"/>
        <w:rPr>
          <w:rFonts w:ascii="Arial" w:cs="Arial" w:eastAsia="Arial" w:hAnsi="Arial"/>
          <w:sz w:val="16"/>
          <w:szCs w:val="16"/>
          <w:color w:val="auto"/>
        </w:rPr>
      </w:pPr>
    </w:p>
    <w:p>
      <w:pPr>
        <w:ind w:left="220" w:hanging="194"/>
        <w:spacing w:after="0"/>
        <w:tabs>
          <w:tab w:leader="none" w:pos="220" w:val="left"/>
        </w:tabs>
        <w:numPr>
          <w:ilvl w:val="0"/>
          <w:numId w:val="18"/>
        </w:numPr>
        <w:rPr>
          <w:rFonts w:ascii="Arial" w:cs="Arial" w:eastAsia="Arial" w:hAnsi="Arial"/>
          <w:sz w:val="16"/>
          <w:szCs w:val="16"/>
          <w:color w:val="auto"/>
        </w:rPr>
      </w:pPr>
      <w:r>
        <w:rPr>
          <w:rFonts w:ascii="Arial" w:cs="Arial" w:eastAsia="Arial" w:hAnsi="Arial"/>
          <w:sz w:val="14"/>
          <w:szCs w:val="14"/>
          <w:color w:val="004C97"/>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HIGHLIGHTS</w:t>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 xml:space="preserve">Ruth G. Shaw </w:t>
      </w:r>
      <w:r>
        <w:rPr>
          <w:rFonts w:ascii="Arial" w:cs="Arial" w:eastAsia="Arial" w:hAnsi="Arial"/>
          <w:sz w:val="16"/>
          <w:szCs w:val="16"/>
          <w:color w:val="auto"/>
        </w:rPr>
        <w:t>retired in 2007 from Duke Energy Corporation, an electricity and natural gas provider, and remained</w:t>
      </w:r>
      <w:r>
        <w:rPr>
          <w:rFonts w:ascii="Arial" w:cs="Arial" w:eastAsia="Arial" w:hAnsi="Arial"/>
          <w:sz w:val="16"/>
          <w:szCs w:val="16"/>
          <w:b w:val="1"/>
          <w:bCs w:val="1"/>
          <w:color w:val="auto"/>
        </w:rPr>
        <w:t xml:space="preserve"> </w:t>
      </w:r>
      <w:r>
        <w:rPr>
          <w:rFonts w:ascii="Arial" w:cs="Arial" w:eastAsia="Arial" w:hAnsi="Arial"/>
          <w:sz w:val="16"/>
          <w:szCs w:val="16"/>
          <w:color w:val="auto"/>
        </w:rPr>
        <w:t>an Executive Advisor to the company until 2009. At Duke, she served as Group Executive for Public Policy and President, Duke Nuclear, from 2006 to 2007; President and Chief Executive Officer, Duke Power Company, from 2003 to 2006; Executive Vice President and Chief Administrative Officer from 1997 to 2003; and in various other roles from 1992 to 1997. She was also President of The Duke Energy Foundation from 1994 to 2003. Dr. Shaw has extensive corporate board experience, including as lead director at DTE Energy; and serving as a board committee chair at Dow, Inc, Wachovia, Southwire and others. She has been a director and chair of the boards of the University of North Carolina Charlotte; the UNCC Charlotte Foundation; the Foundation for the Carolinas; The Carolina Thread Trail; the United Way of Central Carolinas; and the Arts &amp; Science Council. She is a former member of the executive committees of the Nuclear Energy Institute and the Institute of Nuclear Power Operations. Throughout her years of service, Dr. Shaw has chaired Sustainability Committees, Compensation Committees, Governance Committees, and served on Audit, Finance and Risk Committees. She earned her bachelor’s degree and M.A. from East Carolina University and her Ph.D. from the University of Texas at Austin.</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Dr. Shaw contributes a deep understanding of multiple industries; corporate governance; human resources management; executive compensation; information technology; communications and public relations; environment, health and safety management; sustainability; procurement; and diversity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747395</wp:posOffset>
            </wp:positionV>
            <wp:extent cx="53403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40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HIGHLIGHTS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 xml:space="preserve">Robert B. Toth </w:t>
      </w:r>
      <w:r>
        <w:rPr>
          <w:rFonts w:ascii="Arial" w:cs="Arial" w:eastAsia="Arial" w:hAnsi="Arial"/>
          <w:sz w:val="16"/>
          <w:szCs w:val="16"/>
          <w:color w:val="auto"/>
        </w:rPr>
        <w:t>currently serves as an independent advisor to several private equity firms. Mr. Toth has more than 30</w:t>
      </w:r>
      <w:r>
        <w:rPr>
          <w:rFonts w:ascii="Arial" w:cs="Arial" w:eastAsia="Arial" w:hAnsi="Arial"/>
          <w:sz w:val="16"/>
          <w:szCs w:val="16"/>
          <w:b w:val="1"/>
          <w:bCs w:val="1"/>
          <w:color w:val="auto"/>
        </w:rPr>
        <w:t xml:space="preserve"> </w:t>
      </w:r>
      <w:r>
        <w:rPr>
          <w:rFonts w:ascii="Arial" w:cs="Arial" w:eastAsia="Arial" w:hAnsi="Arial"/>
          <w:sz w:val="16"/>
          <w:szCs w:val="16"/>
          <w:color w:val="auto"/>
        </w:rPr>
        <w:t>years of experience in leadership roles at global industrial and manufacturing companies, as well as in private equity, most recently as a Managing Director at CCMP Capital Advisors, LLC from 2016 until 2019. Prior to CCMP, Mr. Toth served as the Chairman, Chief Executive Officer and President of Polypore International, Inc., a leading global high technology filtration company, where he optimized the business portfolio and positioned the company for accelerated growth, resulting in a substantial increase in enterprise value. Prior to Polypore, Mr. Toth served as President, Chief Executive Officer and Board Director of CP Kelco ApS, where he led the business through a comprehensive turnaround and successful sale. He also spent 19 years at Monsanto Company and its spin-off, Solutia Inc., where he held a variety of executive and managerial roles. Mr. Toth is currently a Director at Materion Corporation. He earned a bachelor’s degree in Industrial Management with a field of study in Industrial Engineering from Purdue University and MBA from the John M. Olin School of Business at Washington University, St. Louis, Missouri.</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Mr. Toth contributes significant insight on mergers and acquisitions and on strategic portfolio management and related strategic and operational issues. Mr. Toth also brings extensive experience leading companies in the manufacturing sector, including knowledge and skills in senior management, finance,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1107440</wp:posOffset>
            </wp:positionV>
            <wp:extent cx="40259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02590" cy="145415"/>
                    </a:xfrm>
                    <a:prstGeom prst="rect">
                      <a:avLst/>
                    </a:prstGeom>
                    <a:noFill/>
                  </pic:spPr>
                </pic:pic>
              </a:graphicData>
            </a:graphic>
          </wp:anchor>
        </w:drawing>
      </w:r>
    </w:p>
    <w:p>
      <w:pPr>
        <w:spacing w:after="0" w:line="857" w:lineRule="exact"/>
        <w:rPr>
          <w:sz w:val="20"/>
          <w:szCs w:val="20"/>
          <w:color w:val="auto"/>
        </w:rPr>
      </w:pPr>
    </w:p>
    <w:p>
      <w:pPr>
        <w:sectPr>
          <w:pgSz w:w="11900" w:h="16838" w:orient="portrait"/>
          <w:cols w:equalWidth="0" w:num="2">
            <w:col w:w="2600" w:space="240"/>
            <w:col w:w="8380"/>
          </w:cols>
          <w:pgMar w:left="320" w:top="29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18</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type w:val="continuous"/>
        </w:sectPr>
      </w:pPr>
    </w:p>
    <w:bookmarkStart w:id="24" w:name="page25"/>
    <w:bookmarkEnd w:id="24"/>
    <w:p>
      <w:pPr>
        <w:ind w:left="10080"/>
        <w:spacing w:after="0"/>
        <w:rPr>
          <w:sz w:val="20"/>
          <w:szCs w:val="20"/>
          <w:color w:val="auto"/>
        </w:rPr>
      </w:pPr>
      <w:r>
        <w:rPr>
          <w:rFonts w:ascii="Arial" w:cs="Arial" w:eastAsia="Arial" w:hAnsi="Arial"/>
          <w:sz w:val="14"/>
          <w:szCs w:val="14"/>
          <w:color w:val="004C97"/>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709295</wp:posOffset>
            </wp:positionV>
            <wp:extent cx="7089140" cy="1517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89140" cy="151701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4C97"/>
        </w:rPr>
        <w:t>Angel Shelton Willis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4"/>
          <w:szCs w:val="14"/>
          <w:color w:val="004C97"/>
        </w:rPr>
        <w:t>Executive Vice President, Global General</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color w:val="004C97"/>
        </w:rPr>
        <w:t>Counsel &amp; Corporate Affairs Officer, The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004C97"/>
        </w:rPr>
        <w:t>Kraft Heinz Company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C97"/>
        </w:rPr>
        <w:t>Age</w:t>
      </w:r>
      <w:r>
        <w:rPr>
          <w:rFonts w:ascii="Arial" w:cs="Arial" w:eastAsia="Arial" w:hAnsi="Arial"/>
          <w:sz w:val="14"/>
          <w:szCs w:val="14"/>
          <w:color w:val="004C97"/>
        </w:rPr>
        <w:t>: 54</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C97"/>
        </w:rPr>
        <w:t>Director Since</w:t>
      </w:r>
      <w:r>
        <w:rPr>
          <w:rFonts w:ascii="Arial" w:cs="Arial" w:eastAsia="Arial" w:hAnsi="Arial"/>
          <w:sz w:val="14"/>
          <w:szCs w:val="14"/>
          <w:color w:val="004C97"/>
        </w:rPr>
        <w:t>: 2021</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C97"/>
        </w:rPr>
        <w:t>Committees</w:t>
      </w:r>
      <w:r>
        <w:rPr>
          <w:rFonts w:ascii="Arial" w:cs="Arial" w:eastAsia="Arial" w:hAnsi="Arial"/>
          <w:sz w:val="14"/>
          <w:szCs w:val="14"/>
          <w:color w:val="004C97"/>
        </w:rPr>
        <w:t>:</w:t>
      </w:r>
    </w:p>
    <w:p>
      <w:pPr>
        <w:spacing w:after="0" w:line="14" w:lineRule="exact"/>
        <w:rPr>
          <w:sz w:val="20"/>
          <w:szCs w:val="20"/>
          <w:color w:val="auto"/>
        </w:rPr>
      </w:pPr>
    </w:p>
    <w:p>
      <w:pPr>
        <w:ind w:left="220" w:hanging="194"/>
        <w:spacing w:after="0"/>
        <w:tabs>
          <w:tab w:leader="none" w:pos="220" w:val="left"/>
        </w:tabs>
        <w:numPr>
          <w:ilvl w:val="0"/>
          <w:numId w:val="19"/>
        </w:numPr>
        <w:rPr>
          <w:rFonts w:ascii="Arial" w:cs="Arial" w:eastAsia="Arial" w:hAnsi="Arial"/>
          <w:sz w:val="16"/>
          <w:szCs w:val="16"/>
          <w:color w:val="auto"/>
        </w:rPr>
      </w:pPr>
      <w:r>
        <w:rPr>
          <w:rFonts w:ascii="Arial" w:cs="Arial" w:eastAsia="Arial" w:hAnsi="Arial"/>
          <w:sz w:val="14"/>
          <w:szCs w:val="14"/>
          <w:color w:val="004C97"/>
        </w:rPr>
        <w:t>Audit</w:t>
      </w:r>
    </w:p>
    <w:p>
      <w:pPr>
        <w:spacing w:after="0" w:line="12" w:lineRule="exact"/>
        <w:rPr>
          <w:rFonts w:ascii="Arial" w:cs="Arial" w:eastAsia="Arial" w:hAnsi="Arial"/>
          <w:sz w:val="16"/>
          <w:szCs w:val="16"/>
          <w:color w:val="auto"/>
        </w:rPr>
      </w:pPr>
    </w:p>
    <w:p>
      <w:pPr>
        <w:ind w:left="220" w:hanging="194"/>
        <w:spacing w:after="0"/>
        <w:tabs>
          <w:tab w:leader="none" w:pos="220" w:val="left"/>
        </w:tabs>
        <w:numPr>
          <w:ilvl w:val="0"/>
          <w:numId w:val="19"/>
        </w:numPr>
        <w:rPr>
          <w:rFonts w:ascii="Arial" w:cs="Arial" w:eastAsia="Arial" w:hAnsi="Arial"/>
          <w:sz w:val="16"/>
          <w:szCs w:val="16"/>
          <w:color w:val="auto"/>
        </w:rPr>
      </w:pPr>
      <w:r>
        <w:rPr>
          <w:rFonts w:ascii="Arial" w:cs="Arial" w:eastAsia="Arial" w:hAnsi="Arial"/>
          <w:sz w:val="14"/>
          <w:szCs w:val="14"/>
          <w:color w:val="004C97"/>
        </w:rPr>
        <w:t>Gov. &amp; Sustainability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HIGHLIGHTS</w:t>
      </w:r>
    </w:p>
    <w:p>
      <w:pPr>
        <w:spacing w:after="0" w:line="16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b w:val="1"/>
          <w:bCs w:val="1"/>
          <w:color w:val="auto"/>
        </w:rPr>
        <w:t xml:space="preserve">Angel Shelton Willis </w:t>
      </w:r>
      <w:r>
        <w:rPr>
          <w:rFonts w:ascii="Arial" w:cs="Arial" w:eastAsia="Arial" w:hAnsi="Arial"/>
          <w:sz w:val="16"/>
          <w:szCs w:val="16"/>
          <w:color w:val="auto"/>
        </w:rPr>
        <w:t>is the Executive Vice President, Global General Counsel and Corporate Affairs Officer at The</w:t>
      </w:r>
      <w:r>
        <w:rPr>
          <w:rFonts w:ascii="Arial" w:cs="Arial" w:eastAsia="Arial" w:hAnsi="Arial"/>
          <w:sz w:val="16"/>
          <w:szCs w:val="16"/>
          <w:b w:val="1"/>
          <w:bCs w:val="1"/>
          <w:color w:val="auto"/>
        </w:rPr>
        <w:t xml:space="preserve"> </w:t>
      </w:r>
      <w:r>
        <w:rPr>
          <w:rFonts w:ascii="Arial" w:cs="Arial" w:eastAsia="Arial" w:hAnsi="Arial"/>
          <w:sz w:val="16"/>
          <w:szCs w:val="16"/>
          <w:color w:val="auto"/>
        </w:rPr>
        <w:t>Kraft Heinz Company as of November 2024. She is responsible for leading the Global Legal and Corporate Affairs teams, which include Ethics &amp; Compliance, Government Affairs, Regulatory and Communications. Before joining Kraft Heinz, Ms. Willis served as Vice President, General Counsel and Secretary of Sealed Air Corporation, from 2019 to 2024. Prior to Sealed Air, Ms. Willis spent 14 years at Ingersoll Rand Company (now Trane Technologies) in several leadership roles from 2005 to 2019, including as Vice President &amp; Deputy General Counsel, M&amp;A and General Counsel, Trane Commercial. Prior to Ingersoll Rand, she was Corporate Counsel at Cummins, Inc., from 2002 to 2005, and began her legal career as Associate at Ice Miller from 1996 to 2002. Ms. Willis holds a bachelor’s degree in political science and economics and a master’s degree in business administration from Clemson University. She also earned a Juris Doctor degree from the University of Illinois Urbana-Champaign.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18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In addition to Ms. Willis’s extensive legal background, she brings deep experience in global industrial and manufacturing sectors, mergers and acquisitions, regulatory, tax, risk management, communications, crisis management,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2642235</wp:posOffset>
            </wp:positionH>
            <wp:positionV relativeFrom="paragraph">
              <wp:posOffset>1197610</wp:posOffset>
            </wp:positionV>
            <wp:extent cx="403225"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03225" cy="146050"/>
                    </a:xfrm>
                    <a:prstGeom prst="rect">
                      <a:avLst/>
                    </a:prstGeom>
                    <a:noFill/>
                  </pic:spPr>
                </pic:pic>
              </a:graphicData>
            </a:graphic>
          </wp:anchor>
        </w:drawing>
      </w:r>
    </w:p>
    <w:p>
      <w:pPr>
        <w:spacing w:after="0" w:line="891" w:lineRule="exact"/>
        <w:rPr>
          <w:sz w:val="20"/>
          <w:szCs w:val="20"/>
          <w:color w:val="auto"/>
        </w:rPr>
      </w:pPr>
    </w:p>
    <w:p>
      <w:pPr>
        <w:sectPr>
          <w:pgSz w:w="11900" w:h="16838" w:orient="portrait"/>
          <w:cols w:equalWidth="0" w:num="2">
            <w:col w:w="2660" w:space="180"/>
            <w:col w:w="8400"/>
          </w:cols>
          <w:pgMar w:left="320" w:top="29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2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19</w:t>
            </w:r>
          </w:p>
        </w:tc>
      </w:tr>
      <w:tr>
        <w:trPr>
          <w:trHeight w:val="27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25" w:name="page26"/>
    <w:bookmarkEnd w:id="25"/>
    <w:p>
      <w:pPr>
        <w:ind w:left="20"/>
        <w:spacing w:after="0"/>
        <w:rPr>
          <w:sz w:val="20"/>
          <w:szCs w:val="20"/>
          <w:color w:val="auto"/>
        </w:rPr>
      </w:pPr>
      <w:r>
        <w:rPr>
          <w:rFonts w:ascii="Arial" w:cs="Arial" w:eastAsia="Arial" w:hAnsi="Arial"/>
          <w:sz w:val="14"/>
          <w:szCs w:val="14"/>
          <w:color w:val="004C97"/>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Director and Nominee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Under the leadership of our Governance &amp; Sustainability Committee, our Board developed and maintains a list of key areas of expertise and experience that the Board believes contribute to an effective and well-functioning board and that the Board as a whole should possess.</w:t>
      </w:r>
    </w:p>
    <w:p>
      <w:pPr>
        <w:spacing w:after="0" w:line="8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Governance &amp; Sustainability Committee and the Board use this information to identify areas for director training and as a tool to maintain a balanced and well-rounded board. In addition, the Governance &amp; Sustainability Committee considers these and other criteria as a guide, but not as a minimum set of requirements, when evaluating potential candidates for the Board. Together, this variety of skill sets, experiences, and personal backgrounds allows our directors to provide the diversity of thought that is critical to the Board’s decision-making and oversight process. The following chart indicates the number of directors who have gained experience in each attribute through a current or prior position other than his or her service on the SPX Board. For a better understanding of our Board qualifications and diversity, we encourage you to read “Director Nominees and Qualifications” beginning on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52705</wp:posOffset>
            </wp:positionV>
            <wp:extent cx="6000750" cy="14744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0075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While each director has had involvement in the management of Technology and Software, Mr. Lowe and Ms. Utley have additionally completed specific certification coursework in Cybersecurity with the National Association of Corporate Directors. In addition, Mr. Puckett and Ms. Sethna either had or currently have direct responsibility for their organization’s Information Technology functions, including oversight of Cybersecurity Risks.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Dr. Shaw, Ms. Sethna, and Ms. Willis all have extensive experience working with their organization’s sustainability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Diversity</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noted under “Director Nominees and Qualifications” on page 6, our Board believes individuals with diverse backgrounds and experience will be best suited for providing balanced leadership for the Company. The following charts show the diverse makeup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47625</wp:posOffset>
            </wp:positionV>
            <wp:extent cx="4526280" cy="1937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526280" cy="193738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2705100</wp:posOffset>
            </wp:positionV>
            <wp:extent cx="40259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0259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20</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26" w:name="page27"/>
    <w:bookmarkEnd w:id="26"/>
    <w:p>
      <w:pPr>
        <w:spacing w:after="0"/>
        <w:rPr>
          <w:sz w:val="20"/>
          <w:szCs w:val="20"/>
          <w:color w:val="auto"/>
        </w:rPr>
      </w:pPr>
      <w:r>
        <w:rPr>
          <w:rFonts w:ascii="Arial" w:cs="Arial" w:eastAsia="Arial" w:hAnsi="Arial"/>
          <w:sz w:val="38"/>
          <w:szCs w:val="38"/>
          <w:b w:val="1"/>
          <w:bCs w:val="1"/>
          <w:color w:val="004C97"/>
        </w:rPr>
        <w:t>OWNERSHIP OF COMMON STOCK</w:t>
      </w:r>
    </w:p>
    <w:p>
      <w:pPr>
        <w:spacing w:after="0" w:line="35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maintain Stock Ownership Guidelines to emphasize the importance of substantive, long-term share ownership by our directors and executive officers to align their financial interests with those of our stockholders.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The guidelines are:</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7340" w:type="dxa"/>
            <w:vAlign w:val="bottom"/>
            <w:tcBorders>
              <w:top w:val="single" w:sz="8" w:color="auto"/>
              <w:left w:val="single" w:sz="8" w:color="auto"/>
              <w:bottom w:val="single" w:sz="8" w:color="auto"/>
              <w:right w:val="single" w:sz="8" w:color="auto"/>
            </w:tcBorders>
            <w:shd w:val="clear" w:color="auto" w:fill="004C97"/>
          </w:tcPr>
          <w:p>
            <w:pPr>
              <w:ind w:left="3380"/>
              <w:spacing w:after="0"/>
              <w:rPr>
                <w:sz w:val="20"/>
                <w:szCs w:val="20"/>
                <w:color w:val="auto"/>
              </w:rPr>
            </w:pPr>
            <w:r>
              <w:rPr>
                <w:rFonts w:ascii="Arial" w:cs="Arial" w:eastAsia="Arial" w:hAnsi="Arial"/>
                <w:sz w:val="14"/>
                <w:szCs w:val="14"/>
                <w:b w:val="1"/>
                <w:bCs w:val="1"/>
                <w:color w:val="FFFFFF"/>
              </w:rPr>
              <w:t>Position</w:t>
            </w:r>
          </w:p>
        </w:tc>
        <w:tc>
          <w:tcPr>
            <w:tcW w:w="3920" w:type="dxa"/>
            <w:vAlign w:val="bottom"/>
            <w:tcBorders>
              <w:top w:val="single" w:sz="8" w:color="auto"/>
              <w:bottom w:val="single" w:sz="8" w:color="auto"/>
              <w:right w:val="single" w:sz="8" w:color="auto"/>
            </w:tcBorders>
            <w:shd w:val="clear" w:color="auto" w:fill="004C97"/>
          </w:tcPr>
          <w:p>
            <w:pPr>
              <w:ind w:left="1520"/>
              <w:spacing w:after="0"/>
              <w:rPr>
                <w:sz w:val="20"/>
                <w:szCs w:val="20"/>
                <w:color w:val="auto"/>
              </w:rPr>
            </w:pPr>
            <w:r>
              <w:rPr>
                <w:rFonts w:ascii="Arial" w:cs="Arial" w:eastAsia="Arial" w:hAnsi="Arial"/>
                <w:sz w:val="14"/>
                <w:szCs w:val="14"/>
                <w:b w:val="1"/>
                <w:bCs w:val="1"/>
                <w:color w:val="FFFFFF"/>
              </w:rPr>
              <w:t>Target Value</w:t>
            </w:r>
          </w:p>
        </w:tc>
      </w:tr>
      <w:tr>
        <w:trPr>
          <w:trHeight w:val="234"/>
        </w:trPr>
        <w:tc>
          <w:tcPr>
            <w:tcW w:w="7340" w:type="dxa"/>
            <w:vAlign w:val="bottom"/>
            <w:tcBorders>
              <w:left w:val="single" w:sz="8" w:color="auto"/>
              <w:bottom w:val="single" w:sz="8" w:color="E5E5E5"/>
              <w:right w:val="single" w:sz="8" w:color="auto"/>
            </w:tcBorders>
            <w:shd w:val="clear" w:color="auto" w:fill="E5E5E5"/>
          </w:tcPr>
          <w:p>
            <w:pPr>
              <w:ind w:left="200"/>
              <w:spacing w:after="0"/>
              <w:rPr>
                <w:sz w:val="20"/>
                <w:szCs w:val="20"/>
                <w:color w:val="auto"/>
              </w:rPr>
            </w:pPr>
            <w:r>
              <w:rPr>
                <w:rFonts w:ascii="Arial" w:cs="Arial" w:eastAsia="Arial" w:hAnsi="Arial"/>
                <w:sz w:val="14"/>
                <w:szCs w:val="14"/>
                <w:color w:val="auto"/>
              </w:rPr>
              <w:t>Non-Employee Directors</w:t>
            </w:r>
          </w:p>
        </w:tc>
        <w:tc>
          <w:tcPr>
            <w:tcW w:w="3920" w:type="dxa"/>
            <w:vAlign w:val="bottom"/>
            <w:tcBorders>
              <w:bottom w:val="single" w:sz="8" w:color="E5E5E5"/>
              <w:right w:val="single" w:sz="8" w:color="auto"/>
            </w:tcBorders>
            <w:shd w:val="clear" w:color="auto" w:fill="E5E5E5"/>
          </w:tcPr>
          <w:p>
            <w:pPr>
              <w:ind w:left="180"/>
              <w:spacing w:after="0"/>
              <w:rPr>
                <w:sz w:val="20"/>
                <w:szCs w:val="20"/>
                <w:color w:val="auto"/>
              </w:rPr>
            </w:pPr>
            <w:r>
              <w:rPr>
                <w:rFonts w:ascii="Arial" w:cs="Arial" w:eastAsia="Arial" w:hAnsi="Arial"/>
                <w:sz w:val="14"/>
                <w:szCs w:val="14"/>
                <w:color w:val="auto"/>
              </w:rPr>
              <w:t>5x annual retainer</w:t>
            </w:r>
          </w:p>
        </w:tc>
      </w:tr>
      <w:tr>
        <w:trPr>
          <w:trHeight w:val="202"/>
        </w:trPr>
        <w:tc>
          <w:tcPr>
            <w:tcW w:w="734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Chief Executive Officer</w:t>
            </w:r>
          </w:p>
        </w:tc>
        <w:tc>
          <w:tcPr>
            <w:tcW w:w="39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5x annual salary</w:t>
            </w:r>
          </w:p>
        </w:tc>
      </w:tr>
      <w:tr>
        <w:trPr>
          <w:trHeight w:val="22"/>
        </w:trPr>
        <w:tc>
          <w:tcPr>
            <w:tcW w:w="7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9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7340" w:type="dxa"/>
            <w:vAlign w:val="bottom"/>
            <w:tcBorders>
              <w:left w:val="single" w:sz="8" w:color="auto"/>
              <w:bottom w:val="single" w:sz="8" w:color="E5E5E5"/>
              <w:right w:val="single" w:sz="8" w:color="auto"/>
            </w:tcBorders>
            <w:shd w:val="clear" w:color="auto" w:fill="E5E5E5"/>
          </w:tcPr>
          <w:p>
            <w:pPr>
              <w:ind w:left="200"/>
              <w:spacing w:after="0"/>
              <w:rPr>
                <w:sz w:val="20"/>
                <w:szCs w:val="20"/>
                <w:color w:val="auto"/>
              </w:rPr>
            </w:pPr>
            <w:r>
              <w:rPr>
                <w:rFonts w:ascii="Arial" w:cs="Arial" w:eastAsia="Arial" w:hAnsi="Arial"/>
                <w:sz w:val="14"/>
                <w:szCs w:val="14"/>
                <w:color w:val="auto"/>
              </w:rPr>
              <w:t>Chief Operating Officer*</w:t>
            </w:r>
          </w:p>
        </w:tc>
        <w:tc>
          <w:tcPr>
            <w:tcW w:w="3920" w:type="dxa"/>
            <w:vAlign w:val="bottom"/>
            <w:tcBorders>
              <w:bottom w:val="single" w:sz="8" w:color="E5E5E5"/>
              <w:right w:val="single" w:sz="8" w:color="auto"/>
            </w:tcBorders>
            <w:shd w:val="clear" w:color="auto" w:fill="E5E5E5"/>
          </w:tcPr>
          <w:p>
            <w:pPr>
              <w:ind w:left="180"/>
              <w:spacing w:after="0"/>
              <w:rPr>
                <w:sz w:val="20"/>
                <w:szCs w:val="20"/>
                <w:color w:val="auto"/>
              </w:rPr>
            </w:pPr>
            <w:r>
              <w:rPr>
                <w:rFonts w:ascii="Arial" w:cs="Arial" w:eastAsia="Arial" w:hAnsi="Arial"/>
                <w:sz w:val="14"/>
                <w:szCs w:val="14"/>
                <w:color w:val="auto"/>
              </w:rPr>
              <w:t>4x annual salary</w:t>
            </w:r>
          </w:p>
        </w:tc>
      </w:tr>
      <w:tr>
        <w:trPr>
          <w:trHeight w:val="202"/>
        </w:trPr>
        <w:tc>
          <w:tcPr>
            <w:tcW w:w="734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Other Executive Officers</w:t>
            </w:r>
          </w:p>
        </w:tc>
        <w:tc>
          <w:tcPr>
            <w:tcW w:w="39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3x annual salary</w:t>
            </w:r>
          </w:p>
        </w:tc>
      </w:tr>
      <w:tr>
        <w:trPr>
          <w:trHeight w:val="22"/>
        </w:trPr>
        <w:tc>
          <w:tcPr>
            <w:tcW w:w="7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920" w:type="dxa"/>
            <w:vAlign w:val="bottom"/>
            <w:tcBorders>
              <w:bottom w:val="single" w:sz="8" w:color="auto"/>
              <w:right w:val="single" w:sz="8" w:color="auto"/>
            </w:tcBorders>
          </w:tcPr>
          <w:p>
            <w:pPr>
              <w:spacing w:after="0" w:line="20" w:lineRule="exact"/>
              <w:rPr>
                <w:sz w:val="1"/>
                <w:szCs w:val="1"/>
                <w:color w:val="auto"/>
              </w:rPr>
            </w:pPr>
          </w:p>
        </w:tc>
      </w:tr>
      <w:tr>
        <w:trPr>
          <w:trHeight w:val="203"/>
        </w:trPr>
        <w:tc>
          <w:tcPr>
            <w:tcW w:w="7340" w:type="dxa"/>
            <w:vAlign w:val="bottom"/>
            <w:tcBorders>
              <w:left w:val="single" w:sz="8" w:color="auto"/>
              <w:bottom w:val="single" w:sz="8" w:color="E5E5E5"/>
              <w:right w:val="single" w:sz="8" w:color="auto"/>
            </w:tcBorders>
            <w:shd w:val="clear" w:color="auto" w:fill="E5E5E5"/>
          </w:tcPr>
          <w:p>
            <w:pPr>
              <w:ind w:left="200"/>
              <w:spacing w:after="0"/>
              <w:rPr>
                <w:sz w:val="20"/>
                <w:szCs w:val="20"/>
                <w:color w:val="auto"/>
              </w:rPr>
            </w:pPr>
            <w:r>
              <w:rPr>
                <w:rFonts w:ascii="Arial" w:cs="Arial" w:eastAsia="Arial" w:hAnsi="Arial"/>
                <w:sz w:val="14"/>
                <w:szCs w:val="14"/>
                <w:color w:val="auto"/>
              </w:rPr>
              <w:t>Other Designated Executives</w:t>
            </w:r>
          </w:p>
        </w:tc>
        <w:tc>
          <w:tcPr>
            <w:tcW w:w="3920" w:type="dxa"/>
            <w:vAlign w:val="bottom"/>
            <w:tcBorders>
              <w:bottom w:val="single" w:sz="8" w:color="E5E5E5"/>
              <w:right w:val="single" w:sz="8" w:color="auto"/>
            </w:tcBorders>
            <w:shd w:val="clear" w:color="auto" w:fill="E5E5E5"/>
          </w:tcPr>
          <w:p>
            <w:pPr>
              <w:ind w:left="180"/>
              <w:spacing w:after="0"/>
              <w:rPr>
                <w:sz w:val="20"/>
                <w:szCs w:val="20"/>
                <w:color w:val="auto"/>
              </w:rPr>
            </w:pPr>
            <w:r>
              <w:rPr>
                <w:rFonts w:ascii="Arial" w:cs="Arial" w:eastAsia="Arial" w:hAnsi="Arial"/>
                <w:sz w:val="14"/>
                <w:szCs w:val="14"/>
                <w:color w:val="auto"/>
              </w:rPr>
              <w:t>1x annual salary</w:t>
            </w:r>
          </w:p>
        </w:tc>
      </w:tr>
      <w:tr>
        <w:trPr>
          <w:trHeight w:val="20"/>
        </w:trPr>
        <w:tc>
          <w:tcPr>
            <w:tcW w:w="73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920" w:type="dxa"/>
            <w:vAlign w:val="bottom"/>
            <w:tcBorders>
              <w:right w:val="single" w:sz="8" w:color="auto"/>
            </w:tcBorders>
            <w:shd w:val="clear" w:color="auto" w:fill="000000"/>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 SPX does not currently have the COO position.</w:t>
      </w:r>
    </w:p>
    <w:p>
      <w:pPr>
        <w:spacing w:after="0" w:line="70"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Shares held in family trusts and shares held in retirement plan accounts are deemed to be owned shares for purposes of these guidelines. Unvested time-based stock (and stock unit awards) is deemed to be owned shares for purposes of these guidelines. Unexercised stock options and unvested performance-based stock (and stock unit awards) is excluded for purposes of these guidelines. We ask non-employee directors and executive leaders to attain the desired level of stock ownership within five years of initial election as a director or appointment to the executive officer position.</w:t>
      </w:r>
    </w:p>
    <w:p>
      <w:pPr>
        <w:spacing w:after="0" w:line="119"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Once a non-employee director or executive leader attains the desired level of share ownership, he or she will continue to be in compliance with these guidelines even if he or she later falls below the guideline, as long as he or she retains at least 50% of the net shares acquired upon exercise of stock options and at least 50% of the net shares acquired pursuant to vested restricted equity awards and vested restricted stock unit grants until he or she again meets or exceeds the guidelines. “Net shares” means the shares remaining after disposition of shares necessary to pay the related tax liability and, if applicable, the stock option exercise price.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Each non-employee director and named executive officer was in compliance with these requirements as of March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680720</wp:posOffset>
            </wp:positionV>
            <wp:extent cx="403225"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0322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2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21</w:t>
            </w:r>
          </w:p>
        </w:tc>
      </w:tr>
      <w:tr>
        <w:trPr>
          <w:trHeight w:val="27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20" w:right="319" w:bottom="1440" w:gutter="0" w:footer="0" w:header="0"/>
        </w:sectPr>
      </w:pPr>
    </w:p>
    <w:bookmarkStart w:id="27" w:name="page28"/>
    <w:bookmarkEnd w:id="27"/>
    <w:p>
      <w:pPr>
        <w:ind w:left="20"/>
        <w:spacing w:after="0"/>
        <w:rPr>
          <w:sz w:val="20"/>
          <w:szCs w:val="20"/>
          <w:color w:val="auto"/>
        </w:rPr>
      </w:pPr>
      <w:r>
        <w:rPr>
          <w:rFonts w:ascii="Arial" w:cs="Arial" w:eastAsia="Arial" w:hAnsi="Arial"/>
          <w:sz w:val="14"/>
          <w:szCs w:val="14"/>
          <w:color w:val="004C97"/>
        </w:rPr>
        <w:t>OWNERSHIP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Ownership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DIRECTORS AND EXECUTIVE OFFICERS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includes information about how much of our common stock (our only outstanding class of equity securities) is beneficially owned by:</w:t>
      </w:r>
    </w:p>
    <w:p>
      <w:pPr>
        <w:spacing w:after="0" w:line="167" w:lineRule="exact"/>
        <w:rPr>
          <w:sz w:val="20"/>
          <w:szCs w:val="20"/>
          <w:color w:val="auto"/>
        </w:rPr>
      </w:pPr>
    </w:p>
    <w:p>
      <w:pPr>
        <w:ind w:left="200" w:hanging="192"/>
        <w:spacing w:after="0"/>
        <w:tabs>
          <w:tab w:leader="none" w:pos="2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Each director;</w:t>
      </w:r>
    </w:p>
    <w:p>
      <w:pPr>
        <w:spacing w:after="0" w:line="180" w:lineRule="exact"/>
        <w:rPr>
          <w:rFonts w:ascii="Arial" w:cs="Arial" w:eastAsia="Arial" w:hAnsi="Arial"/>
          <w:sz w:val="16"/>
          <w:szCs w:val="16"/>
          <w:color w:val="auto"/>
        </w:rPr>
      </w:pPr>
    </w:p>
    <w:p>
      <w:pPr>
        <w:ind w:left="200" w:hanging="192"/>
        <w:spacing w:after="0"/>
        <w:tabs>
          <w:tab w:leader="none" w:pos="2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Each named executive officer included in the Summary Compensation Table on page 37; and</w:t>
      </w:r>
    </w:p>
    <w:p>
      <w:pPr>
        <w:spacing w:after="0" w:line="167" w:lineRule="exact"/>
        <w:rPr>
          <w:rFonts w:ascii="Arial" w:cs="Arial" w:eastAsia="Arial" w:hAnsi="Arial"/>
          <w:sz w:val="16"/>
          <w:szCs w:val="16"/>
          <w:color w:val="auto"/>
        </w:rPr>
      </w:pPr>
    </w:p>
    <w:p>
      <w:pPr>
        <w:ind w:left="200" w:hanging="192"/>
        <w:spacing w:after="0"/>
        <w:tabs>
          <w:tab w:leader="none" w:pos="2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 directors and executive officers as a group.</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noted, amounts and percentages are as of March 17, 2025.</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540" w:type="dxa"/>
            <w:vAlign w:val="bottom"/>
            <w:tcBorders>
              <w:top w:val="single" w:sz="8" w:color="auto"/>
              <w:left w:val="single" w:sz="8" w:color="auto"/>
              <w:right w:val="single" w:sz="8" w:color="auto"/>
            </w:tcBorders>
            <w:shd w:val="clear" w:color="auto" w:fill="004C97"/>
          </w:tcPr>
          <w:p>
            <w:pPr>
              <w:spacing w:after="0"/>
              <w:rPr>
                <w:sz w:val="17"/>
                <w:szCs w:val="17"/>
                <w:color w:val="auto"/>
              </w:rPr>
            </w:pPr>
          </w:p>
        </w:tc>
        <w:tc>
          <w:tcPr>
            <w:tcW w:w="1600" w:type="dxa"/>
            <w:vAlign w:val="bottom"/>
            <w:tcBorders>
              <w:top w:val="single" w:sz="8" w:color="auto"/>
              <w:right w:val="single" w:sz="8" w:color="auto"/>
            </w:tcBorders>
            <w:shd w:val="clear" w:color="auto" w:fill="004C97"/>
          </w:tcPr>
          <w:p>
            <w:pPr>
              <w:spacing w:after="0"/>
              <w:rPr>
                <w:sz w:val="17"/>
                <w:szCs w:val="17"/>
                <w:color w:val="auto"/>
              </w:rPr>
            </w:pPr>
          </w:p>
        </w:tc>
        <w:tc>
          <w:tcPr>
            <w:tcW w:w="184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Right to Acquire</w:t>
            </w:r>
          </w:p>
        </w:tc>
        <w:tc>
          <w:tcPr>
            <w:tcW w:w="146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Right to Acquire</w:t>
            </w:r>
          </w:p>
        </w:tc>
        <w:tc>
          <w:tcPr>
            <w:tcW w:w="1460" w:type="dxa"/>
            <w:vAlign w:val="bottom"/>
            <w:tcBorders>
              <w:top w:val="single" w:sz="8" w:color="auto"/>
              <w:right w:val="single" w:sz="8" w:color="auto"/>
            </w:tcBorders>
            <w:shd w:val="clear" w:color="auto" w:fill="004C97"/>
          </w:tcPr>
          <w:p>
            <w:pPr>
              <w:spacing w:after="0"/>
              <w:rPr>
                <w:sz w:val="17"/>
                <w:szCs w:val="17"/>
                <w:color w:val="auto"/>
              </w:rPr>
            </w:pPr>
          </w:p>
        </w:tc>
        <w:tc>
          <w:tcPr>
            <w:tcW w:w="1160" w:type="dxa"/>
            <w:vAlign w:val="bottom"/>
            <w:tcBorders>
              <w:top w:val="single" w:sz="8" w:color="auto"/>
              <w:right w:val="single" w:sz="8" w:color="auto"/>
            </w:tcBorders>
            <w:shd w:val="clear" w:color="auto" w:fill="004C97"/>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40" w:type="dxa"/>
            <w:vAlign w:val="bottom"/>
            <w:tcBorders>
              <w:left w:val="single" w:sz="8" w:color="auto"/>
              <w:right w:val="single" w:sz="8" w:color="auto"/>
            </w:tcBorders>
            <w:shd w:val="clear" w:color="auto" w:fill="004C97"/>
          </w:tcPr>
          <w:p>
            <w:pPr>
              <w:spacing w:after="0"/>
              <w:rPr>
                <w:sz w:val="14"/>
                <w:szCs w:val="14"/>
                <w:color w:val="auto"/>
              </w:rPr>
            </w:pPr>
          </w:p>
        </w:tc>
        <w:tc>
          <w:tcPr>
            <w:tcW w:w="1600" w:type="dxa"/>
            <w:vAlign w:val="bottom"/>
            <w:tcBorders>
              <w:right w:val="single" w:sz="8" w:color="auto"/>
            </w:tcBorders>
            <w:shd w:val="clear" w:color="auto" w:fill="004C97"/>
          </w:tcPr>
          <w:p>
            <w:pPr>
              <w:spacing w:after="0"/>
              <w:rPr>
                <w:sz w:val="14"/>
                <w:szCs w:val="14"/>
                <w:color w:val="auto"/>
              </w:rPr>
            </w:pPr>
          </w:p>
        </w:tc>
        <w:tc>
          <w:tcPr>
            <w:tcW w:w="184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Beneficial Ownership</w:t>
            </w:r>
          </w:p>
        </w:tc>
        <w:tc>
          <w:tcPr>
            <w:tcW w:w="146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Beneficial</w:t>
            </w:r>
          </w:p>
        </w:tc>
        <w:tc>
          <w:tcPr>
            <w:tcW w:w="1460" w:type="dxa"/>
            <w:vAlign w:val="bottom"/>
            <w:tcBorders>
              <w:right w:val="single" w:sz="8" w:color="auto"/>
            </w:tcBorders>
            <w:shd w:val="clear" w:color="auto" w:fill="004C97"/>
          </w:tcPr>
          <w:p>
            <w:pPr>
              <w:spacing w:after="0"/>
              <w:rPr>
                <w:sz w:val="14"/>
                <w:szCs w:val="14"/>
                <w:color w:val="auto"/>
              </w:rPr>
            </w:pPr>
          </w:p>
        </w:tc>
        <w:tc>
          <w:tcPr>
            <w:tcW w:w="1160" w:type="dxa"/>
            <w:vAlign w:val="bottom"/>
            <w:tcBorders>
              <w:right w:val="single" w:sz="8" w:color="auto"/>
            </w:tcBorders>
            <w:shd w:val="clear" w:color="auto" w:fill="004C97"/>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40" w:type="dxa"/>
            <w:vAlign w:val="bottom"/>
            <w:tcBorders>
              <w:left w:val="single" w:sz="8" w:color="auto"/>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spacing w:after="0"/>
              <w:rPr>
                <w:sz w:val="15"/>
                <w:szCs w:val="15"/>
                <w:color w:val="auto"/>
              </w:rPr>
            </w:pPr>
          </w:p>
        </w:tc>
        <w:tc>
          <w:tcPr>
            <w:tcW w:w="184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Under Options</w:t>
            </w:r>
          </w:p>
        </w:tc>
        <w:tc>
          <w:tcPr>
            <w:tcW w:w="146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Ownership Under</w:t>
            </w:r>
          </w:p>
        </w:tc>
        <w:tc>
          <w:tcPr>
            <w:tcW w:w="1460" w:type="dxa"/>
            <w:vAlign w:val="bottom"/>
            <w:tcBorders>
              <w:right w:val="single" w:sz="8" w:color="auto"/>
            </w:tcBorders>
            <w:shd w:val="clear" w:color="auto" w:fill="004C97"/>
          </w:tcPr>
          <w:p>
            <w:pPr>
              <w:spacing w:after="0"/>
              <w:rPr>
                <w:sz w:val="15"/>
                <w:szCs w:val="15"/>
                <w:color w:val="auto"/>
              </w:rPr>
            </w:pPr>
          </w:p>
        </w:tc>
        <w:tc>
          <w:tcPr>
            <w:tcW w:w="1160" w:type="dxa"/>
            <w:vAlign w:val="bottom"/>
            <w:tcBorders>
              <w:right w:val="single" w:sz="8" w:color="auto"/>
            </w:tcBorders>
            <w:shd w:val="clear" w:color="auto" w:fill="004C97"/>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Borders>
              <w:left w:val="single" w:sz="8" w:color="auto"/>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Number of Shares of</w:t>
            </w:r>
          </w:p>
        </w:tc>
        <w:tc>
          <w:tcPr>
            <w:tcW w:w="184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Exercisable/ Stock</w:t>
            </w:r>
          </w:p>
        </w:tc>
        <w:tc>
          <w:tcPr>
            <w:tcW w:w="146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Vested Deferred</w:t>
            </w:r>
          </w:p>
        </w:tc>
        <w:tc>
          <w:tcPr>
            <w:tcW w:w="1460" w:type="dxa"/>
            <w:vAlign w:val="bottom"/>
            <w:tcBorders>
              <w:right w:val="single" w:sz="8" w:color="auto"/>
            </w:tcBorders>
            <w:shd w:val="clear" w:color="auto" w:fill="004C97"/>
          </w:tcPr>
          <w:p>
            <w:pPr>
              <w:spacing w:after="0"/>
              <w:rPr>
                <w:sz w:val="15"/>
                <w:szCs w:val="15"/>
                <w:color w:val="auto"/>
              </w:rPr>
            </w:pPr>
          </w:p>
        </w:tc>
        <w:tc>
          <w:tcPr>
            <w:tcW w:w="1160" w:type="dxa"/>
            <w:vAlign w:val="bottom"/>
            <w:tcBorders>
              <w:right w:val="single" w:sz="8" w:color="auto"/>
            </w:tcBorders>
            <w:shd w:val="clear" w:color="auto" w:fill="004C97"/>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540" w:type="dxa"/>
            <w:vAlign w:val="bottom"/>
            <w:tcBorders>
              <w:left w:val="single" w:sz="8" w:color="auto"/>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Common Stock</w:t>
            </w:r>
          </w:p>
        </w:tc>
        <w:tc>
          <w:tcPr>
            <w:tcW w:w="184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Units Distributable</w:t>
            </w:r>
          </w:p>
        </w:tc>
        <w:tc>
          <w:tcPr>
            <w:tcW w:w="146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Stock</w:t>
            </w:r>
          </w:p>
        </w:tc>
        <w:tc>
          <w:tcPr>
            <w:tcW w:w="1460" w:type="dxa"/>
            <w:vAlign w:val="bottom"/>
            <w:tcBorders>
              <w:right w:val="single" w:sz="8" w:color="auto"/>
            </w:tcBorders>
            <w:shd w:val="clear" w:color="auto" w:fill="004C97"/>
          </w:tcPr>
          <w:p>
            <w:pPr>
              <w:jc w:val="right"/>
              <w:ind w:right="28"/>
              <w:spacing w:after="0"/>
              <w:rPr>
                <w:sz w:val="20"/>
                <w:szCs w:val="20"/>
                <w:color w:val="auto"/>
              </w:rPr>
            </w:pPr>
            <w:r>
              <w:rPr>
                <w:rFonts w:ascii="Arial" w:cs="Arial" w:eastAsia="Arial" w:hAnsi="Arial"/>
                <w:sz w:val="14"/>
                <w:szCs w:val="14"/>
                <w:b w:val="1"/>
                <w:bCs w:val="1"/>
                <w:color w:val="FFFFFF"/>
              </w:rPr>
              <w:t>Total Ownership of</w:t>
            </w:r>
          </w:p>
        </w:tc>
        <w:tc>
          <w:tcPr>
            <w:tcW w:w="1160" w:type="dxa"/>
            <w:vAlign w:val="bottom"/>
            <w:tcBorders>
              <w:right w:val="single" w:sz="8" w:color="auto"/>
            </w:tcBorders>
            <w:shd w:val="clear" w:color="auto" w:fill="004C97"/>
          </w:tcPr>
          <w:p>
            <w:pPr>
              <w:ind w:left="280"/>
              <w:spacing w:after="0"/>
              <w:rPr>
                <w:sz w:val="20"/>
                <w:szCs w:val="20"/>
                <w:color w:val="auto"/>
              </w:rPr>
            </w:pPr>
            <w:r>
              <w:rPr>
                <w:rFonts w:ascii="Arial" w:cs="Arial" w:eastAsia="Arial" w:hAnsi="Arial"/>
                <w:sz w:val="14"/>
                <w:szCs w:val="14"/>
                <w:b w:val="1"/>
                <w:bCs w:val="1"/>
                <w:color w:val="FFFFFF"/>
              </w:rPr>
              <w:t>Percent</w:t>
            </w:r>
          </w:p>
        </w:tc>
        <w:tc>
          <w:tcPr>
            <w:tcW w:w="0" w:type="dxa"/>
            <w:vAlign w:val="bottom"/>
          </w:tcPr>
          <w:p>
            <w:pPr>
              <w:spacing w:after="0"/>
              <w:rPr>
                <w:sz w:val="1"/>
                <w:szCs w:val="1"/>
                <w:color w:val="auto"/>
              </w:rPr>
            </w:pPr>
          </w:p>
        </w:tc>
      </w:tr>
      <w:tr>
        <w:trPr>
          <w:trHeight w:val="214"/>
        </w:trPr>
        <w:tc>
          <w:tcPr>
            <w:tcW w:w="3540" w:type="dxa"/>
            <w:vAlign w:val="bottom"/>
            <w:tcBorders>
              <w:left w:val="single" w:sz="8" w:color="auto"/>
              <w:bottom w:val="single" w:sz="8" w:color="auto"/>
              <w:right w:val="single" w:sz="8" w:color="auto"/>
            </w:tcBorders>
            <w:shd w:val="clear" w:color="auto" w:fill="004C97"/>
          </w:tcPr>
          <w:p>
            <w:pPr>
              <w:spacing w:after="0"/>
              <w:rPr>
                <w:sz w:val="18"/>
                <w:szCs w:val="18"/>
                <w:color w:val="auto"/>
              </w:rPr>
            </w:pPr>
          </w:p>
        </w:tc>
        <w:tc>
          <w:tcPr>
            <w:tcW w:w="16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Beneficially Owned</w:t>
            </w:r>
            <w:r>
              <w:rPr>
                <w:rFonts w:ascii="Arial" w:cs="Arial" w:eastAsia="Arial" w:hAnsi="Arial"/>
                <w:sz w:val="9"/>
                <w:szCs w:val="9"/>
                <w:b w:val="1"/>
                <w:bCs w:val="1"/>
                <w:color w:val="FFFFFF"/>
              </w:rPr>
              <w:t>(1)</w:t>
            </w:r>
          </w:p>
        </w:tc>
        <w:tc>
          <w:tcPr>
            <w:tcW w:w="184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w w:val="97"/>
              </w:rPr>
              <w:t>Within 60 Days</w:t>
            </w:r>
            <w:r>
              <w:rPr>
                <w:rFonts w:ascii="Arial" w:cs="Arial" w:eastAsia="Arial" w:hAnsi="Arial"/>
                <w:sz w:val="18"/>
                <w:szCs w:val="18"/>
                <w:b w:val="1"/>
                <w:bCs w:val="1"/>
                <w:color w:val="FFFFFF"/>
                <w:w w:val="97"/>
                <w:vertAlign w:val="superscript"/>
              </w:rPr>
              <w:t>(2)(3)</w:t>
            </w:r>
          </w:p>
        </w:tc>
        <w:tc>
          <w:tcPr>
            <w:tcW w:w="146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w w:val="96"/>
              </w:rPr>
              <w:t>Units</w:t>
            </w:r>
            <w:r>
              <w:rPr>
                <w:rFonts w:ascii="Arial" w:cs="Arial" w:eastAsia="Arial" w:hAnsi="Arial"/>
                <w:sz w:val="18"/>
                <w:szCs w:val="18"/>
                <w:b w:val="1"/>
                <w:bCs w:val="1"/>
                <w:color w:val="FFFFFF"/>
                <w:w w:val="96"/>
                <w:vertAlign w:val="superscript"/>
              </w:rPr>
              <w:t>(4)</w:t>
            </w:r>
          </w:p>
        </w:tc>
        <w:tc>
          <w:tcPr>
            <w:tcW w:w="1460" w:type="dxa"/>
            <w:vAlign w:val="bottom"/>
            <w:tcBorders>
              <w:bottom w:val="single" w:sz="8" w:color="auto"/>
              <w:right w:val="single" w:sz="8" w:color="auto"/>
            </w:tcBorders>
            <w:shd w:val="clear" w:color="auto" w:fill="004C97"/>
          </w:tcPr>
          <w:p>
            <w:pPr>
              <w:jc w:val="right"/>
              <w:ind w:right="88"/>
              <w:spacing w:after="0"/>
              <w:rPr>
                <w:sz w:val="20"/>
                <w:szCs w:val="20"/>
                <w:color w:val="auto"/>
              </w:rPr>
            </w:pPr>
            <w:r>
              <w:rPr>
                <w:rFonts w:ascii="Arial" w:cs="Arial" w:eastAsia="Arial" w:hAnsi="Arial"/>
                <w:sz w:val="14"/>
                <w:szCs w:val="14"/>
                <w:b w:val="1"/>
                <w:bCs w:val="1"/>
                <w:color w:val="FFFFFF"/>
              </w:rPr>
              <w:t>Common Stock</w:t>
            </w:r>
            <w:r>
              <w:rPr>
                <w:rFonts w:ascii="Arial" w:cs="Arial" w:eastAsia="Arial" w:hAnsi="Arial"/>
                <w:sz w:val="18"/>
                <w:szCs w:val="18"/>
                <w:b w:val="1"/>
                <w:bCs w:val="1"/>
                <w:color w:val="FFFFFF"/>
                <w:vertAlign w:val="superscript"/>
              </w:rPr>
              <w:t>(5)</w:t>
            </w:r>
          </w:p>
        </w:tc>
        <w:tc>
          <w:tcPr>
            <w:tcW w:w="1160" w:type="dxa"/>
            <w:vAlign w:val="bottom"/>
            <w:tcBorders>
              <w:bottom w:val="single" w:sz="8" w:color="auto"/>
              <w:right w:val="single" w:sz="8" w:color="auto"/>
            </w:tcBorders>
            <w:shd w:val="clear" w:color="auto" w:fill="004C97"/>
          </w:tcPr>
          <w:p>
            <w:pPr>
              <w:ind w:left="280"/>
              <w:spacing w:after="0"/>
              <w:rPr>
                <w:sz w:val="20"/>
                <w:szCs w:val="20"/>
                <w:color w:val="auto"/>
              </w:rPr>
            </w:pPr>
            <w:r>
              <w:rPr>
                <w:rFonts w:ascii="Arial" w:cs="Arial" w:eastAsia="Arial" w:hAnsi="Arial"/>
                <w:sz w:val="14"/>
                <w:szCs w:val="14"/>
                <w:b w:val="1"/>
                <w:bCs w:val="1"/>
                <w:color w:val="FFFFFF"/>
              </w:rPr>
              <w:t>of Class</w:t>
            </w:r>
          </w:p>
        </w:tc>
        <w:tc>
          <w:tcPr>
            <w:tcW w:w="0" w:type="dxa"/>
            <w:vAlign w:val="bottom"/>
          </w:tcPr>
          <w:p>
            <w:pPr>
              <w:spacing w:after="0"/>
              <w:rPr>
                <w:sz w:val="1"/>
                <w:szCs w:val="1"/>
                <w:color w:val="auto"/>
              </w:rPr>
            </w:pPr>
          </w:p>
        </w:tc>
      </w:tr>
      <w:tr>
        <w:trPr>
          <w:trHeight w:val="217"/>
        </w:trPr>
        <w:tc>
          <w:tcPr>
            <w:tcW w:w="5140" w:type="dxa"/>
            <w:vAlign w:val="bottom"/>
            <w:tcBorders>
              <w:left w:val="single" w:sz="8" w:color="auto"/>
              <w:bottom w:val="single" w:sz="8" w:color="auto"/>
              <w:right w:val="single" w:sz="8" w:color="E6E7E8"/>
            </w:tcBorders>
            <w:gridSpan w:val="2"/>
            <w:shd w:val="clear" w:color="auto" w:fill="E6E7E8"/>
          </w:tcPr>
          <w:p>
            <w:pPr>
              <w:ind w:left="120"/>
              <w:spacing w:after="0"/>
              <w:rPr>
                <w:sz w:val="20"/>
                <w:szCs w:val="20"/>
                <w:color w:val="auto"/>
              </w:rPr>
            </w:pPr>
            <w:r>
              <w:rPr>
                <w:rFonts w:ascii="Arial" w:cs="Arial" w:eastAsia="Arial" w:hAnsi="Arial"/>
                <w:sz w:val="14"/>
                <w:szCs w:val="14"/>
                <w:b w:val="1"/>
                <w:bCs w:val="1"/>
                <w:color w:val="auto"/>
              </w:rPr>
              <w:t>DIRECTORS WHO ARE NOT NAMED EXECUTIVE OFFICERS</w:t>
            </w:r>
          </w:p>
        </w:tc>
        <w:tc>
          <w:tcPr>
            <w:tcW w:w="1840" w:type="dxa"/>
            <w:vAlign w:val="bottom"/>
            <w:tcBorders>
              <w:bottom w:val="single" w:sz="8" w:color="auto"/>
              <w:right w:val="single" w:sz="8" w:color="E6E7E8"/>
            </w:tcBorders>
            <w:shd w:val="clear" w:color="auto" w:fill="E6E7E8"/>
          </w:tcPr>
          <w:p>
            <w:pPr>
              <w:spacing w:after="0"/>
              <w:rPr>
                <w:sz w:val="18"/>
                <w:szCs w:val="18"/>
                <w:color w:val="auto"/>
              </w:rPr>
            </w:pPr>
          </w:p>
        </w:tc>
        <w:tc>
          <w:tcPr>
            <w:tcW w:w="1460" w:type="dxa"/>
            <w:vAlign w:val="bottom"/>
            <w:tcBorders>
              <w:bottom w:val="single" w:sz="8" w:color="auto"/>
              <w:right w:val="single" w:sz="8" w:color="E6E7E8"/>
            </w:tcBorders>
            <w:shd w:val="clear" w:color="auto" w:fill="E6E7E8"/>
          </w:tcPr>
          <w:p>
            <w:pPr>
              <w:spacing w:after="0"/>
              <w:rPr>
                <w:sz w:val="18"/>
                <w:szCs w:val="18"/>
                <w:color w:val="auto"/>
              </w:rPr>
            </w:pPr>
          </w:p>
        </w:tc>
        <w:tc>
          <w:tcPr>
            <w:tcW w:w="1460" w:type="dxa"/>
            <w:vAlign w:val="bottom"/>
            <w:tcBorders>
              <w:bottom w:val="single" w:sz="8" w:color="auto"/>
              <w:right w:val="single" w:sz="8" w:color="E6E7E8"/>
            </w:tcBorders>
            <w:shd w:val="clear" w:color="auto" w:fill="E6E7E8"/>
          </w:tcPr>
          <w:p>
            <w:pPr>
              <w:spacing w:after="0"/>
              <w:rPr>
                <w:sz w:val="18"/>
                <w:szCs w:val="18"/>
                <w:color w:val="auto"/>
              </w:rPr>
            </w:pPr>
          </w:p>
        </w:tc>
        <w:tc>
          <w:tcPr>
            <w:tcW w:w="1160" w:type="dxa"/>
            <w:vAlign w:val="bottom"/>
            <w:tcBorders>
              <w:bottom w:val="single" w:sz="8" w:color="auto"/>
              <w:right w:val="single" w:sz="8" w:color="auto"/>
            </w:tcBorders>
            <w:shd w:val="clear" w:color="auto" w:fill="E6E7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Patrick J. O’Leary</w:t>
            </w:r>
          </w:p>
        </w:tc>
        <w:tc>
          <w:tcPr>
            <w:tcW w:w="160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15,382</w:t>
            </w:r>
          </w:p>
        </w:tc>
        <w:tc>
          <w:tcPr>
            <w:tcW w:w="18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24,319</w:t>
            </w:r>
          </w:p>
        </w:tc>
        <w:tc>
          <w:tcPr>
            <w:tcW w:w="146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39,701</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5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540" w:type="dxa"/>
            <w:vAlign w:val="bottom"/>
            <w:tcBorders>
              <w:left w:val="single" w:sz="8" w:color="auto"/>
              <w:bottom w:val="single" w:sz="8" w:color="E5E5E5"/>
              <w:right w:val="single" w:sz="8" w:color="auto"/>
            </w:tcBorders>
            <w:shd w:val="clear" w:color="auto" w:fill="E5E5E5"/>
          </w:tcPr>
          <w:p>
            <w:pPr>
              <w:ind w:left="280"/>
              <w:spacing w:after="0"/>
              <w:rPr>
                <w:sz w:val="20"/>
                <w:szCs w:val="20"/>
                <w:color w:val="auto"/>
              </w:rPr>
            </w:pPr>
            <w:r>
              <w:rPr>
                <w:rFonts w:ascii="Arial" w:cs="Arial" w:eastAsia="Arial" w:hAnsi="Arial"/>
                <w:sz w:val="14"/>
                <w:szCs w:val="14"/>
                <w:color w:val="auto"/>
              </w:rPr>
              <w:t>Ricky D. Puckett</w:t>
            </w:r>
          </w:p>
        </w:tc>
        <w:tc>
          <w:tcPr>
            <w:tcW w:w="160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27,166</w:t>
            </w:r>
          </w:p>
        </w:tc>
        <w:tc>
          <w:tcPr>
            <w:tcW w:w="184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998</w:t>
            </w:r>
          </w:p>
        </w:tc>
        <w:tc>
          <w:tcPr>
            <w:tcW w:w="146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12,535</w:t>
            </w:r>
          </w:p>
        </w:tc>
        <w:tc>
          <w:tcPr>
            <w:tcW w:w="146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39,701</w:t>
            </w:r>
          </w:p>
        </w:tc>
        <w:tc>
          <w:tcPr>
            <w:tcW w:w="116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3540" w:type="dxa"/>
            <w:vAlign w:val="bottom"/>
            <w:tcBorders>
              <w:top w:val="single" w:sz="8" w:color="auto"/>
              <w:left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David A. Roberts</w:t>
            </w:r>
          </w:p>
        </w:tc>
        <w:tc>
          <w:tcPr>
            <w:tcW w:w="160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31,053</w:t>
            </w:r>
          </w:p>
        </w:tc>
        <w:tc>
          <w:tcPr>
            <w:tcW w:w="184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998</w:t>
            </w:r>
          </w:p>
        </w:tc>
        <w:tc>
          <w:tcPr>
            <w:tcW w:w="146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8,648</w:t>
            </w:r>
          </w:p>
        </w:tc>
        <w:tc>
          <w:tcPr>
            <w:tcW w:w="146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39,701</w:t>
            </w: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5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540" w:type="dxa"/>
            <w:vAlign w:val="bottom"/>
            <w:tcBorders>
              <w:left w:val="single" w:sz="8" w:color="auto"/>
              <w:bottom w:val="single" w:sz="8" w:color="E5E5E5"/>
              <w:right w:val="single" w:sz="8" w:color="auto"/>
            </w:tcBorders>
            <w:shd w:val="clear" w:color="auto" w:fill="E5E5E5"/>
          </w:tcPr>
          <w:p>
            <w:pPr>
              <w:ind w:left="280"/>
              <w:spacing w:after="0"/>
              <w:rPr>
                <w:sz w:val="20"/>
                <w:szCs w:val="20"/>
                <w:color w:val="auto"/>
              </w:rPr>
            </w:pPr>
            <w:r>
              <w:rPr>
                <w:rFonts w:ascii="Arial" w:cs="Arial" w:eastAsia="Arial" w:hAnsi="Arial"/>
                <w:sz w:val="14"/>
                <w:szCs w:val="14"/>
                <w:color w:val="auto"/>
              </w:rPr>
              <w:t>Meenal A. Sethna</w:t>
            </w:r>
          </w:p>
        </w:tc>
        <w:tc>
          <w:tcPr>
            <w:tcW w:w="160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5,650</w:t>
            </w:r>
          </w:p>
        </w:tc>
        <w:tc>
          <w:tcPr>
            <w:tcW w:w="184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998</w:t>
            </w:r>
          </w:p>
        </w:tc>
        <w:tc>
          <w:tcPr>
            <w:tcW w:w="146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7,672</w:t>
            </w:r>
          </w:p>
        </w:tc>
        <w:tc>
          <w:tcPr>
            <w:tcW w:w="146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13,322</w:t>
            </w:r>
          </w:p>
        </w:tc>
        <w:tc>
          <w:tcPr>
            <w:tcW w:w="116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3540" w:type="dxa"/>
            <w:vAlign w:val="bottom"/>
            <w:tcBorders>
              <w:top w:val="single" w:sz="8" w:color="auto"/>
              <w:left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Ruth G. Shaw</w:t>
            </w:r>
          </w:p>
        </w:tc>
        <w:tc>
          <w:tcPr>
            <w:tcW w:w="160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37,633</w:t>
            </w:r>
          </w:p>
        </w:tc>
        <w:tc>
          <w:tcPr>
            <w:tcW w:w="184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998</w:t>
            </w:r>
          </w:p>
        </w:tc>
        <w:tc>
          <w:tcPr>
            <w:tcW w:w="146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2,068</w:t>
            </w:r>
          </w:p>
        </w:tc>
        <w:tc>
          <w:tcPr>
            <w:tcW w:w="146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39,701</w:t>
            </w: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5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540" w:type="dxa"/>
            <w:vAlign w:val="bottom"/>
            <w:tcBorders>
              <w:left w:val="single" w:sz="8" w:color="auto"/>
              <w:bottom w:val="single" w:sz="8" w:color="E5E5E5"/>
              <w:right w:val="single" w:sz="8" w:color="auto"/>
            </w:tcBorders>
            <w:shd w:val="clear" w:color="auto" w:fill="E5E5E5"/>
          </w:tcPr>
          <w:p>
            <w:pPr>
              <w:ind w:left="280"/>
              <w:spacing w:after="0"/>
              <w:rPr>
                <w:sz w:val="20"/>
                <w:szCs w:val="20"/>
                <w:color w:val="auto"/>
              </w:rPr>
            </w:pPr>
            <w:r>
              <w:rPr>
                <w:rFonts w:ascii="Arial" w:cs="Arial" w:eastAsia="Arial" w:hAnsi="Arial"/>
                <w:sz w:val="14"/>
                <w:szCs w:val="14"/>
                <w:color w:val="auto"/>
              </w:rPr>
              <w:t>Robert B. Toth</w:t>
            </w:r>
          </w:p>
        </w:tc>
        <w:tc>
          <w:tcPr>
            <w:tcW w:w="160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24,000</w:t>
            </w:r>
          </w:p>
        </w:tc>
        <w:tc>
          <w:tcPr>
            <w:tcW w:w="184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998</w:t>
            </w:r>
          </w:p>
        </w:tc>
        <w:tc>
          <w:tcPr>
            <w:tcW w:w="146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24,000</w:t>
            </w:r>
          </w:p>
        </w:tc>
        <w:tc>
          <w:tcPr>
            <w:tcW w:w="116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3540" w:type="dxa"/>
            <w:vAlign w:val="bottom"/>
            <w:tcBorders>
              <w:top w:val="single" w:sz="8" w:color="auto"/>
              <w:left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Tana L. Utley</w:t>
            </w:r>
          </w:p>
        </w:tc>
        <w:tc>
          <w:tcPr>
            <w:tcW w:w="160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15,382</w:t>
            </w:r>
          </w:p>
        </w:tc>
        <w:tc>
          <w:tcPr>
            <w:tcW w:w="184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24,319</w:t>
            </w:r>
          </w:p>
        </w:tc>
        <w:tc>
          <w:tcPr>
            <w:tcW w:w="146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39,701</w:t>
            </w: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5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540" w:type="dxa"/>
            <w:vAlign w:val="bottom"/>
            <w:tcBorders>
              <w:left w:val="single" w:sz="8" w:color="auto"/>
              <w:bottom w:val="single" w:sz="8" w:color="E5E5E5"/>
              <w:right w:val="single" w:sz="8" w:color="auto"/>
            </w:tcBorders>
            <w:shd w:val="clear" w:color="auto" w:fill="E5E5E5"/>
          </w:tcPr>
          <w:p>
            <w:pPr>
              <w:ind w:left="280"/>
              <w:spacing w:after="0"/>
              <w:rPr>
                <w:sz w:val="20"/>
                <w:szCs w:val="20"/>
                <w:color w:val="auto"/>
              </w:rPr>
            </w:pPr>
            <w:r>
              <w:rPr>
                <w:rFonts w:ascii="Arial" w:cs="Arial" w:eastAsia="Arial" w:hAnsi="Arial"/>
                <w:sz w:val="14"/>
                <w:szCs w:val="14"/>
                <w:color w:val="auto"/>
              </w:rPr>
              <w:t>Angel Shelton Willis</w:t>
            </w:r>
          </w:p>
        </w:tc>
        <w:tc>
          <w:tcPr>
            <w:tcW w:w="160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7,718</w:t>
            </w:r>
          </w:p>
        </w:tc>
        <w:tc>
          <w:tcPr>
            <w:tcW w:w="184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998</w:t>
            </w:r>
          </w:p>
        </w:tc>
        <w:tc>
          <w:tcPr>
            <w:tcW w:w="146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7,718</w:t>
            </w:r>
          </w:p>
        </w:tc>
        <w:tc>
          <w:tcPr>
            <w:tcW w:w="116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54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NAMED EXECUTIVE OFFICERS</w:t>
            </w:r>
          </w:p>
        </w:tc>
        <w:tc>
          <w:tcPr>
            <w:tcW w:w="160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40" w:type="dxa"/>
            <w:vAlign w:val="bottom"/>
            <w:tcBorders>
              <w:left w:val="single" w:sz="8" w:color="auto"/>
              <w:bottom w:val="single" w:sz="8" w:color="E5E5E5"/>
              <w:right w:val="single" w:sz="8" w:color="auto"/>
            </w:tcBorders>
            <w:shd w:val="clear" w:color="auto" w:fill="E5E5E5"/>
          </w:tcPr>
          <w:p>
            <w:pPr>
              <w:ind w:left="280"/>
              <w:spacing w:after="0"/>
              <w:rPr>
                <w:sz w:val="20"/>
                <w:szCs w:val="20"/>
                <w:color w:val="auto"/>
              </w:rPr>
            </w:pPr>
            <w:r>
              <w:rPr>
                <w:rFonts w:ascii="Arial" w:cs="Arial" w:eastAsia="Arial" w:hAnsi="Arial"/>
                <w:sz w:val="14"/>
                <w:szCs w:val="14"/>
                <w:color w:val="auto"/>
              </w:rPr>
              <w:t>Eugene J. Lowe, III</w:t>
            </w:r>
          </w:p>
        </w:tc>
        <w:tc>
          <w:tcPr>
            <w:tcW w:w="160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1,099,044</w:t>
            </w:r>
          </w:p>
        </w:tc>
        <w:tc>
          <w:tcPr>
            <w:tcW w:w="184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411,850</w:t>
            </w:r>
          </w:p>
        </w:tc>
        <w:tc>
          <w:tcPr>
            <w:tcW w:w="146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1,099,044</w:t>
            </w:r>
          </w:p>
        </w:tc>
        <w:tc>
          <w:tcPr>
            <w:tcW w:w="116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2.33 %</w:t>
            </w:r>
          </w:p>
        </w:tc>
        <w:tc>
          <w:tcPr>
            <w:tcW w:w="0" w:type="dxa"/>
            <w:vAlign w:val="bottom"/>
          </w:tcPr>
          <w:p>
            <w:pPr>
              <w:spacing w:after="0"/>
              <w:rPr>
                <w:sz w:val="1"/>
                <w:szCs w:val="1"/>
                <w:color w:val="auto"/>
              </w:rPr>
            </w:pPr>
          </w:p>
        </w:tc>
      </w:tr>
      <w:tr>
        <w:trPr>
          <w:trHeight w:val="202"/>
        </w:trPr>
        <w:tc>
          <w:tcPr>
            <w:tcW w:w="3540" w:type="dxa"/>
            <w:vAlign w:val="bottom"/>
            <w:tcBorders>
              <w:top w:val="single" w:sz="8" w:color="auto"/>
              <w:left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Mark A. Carano</w:t>
            </w:r>
          </w:p>
        </w:tc>
        <w:tc>
          <w:tcPr>
            <w:tcW w:w="160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8,029</w:t>
            </w:r>
          </w:p>
        </w:tc>
        <w:tc>
          <w:tcPr>
            <w:tcW w:w="184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5,053</w:t>
            </w:r>
          </w:p>
        </w:tc>
        <w:tc>
          <w:tcPr>
            <w:tcW w:w="146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8,029</w:t>
            </w: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5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540" w:type="dxa"/>
            <w:vAlign w:val="bottom"/>
            <w:tcBorders>
              <w:left w:val="single" w:sz="8" w:color="auto"/>
              <w:bottom w:val="single" w:sz="8" w:color="E5E5E5"/>
              <w:right w:val="single" w:sz="8" w:color="auto"/>
            </w:tcBorders>
            <w:shd w:val="clear" w:color="auto" w:fill="E5E5E5"/>
          </w:tcPr>
          <w:p>
            <w:pPr>
              <w:ind w:left="280"/>
              <w:spacing w:after="0"/>
              <w:rPr>
                <w:sz w:val="20"/>
                <w:szCs w:val="20"/>
                <w:color w:val="auto"/>
              </w:rPr>
            </w:pPr>
            <w:r>
              <w:rPr>
                <w:rFonts w:ascii="Arial" w:cs="Arial" w:eastAsia="Arial" w:hAnsi="Arial"/>
                <w:sz w:val="14"/>
                <w:szCs w:val="14"/>
                <w:color w:val="auto"/>
              </w:rPr>
              <w:t>J. Randall Data</w:t>
            </w:r>
          </w:p>
        </w:tc>
        <w:tc>
          <w:tcPr>
            <w:tcW w:w="160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49,180</w:t>
            </w:r>
          </w:p>
        </w:tc>
        <w:tc>
          <w:tcPr>
            <w:tcW w:w="184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9,758</w:t>
            </w:r>
          </w:p>
        </w:tc>
        <w:tc>
          <w:tcPr>
            <w:tcW w:w="146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49,180</w:t>
            </w:r>
          </w:p>
        </w:tc>
        <w:tc>
          <w:tcPr>
            <w:tcW w:w="116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3540" w:type="dxa"/>
            <w:vAlign w:val="bottom"/>
            <w:tcBorders>
              <w:top w:val="single" w:sz="8" w:color="auto"/>
              <w:left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John W. Swann, III</w:t>
            </w:r>
          </w:p>
        </w:tc>
        <w:tc>
          <w:tcPr>
            <w:tcW w:w="160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105,499</w:t>
            </w:r>
          </w:p>
        </w:tc>
        <w:tc>
          <w:tcPr>
            <w:tcW w:w="184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32,664</w:t>
            </w:r>
          </w:p>
        </w:tc>
        <w:tc>
          <w:tcPr>
            <w:tcW w:w="146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105,499</w:t>
            </w:r>
          </w:p>
        </w:tc>
        <w:tc>
          <w:tcPr>
            <w:tcW w:w="11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5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540" w:type="dxa"/>
            <w:vAlign w:val="bottom"/>
            <w:tcBorders>
              <w:left w:val="single" w:sz="8" w:color="auto"/>
              <w:bottom w:val="single" w:sz="8" w:color="E5E5E5"/>
              <w:right w:val="single" w:sz="8" w:color="auto"/>
            </w:tcBorders>
            <w:shd w:val="clear" w:color="auto" w:fill="E5E5E5"/>
          </w:tcPr>
          <w:p>
            <w:pPr>
              <w:ind w:left="280"/>
              <w:spacing w:after="0"/>
              <w:rPr>
                <w:sz w:val="20"/>
                <w:szCs w:val="20"/>
                <w:color w:val="auto"/>
              </w:rPr>
            </w:pPr>
            <w:r>
              <w:rPr>
                <w:rFonts w:ascii="Arial" w:cs="Arial" w:eastAsia="Arial" w:hAnsi="Arial"/>
                <w:sz w:val="14"/>
                <w:szCs w:val="14"/>
                <w:color w:val="auto"/>
              </w:rPr>
              <w:t>Sean McClenaghan</w:t>
            </w:r>
          </w:p>
        </w:tc>
        <w:tc>
          <w:tcPr>
            <w:tcW w:w="160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24,897</w:t>
            </w:r>
          </w:p>
        </w:tc>
        <w:tc>
          <w:tcPr>
            <w:tcW w:w="184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19,444</w:t>
            </w:r>
          </w:p>
        </w:tc>
        <w:tc>
          <w:tcPr>
            <w:tcW w:w="146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24,897</w:t>
            </w:r>
          </w:p>
        </w:tc>
        <w:tc>
          <w:tcPr>
            <w:tcW w:w="116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3540" w:type="dxa"/>
            <w:vAlign w:val="bottom"/>
            <w:tcBorders>
              <w:top w:val="single" w:sz="8" w:color="auto"/>
              <w:left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All directors and executive officers as a group</w:t>
            </w:r>
          </w:p>
        </w:tc>
        <w:tc>
          <w:tcPr>
            <w:tcW w:w="1600" w:type="dxa"/>
            <w:vAlign w:val="bottom"/>
            <w:tcBorders>
              <w:top w:val="single" w:sz="8" w:color="auto"/>
              <w:right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1,569,196</w:t>
            </w:r>
          </w:p>
        </w:tc>
        <w:tc>
          <w:tcPr>
            <w:tcW w:w="1840" w:type="dxa"/>
            <w:vAlign w:val="bottom"/>
            <w:tcBorders>
              <w:top w:val="single" w:sz="8" w:color="auto"/>
              <w:right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554,029</w:t>
            </w:r>
          </w:p>
        </w:tc>
        <w:tc>
          <w:tcPr>
            <w:tcW w:w="1460" w:type="dxa"/>
            <w:vAlign w:val="bottom"/>
            <w:tcBorders>
              <w:top w:val="single" w:sz="8" w:color="auto"/>
              <w:right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79,561</w:t>
            </w:r>
          </w:p>
        </w:tc>
        <w:tc>
          <w:tcPr>
            <w:tcW w:w="1460" w:type="dxa"/>
            <w:vAlign w:val="bottom"/>
            <w:tcBorders>
              <w:top w:val="single" w:sz="8" w:color="auto"/>
              <w:right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color w:val="auto"/>
              </w:rPr>
              <w:t>1,648,757</w:t>
            </w:r>
          </w:p>
        </w:tc>
        <w:tc>
          <w:tcPr>
            <w:tcW w:w="116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3.32 %</w:t>
            </w:r>
          </w:p>
        </w:tc>
        <w:tc>
          <w:tcPr>
            <w:tcW w:w="0" w:type="dxa"/>
            <w:vAlign w:val="bottom"/>
          </w:tcPr>
          <w:p>
            <w:pPr>
              <w:spacing w:after="0"/>
              <w:rPr>
                <w:sz w:val="1"/>
                <w:szCs w:val="1"/>
                <w:color w:val="auto"/>
              </w:rPr>
            </w:pPr>
          </w:p>
        </w:tc>
      </w:tr>
      <w:tr>
        <w:trPr>
          <w:trHeight w:val="102"/>
        </w:trPr>
        <w:tc>
          <w:tcPr>
            <w:tcW w:w="3540" w:type="dxa"/>
            <w:vAlign w:val="bottom"/>
            <w:tcBorders>
              <w:left w:val="single" w:sz="8" w:color="auto"/>
              <w:right w:val="single" w:sz="8" w:color="auto"/>
            </w:tcBorders>
            <w:vMerge w:val="restart"/>
          </w:tcPr>
          <w:p>
            <w:pPr>
              <w:ind w:left="280"/>
              <w:spacing w:after="0"/>
              <w:rPr>
                <w:sz w:val="20"/>
                <w:szCs w:val="20"/>
                <w:color w:val="auto"/>
              </w:rPr>
            </w:pPr>
            <w:r>
              <w:rPr>
                <w:rFonts w:ascii="Arial" w:cs="Arial" w:eastAsia="Arial" w:hAnsi="Arial"/>
                <w:sz w:val="14"/>
                <w:szCs w:val="14"/>
                <w:b w:val="1"/>
                <w:bCs w:val="1"/>
                <w:color w:val="auto"/>
              </w:rPr>
              <w:t>(15 persons)</w:t>
            </w:r>
          </w:p>
        </w:tc>
        <w:tc>
          <w:tcPr>
            <w:tcW w:w="160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46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5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 Less than 1.0%</w:t>
      </w:r>
    </w:p>
    <w:p>
      <w:pPr>
        <w:spacing w:after="0" w:line="67" w:lineRule="exact"/>
        <w:rPr>
          <w:sz w:val="20"/>
          <w:szCs w:val="20"/>
          <w:color w:val="auto"/>
        </w:rPr>
      </w:pPr>
    </w:p>
    <w:p>
      <w:pPr>
        <w:jc w:val="both"/>
        <w:ind w:left="340" w:hanging="332"/>
        <w:spacing w:after="0" w:line="270" w:lineRule="auto"/>
        <w:tabs>
          <w:tab w:leader="none" w:pos="332" w:val="left"/>
        </w:tabs>
        <w:numPr>
          <w:ilvl w:val="0"/>
          <w:numId w:val="21"/>
        </w:numPr>
        <w:rPr>
          <w:rFonts w:ascii="Arial" w:cs="Arial" w:eastAsia="Arial" w:hAnsi="Arial"/>
          <w:sz w:val="12"/>
          <w:szCs w:val="12"/>
          <w:color w:val="auto"/>
        </w:rPr>
      </w:pPr>
      <w:r>
        <w:rPr>
          <w:rFonts w:ascii="Arial" w:cs="Arial" w:eastAsia="Arial" w:hAnsi="Arial"/>
          <w:sz w:val="12"/>
          <w:szCs w:val="12"/>
          <w:color w:val="auto"/>
        </w:rPr>
        <w:t>Beneficial ownership is a technical term broadly defined by the SEC to mean more than ownership in the usual sense. In general, beneficial ownership includes any shares a director or executive officer can vote or transfer, stock options that are exercisable or would become exercisable within 60 days, and other shares a director or executive officer would have the right to acquire within 60 days. The number of our shares beneficially owned by each of the named executive officers and by all directors and executive officers as a group also includes shares represented as held under the individual’s account under the SPX Retirement Savings and Stock Ownership Plan (“401(k) Plan”). The stockholders named in this table have sole voting and investment power for all shares shown as beneficially owned by them. Director RSUs that were electively deferred until six months following separation from service are not included as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589915</wp:posOffset>
            </wp:positionV>
            <wp:extent cx="40259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0259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22</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28" w:name="page29"/>
    <w:bookmarkEnd w:id="28"/>
    <w:p>
      <w:pPr>
        <w:ind w:left="8860"/>
        <w:spacing w:after="0"/>
        <w:rPr>
          <w:sz w:val="20"/>
          <w:szCs w:val="20"/>
          <w:color w:val="auto"/>
        </w:rPr>
      </w:pPr>
      <w:r>
        <w:rPr>
          <w:rFonts w:ascii="Arial" w:cs="Arial" w:eastAsia="Arial" w:hAnsi="Arial"/>
          <w:sz w:val="14"/>
          <w:szCs w:val="14"/>
          <w:color w:val="004C97"/>
        </w:rPr>
        <w:t>OWNERSHIP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right="20" w:hanging="332"/>
        <w:spacing w:after="0" w:line="264" w:lineRule="auto"/>
        <w:tabs>
          <w:tab w:leader="none" w:pos="332"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Represents shares of our common stock issuable under options that are exercisable or become exercisable within 60 days of March 17, 2025 and RSUs that vest within 60 days of March 17, 2025. Such shares are included in the number of shares of common stock beneficially owned as presented in the preceding column on this table.</w:t>
      </w:r>
    </w:p>
    <w:p>
      <w:pPr>
        <w:spacing w:after="0" w:line="22" w:lineRule="exact"/>
        <w:rPr>
          <w:rFonts w:ascii="Arial" w:cs="Arial" w:eastAsia="Arial" w:hAnsi="Arial"/>
          <w:sz w:val="13"/>
          <w:szCs w:val="13"/>
          <w:color w:val="auto"/>
        </w:rPr>
      </w:pPr>
    </w:p>
    <w:p>
      <w:pPr>
        <w:ind w:left="340" w:right="40" w:hanging="332"/>
        <w:spacing w:after="0" w:line="286" w:lineRule="auto"/>
        <w:tabs>
          <w:tab w:leader="none" w:pos="332"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Includes shares beneficially owned through the 401(k) Plan on March 17, 2025 for each of the following: Mr. Lowe, 5,019 shares; Mr. Carano, 356 shares; Mr. Data, 3,762 shares; Mr. Swann, 4,192 shares; Mr. McClenaghan, 427 shares; and all directors and executive officers as a group, 13,942 shares. Non-employee directors do not participate in our 401(k) Plan.</w:t>
      </w:r>
    </w:p>
    <w:p>
      <w:pPr>
        <w:spacing w:after="0" w:line="8" w:lineRule="exact"/>
        <w:rPr>
          <w:rFonts w:ascii="Arial" w:cs="Arial" w:eastAsia="Arial" w:hAnsi="Arial"/>
          <w:sz w:val="13"/>
          <w:szCs w:val="13"/>
          <w:color w:val="auto"/>
        </w:rPr>
      </w:pPr>
    </w:p>
    <w:p>
      <w:pPr>
        <w:ind w:left="320" w:hanging="312"/>
        <w:spacing w:after="0"/>
        <w:tabs>
          <w:tab w:leader="none" w:pos="3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Includes vested RSUs issuable under the Director Deferral Election Program which are delivered six months following separation from Board service.</w:t>
      </w:r>
    </w:p>
    <w:p>
      <w:pPr>
        <w:spacing w:after="0" w:line="53" w:lineRule="exact"/>
        <w:rPr>
          <w:rFonts w:ascii="Arial" w:cs="Arial" w:eastAsia="Arial" w:hAnsi="Arial"/>
          <w:sz w:val="13"/>
          <w:szCs w:val="13"/>
          <w:color w:val="auto"/>
        </w:rPr>
      </w:pPr>
    </w:p>
    <w:p>
      <w:pPr>
        <w:ind w:left="320" w:hanging="312"/>
        <w:spacing w:after="0"/>
        <w:tabs>
          <w:tab w:leader="none" w:pos="3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Includes total shares held by the participant.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PRINCIPAL STOCKHOLDERS</w:t>
      </w:r>
    </w:p>
    <w:p>
      <w:pPr>
        <w:spacing w:after="0" w:line="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following table includes certain information about each person or entity known to us to be the beneficial owner of more than five percent of the issued and outstanding shares of our common stock.</w:t>
      </w:r>
    </w:p>
    <w:p>
      <w:pPr>
        <w:spacing w:after="0" w:line="136"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4840" w:type="dxa"/>
            <w:vAlign w:val="bottom"/>
            <w:tcBorders>
              <w:top w:val="single" w:sz="8" w:color="auto"/>
              <w:left w:val="single" w:sz="8" w:color="auto"/>
              <w:right w:val="single" w:sz="8" w:color="auto"/>
            </w:tcBorders>
            <w:shd w:val="clear" w:color="auto" w:fill="004C97"/>
          </w:tcPr>
          <w:p>
            <w:pPr>
              <w:spacing w:after="0"/>
              <w:rPr>
                <w:sz w:val="16"/>
                <w:szCs w:val="16"/>
                <w:color w:val="auto"/>
              </w:rPr>
            </w:pPr>
          </w:p>
        </w:tc>
        <w:tc>
          <w:tcPr>
            <w:tcW w:w="320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Shares of Common Stock Beneficially</w:t>
            </w:r>
          </w:p>
        </w:tc>
        <w:tc>
          <w:tcPr>
            <w:tcW w:w="322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Percent</w:t>
            </w:r>
          </w:p>
        </w:tc>
        <w:tc>
          <w:tcPr>
            <w:tcW w:w="0" w:type="dxa"/>
            <w:vAlign w:val="bottom"/>
          </w:tcPr>
          <w:p>
            <w:pPr>
              <w:spacing w:after="0"/>
              <w:rPr>
                <w:sz w:val="1"/>
                <w:szCs w:val="1"/>
                <w:color w:val="auto"/>
              </w:rPr>
            </w:pPr>
          </w:p>
        </w:tc>
      </w:tr>
      <w:tr>
        <w:trPr>
          <w:trHeight w:val="219"/>
        </w:trPr>
        <w:tc>
          <w:tcPr>
            <w:tcW w:w="4840" w:type="dxa"/>
            <w:vAlign w:val="bottom"/>
            <w:tcBorders>
              <w:left w:val="single" w:sz="8" w:color="auto"/>
              <w:bottom w:val="single" w:sz="8" w:color="auto"/>
              <w:right w:val="single" w:sz="8" w:color="auto"/>
            </w:tcBorders>
            <w:shd w:val="clear" w:color="auto" w:fill="004C97"/>
          </w:tcPr>
          <w:p>
            <w:pPr>
              <w:ind w:left="1760"/>
              <w:spacing w:after="0"/>
              <w:rPr>
                <w:sz w:val="20"/>
                <w:szCs w:val="20"/>
                <w:color w:val="auto"/>
              </w:rPr>
            </w:pPr>
            <w:r>
              <w:rPr>
                <w:rFonts w:ascii="Arial" w:cs="Arial" w:eastAsia="Arial" w:hAnsi="Arial"/>
                <w:sz w:val="14"/>
                <w:szCs w:val="14"/>
                <w:b w:val="1"/>
                <w:bCs w:val="1"/>
                <w:color w:val="FFFFFF"/>
              </w:rPr>
              <w:t>Name and Address</w:t>
            </w:r>
          </w:p>
        </w:tc>
        <w:tc>
          <w:tcPr>
            <w:tcW w:w="32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Owned</w:t>
            </w:r>
            <w:r>
              <w:rPr>
                <w:rFonts w:ascii="Arial" w:cs="Arial" w:eastAsia="Arial" w:hAnsi="Arial"/>
                <w:sz w:val="9"/>
                <w:szCs w:val="9"/>
                <w:b w:val="1"/>
                <w:bCs w:val="1"/>
                <w:color w:val="FFFFFF"/>
              </w:rPr>
              <w:t>(1)</w:t>
            </w:r>
          </w:p>
        </w:tc>
        <w:tc>
          <w:tcPr>
            <w:tcW w:w="322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of Class</w:t>
            </w:r>
            <w:r>
              <w:rPr>
                <w:rFonts w:ascii="Arial" w:cs="Arial" w:eastAsia="Arial" w:hAnsi="Arial"/>
                <w:sz w:val="9"/>
                <w:szCs w:val="9"/>
                <w:b w:val="1"/>
                <w:bCs w:val="1"/>
                <w:color w:val="FFFFFF"/>
              </w:rPr>
              <w:t>(1)</w:t>
            </w:r>
          </w:p>
        </w:tc>
        <w:tc>
          <w:tcPr>
            <w:tcW w:w="0" w:type="dxa"/>
            <w:vAlign w:val="bottom"/>
          </w:tcPr>
          <w:p>
            <w:pPr>
              <w:spacing w:after="0"/>
              <w:rPr>
                <w:sz w:val="1"/>
                <w:szCs w:val="1"/>
                <w:color w:val="auto"/>
              </w:rPr>
            </w:pPr>
          </w:p>
        </w:tc>
      </w:tr>
      <w:tr>
        <w:trPr>
          <w:trHeight w:val="148"/>
        </w:trPr>
        <w:tc>
          <w:tcPr>
            <w:tcW w:w="4840" w:type="dxa"/>
            <w:vAlign w:val="bottom"/>
            <w:tcBorders>
              <w:left w:val="single" w:sz="8" w:color="auto"/>
              <w:right w:val="single" w:sz="8" w:color="auto"/>
            </w:tcBorders>
            <w:shd w:val="clear" w:color="auto" w:fill="E5E5E5"/>
          </w:tcPr>
          <w:p>
            <w:pPr>
              <w:ind w:left="120"/>
              <w:spacing w:after="0" w:line="149" w:lineRule="exact"/>
              <w:rPr>
                <w:sz w:val="20"/>
                <w:szCs w:val="20"/>
                <w:color w:val="auto"/>
              </w:rPr>
            </w:pPr>
            <w:r>
              <w:rPr>
                <w:rFonts w:ascii="Arial" w:cs="Arial" w:eastAsia="Arial" w:hAnsi="Arial"/>
                <w:sz w:val="14"/>
                <w:szCs w:val="14"/>
                <w:color w:val="auto"/>
              </w:rPr>
              <w:t>BlackRock, Inc.</w:t>
            </w:r>
            <w:r>
              <w:rPr>
                <w:rFonts w:ascii="Arial" w:cs="Arial" w:eastAsia="Arial" w:hAnsi="Arial"/>
                <w:sz w:val="17"/>
                <w:szCs w:val="17"/>
                <w:color w:val="auto"/>
                <w:vertAlign w:val="superscript"/>
              </w:rPr>
              <w:t>(2)</w:t>
            </w:r>
          </w:p>
        </w:tc>
        <w:tc>
          <w:tcPr>
            <w:tcW w:w="320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4"/>
                <w:szCs w:val="14"/>
                <w:color w:val="auto"/>
              </w:rPr>
              <w:t>6,958,005</w:t>
            </w:r>
          </w:p>
        </w:tc>
        <w:tc>
          <w:tcPr>
            <w:tcW w:w="322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4"/>
                <w:szCs w:val="14"/>
                <w:color w:val="auto"/>
              </w:rPr>
              <w:t>14.87%</w:t>
            </w:r>
          </w:p>
        </w:tc>
        <w:tc>
          <w:tcPr>
            <w:tcW w:w="0" w:type="dxa"/>
            <w:vAlign w:val="bottom"/>
          </w:tcPr>
          <w:p>
            <w:pPr>
              <w:spacing w:after="0"/>
              <w:rPr>
                <w:sz w:val="1"/>
                <w:szCs w:val="1"/>
                <w:color w:val="auto"/>
              </w:rPr>
            </w:pPr>
          </w:p>
        </w:tc>
      </w:tr>
      <w:tr>
        <w:trPr>
          <w:trHeight w:val="139"/>
        </w:trPr>
        <w:tc>
          <w:tcPr>
            <w:tcW w:w="4840" w:type="dxa"/>
            <w:vAlign w:val="bottom"/>
            <w:tcBorders>
              <w:left w:val="single" w:sz="8" w:color="auto"/>
              <w:right w:val="single" w:sz="8" w:color="auto"/>
            </w:tcBorders>
            <w:shd w:val="clear" w:color="auto" w:fill="E5E5E5"/>
          </w:tcPr>
          <w:p>
            <w:pPr>
              <w:ind w:left="120"/>
              <w:spacing w:after="0" w:line="139" w:lineRule="exact"/>
              <w:rPr>
                <w:sz w:val="20"/>
                <w:szCs w:val="20"/>
                <w:color w:val="auto"/>
              </w:rPr>
            </w:pPr>
            <w:r>
              <w:rPr>
                <w:rFonts w:ascii="Arial" w:cs="Arial" w:eastAsia="Arial" w:hAnsi="Arial"/>
                <w:sz w:val="14"/>
                <w:szCs w:val="14"/>
                <w:color w:val="auto"/>
              </w:rPr>
              <w:t>50 Hudson Yards</w:t>
            </w:r>
          </w:p>
        </w:tc>
        <w:tc>
          <w:tcPr>
            <w:tcW w:w="3200" w:type="dxa"/>
            <w:vAlign w:val="bottom"/>
            <w:tcBorders>
              <w:right w:val="single" w:sz="8" w:color="auto"/>
            </w:tcBorders>
            <w:vMerge w:val="continue"/>
            <w:shd w:val="clear" w:color="auto" w:fill="E5E5E5"/>
          </w:tcPr>
          <w:p>
            <w:pPr>
              <w:spacing w:after="0"/>
              <w:rPr>
                <w:sz w:val="12"/>
                <w:szCs w:val="12"/>
                <w:color w:val="auto"/>
              </w:rPr>
            </w:pPr>
          </w:p>
        </w:tc>
        <w:tc>
          <w:tcPr>
            <w:tcW w:w="3220" w:type="dxa"/>
            <w:vAlign w:val="bottom"/>
            <w:tcBorders>
              <w:right w:val="single" w:sz="8" w:color="auto"/>
            </w:tcBorders>
            <w:vMerge w:val="continue"/>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840" w:type="dxa"/>
            <w:vAlign w:val="bottom"/>
            <w:tcBorders>
              <w:left w:val="single" w:sz="8" w:color="auto"/>
              <w:bottom w:val="single" w:sz="8" w:color="auto"/>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New York, NY 10001</w:t>
            </w:r>
          </w:p>
        </w:tc>
        <w:tc>
          <w:tcPr>
            <w:tcW w:w="3200" w:type="dxa"/>
            <w:vAlign w:val="bottom"/>
            <w:tcBorders>
              <w:bottom w:val="single" w:sz="8" w:color="auto"/>
              <w:right w:val="single" w:sz="8" w:color="auto"/>
            </w:tcBorders>
            <w:shd w:val="clear" w:color="auto" w:fill="E5E5E5"/>
          </w:tcPr>
          <w:p>
            <w:pPr>
              <w:spacing w:after="0"/>
              <w:rPr>
                <w:sz w:val="16"/>
                <w:szCs w:val="16"/>
                <w:color w:val="auto"/>
              </w:rPr>
            </w:pPr>
          </w:p>
        </w:tc>
        <w:tc>
          <w:tcPr>
            <w:tcW w:w="3220" w:type="dxa"/>
            <w:vAlign w:val="bottom"/>
            <w:tcBorders>
              <w:bottom w:val="single" w:sz="8" w:color="auto"/>
              <w:right w:val="single" w:sz="8" w:color="auto"/>
            </w:tcBorders>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40" w:type="dxa"/>
            <w:vAlign w:val="bottom"/>
            <w:tcBorders>
              <w:left w:val="single" w:sz="8" w:color="auto"/>
              <w:right w:val="single" w:sz="8" w:color="auto"/>
            </w:tcBorders>
          </w:tcPr>
          <w:p>
            <w:pPr>
              <w:ind w:left="120"/>
              <w:spacing w:after="0" w:line="146" w:lineRule="exact"/>
              <w:rPr>
                <w:sz w:val="20"/>
                <w:szCs w:val="20"/>
                <w:color w:val="auto"/>
              </w:rPr>
            </w:pPr>
            <w:r>
              <w:rPr>
                <w:rFonts w:ascii="Arial" w:cs="Arial" w:eastAsia="Arial" w:hAnsi="Arial"/>
                <w:sz w:val="13"/>
                <w:szCs w:val="13"/>
                <w:color w:val="auto"/>
              </w:rPr>
              <w:t>The Vanguard Group</w:t>
            </w:r>
            <w:r>
              <w:rPr>
                <w:rFonts w:ascii="Arial" w:cs="Arial" w:eastAsia="Arial" w:hAnsi="Arial"/>
                <w:sz w:val="16"/>
                <w:szCs w:val="16"/>
                <w:color w:val="auto"/>
                <w:vertAlign w:val="superscript"/>
              </w:rPr>
              <w:t>(3)</w:t>
            </w:r>
          </w:p>
        </w:tc>
        <w:tc>
          <w:tcPr>
            <w:tcW w:w="3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5,000,918</w:t>
            </w:r>
          </w:p>
        </w:tc>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139"/>
        </w:trPr>
        <w:tc>
          <w:tcPr>
            <w:tcW w:w="4840" w:type="dxa"/>
            <w:vAlign w:val="bottom"/>
            <w:tcBorders>
              <w:left w:val="single" w:sz="8" w:color="auto"/>
              <w:right w:val="single" w:sz="8" w:color="auto"/>
            </w:tcBorders>
          </w:tcPr>
          <w:p>
            <w:pPr>
              <w:ind w:left="120"/>
              <w:spacing w:after="0" w:line="139" w:lineRule="exact"/>
              <w:rPr>
                <w:sz w:val="20"/>
                <w:szCs w:val="20"/>
                <w:color w:val="auto"/>
              </w:rPr>
            </w:pPr>
            <w:r>
              <w:rPr>
                <w:rFonts w:ascii="Arial" w:cs="Arial" w:eastAsia="Arial" w:hAnsi="Arial"/>
                <w:sz w:val="14"/>
                <w:szCs w:val="14"/>
                <w:color w:val="auto"/>
              </w:rPr>
              <w:t>100 Vanguard Boulevard</w:t>
            </w:r>
          </w:p>
        </w:tc>
        <w:tc>
          <w:tcPr>
            <w:tcW w:w="3200" w:type="dxa"/>
            <w:vAlign w:val="bottom"/>
            <w:tcBorders>
              <w:right w:val="single" w:sz="8" w:color="auto"/>
            </w:tcBorders>
            <w:vMerge w:val="continue"/>
          </w:tcPr>
          <w:p>
            <w:pPr>
              <w:spacing w:after="0"/>
              <w:rPr>
                <w:sz w:val="12"/>
                <w:szCs w:val="12"/>
                <w:color w:val="auto"/>
              </w:rPr>
            </w:pPr>
          </w:p>
        </w:tc>
        <w:tc>
          <w:tcPr>
            <w:tcW w:w="3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Malvern, PA 19355</w:t>
            </w:r>
          </w:p>
        </w:tc>
        <w:tc>
          <w:tcPr>
            <w:tcW w:w="3200" w:type="dxa"/>
            <w:vAlign w:val="bottom"/>
            <w:tcBorders>
              <w:bottom w:val="single" w:sz="8" w:color="auto"/>
              <w:right w:val="single" w:sz="8" w:color="auto"/>
            </w:tcBorders>
          </w:tcPr>
          <w:p>
            <w:pPr>
              <w:spacing w:after="0"/>
              <w:rPr>
                <w:sz w:val="16"/>
                <w:szCs w:val="16"/>
                <w:color w:val="auto"/>
              </w:rPr>
            </w:pPr>
          </w:p>
        </w:tc>
        <w:tc>
          <w:tcPr>
            <w:tcW w:w="32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right="40" w:hanging="332"/>
        <w:spacing w:after="0" w:line="264" w:lineRule="auto"/>
        <w:tabs>
          <w:tab w:leader="none" w:pos="332" w:val="left"/>
        </w:tabs>
        <w:numPr>
          <w:ilvl w:val="0"/>
          <w:numId w:val="23"/>
        </w:numPr>
        <w:rPr>
          <w:rFonts w:ascii="Arial" w:cs="Arial" w:eastAsia="Arial" w:hAnsi="Arial"/>
          <w:sz w:val="13"/>
          <w:szCs w:val="13"/>
          <w:color w:val="auto"/>
        </w:rPr>
      </w:pPr>
      <w:r>
        <w:rPr>
          <w:rFonts w:ascii="Arial" w:cs="Arial" w:eastAsia="Arial" w:hAnsi="Arial"/>
          <w:sz w:val="13"/>
          <w:szCs w:val="13"/>
          <w:color w:val="auto"/>
        </w:rPr>
        <w:t>Ownership amounts are based on the assumption that each of the principal stockholders continued to beneficially own, as of March 17, 2025, the amounts reflected in its most recent beneficial ownership report filed with the SEC. Percentage ownership is based on the number of shares of our common stock outstanding on March 17, 2025</w:t>
      </w:r>
    </w:p>
    <w:p>
      <w:pPr>
        <w:spacing w:after="0" w:line="35" w:lineRule="exact"/>
        <w:rPr>
          <w:rFonts w:ascii="Arial" w:cs="Arial" w:eastAsia="Arial" w:hAnsi="Arial"/>
          <w:sz w:val="13"/>
          <w:szCs w:val="13"/>
          <w:color w:val="auto"/>
        </w:rPr>
      </w:pPr>
    </w:p>
    <w:p>
      <w:pPr>
        <w:jc w:val="both"/>
        <w:ind w:left="340" w:right="20" w:hanging="332"/>
        <w:spacing w:after="0" w:line="251" w:lineRule="auto"/>
        <w:tabs>
          <w:tab w:leader="none" w:pos="332" w:val="left"/>
        </w:tabs>
        <w:numPr>
          <w:ilvl w:val="0"/>
          <w:numId w:val="23"/>
        </w:numPr>
        <w:rPr>
          <w:rFonts w:ascii="Arial" w:cs="Arial" w:eastAsia="Arial" w:hAnsi="Arial"/>
          <w:sz w:val="13"/>
          <w:szCs w:val="13"/>
          <w:color w:val="auto"/>
        </w:rPr>
      </w:pPr>
      <w:r>
        <w:rPr>
          <w:rFonts w:ascii="Arial" w:cs="Arial" w:eastAsia="Arial" w:hAnsi="Arial"/>
          <w:sz w:val="13"/>
          <w:szCs w:val="13"/>
          <w:color w:val="auto"/>
        </w:rPr>
        <w:t>Based on information provided in a Schedule 13G/A filed with the SEC on January 22, 2024 by BlackRock, Inc., and certain affiliated entities (“BlackRock”) reporting beneficial ownership as of December 31, 2023. BlackRock reports having sole voting power with respect to 6,878,301, of the shares and sole dispositive power with respect to all the shares. The Schedule 13G/A indicates that iShares Core S&amp;P Small Cap ETF beneficially owns more than five percent of our outstanding stock.</w:t>
      </w:r>
    </w:p>
    <w:p>
      <w:pPr>
        <w:spacing w:after="0" w:line="30" w:lineRule="exact"/>
        <w:rPr>
          <w:rFonts w:ascii="Arial" w:cs="Arial" w:eastAsia="Arial" w:hAnsi="Arial"/>
          <w:sz w:val="13"/>
          <w:szCs w:val="13"/>
          <w:color w:val="auto"/>
        </w:rPr>
      </w:pPr>
    </w:p>
    <w:p>
      <w:pPr>
        <w:jc w:val="both"/>
        <w:ind w:left="340" w:right="20" w:hanging="332"/>
        <w:spacing w:after="0" w:line="251" w:lineRule="auto"/>
        <w:tabs>
          <w:tab w:leader="none" w:pos="332" w:val="left"/>
        </w:tabs>
        <w:numPr>
          <w:ilvl w:val="0"/>
          <w:numId w:val="23"/>
        </w:numPr>
        <w:rPr>
          <w:rFonts w:ascii="Arial" w:cs="Arial" w:eastAsia="Arial" w:hAnsi="Arial"/>
          <w:sz w:val="13"/>
          <w:szCs w:val="13"/>
          <w:color w:val="auto"/>
        </w:rPr>
      </w:pPr>
      <w:r>
        <w:rPr>
          <w:rFonts w:ascii="Arial" w:cs="Arial" w:eastAsia="Arial" w:hAnsi="Arial"/>
          <w:sz w:val="13"/>
          <w:szCs w:val="13"/>
          <w:color w:val="auto"/>
        </w:rPr>
        <w:t>Based on information provided in the Schedule 13G/A filed with the SEC on February 13, 2024, by The Vanguard Group (“Vanguard”) reporting beneficial ownership as of December 29, 2023. Vanguard reports having shared voting power with respect to 72,424 of the shares; sole dispositive power with respect to 4,880,092 of the shares; and shared dispositive power with respect to 120,826 of the shares.</w:t>
      </w:r>
    </w:p>
    <w:p>
      <w:pPr>
        <w:spacing w:after="0" w:line="273" w:lineRule="exact"/>
        <w:rPr>
          <w:sz w:val="20"/>
          <w:szCs w:val="20"/>
          <w:color w:val="auto"/>
        </w:rPr>
      </w:pPr>
    </w:p>
    <w:p>
      <w:pPr>
        <w:spacing w:after="0"/>
        <w:rPr>
          <w:sz w:val="20"/>
          <w:szCs w:val="20"/>
          <w:color w:val="auto"/>
        </w:rPr>
      </w:pPr>
      <w:r>
        <w:rPr>
          <w:rFonts w:ascii="Arial" w:cs="Arial" w:eastAsia="Arial" w:hAnsi="Arial"/>
          <w:sz w:val="29"/>
          <w:szCs w:val="29"/>
          <w:color w:val="auto"/>
        </w:rPr>
        <w:t>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Section 16(a) of the Securities Exchange Act of 1934, as amended, requires our directors, executive officers, and beneficial owners of more than 10% of our outstanding common stock to file with the SEC reports of ownership and changes in ownership. Based solely upon a review of Section 16(a) reports (including amendments) filed with the SEC, no director, executive officer, or beneficial owner of more than 10% of our outstanding common stock failed to file on a timely basis during 2024 any reports required by Section 16(a).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650240</wp:posOffset>
            </wp:positionV>
            <wp:extent cx="403225"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0322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2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23</w:t>
            </w:r>
          </w:p>
        </w:tc>
      </w:tr>
      <w:tr>
        <w:trPr>
          <w:trHeight w:val="265"/>
        </w:trPr>
        <w:tc>
          <w:tcPr>
            <w:tcW w:w="1032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92" w:right="319" w:bottom="1440" w:gutter="0" w:footer="0" w:header="0"/>
        </w:sectPr>
      </w:pPr>
    </w:p>
    <w:bookmarkStart w:id="29" w:name="page30"/>
    <w:bookmarkEnd w:id="29"/>
    <w:p>
      <w:pPr>
        <w:spacing w:after="0"/>
        <w:rPr>
          <w:sz w:val="20"/>
          <w:szCs w:val="20"/>
          <w:color w:val="auto"/>
        </w:rPr>
      </w:pPr>
      <w:r>
        <w:rPr>
          <w:rFonts w:ascii="Arial" w:cs="Arial" w:eastAsia="Arial" w:hAnsi="Arial"/>
          <w:sz w:val="38"/>
          <w:szCs w:val="38"/>
          <w:b w:val="1"/>
          <w:bCs w:val="1"/>
          <w:color w:val="004C97"/>
        </w:rPr>
        <w:t>EXECUTIVE COMPENSATION</w:t>
      </w:r>
    </w:p>
    <w:p>
      <w:pPr>
        <w:spacing w:after="0" w:line="249" w:lineRule="exact"/>
        <w:rPr>
          <w:sz w:val="20"/>
          <w:szCs w:val="20"/>
          <w:color w:val="auto"/>
        </w:rPr>
      </w:pPr>
    </w:p>
    <w:p>
      <w:pPr>
        <w:spacing w:after="0"/>
        <w:rPr>
          <w:sz w:val="20"/>
          <w:szCs w:val="20"/>
          <w:color w:val="auto"/>
        </w:rPr>
      </w:pPr>
      <w:r>
        <w:rPr>
          <w:rFonts w:ascii="Arial" w:cs="Arial" w:eastAsia="Arial" w:hAnsi="Arial"/>
          <w:sz w:val="29"/>
          <w:szCs w:val="29"/>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INTRODUCTION</w:t>
      </w:r>
    </w:p>
    <w:p>
      <w:pPr>
        <w:spacing w:after="0" w:line="6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This Compensation Discussion and Analysis (“CD&amp;A”) provides information about our executive compensation program and the factors considered in making compensation decisions for the current and former executive officers listed in our Summary Compensation Table set forth below (the “named executive officers” or “NEOs”).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Our NEOs for 2024, and their current respective titles, are listed in the table below:</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3260" w:type="dxa"/>
            <w:vAlign w:val="bottom"/>
            <w:tcBorders>
              <w:top w:val="single" w:sz="8" w:color="auto"/>
              <w:left w:val="single" w:sz="8" w:color="auto"/>
              <w:bottom w:val="single" w:sz="8" w:color="auto"/>
              <w:right w:val="single" w:sz="8" w:color="auto"/>
            </w:tcBorders>
            <w:shd w:val="clear" w:color="auto" w:fill="004C97"/>
          </w:tcPr>
          <w:p>
            <w:pPr>
              <w:ind w:left="780"/>
              <w:spacing w:after="0"/>
              <w:rPr>
                <w:sz w:val="20"/>
                <w:szCs w:val="20"/>
                <w:color w:val="auto"/>
              </w:rPr>
            </w:pPr>
            <w:r>
              <w:rPr>
                <w:rFonts w:ascii="Arial" w:cs="Arial" w:eastAsia="Arial" w:hAnsi="Arial"/>
                <w:sz w:val="14"/>
                <w:szCs w:val="14"/>
                <w:b w:val="1"/>
                <w:bCs w:val="1"/>
                <w:color w:val="FFFFFF"/>
              </w:rPr>
              <w:t>Named Executive Officer</w:t>
            </w:r>
          </w:p>
        </w:tc>
        <w:tc>
          <w:tcPr>
            <w:tcW w:w="8000" w:type="dxa"/>
            <w:vAlign w:val="bottom"/>
            <w:tcBorders>
              <w:top w:val="single" w:sz="8" w:color="auto"/>
              <w:bottom w:val="single" w:sz="8" w:color="auto"/>
              <w:right w:val="single" w:sz="8" w:color="auto"/>
            </w:tcBorders>
            <w:shd w:val="clear" w:color="auto" w:fill="004C97"/>
          </w:tcPr>
          <w:p>
            <w:pPr>
              <w:ind w:left="3840"/>
              <w:spacing w:after="0"/>
              <w:rPr>
                <w:sz w:val="20"/>
                <w:szCs w:val="20"/>
                <w:color w:val="auto"/>
              </w:rPr>
            </w:pPr>
            <w:r>
              <w:rPr>
                <w:rFonts w:ascii="Arial" w:cs="Arial" w:eastAsia="Arial" w:hAnsi="Arial"/>
                <w:sz w:val="14"/>
                <w:szCs w:val="14"/>
                <w:b w:val="1"/>
                <w:bCs w:val="1"/>
                <w:color w:val="FFFFFF"/>
              </w:rPr>
              <w:t>Title</w:t>
            </w:r>
          </w:p>
        </w:tc>
      </w:tr>
      <w:tr>
        <w:trPr>
          <w:trHeight w:val="234"/>
        </w:trPr>
        <w:tc>
          <w:tcPr>
            <w:tcW w:w="3260" w:type="dxa"/>
            <w:vAlign w:val="bottom"/>
            <w:tcBorders>
              <w:left w:val="single" w:sz="8" w:color="auto"/>
              <w:bottom w:val="single" w:sz="8" w:color="E5E5E5"/>
              <w:right w:val="single" w:sz="8" w:color="auto"/>
            </w:tcBorders>
            <w:shd w:val="clear" w:color="auto" w:fill="E5E5E5"/>
          </w:tcPr>
          <w:p>
            <w:pPr>
              <w:ind w:left="200"/>
              <w:spacing w:after="0"/>
              <w:rPr>
                <w:sz w:val="20"/>
                <w:szCs w:val="20"/>
                <w:color w:val="auto"/>
              </w:rPr>
            </w:pPr>
            <w:r>
              <w:rPr>
                <w:rFonts w:ascii="Arial" w:cs="Arial" w:eastAsia="Arial" w:hAnsi="Arial"/>
                <w:sz w:val="14"/>
                <w:szCs w:val="14"/>
                <w:color w:val="auto"/>
              </w:rPr>
              <w:t>Eugene J. Lowe, III</w:t>
            </w:r>
          </w:p>
        </w:tc>
        <w:tc>
          <w:tcPr>
            <w:tcW w:w="8000" w:type="dxa"/>
            <w:vAlign w:val="bottom"/>
            <w:tcBorders>
              <w:bottom w:val="single" w:sz="8" w:color="E5E5E5"/>
              <w:right w:val="single" w:sz="8" w:color="auto"/>
            </w:tcBorders>
            <w:shd w:val="clear" w:color="auto" w:fill="E5E5E5"/>
          </w:tcPr>
          <w:p>
            <w:pPr>
              <w:ind w:left="180"/>
              <w:spacing w:after="0"/>
              <w:rPr>
                <w:sz w:val="20"/>
                <w:szCs w:val="20"/>
                <w:color w:val="auto"/>
              </w:rPr>
            </w:pPr>
            <w:r>
              <w:rPr>
                <w:rFonts w:ascii="Arial" w:cs="Arial" w:eastAsia="Arial" w:hAnsi="Arial"/>
                <w:sz w:val="14"/>
                <w:szCs w:val="14"/>
                <w:color w:val="auto"/>
              </w:rPr>
              <w:t>President and Chief Executive Officer</w:t>
            </w:r>
          </w:p>
        </w:tc>
      </w:tr>
      <w:tr>
        <w:trPr>
          <w:trHeight w:val="202"/>
        </w:trPr>
        <w:tc>
          <w:tcPr>
            <w:tcW w:w="32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Mark A. Carano</w:t>
            </w:r>
          </w:p>
        </w:tc>
        <w:tc>
          <w:tcPr>
            <w:tcW w:w="800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Chief Financial Officer, Vice President and Treasurer</w:t>
            </w:r>
          </w:p>
        </w:tc>
      </w:tr>
      <w:tr>
        <w:trPr>
          <w:trHeight w:val="22"/>
        </w:trPr>
        <w:tc>
          <w:tcPr>
            <w:tcW w:w="3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260" w:type="dxa"/>
            <w:vAlign w:val="bottom"/>
            <w:tcBorders>
              <w:left w:val="single" w:sz="8" w:color="auto"/>
              <w:bottom w:val="single" w:sz="8" w:color="E5E5E5"/>
              <w:right w:val="single" w:sz="8" w:color="auto"/>
            </w:tcBorders>
            <w:shd w:val="clear" w:color="auto" w:fill="E5E5E5"/>
          </w:tcPr>
          <w:p>
            <w:pPr>
              <w:ind w:left="200"/>
              <w:spacing w:after="0"/>
              <w:rPr>
                <w:sz w:val="20"/>
                <w:szCs w:val="20"/>
                <w:color w:val="auto"/>
              </w:rPr>
            </w:pPr>
            <w:r>
              <w:rPr>
                <w:rFonts w:ascii="Arial" w:cs="Arial" w:eastAsia="Arial" w:hAnsi="Arial"/>
                <w:sz w:val="14"/>
                <w:szCs w:val="14"/>
                <w:color w:val="auto"/>
              </w:rPr>
              <w:t>J. Randall Data</w:t>
            </w:r>
          </w:p>
        </w:tc>
        <w:tc>
          <w:tcPr>
            <w:tcW w:w="8000" w:type="dxa"/>
            <w:vAlign w:val="bottom"/>
            <w:tcBorders>
              <w:bottom w:val="single" w:sz="8" w:color="E5E5E5"/>
              <w:right w:val="single" w:sz="8" w:color="auto"/>
            </w:tcBorders>
            <w:shd w:val="clear" w:color="auto" w:fill="E5E5E5"/>
          </w:tcPr>
          <w:p>
            <w:pPr>
              <w:ind w:left="180"/>
              <w:spacing w:after="0"/>
              <w:rPr>
                <w:sz w:val="20"/>
                <w:szCs w:val="20"/>
                <w:color w:val="auto"/>
              </w:rPr>
            </w:pPr>
            <w:r>
              <w:rPr>
                <w:rFonts w:ascii="Arial" w:cs="Arial" w:eastAsia="Arial" w:hAnsi="Arial"/>
                <w:sz w:val="14"/>
                <w:szCs w:val="14"/>
                <w:color w:val="auto"/>
              </w:rPr>
              <w:t>President, Global Operations</w:t>
            </w:r>
          </w:p>
        </w:tc>
      </w:tr>
      <w:tr>
        <w:trPr>
          <w:trHeight w:val="202"/>
        </w:trPr>
        <w:tc>
          <w:tcPr>
            <w:tcW w:w="32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John W. Swann, III</w:t>
            </w:r>
          </w:p>
        </w:tc>
        <w:tc>
          <w:tcPr>
            <w:tcW w:w="800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Segment President, Detection &amp; Measurement</w:t>
            </w:r>
          </w:p>
        </w:tc>
      </w:tr>
      <w:tr>
        <w:trPr>
          <w:trHeight w:val="22"/>
        </w:trPr>
        <w:tc>
          <w:tcPr>
            <w:tcW w:w="3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00" w:type="dxa"/>
            <w:vAlign w:val="bottom"/>
            <w:tcBorders>
              <w:bottom w:val="single" w:sz="8" w:color="auto"/>
              <w:right w:val="single" w:sz="8" w:color="auto"/>
            </w:tcBorders>
          </w:tcPr>
          <w:p>
            <w:pPr>
              <w:spacing w:after="0" w:line="20" w:lineRule="exact"/>
              <w:rPr>
                <w:sz w:val="1"/>
                <w:szCs w:val="1"/>
                <w:color w:val="auto"/>
              </w:rPr>
            </w:pPr>
          </w:p>
        </w:tc>
      </w:tr>
      <w:tr>
        <w:trPr>
          <w:trHeight w:val="203"/>
        </w:trPr>
        <w:tc>
          <w:tcPr>
            <w:tcW w:w="3260" w:type="dxa"/>
            <w:vAlign w:val="bottom"/>
            <w:tcBorders>
              <w:left w:val="single" w:sz="8" w:color="auto"/>
              <w:bottom w:val="single" w:sz="8" w:color="E5E5E5"/>
              <w:right w:val="single" w:sz="8" w:color="auto"/>
            </w:tcBorders>
            <w:shd w:val="clear" w:color="auto" w:fill="E5E5E5"/>
          </w:tcPr>
          <w:p>
            <w:pPr>
              <w:ind w:left="200"/>
              <w:spacing w:after="0"/>
              <w:rPr>
                <w:sz w:val="20"/>
                <w:szCs w:val="20"/>
                <w:color w:val="auto"/>
              </w:rPr>
            </w:pPr>
            <w:r>
              <w:rPr>
                <w:rFonts w:ascii="Arial" w:cs="Arial" w:eastAsia="Arial" w:hAnsi="Arial"/>
                <w:sz w:val="14"/>
                <w:szCs w:val="14"/>
                <w:color w:val="auto"/>
              </w:rPr>
              <w:t>Sean McClenaghan</w:t>
            </w:r>
          </w:p>
        </w:tc>
        <w:tc>
          <w:tcPr>
            <w:tcW w:w="8000" w:type="dxa"/>
            <w:vAlign w:val="bottom"/>
            <w:tcBorders>
              <w:bottom w:val="single" w:sz="8" w:color="E5E5E5"/>
              <w:right w:val="single" w:sz="8" w:color="auto"/>
            </w:tcBorders>
            <w:shd w:val="clear" w:color="auto" w:fill="E5E5E5"/>
          </w:tcPr>
          <w:p>
            <w:pPr>
              <w:ind w:left="180"/>
              <w:spacing w:after="0"/>
              <w:rPr>
                <w:sz w:val="20"/>
                <w:szCs w:val="20"/>
                <w:color w:val="auto"/>
              </w:rPr>
            </w:pPr>
            <w:r>
              <w:rPr>
                <w:rFonts w:ascii="Arial" w:cs="Arial" w:eastAsia="Arial" w:hAnsi="Arial"/>
                <w:sz w:val="14"/>
                <w:szCs w:val="14"/>
                <w:color w:val="auto"/>
              </w:rPr>
              <w:t>Segment President, HVAC</w:t>
            </w:r>
          </w:p>
        </w:tc>
      </w:tr>
      <w:tr>
        <w:trPr>
          <w:trHeight w:val="20"/>
        </w:trPr>
        <w:tc>
          <w:tcPr>
            <w:tcW w:w="32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00" w:type="dxa"/>
            <w:vAlign w:val="bottom"/>
            <w:tcBorders>
              <w:right w:val="single" w:sz="8" w:color="auto"/>
            </w:tcBorders>
            <w:shd w:val="clear" w:color="auto" w:fill="000000"/>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SUMMARY</w:t>
      </w:r>
    </w:p>
    <w:p>
      <w:pPr>
        <w:spacing w:after="0" w:line="77"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In 2024, we achieved strong growth in both operational and financial results, underscoring the strength of our strategic objectives. Many of our businesses surpassed their financial performance targets, led by our HVAC segment, delivered another year of significant top and bottom-line growth. We continue to deliver excellent results through our operational processes and robust growth through strategic acquisitions and organic growth. Simultaneously, our leaders remain committed to achieving their growth objectives responsibly by advancing sustainability initiatives and emphasizing the importance of investing in the development of our teams.</w:t>
      </w:r>
    </w:p>
    <w:p>
      <w:pPr>
        <w:spacing w:after="0" w:line="11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Ensuring that we appropriately recognize the solid financial performance, focused efforts, and progress on our strategic initiatives is important to key talent retention and the motivation of the overall workforce.</w:t>
      </w:r>
    </w:p>
    <w:p>
      <w:pPr>
        <w:spacing w:after="0" w:line="11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Our executive compensation program is designed to align short-and long-term rewards directly to business performance. We and the Compensation Committee of the Board (the “Committee”) benchmark our compensation strategy against our peer group companies, which rewards performance that results in value generation for our stockholders.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Summary of Key Business Accomplishments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As noted above, continued commitment to our strategic objectives is reflected in our strong 2024 performance. Select accomplishments include:</w:t>
      </w:r>
    </w:p>
    <w:p>
      <w:pPr>
        <w:spacing w:after="0" w:line="59"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Generated one-year Total Shareholder Return (TSR) of 44%, achieving top quartile performance within our peer group</w:t>
      </w:r>
    </w:p>
    <w:p>
      <w:pPr>
        <w:spacing w:after="0" w:line="126" w:lineRule="exact"/>
        <w:rPr>
          <w:rFonts w:ascii="Arial" w:cs="Arial" w:eastAsia="Arial" w:hAnsi="Arial"/>
          <w:sz w:val="16"/>
          <w:szCs w:val="16"/>
          <w:color w:val="auto"/>
        </w:rPr>
      </w:pPr>
    </w:p>
    <w:p>
      <w:pPr>
        <w:ind w:left="200" w:hanging="192"/>
        <w:spacing w:after="0"/>
        <w:tabs>
          <w:tab w:leader="none" w:pos="2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Increased our total revenue 13.9%, resulting in top quartile revenue growth against our peer group</w:t>
      </w:r>
    </w:p>
    <w:p>
      <w:pPr>
        <w:spacing w:after="0" w:line="113" w:lineRule="exact"/>
        <w:rPr>
          <w:rFonts w:ascii="Arial" w:cs="Arial" w:eastAsia="Arial" w:hAnsi="Arial"/>
          <w:sz w:val="16"/>
          <w:szCs w:val="16"/>
          <w:color w:val="auto"/>
        </w:rPr>
      </w:pPr>
    </w:p>
    <w:p>
      <w:pPr>
        <w:ind w:left="200" w:hanging="192"/>
        <w:spacing w:after="0"/>
        <w:tabs>
          <w:tab w:leader="none" w:pos="2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Grew operating income by 38.9%, reflecting significant year-over-year margin improvement</w:t>
      </w:r>
    </w:p>
    <w:p>
      <w:pPr>
        <w:spacing w:after="0" w:line="126" w:lineRule="exact"/>
        <w:rPr>
          <w:rFonts w:ascii="Arial" w:cs="Arial" w:eastAsia="Arial" w:hAnsi="Arial"/>
          <w:sz w:val="16"/>
          <w:szCs w:val="16"/>
          <w:color w:val="auto"/>
        </w:rPr>
      </w:pPr>
    </w:p>
    <w:p>
      <w:pPr>
        <w:ind w:left="200" w:hanging="192"/>
        <w:spacing w:after="0"/>
        <w:tabs>
          <w:tab w:leader="none" w:pos="2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Expanded our Engineered Air Movement platform with the acquisition of Ingénia</w:t>
      </w:r>
    </w:p>
    <w:p>
      <w:pPr>
        <w:spacing w:after="0" w:line="113" w:lineRule="exact"/>
        <w:rPr>
          <w:rFonts w:ascii="Arial" w:cs="Arial" w:eastAsia="Arial" w:hAnsi="Arial"/>
          <w:sz w:val="16"/>
          <w:szCs w:val="16"/>
          <w:color w:val="auto"/>
        </w:rPr>
      </w:pPr>
    </w:p>
    <w:p>
      <w:pPr>
        <w:ind w:left="200" w:right="840" w:hanging="192"/>
        <w:spacing w:after="0" w:line="286" w:lineRule="auto"/>
        <w:tabs>
          <w:tab w:leader="none" w:pos="197"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Reduced greenhouse gas emissions well in advance of schedule and earned recognition from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and Statista as one of America’s Top Responsible Companies for the fifth year in a row</w:t>
      </w:r>
    </w:p>
    <w:p>
      <w:pPr>
        <w:spacing w:after="0" w:line="61" w:lineRule="exact"/>
        <w:rPr>
          <w:rFonts w:ascii="Arial" w:cs="Arial" w:eastAsia="Arial" w:hAnsi="Arial"/>
          <w:sz w:val="16"/>
          <w:szCs w:val="16"/>
          <w:color w:val="auto"/>
        </w:rPr>
      </w:pPr>
    </w:p>
    <w:p>
      <w:pPr>
        <w:ind w:left="200" w:hanging="192"/>
        <w:spacing w:after="0"/>
        <w:tabs>
          <w:tab w:leader="none" w:pos="2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Made significant progress with Continuous Improvement, Digital, Talent Development, and Safety, fueling our overall 2024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638175</wp:posOffset>
            </wp:positionV>
            <wp:extent cx="40259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0259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24</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20" w:right="319" w:bottom="1440" w:gutter="0" w:footer="0" w:header="0"/>
        </w:sectPr>
      </w:pPr>
    </w:p>
    <w:bookmarkStart w:id="30" w:name="page31"/>
    <w:bookmarkEnd w:id="30"/>
    <w:p>
      <w:pPr>
        <w:ind w:left="9220"/>
        <w:spacing w:after="0"/>
        <w:rPr>
          <w:sz w:val="20"/>
          <w:szCs w:val="20"/>
          <w:color w:val="auto"/>
        </w:rPr>
      </w:pPr>
      <w:r>
        <w:rPr>
          <w:rFonts w:ascii="Arial" w:cs="Arial" w:eastAsia="Arial" w:hAnsi="Arial"/>
          <w:sz w:val="14"/>
          <w:szCs w:val="14"/>
          <w:color w:val="004C9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2024 Compensation Highlights</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executive compensation program has three primary elements: base salary, annual incentive, and long-term incentives. Each of these compensation elements serves a specific purpose in our compensation strategy. Base salary is an essential component to any market-competitive compensation program. Annual incentives reward the achievement of short-term goals, while long-term incentives drive our NEOs, and other senior management team members, to focus on stockholder value creation. The combination of short and long-term incentives provides more than 50% of our executives’ target compensation, with incentives tied directly to Company performance and achievement of our strategic initiatives. Based on our performance, and consistent with the design of our program, the Committee made the following executive compensation decisions for 2024:</w:t>
      </w:r>
    </w:p>
    <w:p>
      <w:pPr>
        <w:spacing w:after="0" w:line="122" w:lineRule="exact"/>
        <w:rPr>
          <w:sz w:val="20"/>
          <w:szCs w:val="20"/>
          <w:color w:val="auto"/>
        </w:rPr>
      </w:pPr>
    </w:p>
    <w:p>
      <w:pPr>
        <w:jc w:val="both"/>
        <w:ind w:left="200" w:hanging="192"/>
        <w:spacing w:after="0" w:line="275" w:lineRule="auto"/>
        <w:tabs>
          <w:tab w:leader="none" w:pos="197"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xml:space="preserve"> Annual salary increases ranged from 5.0 to 6.0%. These adjustments maintain alignment of our NEOs’ base salaries with the market to facilitate retention and reward for execution of responsibilities and delivery of performance. These adjustments also reflect the contributions made by our NEOs in connection with executing on key initiatives and the Company’s strategic priorities over the course of the year. For details, please see pages 30-31.</w:t>
      </w:r>
    </w:p>
    <w:p>
      <w:pPr>
        <w:spacing w:after="0" w:line="312" w:lineRule="exact"/>
        <w:rPr>
          <w:rFonts w:ascii="Arial" w:cs="Arial" w:eastAsia="Arial" w:hAnsi="Arial"/>
          <w:sz w:val="16"/>
          <w:szCs w:val="16"/>
          <w:color w:val="auto"/>
        </w:rPr>
      </w:pPr>
    </w:p>
    <w:p>
      <w:pPr>
        <w:jc w:val="both"/>
        <w:ind w:left="200" w:hanging="192"/>
        <w:spacing w:after="0" w:line="265" w:lineRule="auto"/>
        <w:tabs>
          <w:tab w:leader="none" w:pos="197"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Annual Incentive.</w:t>
      </w:r>
      <w:r>
        <w:rPr>
          <w:rFonts w:ascii="Arial" w:cs="Arial" w:eastAsia="Arial" w:hAnsi="Arial"/>
          <w:sz w:val="16"/>
          <w:szCs w:val="16"/>
          <w:color w:val="auto"/>
        </w:rPr>
        <w:t xml:space="preserve"> Based on our corporate performance results, awards under our Executive Bonus Program were paid at 181.3% of target. This payout applied to all our NEOs, with the exception of Mr. Swann, whose payout was 155.0% of target and Mr. McClenaghan whose payout was 184.1% of target, with the payouts to these executive officers being based on both business unit and corporate results. For details on each NEO’s award, please see pages 31-32.</w:t>
      </w:r>
    </w:p>
    <w:p>
      <w:pPr>
        <w:spacing w:after="0" w:line="118" w:lineRule="exact"/>
        <w:rPr>
          <w:rFonts w:ascii="Arial" w:cs="Arial" w:eastAsia="Arial" w:hAnsi="Arial"/>
          <w:sz w:val="16"/>
          <w:szCs w:val="16"/>
          <w:color w:val="auto"/>
        </w:rPr>
      </w:pPr>
    </w:p>
    <w:p>
      <w:pPr>
        <w:jc w:val="both"/>
        <w:ind w:left="200" w:hanging="192"/>
        <w:spacing w:after="0" w:line="271" w:lineRule="auto"/>
        <w:tabs>
          <w:tab w:leader="none" w:pos="197"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Long-Term Incentives.</w:t>
      </w:r>
      <w:r>
        <w:rPr>
          <w:rFonts w:ascii="Arial" w:cs="Arial" w:eastAsia="Arial" w:hAnsi="Arial"/>
          <w:sz w:val="16"/>
          <w:szCs w:val="16"/>
          <w:color w:val="auto"/>
        </w:rPr>
        <w:t xml:space="preserve"> All of our NEOs, received equity and equity-based awards in 2024. Target award amounts and the mix of awards granted are described on page 32 of this CD&amp;A. All of the NEOs, other than Mr. Carano and Mr. McClenaghan, received performance share awards in 2022 with payout based on relative TSR for the measurement period of January 1, 2022 through December 31, 2024. The performance for these awards achieved the 90th percentile for relative TSR resulting in a 150.0% payout. For details, please see pages 32-33.</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0575" cy="13633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0575" cy="1363345"/>
                    </a:xfrm>
                    <a:prstGeom prst="rect">
                      <a:avLst/>
                    </a:prstGeom>
                    <a:noFill/>
                  </pic:spPr>
                </pic:pic>
              </a:graphicData>
            </a:graphic>
          </wp:anchor>
        </w:drawing>
      </w:r>
    </w:p>
    <w:p>
      <w:pPr>
        <w:spacing w:after="0" w:line="256" w:lineRule="exact"/>
        <w:rPr>
          <w:sz w:val="20"/>
          <w:szCs w:val="20"/>
          <w:color w:val="auto"/>
        </w:rPr>
      </w:pPr>
    </w:p>
    <w:p>
      <w:pPr>
        <w:ind w:left="2740"/>
        <w:spacing w:after="0"/>
        <w:rPr>
          <w:sz w:val="20"/>
          <w:szCs w:val="20"/>
          <w:color w:val="auto"/>
        </w:rPr>
      </w:pPr>
      <w:r>
        <w:rPr>
          <w:rFonts w:ascii="Arial" w:cs="Arial" w:eastAsia="Arial" w:hAnsi="Arial"/>
          <w:sz w:val="18"/>
          <w:szCs w:val="18"/>
          <w:i w:val="1"/>
          <w:iCs w:val="1"/>
          <w:color w:val="auto"/>
        </w:rPr>
        <w:t>Reflecting the Voice of Our Stockholders</w:t>
      </w:r>
    </w:p>
    <w:p>
      <w:pPr>
        <w:spacing w:after="0" w:line="1" w:lineRule="exact"/>
        <w:rPr>
          <w:sz w:val="20"/>
          <w:szCs w:val="20"/>
          <w:color w:val="auto"/>
        </w:rPr>
      </w:pPr>
    </w:p>
    <w:p>
      <w:pPr>
        <w:jc w:val="both"/>
        <w:ind w:left="2740" w:right="340"/>
        <w:spacing w:after="0" w:line="255" w:lineRule="auto"/>
        <w:rPr>
          <w:sz w:val="20"/>
          <w:szCs w:val="20"/>
          <w:color w:val="auto"/>
        </w:rPr>
      </w:pPr>
      <w:r>
        <w:rPr>
          <w:rFonts w:ascii="Arial" w:cs="Arial" w:eastAsia="Arial" w:hAnsi="Arial"/>
          <w:sz w:val="16"/>
          <w:szCs w:val="16"/>
          <w:color w:val="auto"/>
        </w:rPr>
        <w:t>We carefully consider the results of our stockholder Say-on-Pay vote from the previous year. At our 2024 Annual Meeting, approximately 97% of votes cast approved our executive compensation, while our Say-On-Pay voting results have averaged more than 93% approval since 2016. We continue to actively seek and highly value the perspectives of our investors. During the year, we reached out to stockholders owning approximately 75% of our common stock. We have taken and will continue to take stockholder feedback into consideration as we evolve our compensation program. Most importantly, we are committed to ensuring that our ongoing program is designed in the best interests of both our stockholders and executives.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4C97"/>
        </w:rPr>
        <w:t>Summary of Compensation Program</w:t>
      </w:r>
    </w:p>
    <w:p>
      <w:pPr>
        <w:sectPr>
          <w:pgSz w:w="11900" w:h="16838" w:orient="portrait"/>
          <w:cols w:equalWidth="0" w:num="1">
            <w:col w:w="11240"/>
          </w:cols>
          <w:pgMar w:left="320" w:top="292" w:right="339" w:bottom="1440" w:gutter="0" w:footer="0" w:header="0"/>
        </w:sectPr>
      </w:pPr>
    </w:p>
    <w:p>
      <w:pPr>
        <w:spacing w:after="0" w:line="68" w:lineRule="exact"/>
        <w:rPr>
          <w:sz w:val="20"/>
          <w:szCs w:val="20"/>
          <w:color w:val="auto"/>
        </w:rPr>
      </w:pPr>
    </w:p>
    <w:p>
      <w:pPr>
        <w:ind w:left="220" w:right="20" w:hanging="194"/>
        <w:spacing w:after="0" w:line="275" w:lineRule="auto"/>
        <w:tabs>
          <w:tab w:leader="none" w:pos="217"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Sets total compensation that is in line with the market, employee experience and scope of responsibilities, facilitating attraction, retention, and reward for execution of responsibilities and delivery of performance;</w:t>
      </w:r>
    </w:p>
    <w:p>
      <w:pPr>
        <w:spacing w:after="0" w:line="110" w:lineRule="exact"/>
        <w:rPr>
          <w:rFonts w:ascii="Arial" w:cs="Arial" w:eastAsia="Arial" w:hAnsi="Arial"/>
          <w:sz w:val="16"/>
          <w:szCs w:val="16"/>
          <w:color w:val="auto"/>
        </w:rPr>
      </w:pPr>
    </w:p>
    <w:p>
      <w:pPr>
        <w:ind w:left="220" w:hanging="194"/>
        <w:spacing w:after="0" w:line="304" w:lineRule="auto"/>
        <w:tabs>
          <w:tab w:leader="none" w:pos="217" w:val="left"/>
        </w:tabs>
        <w:numPr>
          <w:ilvl w:val="0"/>
          <w:numId w:val="26"/>
        </w:numPr>
        <w:rPr>
          <w:rFonts w:ascii="Arial" w:cs="Arial" w:eastAsia="Arial" w:hAnsi="Arial"/>
          <w:sz w:val="16"/>
          <w:szCs w:val="16"/>
          <w:color w:val="auto"/>
        </w:rPr>
      </w:pPr>
      <w:r>
        <w:rPr>
          <w:rFonts w:ascii="Arial" w:cs="Arial" w:eastAsia="Arial" w:hAnsi="Arial"/>
          <w:sz w:val="16"/>
          <w:szCs w:val="16"/>
          <w:color w:val="auto"/>
        </w:rPr>
        <w:t>Emphasizes variable compensation programs: greater than 80% of CEO and greater than 65% of other NEOs pay at risk;</w:t>
      </w:r>
    </w:p>
    <w:p>
      <w:pPr>
        <w:spacing w:after="0" w:line="87" w:lineRule="exact"/>
        <w:rPr>
          <w:rFonts w:ascii="Arial" w:cs="Arial" w:eastAsia="Arial" w:hAnsi="Arial"/>
          <w:sz w:val="16"/>
          <w:szCs w:val="16"/>
          <w:color w:val="auto"/>
        </w:rPr>
      </w:pPr>
    </w:p>
    <w:p>
      <w:pPr>
        <w:ind w:left="220" w:right="880" w:hanging="194"/>
        <w:spacing w:after="0" w:line="304" w:lineRule="auto"/>
        <w:tabs>
          <w:tab w:leader="none" w:pos="217"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Provides that a majority of long-term incentives to NEOs are performance based;</w:t>
      </w:r>
    </w:p>
    <w:p>
      <w:pPr>
        <w:spacing w:after="0" w:line="87" w:lineRule="exact"/>
        <w:rPr>
          <w:rFonts w:ascii="Arial" w:cs="Arial" w:eastAsia="Arial" w:hAnsi="Arial"/>
          <w:sz w:val="16"/>
          <w:szCs w:val="16"/>
          <w:color w:val="auto"/>
        </w:rPr>
      </w:pPr>
    </w:p>
    <w:p>
      <w:pPr>
        <w:ind w:left="220" w:right="620" w:hanging="194"/>
        <w:spacing w:after="0" w:line="286" w:lineRule="auto"/>
        <w:tabs>
          <w:tab w:leader="none" w:pos="217" w:val="left"/>
        </w:tabs>
        <w:numPr>
          <w:ilvl w:val="0"/>
          <w:numId w:val="26"/>
        </w:numPr>
        <w:rPr>
          <w:rFonts w:ascii="Arial" w:cs="Arial" w:eastAsia="Arial" w:hAnsi="Arial"/>
          <w:sz w:val="16"/>
          <w:szCs w:val="16"/>
          <w:color w:val="auto"/>
        </w:rPr>
      </w:pPr>
      <w:r>
        <w:rPr>
          <w:rFonts w:ascii="Arial" w:cs="Arial" w:eastAsia="Arial" w:hAnsi="Arial"/>
          <w:sz w:val="16"/>
          <w:szCs w:val="16"/>
          <w:color w:val="auto"/>
        </w:rPr>
        <w:t>Establishes rigorous performance targets across key financial categories, including operating income, cash flow, and revenue.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204" w:right="260" w:hanging="204"/>
        <w:spacing w:after="0" w:line="304" w:lineRule="auto"/>
        <w:tabs>
          <w:tab w:leader="none" w:pos="201" w:val="left"/>
        </w:tabs>
        <w:numPr>
          <w:ilvl w:val="0"/>
          <w:numId w:val="27"/>
        </w:numPr>
        <w:rPr>
          <w:rFonts w:ascii="Arial" w:cs="Arial" w:eastAsia="Arial" w:hAnsi="Arial"/>
          <w:sz w:val="16"/>
          <w:szCs w:val="16"/>
          <w:color w:val="auto"/>
        </w:rPr>
      </w:pPr>
      <w:r>
        <w:rPr>
          <w:rFonts w:ascii="Arial" w:cs="Arial" w:eastAsia="Arial" w:hAnsi="Arial"/>
          <w:sz w:val="16"/>
          <w:szCs w:val="16"/>
          <w:color w:val="auto"/>
        </w:rPr>
        <w:t>Grants equity awards with double-trigger termination payments upon a change in control;</w:t>
      </w:r>
    </w:p>
    <w:p>
      <w:pPr>
        <w:spacing w:after="0" w:line="87" w:lineRule="exact"/>
        <w:rPr>
          <w:rFonts w:ascii="Arial" w:cs="Arial" w:eastAsia="Arial" w:hAnsi="Arial"/>
          <w:sz w:val="16"/>
          <w:szCs w:val="16"/>
          <w:color w:val="auto"/>
        </w:rPr>
      </w:pPr>
    </w:p>
    <w:p>
      <w:pPr>
        <w:ind w:left="204" w:right="100" w:hanging="204"/>
        <w:spacing w:after="0" w:line="275" w:lineRule="auto"/>
        <w:tabs>
          <w:tab w:leader="none" w:pos="201"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Aligns compensation to performance against financial target delivery and progression on strategic initiatives, including Continuous Improvement, Digital, Talent Development, and Sustainability;</w:t>
      </w:r>
    </w:p>
    <w:p>
      <w:pPr>
        <w:spacing w:after="0" w:line="110" w:lineRule="exact"/>
        <w:rPr>
          <w:rFonts w:ascii="Arial" w:cs="Arial" w:eastAsia="Arial" w:hAnsi="Arial"/>
          <w:sz w:val="16"/>
          <w:szCs w:val="16"/>
          <w:color w:val="auto"/>
        </w:rPr>
      </w:pPr>
    </w:p>
    <w:p>
      <w:pPr>
        <w:ind w:left="204" w:right="200" w:hanging="204"/>
        <w:spacing w:after="0" w:line="304" w:lineRule="auto"/>
        <w:tabs>
          <w:tab w:leader="none" w:pos="201"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a relative TSR component against our industry group index for long-term incentives to align with stockholder value;</w:t>
      </w:r>
    </w:p>
    <w:p>
      <w:pPr>
        <w:spacing w:after="0" w:line="87" w:lineRule="exact"/>
        <w:rPr>
          <w:rFonts w:ascii="Arial" w:cs="Arial" w:eastAsia="Arial" w:hAnsi="Arial"/>
          <w:sz w:val="16"/>
          <w:szCs w:val="16"/>
          <w:color w:val="auto"/>
        </w:rPr>
      </w:pPr>
    </w:p>
    <w:p>
      <w:pPr>
        <w:ind w:left="184" w:hanging="184"/>
        <w:spacing w:after="0"/>
        <w:tabs>
          <w:tab w:leader="none" w:pos="184" w:val="left"/>
        </w:tabs>
        <w:numPr>
          <w:ilvl w:val="0"/>
          <w:numId w:val="27"/>
        </w:numPr>
        <w:rPr>
          <w:rFonts w:ascii="Arial" w:cs="Arial" w:eastAsia="Arial" w:hAnsi="Arial"/>
          <w:sz w:val="16"/>
          <w:szCs w:val="16"/>
          <w:color w:val="auto"/>
        </w:rPr>
      </w:pPr>
      <w:r>
        <w:rPr>
          <w:rFonts w:ascii="Arial" w:cs="Arial" w:eastAsia="Arial" w:hAnsi="Arial"/>
          <w:sz w:val="16"/>
          <w:szCs w:val="16"/>
          <w:color w:val="auto"/>
        </w:rPr>
        <w:t>Freezes historic defined benefit pension plans, with no NEO participants;</w:t>
      </w:r>
    </w:p>
    <w:p>
      <w:pPr>
        <w:spacing w:after="0" w:line="167" w:lineRule="exact"/>
        <w:rPr>
          <w:rFonts w:ascii="Arial" w:cs="Arial" w:eastAsia="Arial" w:hAnsi="Arial"/>
          <w:sz w:val="16"/>
          <w:szCs w:val="16"/>
          <w:color w:val="auto"/>
        </w:rPr>
      </w:pPr>
    </w:p>
    <w:p>
      <w:pPr>
        <w:ind w:left="184" w:hanging="184"/>
        <w:spacing w:after="0"/>
        <w:tabs>
          <w:tab w:leader="none" w:pos="184"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Prohibits NEO hedging or pledging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1083945</wp:posOffset>
            </wp:positionV>
            <wp:extent cx="403225"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0322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36"/>
            <w:col w:w="5504"/>
          </w:cols>
          <w:pgMar w:left="320" w:top="29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2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r>
        <w:trPr>
          <w:trHeight w:val="27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31" w:name="page32"/>
    <w:bookmarkEnd w:id="31"/>
    <w:p>
      <w:pPr>
        <w:ind w:left="20"/>
        <w:spacing w:after="0"/>
        <w:rPr>
          <w:sz w:val="20"/>
          <w:szCs w:val="20"/>
          <w:color w:val="auto"/>
        </w:rPr>
      </w:pPr>
      <w:r>
        <w:rPr>
          <w:rFonts w:ascii="Arial" w:cs="Arial" w:eastAsia="Arial" w:hAnsi="Arial"/>
          <w:sz w:val="14"/>
          <w:szCs w:val="14"/>
          <w:color w:val="004C9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Our Compensation Principles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is centered around the following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4744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74470"/>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p>
      <w:pPr>
        <w:spacing w:after="0" w:line="194" w:lineRule="exact"/>
        <w:rPr>
          <w:sz w:val="20"/>
          <w:szCs w:val="20"/>
          <w:color w:val="auto"/>
        </w:rPr>
      </w:pPr>
    </w:p>
    <w:p>
      <w:pPr>
        <w:jc w:val="center"/>
        <w:ind w:left="540"/>
        <w:spacing w:after="0"/>
        <w:rPr>
          <w:sz w:val="20"/>
          <w:szCs w:val="20"/>
          <w:color w:val="auto"/>
        </w:rPr>
      </w:pPr>
      <w:r>
        <w:rPr>
          <w:rFonts w:ascii="Arial" w:cs="Arial" w:eastAsia="Arial" w:hAnsi="Arial"/>
          <w:sz w:val="14"/>
          <w:szCs w:val="14"/>
          <w:b w:val="1"/>
          <w:bCs w:val="1"/>
          <w:color w:val="FFFFFF"/>
        </w:rPr>
        <w:t>Alignment with Stockholders’</w:t>
      </w:r>
    </w:p>
    <w:p>
      <w:pPr>
        <w:spacing w:after="0" w:line="2" w:lineRule="exact"/>
        <w:rPr>
          <w:sz w:val="20"/>
          <w:szCs w:val="20"/>
          <w:color w:val="auto"/>
        </w:rPr>
      </w:pPr>
    </w:p>
    <w:p>
      <w:pPr>
        <w:jc w:val="center"/>
        <w:ind w:left="540"/>
        <w:spacing w:after="0"/>
        <w:rPr>
          <w:sz w:val="20"/>
          <w:szCs w:val="20"/>
          <w:color w:val="auto"/>
        </w:rPr>
      </w:pPr>
      <w:r>
        <w:rPr>
          <w:rFonts w:ascii="Arial" w:cs="Arial" w:eastAsia="Arial" w:hAnsi="Arial"/>
          <w:sz w:val="14"/>
          <w:szCs w:val="14"/>
          <w:b w:val="1"/>
          <w:bCs w:val="1"/>
          <w:color w:val="FFFFFF"/>
        </w:rPr>
        <w:t>Interests</w:t>
      </w:r>
    </w:p>
    <w:p>
      <w:pPr>
        <w:spacing w:after="0" w:line="352" w:lineRule="exact"/>
        <w:rPr>
          <w:sz w:val="20"/>
          <w:szCs w:val="20"/>
          <w:color w:val="auto"/>
        </w:rPr>
      </w:pPr>
    </w:p>
    <w:p>
      <w:pPr>
        <w:jc w:val="center"/>
        <w:ind w:left="540"/>
        <w:spacing w:after="0"/>
        <w:rPr>
          <w:sz w:val="20"/>
          <w:szCs w:val="20"/>
          <w:color w:val="auto"/>
        </w:rPr>
      </w:pPr>
      <w:r>
        <w:rPr>
          <w:rFonts w:ascii="Arial" w:cs="Arial" w:eastAsia="Arial" w:hAnsi="Arial"/>
          <w:sz w:val="14"/>
          <w:szCs w:val="14"/>
          <w:b w:val="1"/>
          <w:bCs w:val="1"/>
          <w:color w:val="FFFFFF"/>
        </w:rPr>
        <w:t>Link to Business Priorities and</w:t>
      </w:r>
    </w:p>
    <w:p>
      <w:pPr>
        <w:spacing w:after="0" w:line="2" w:lineRule="exact"/>
        <w:rPr>
          <w:sz w:val="20"/>
          <w:szCs w:val="20"/>
          <w:color w:val="auto"/>
        </w:rPr>
      </w:pPr>
    </w:p>
    <w:p>
      <w:pPr>
        <w:jc w:val="center"/>
        <w:ind w:left="540"/>
        <w:spacing w:after="0"/>
        <w:rPr>
          <w:sz w:val="20"/>
          <w:szCs w:val="20"/>
          <w:color w:val="auto"/>
        </w:rPr>
      </w:pPr>
      <w:r>
        <w:rPr>
          <w:rFonts w:ascii="Arial" w:cs="Arial" w:eastAsia="Arial" w:hAnsi="Arial"/>
          <w:sz w:val="14"/>
          <w:szCs w:val="14"/>
          <w:b w:val="1"/>
          <w:bCs w:val="1"/>
          <w:color w:val="FFFFFF"/>
        </w:rPr>
        <w:t>Performance</w:t>
      </w:r>
    </w:p>
    <w:p>
      <w:pPr>
        <w:spacing w:after="0" w:line="365" w:lineRule="exact"/>
        <w:rPr>
          <w:sz w:val="20"/>
          <w:szCs w:val="20"/>
          <w:color w:val="auto"/>
        </w:rPr>
      </w:pPr>
    </w:p>
    <w:p>
      <w:pPr>
        <w:jc w:val="center"/>
        <w:ind w:left="540"/>
        <w:spacing w:after="0"/>
        <w:rPr>
          <w:sz w:val="20"/>
          <w:szCs w:val="20"/>
          <w:color w:val="auto"/>
        </w:rPr>
      </w:pPr>
      <w:r>
        <w:rPr>
          <w:rFonts w:ascii="Arial" w:cs="Arial" w:eastAsia="Arial" w:hAnsi="Arial"/>
          <w:sz w:val="14"/>
          <w:szCs w:val="14"/>
          <w:b w:val="1"/>
          <w:bCs w:val="1"/>
          <w:color w:val="FFFFFF"/>
        </w:rPr>
        <w:t>Competitiveness</w:t>
      </w:r>
    </w:p>
    <w:p>
      <w:pPr>
        <w:spacing w:after="0" w:line="379" w:lineRule="exact"/>
        <w:rPr>
          <w:sz w:val="20"/>
          <w:szCs w:val="20"/>
          <w:color w:val="auto"/>
        </w:rPr>
      </w:pPr>
    </w:p>
    <w:p>
      <w:pPr>
        <w:jc w:val="center"/>
        <w:ind w:left="540"/>
        <w:spacing w:after="0"/>
        <w:rPr>
          <w:sz w:val="20"/>
          <w:szCs w:val="20"/>
          <w:color w:val="auto"/>
        </w:rPr>
      </w:pPr>
      <w:r>
        <w:rPr>
          <w:rFonts w:ascii="Arial" w:cs="Arial" w:eastAsia="Arial" w:hAnsi="Arial"/>
          <w:sz w:val="14"/>
          <w:szCs w:val="14"/>
          <w:b w:val="1"/>
          <w:bCs w:val="1"/>
          <w:color w:val="FFFFFF"/>
        </w:rPr>
        <w:t>Governance</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Executive officers’ interests should be directly aligned with those of stockholders through a compensation program that emphasizes an appropriate balance of both short and long-term financial performance and is directly affected by our stock price. Requiring executive officers to hold a meaningful amount of equity supports alignment to stockholder interests.</w:t>
      </w:r>
    </w:p>
    <w:p>
      <w:pPr>
        <w:spacing w:after="0" w:line="105"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color w:val="auto"/>
        </w:rPr>
        <w:t>A significant portion of total compensation should be variable and subject to the attainment of certain specific and measurable performance goals and objectives. In addition to financial indicators, variable compensation should emphasize the link between rewards and the execution of strategy.</w:t>
      </w:r>
    </w:p>
    <w:p>
      <w:pPr>
        <w:spacing w:after="0" w:line="119" w:lineRule="exact"/>
        <w:rPr>
          <w:sz w:val="20"/>
          <w:szCs w:val="20"/>
          <w:color w:val="auto"/>
        </w:rPr>
      </w:pPr>
    </w:p>
    <w:p>
      <w:pPr>
        <w:ind w:right="320"/>
        <w:spacing w:after="0" w:line="305" w:lineRule="auto"/>
        <w:rPr>
          <w:sz w:val="20"/>
          <w:szCs w:val="20"/>
          <w:color w:val="auto"/>
        </w:rPr>
      </w:pPr>
      <w:r>
        <w:rPr>
          <w:rFonts w:ascii="Arial" w:cs="Arial" w:eastAsia="Arial" w:hAnsi="Arial"/>
          <w:sz w:val="14"/>
          <w:szCs w:val="14"/>
          <w:color w:val="auto"/>
        </w:rPr>
        <w:t>Target total compensation should be competitive with that being offered to individuals holding comparable positions, with comparable experience, at other public companies with which we compete for leadership and market talent.</w:t>
      </w:r>
    </w:p>
    <w:p>
      <w:pPr>
        <w:spacing w:after="0" w:line="131" w:lineRule="exact"/>
        <w:rPr>
          <w:sz w:val="20"/>
          <w:szCs w:val="20"/>
          <w:color w:val="auto"/>
        </w:rPr>
      </w:pPr>
    </w:p>
    <w:p>
      <w:pPr>
        <w:ind w:right="180"/>
        <w:spacing w:after="0" w:line="305" w:lineRule="auto"/>
        <w:rPr>
          <w:sz w:val="20"/>
          <w:szCs w:val="20"/>
          <w:color w:val="auto"/>
        </w:rPr>
      </w:pPr>
      <w:r>
        <w:rPr>
          <w:rFonts w:ascii="Arial" w:cs="Arial" w:eastAsia="Arial" w:hAnsi="Arial"/>
          <w:sz w:val="14"/>
          <w:szCs w:val="14"/>
          <w:color w:val="auto"/>
        </w:rPr>
        <w:t>Maintaining best-practice executive compensation governance standards is critical to the decision-making process and the ability to manage risk. Doing so is in the best interests of our stockholders and executives.</w:t>
      </w:r>
    </w:p>
    <w:p>
      <w:pPr>
        <w:spacing w:after="0" w:line="200" w:lineRule="exact"/>
        <w:rPr>
          <w:sz w:val="20"/>
          <w:szCs w:val="20"/>
          <w:color w:val="auto"/>
        </w:rPr>
      </w:pPr>
    </w:p>
    <w:p>
      <w:pPr>
        <w:sectPr>
          <w:pgSz w:w="11900" w:h="16838" w:orient="portrait"/>
          <w:cols w:equalWidth="0" w:num="2">
            <w:col w:w="2640" w:space="640"/>
            <w:col w:w="7960"/>
          </w:cols>
          <w:pgMar w:left="320" w:top="292"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Components of Total Direct Compensation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For 2024, we continued to focus on ensuring alignment of pay practices with stockholder interests and driving a pay-for-performance culture.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Design and characteristics of the SPX compensation program include:</w:t>
      </w:r>
    </w:p>
    <w:p>
      <w:pPr>
        <w:spacing w:after="0" w:line="181" w:lineRule="exact"/>
        <w:rPr>
          <w:sz w:val="20"/>
          <w:szCs w:val="20"/>
          <w:color w:val="auto"/>
        </w:rPr>
      </w:pPr>
    </w:p>
    <w:p>
      <w:pPr>
        <w:ind w:left="200" w:hanging="192"/>
        <w:spacing w:after="0" w:line="286" w:lineRule="auto"/>
        <w:tabs>
          <w:tab w:leader="none" w:pos="197"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xml:space="preserve"> Annual salary for our NEOs is targeted at the market median of peer companies and is in line with responsibilities, performance, contributions, and overall experience.</w:t>
      </w:r>
    </w:p>
    <w:p>
      <w:pPr>
        <w:spacing w:after="0" w:line="115" w:lineRule="exact"/>
        <w:rPr>
          <w:rFonts w:ascii="Arial" w:cs="Arial" w:eastAsia="Arial" w:hAnsi="Arial"/>
          <w:sz w:val="16"/>
          <w:szCs w:val="16"/>
          <w:color w:val="auto"/>
        </w:rPr>
      </w:pPr>
    </w:p>
    <w:p>
      <w:pPr>
        <w:jc w:val="both"/>
        <w:ind w:left="200" w:hanging="192"/>
        <w:spacing w:after="0" w:line="238" w:lineRule="auto"/>
        <w:tabs>
          <w:tab w:leader="none" w:pos="197"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Annual Incentive.</w:t>
      </w:r>
      <w:r>
        <w:rPr>
          <w:rFonts w:ascii="Arial" w:cs="Arial" w:eastAsia="Arial" w:hAnsi="Arial"/>
          <w:sz w:val="16"/>
          <w:szCs w:val="16"/>
          <w:color w:val="auto"/>
        </w:rPr>
        <w:t xml:space="preserve"> Annual Incentive levels (percents) are targeted at the market median of peer companies. Performance metrics focus on delivering key annual objectives with financial targets directly tied to the achievement of goals related to adjusted EBITDA</w:t>
      </w:r>
      <w:r>
        <w:rPr>
          <w:rFonts w:ascii="Arial" w:cs="Arial" w:eastAsia="Arial" w:hAnsi="Arial"/>
          <w:sz w:val="21"/>
          <w:szCs w:val="21"/>
          <w:color w:val="auto"/>
          <w:vertAlign w:val="superscript"/>
        </w:rPr>
        <w:t>*</w:t>
      </w:r>
      <w:r>
        <w:rPr>
          <w:rFonts w:ascii="Arial" w:cs="Arial" w:eastAsia="Arial" w:hAnsi="Arial"/>
          <w:sz w:val="16"/>
          <w:szCs w:val="16"/>
          <w:color w:val="auto"/>
        </w:rPr>
        <w:t>, adjusted free cash flow</w:t>
      </w:r>
      <w:r>
        <w:rPr>
          <w:rFonts w:ascii="Arial" w:cs="Arial" w:eastAsia="Arial" w:hAnsi="Arial"/>
          <w:sz w:val="21"/>
          <w:szCs w:val="21"/>
          <w:color w:val="auto"/>
          <w:vertAlign w:val="superscript"/>
        </w:rPr>
        <w:t>*</w:t>
      </w:r>
      <w:r>
        <w:rPr>
          <w:rFonts w:ascii="Arial" w:cs="Arial" w:eastAsia="Arial" w:hAnsi="Arial"/>
          <w:sz w:val="16"/>
          <w:szCs w:val="16"/>
          <w:color w:val="auto"/>
        </w:rPr>
        <w:t>, and adjusted revenue</w:t>
      </w:r>
      <w:r>
        <w:rPr>
          <w:rFonts w:ascii="Arial" w:cs="Arial" w:eastAsia="Arial" w:hAnsi="Arial"/>
          <w:sz w:val="21"/>
          <w:szCs w:val="21"/>
          <w:color w:val="auto"/>
          <w:vertAlign w:val="superscript"/>
        </w:rPr>
        <w:t>*</w:t>
      </w:r>
      <w:r>
        <w:rPr>
          <w:rFonts w:ascii="Arial" w:cs="Arial" w:eastAsia="Arial" w:hAnsi="Arial"/>
          <w:sz w:val="16"/>
          <w:szCs w:val="16"/>
          <w:color w:val="auto"/>
        </w:rPr>
        <w:t>. Performance modifiers may be further applied for individual performance, including progress related to our strategic initiatives.</w:t>
      </w:r>
    </w:p>
    <w:p>
      <w:pPr>
        <w:spacing w:after="0" w:line="81" w:lineRule="exact"/>
        <w:rPr>
          <w:rFonts w:ascii="Arial" w:cs="Arial" w:eastAsia="Arial" w:hAnsi="Arial"/>
          <w:sz w:val="16"/>
          <w:szCs w:val="16"/>
          <w:color w:val="auto"/>
        </w:rPr>
      </w:pPr>
    </w:p>
    <w:p>
      <w:pPr>
        <w:jc w:val="both"/>
        <w:ind w:left="200" w:hanging="192"/>
        <w:spacing w:after="0" w:line="275" w:lineRule="auto"/>
        <w:tabs>
          <w:tab w:leader="none" w:pos="197"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Long-Term Incentives.</w:t>
      </w:r>
      <w:r>
        <w:rPr>
          <w:rFonts w:ascii="Arial" w:cs="Arial" w:eastAsia="Arial" w:hAnsi="Arial"/>
          <w:sz w:val="16"/>
          <w:szCs w:val="16"/>
          <w:color w:val="auto"/>
        </w:rPr>
        <w:t xml:space="preserve"> Long-term incentive (“LTI”) awards align compensation and long-term performance. LTI award levels are targeted at the market median of peer companies with some variation above and below median by NEO to account for factors including responsibilities, performance, contributions and overall experience. The mix of awards includes:</w:t>
      </w:r>
    </w:p>
    <w:p>
      <w:pPr>
        <w:spacing w:after="0" w:line="110" w:lineRule="exact"/>
        <w:rPr>
          <w:rFonts w:ascii="Arial" w:cs="Arial" w:eastAsia="Arial" w:hAnsi="Arial"/>
          <w:sz w:val="16"/>
          <w:szCs w:val="16"/>
          <w:color w:val="auto"/>
        </w:rPr>
      </w:pPr>
    </w:p>
    <w:p>
      <w:pPr>
        <w:ind w:left="400" w:hanging="198"/>
        <w:spacing w:after="0"/>
        <w:tabs>
          <w:tab w:leader="none" w:pos="4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25% Stock Options (“Options”) that vest ratably over a three-year period;</w:t>
      </w:r>
    </w:p>
    <w:p>
      <w:pPr>
        <w:spacing w:after="0" w:line="167" w:lineRule="exact"/>
        <w:rPr>
          <w:rFonts w:ascii="Arial" w:cs="Arial" w:eastAsia="Arial" w:hAnsi="Arial"/>
          <w:sz w:val="16"/>
          <w:szCs w:val="16"/>
          <w:color w:val="auto"/>
        </w:rPr>
      </w:pPr>
    </w:p>
    <w:p>
      <w:pPr>
        <w:jc w:val="both"/>
        <w:ind w:left="400" w:hanging="198"/>
        <w:spacing w:after="0" w:line="275" w:lineRule="auto"/>
        <w:tabs>
          <w:tab w:leader="none" w:pos="397" w:val="left"/>
        </w:tabs>
        <w:numPr>
          <w:ilvl w:val="1"/>
          <w:numId w:val="28"/>
        </w:numPr>
        <w:rPr>
          <w:rFonts w:ascii="Arial" w:cs="Arial" w:eastAsia="Arial" w:hAnsi="Arial"/>
          <w:sz w:val="16"/>
          <w:szCs w:val="16"/>
          <w:color w:val="auto"/>
        </w:rPr>
      </w:pPr>
      <w:r>
        <w:rPr>
          <w:rFonts w:ascii="Arial" w:cs="Arial" w:eastAsia="Arial" w:hAnsi="Arial"/>
          <w:sz w:val="16"/>
          <w:szCs w:val="16"/>
          <w:color w:val="auto"/>
        </w:rPr>
        <w:t>50% Performance Stock Units (“PSUs”) tied to relative TSR (“r-TSR”) compared to a peer group within a combination of the S&amp;P 600 Small Cap Capital Goods and S&amp;P 400 Mid Cap Capital Goods indices over a three-year performance measurement period, with potential payout range of 0% to 200% of target and target payout achievement at the 55th percentile. Payout cannot exceed target if our TSR is negative;</w:t>
      </w:r>
    </w:p>
    <w:p>
      <w:pPr>
        <w:spacing w:after="0" w:line="110" w:lineRule="exact"/>
        <w:rPr>
          <w:rFonts w:ascii="Arial" w:cs="Arial" w:eastAsia="Arial" w:hAnsi="Arial"/>
          <w:sz w:val="16"/>
          <w:szCs w:val="16"/>
          <w:color w:val="auto"/>
        </w:rPr>
      </w:pPr>
    </w:p>
    <w:p>
      <w:pPr>
        <w:ind w:left="400" w:hanging="198"/>
        <w:spacing w:after="0"/>
        <w:tabs>
          <w:tab w:leader="none" w:pos="4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25% Restricted Stock Units (“RSUs”) that vest ratably over a three-year period.</w:t>
      </w:r>
    </w:p>
    <w:p>
      <w:pPr>
        <w:spacing w:after="0" w:line="285" w:lineRule="exact"/>
        <w:rPr>
          <w:sz w:val="20"/>
          <w:szCs w:val="20"/>
          <w:color w:val="auto"/>
        </w:rPr>
      </w:pPr>
    </w:p>
    <w:p>
      <w:pPr>
        <w:ind w:left="80" w:right="40" w:hanging="72"/>
        <w:spacing w:after="0" w:line="180" w:lineRule="auto"/>
        <w:tabs>
          <w:tab w:leader="none" w:pos="293" w:val="left"/>
        </w:tabs>
        <w:numPr>
          <w:ilvl w:val="0"/>
          <w:numId w:val="29"/>
        </w:numPr>
        <w:rPr>
          <w:rFonts w:ascii="Arial" w:cs="Arial" w:eastAsia="Arial" w:hAnsi="Arial"/>
          <w:sz w:val="26"/>
          <w:szCs w:val="26"/>
          <w:color w:val="auto"/>
          <w:vertAlign w:val="superscript"/>
        </w:rPr>
      </w:pPr>
      <w:r>
        <w:rPr>
          <w:rFonts w:ascii="Arial" w:cs="Arial" w:eastAsia="Arial" w:hAnsi="Arial"/>
          <w:sz w:val="12"/>
          <w:szCs w:val="12"/>
          <w:color w:val="auto"/>
        </w:rPr>
        <w:t>Non-GAAP financial measure. Reconciliations of amounts presented as non-GAAP financial measures with the amounts of the most comparable measures calculated and presented in accordance with GAAP are presented in Appendix A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566420</wp:posOffset>
            </wp:positionV>
            <wp:extent cx="40259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0259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26</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32" w:name="page33"/>
    <w:bookmarkEnd w:id="32"/>
    <w:p>
      <w:pPr>
        <w:ind w:left="9220"/>
        <w:spacing w:after="0"/>
        <w:rPr>
          <w:sz w:val="20"/>
          <w:szCs w:val="20"/>
          <w:color w:val="auto"/>
        </w:rPr>
      </w:pPr>
      <w:r>
        <w:rPr>
          <w:rFonts w:ascii="Arial" w:cs="Arial" w:eastAsia="Arial" w:hAnsi="Arial"/>
          <w:sz w:val="14"/>
          <w:szCs w:val="14"/>
          <w:color w:val="004C9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Performance against our strategic initiatives, including sustainability objectives, is considered when making awards and setting targets for all components of our compensation programs. The experience level, performance and other relevant market and talent competitive factors are considered when establishing compensation levels each year or when hiring new executives. Accordingly, we would expect our more tenured, high-performing, or highly skilled executive officers to be higher in range, against our peers, on all compensation program components.</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Committee evaluates the Company’s compensation programs annually and considers a number of factors when determining the components of LTI compensation, including equity use and dilution, compensation trends to attract and retain talent, and alignment of incentives with Company performance and peer group analysis.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Mix of Compensation Elements</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charts show that for 2024 the mix of compensation elements targeted for our NEOs was heavily weighted toward performance-based compensation. The mix of LTI is based on the allocation value used in determining the number of units or options, as applicable, for each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219075</wp:posOffset>
            </wp:positionV>
            <wp:extent cx="5966460" cy="22713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6460" cy="227139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3211195</wp:posOffset>
            </wp:positionV>
            <wp:extent cx="403225"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0322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2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265"/>
        </w:trPr>
        <w:tc>
          <w:tcPr>
            <w:tcW w:w="1032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14"/>
          <w:szCs w:val="14"/>
          <w:color w:val="004C9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Our CEO’s Pay-for-Performance Alignment</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chart shows our CEO’s compensation relative to our TSR compared with our peer group of companies listed on page 30, demonstrating how our executive compensation program aligns with performance.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For purposes of this chart, compensation includes the three-year total for salary, target annual bonus, the target value of equity awards and amounts from the “change in pension value and nonqualified deferred compensation” and “All Other Compensation” columns of each company’s Summary Compensation Table disclosure. Performance is three-year total shareholder return. Due to the timing of public disclosures, peer company data represents 2021 through 2023 while our CEO’s total compensation represents 2022 through 2024 and our total shareholder return is for December 31, 2021 through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253365</wp:posOffset>
            </wp:positionV>
            <wp:extent cx="4937760" cy="3574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37760" cy="3574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Relative Pay Rank</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Peer company compensation based on 2021, 2022 and 2023 compensation data from each company’s three most recent proxy statement filings.</w:t>
      </w:r>
    </w:p>
    <w:p>
      <w:pPr>
        <w:spacing w:after="0" w:line="200" w:lineRule="exact"/>
        <w:rPr>
          <w:sz w:val="20"/>
          <w:szCs w:val="20"/>
          <w:color w:val="auto"/>
        </w:rPr>
      </w:pPr>
    </w:p>
    <w:p>
      <w:pPr>
        <w:spacing w:after="0" w:line="23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relative performance rank exceeds our CEO relative pay rank. Since Mr. Lowe’s promotion to CEO more than nine years ago, we have consistently delivered above median performance and compensated according to our philosophy to align target executive compensation with that of our peers and provide variable incentive compensation that rewards executives at higher levels when excellent performance is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636270</wp:posOffset>
            </wp:positionV>
            <wp:extent cx="402590" cy="145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0259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28</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34" w:name="page35"/>
    <w:bookmarkEnd w:id="34"/>
    <w:p>
      <w:pPr>
        <w:jc w:val="right"/>
        <w:ind w:right="20"/>
        <w:spacing w:after="0"/>
        <w:rPr>
          <w:sz w:val="20"/>
          <w:szCs w:val="20"/>
          <w:color w:val="auto"/>
        </w:rPr>
      </w:pPr>
      <w:r>
        <w:rPr>
          <w:rFonts w:ascii="Arial" w:cs="Arial" w:eastAsia="Arial" w:hAnsi="Arial"/>
          <w:sz w:val="14"/>
          <w:szCs w:val="14"/>
          <w:color w:val="004C9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DECISIONS FOR OUR NAMED EXECUTIVE OFFICERS WERE MADE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Executive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020560" cy="2049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20560" cy="20491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p>
      <w:pPr>
        <w:spacing w:after="0" w:line="140"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FFFFFF"/>
        </w:rPr>
        <w:t>What We Do</w:t>
      </w:r>
    </w:p>
    <w:p>
      <w:pPr>
        <w:spacing w:after="0" w:line="82" w:lineRule="exact"/>
        <w:rPr>
          <w:sz w:val="20"/>
          <w:szCs w:val="20"/>
          <w:color w:val="auto"/>
        </w:rPr>
      </w:pPr>
    </w:p>
    <w:p>
      <w:pPr>
        <w:ind w:left="360" w:hanging="244"/>
        <w:spacing w:after="0"/>
        <w:tabs>
          <w:tab w:leader="none" w:pos="360" w:val="left"/>
        </w:tabs>
        <w:numPr>
          <w:ilvl w:val="0"/>
          <w:numId w:val="30"/>
        </w:numPr>
        <w:rPr>
          <w:rFonts w:ascii="MS PGothic" w:cs="MS PGothic" w:eastAsia="MS PGothic" w:hAnsi="MS PGothic"/>
          <w:sz w:val="16"/>
          <w:szCs w:val="16"/>
          <w:color w:val="auto"/>
        </w:rPr>
      </w:pPr>
      <w:r>
        <w:rPr>
          <w:rFonts w:ascii="Arial" w:cs="Arial" w:eastAsia="Arial" w:hAnsi="Arial"/>
          <w:sz w:val="14"/>
          <w:szCs w:val="14"/>
          <w:color w:val="auto"/>
        </w:rPr>
        <w:t>Heavy emphasis on variable, performance-based compensation</w:t>
      </w:r>
    </w:p>
    <w:p>
      <w:pPr>
        <w:spacing w:after="0" w:line="89" w:lineRule="exact"/>
        <w:rPr>
          <w:rFonts w:ascii="MS PGothic" w:cs="MS PGothic" w:eastAsia="MS PGothic" w:hAnsi="MS PGothic"/>
          <w:sz w:val="16"/>
          <w:szCs w:val="16"/>
          <w:color w:val="auto"/>
        </w:rPr>
      </w:pPr>
    </w:p>
    <w:p>
      <w:pPr>
        <w:ind w:left="360" w:hanging="244"/>
        <w:spacing w:after="0"/>
        <w:tabs>
          <w:tab w:leader="none" w:pos="360" w:val="left"/>
        </w:tabs>
        <w:numPr>
          <w:ilvl w:val="0"/>
          <w:numId w:val="30"/>
        </w:numPr>
        <w:rPr>
          <w:rFonts w:ascii="MS PGothic" w:cs="MS PGothic" w:eastAsia="MS PGothic" w:hAnsi="MS PGothic"/>
          <w:sz w:val="16"/>
          <w:szCs w:val="16"/>
          <w:color w:val="auto"/>
        </w:rPr>
      </w:pPr>
      <w:r>
        <w:rPr>
          <w:rFonts w:ascii="Arial" w:cs="Arial" w:eastAsia="Arial" w:hAnsi="Arial"/>
          <w:sz w:val="14"/>
          <w:szCs w:val="14"/>
          <w:color w:val="auto"/>
        </w:rPr>
        <w:t>Majority of long-term incentive awards are performance based</w:t>
      </w:r>
    </w:p>
    <w:p>
      <w:pPr>
        <w:spacing w:after="0" w:line="89" w:lineRule="exact"/>
        <w:rPr>
          <w:rFonts w:ascii="MS PGothic" w:cs="MS PGothic" w:eastAsia="MS PGothic" w:hAnsi="MS PGothic"/>
          <w:sz w:val="16"/>
          <w:szCs w:val="16"/>
          <w:color w:val="auto"/>
        </w:rPr>
      </w:pPr>
    </w:p>
    <w:p>
      <w:pPr>
        <w:ind w:left="360" w:hanging="244"/>
        <w:spacing w:after="0" w:line="275" w:lineRule="auto"/>
        <w:tabs>
          <w:tab w:leader="none" w:pos="360" w:val="left"/>
        </w:tabs>
        <w:numPr>
          <w:ilvl w:val="0"/>
          <w:numId w:val="30"/>
        </w:numPr>
        <w:rPr>
          <w:rFonts w:ascii="MS PGothic" w:cs="MS PGothic" w:eastAsia="MS PGothic" w:hAnsi="MS PGothic"/>
          <w:sz w:val="16"/>
          <w:szCs w:val="16"/>
          <w:color w:val="auto"/>
        </w:rPr>
      </w:pPr>
      <w:r>
        <w:rPr>
          <w:rFonts w:ascii="Arial" w:cs="Arial" w:eastAsia="Arial" w:hAnsi="Arial"/>
          <w:sz w:val="14"/>
          <w:szCs w:val="14"/>
          <w:color w:val="auto"/>
        </w:rPr>
        <w:t>Align compensation to year-over-year performance and delivery on strategic initiatives.</w:t>
      </w:r>
    </w:p>
    <w:p>
      <w:pPr>
        <w:spacing w:after="0" w:line="42" w:lineRule="exact"/>
        <w:rPr>
          <w:rFonts w:ascii="MS PGothic" w:cs="MS PGothic" w:eastAsia="MS PGothic" w:hAnsi="MS PGothic"/>
          <w:sz w:val="16"/>
          <w:szCs w:val="16"/>
          <w:color w:val="auto"/>
        </w:rPr>
      </w:pPr>
    </w:p>
    <w:p>
      <w:pPr>
        <w:ind w:left="360" w:hanging="244"/>
        <w:spacing w:after="0"/>
        <w:tabs>
          <w:tab w:leader="none" w:pos="360" w:val="left"/>
        </w:tabs>
        <w:numPr>
          <w:ilvl w:val="0"/>
          <w:numId w:val="30"/>
        </w:numPr>
        <w:rPr>
          <w:rFonts w:ascii="MS PGothic" w:cs="MS PGothic" w:eastAsia="MS PGothic" w:hAnsi="MS PGothic"/>
          <w:sz w:val="16"/>
          <w:szCs w:val="16"/>
          <w:color w:val="auto"/>
        </w:rPr>
      </w:pPr>
      <w:r>
        <w:rPr>
          <w:rFonts w:ascii="Arial" w:cs="Arial" w:eastAsia="Arial" w:hAnsi="Arial"/>
          <w:sz w:val="14"/>
          <w:szCs w:val="14"/>
          <w:color w:val="auto"/>
        </w:rPr>
        <w:t>Stock ownership guidelines</w:t>
      </w:r>
    </w:p>
    <w:p>
      <w:pPr>
        <w:spacing w:after="0" w:line="89" w:lineRule="exact"/>
        <w:rPr>
          <w:rFonts w:ascii="MS PGothic" w:cs="MS PGothic" w:eastAsia="MS PGothic" w:hAnsi="MS PGothic"/>
          <w:sz w:val="16"/>
          <w:szCs w:val="16"/>
          <w:color w:val="auto"/>
        </w:rPr>
      </w:pPr>
    </w:p>
    <w:p>
      <w:pPr>
        <w:ind w:left="360" w:hanging="244"/>
        <w:spacing w:after="0"/>
        <w:tabs>
          <w:tab w:leader="none" w:pos="360" w:val="left"/>
        </w:tabs>
        <w:numPr>
          <w:ilvl w:val="0"/>
          <w:numId w:val="30"/>
        </w:numPr>
        <w:rPr>
          <w:rFonts w:ascii="MS PGothic" w:cs="MS PGothic" w:eastAsia="MS PGothic" w:hAnsi="MS PGothic"/>
          <w:sz w:val="16"/>
          <w:szCs w:val="16"/>
          <w:color w:val="auto"/>
        </w:rPr>
      </w:pPr>
      <w:r>
        <w:rPr>
          <w:rFonts w:ascii="Arial" w:cs="Arial" w:eastAsia="Arial" w:hAnsi="Arial"/>
          <w:sz w:val="14"/>
          <w:szCs w:val="14"/>
          <w:color w:val="auto"/>
        </w:rPr>
        <w:t>Clawback provisions that apply to both cash and equity incentive awards</w:t>
      </w:r>
    </w:p>
    <w:p>
      <w:pPr>
        <w:spacing w:after="0" w:line="89" w:lineRule="exact"/>
        <w:rPr>
          <w:rFonts w:ascii="MS PGothic" w:cs="MS PGothic" w:eastAsia="MS PGothic" w:hAnsi="MS PGothic"/>
          <w:sz w:val="16"/>
          <w:szCs w:val="16"/>
          <w:color w:val="auto"/>
        </w:rPr>
      </w:pPr>
    </w:p>
    <w:p>
      <w:pPr>
        <w:ind w:left="360" w:hanging="244"/>
        <w:spacing w:after="0"/>
        <w:tabs>
          <w:tab w:leader="none" w:pos="360" w:val="left"/>
        </w:tabs>
        <w:numPr>
          <w:ilvl w:val="0"/>
          <w:numId w:val="30"/>
        </w:numPr>
        <w:rPr>
          <w:rFonts w:ascii="MS PGothic" w:cs="MS PGothic" w:eastAsia="MS PGothic" w:hAnsi="MS PGothic"/>
          <w:sz w:val="16"/>
          <w:szCs w:val="16"/>
          <w:color w:val="auto"/>
        </w:rPr>
      </w:pPr>
      <w:r>
        <w:rPr>
          <w:rFonts w:ascii="Arial" w:cs="Arial" w:eastAsia="Arial" w:hAnsi="Arial"/>
          <w:sz w:val="14"/>
          <w:szCs w:val="14"/>
          <w:color w:val="auto"/>
        </w:rPr>
        <w:t>“Double-trigger” termination payments upon a change in control</w:t>
      </w:r>
    </w:p>
    <w:p>
      <w:pPr>
        <w:spacing w:after="0" w:line="89" w:lineRule="exact"/>
        <w:rPr>
          <w:rFonts w:ascii="MS PGothic" w:cs="MS PGothic" w:eastAsia="MS PGothic" w:hAnsi="MS PGothic"/>
          <w:sz w:val="16"/>
          <w:szCs w:val="16"/>
          <w:color w:val="auto"/>
        </w:rPr>
      </w:pPr>
    </w:p>
    <w:p>
      <w:pPr>
        <w:ind w:left="360" w:hanging="244"/>
        <w:spacing w:after="0"/>
        <w:tabs>
          <w:tab w:leader="none" w:pos="360" w:val="left"/>
        </w:tabs>
        <w:numPr>
          <w:ilvl w:val="0"/>
          <w:numId w:val="30"/>
        </w:numPr>
        <w:rPr>
          <w:rFonts w:ascii="MS PGothic" w:cs="MS PGothic" w:eastAsia="MS PGothic" w:hAnsi="MS PGothic"/>
          <w:sz w:val="16"/>
          <w:szCs w:val="16"/>
          <w:color w:val="auto"/>
        </w:rPr>
      </w:pPr>
      <w:r>
        <w:rPr>
          <w:rFonts w:ascii="Arial" w:cs="Arial" w:eastAsia="Arial" w:hAnsi="Arial"/>
          <w:sz w:val="14"/>
          <w:szCs w:val="14"/>
          <w:color w:val="auto"/>
        </w:rPr>
        <w:t>Use of independent compensation consultant</w:t>
      </w:r>
    </w:p>
    <w:p>
      <w:pPr>
        <w:spacing w:after="0" w:line="89" w:lineRule="exact"/>
        <w:rPr>
          <w:rFonts w:ascii="MS PGothic" w:cs="MS PGothic" w:eastAsia="MS PGothic" w:hAnsi="MS PGothic"/>
          <w:sz w:val="16"/>
          <w:szCs w:val="16"/>
          <w:color w:val="auto"/>
        </w:rPr>
      </w:pPr>
    </w:p>
    <w:p>
      <w:pPr>
        <w:ind w:left="360" w:hanging="244"/>
        <w:spacing w:after="0"/>
        <w:tabs>
          <w:tab w:leader="none" w:pos="360" w:val="left"/>
        </w:tabs>
        <w:numPr>
          <w:ilvl w:val="0"/>
          <w:numId w:val="30"/>
        </w:numPr>
        <w:rPr>
          <w:rFonts w:ascii="MS PGothic" w:cs="MS PGothic" w:eastAsia="MS PGothic" w:hAnsi="MS PGothic"/>
          <w:sz w:val="16"/>
          <w:szCs w:val="16"/>
          <w:color w:val="auto"/>
        </w:rPr>
      </w:pPr>
      <w:r>
        <w:rPr>
          <w:rFonts w:ascii="Arial" w:cs="Arial" w:eastAsia="Arial" w:hAnsi="Arial"/>
          <w:sz w:val="14"/>
          <w:szCs w:val="14"/>
          <w:color w:val="auto"/>
        </w:rPr>
        <w:t>Regular risk assessments</w:t>
      </w:r>
    </w:p>
    <w:p>
      <w:pPr>
        <w:spacing w:after="0" w:line="89" w:lineRule="exact"/>
        <w:rPr>
          <w:rFonts w:ascii="MS PGothic" w:cs="MS PGothic" w:eastAsia="MS PGothic" w:hAnsi="MS PGothic"/>
          <w:sz w:val="16"/>
          <w:szCs w:val="16"/>
          <w:color w:val="auto"/>
        </w:rPr>
      </w:pPr>
    </w:p>
    <w:p>
      <w:pPr>
        <w:ind w:left="360" w:hanging="244"/>
        <w:spacing w:after="0"/>
        <w:tabs>
          <w:tab w:leader="none" w:pos="360" w:val="left"/>
        </w:tabs>
        <w:numPr>
          <w:ilvl w:val="0"/>
          <w:numId w:val="30"/>
        </w:numPr>
        <w:rPr>
          <w:rFonts w:ascii="MS PGothic" w:cs="MS PGothic" w:eastAsia="MS PGothic" w:hAnsi="MS PGothic"/>
          <w:sz w:val="16"/>
          <w:szCs w:val="16"/>
          <w:color w:val="auto"/>
        </w:rPr>
      </w:pPr>
      <w:r>
        <w:rPr>
          <w:rFonts w:ascii="Arial" w:cs="Arial" w:eastAsia="Arial" w:hAnsi="Arial"/>
          <w:sz w:val="14"/>
          <w:szCs w:val="14"/>
          <w:color w:val="auto"/>
        </w:rPr>
        <w:t>Annual reviews of share utilization</w:t>
      </w:r>
    </w:p>
    <w:p>
      <w:pPr>
        <w:spacing w:after="0" w:line="89" w:lineRule="exact"/>
        <w:rPr>
          <w:rFonts w:ascii="MS PGothic" w:cs="MS PGothic" w:eastAsia="MS PGothic" w:hAnsi="MS PGothic"/>
          <w:sz w:val="16"/>
          <w:szCs w:val="16"/>
          <w:color w:val="auto"/>
        </w:rPr>
      </w:pPr>
    </w:p>
    <w:p>
      <w:pPr>
        <w:ind w:left="360" w:hanging="244"/>
        <w:spacing w:after="0"/>
        <w:tabs>
          <w:tab w:leader="none" w:pos="360" w:val="left"/>
        </w:tabs>
        <w:numPr>
          <w:ilvl w:val="0"/>
          <w:numId w:val="30"/>
        </w:numPr>
        <w:rPr>
          <w:rFonts w:ascii="MS PGothic" w:cs="MS PGothic" w:eastAsia="MS PGothic" w:hAnsi="MS PGothic"/>
          <w:sz w:val="16"/>
          <w:szCs w:val="16"/>
          <w:color w:val="auto"/>
        </w:rPr>
      </w:pPr>
      <w:r>
        <w:rPr>
          <w:rFonts w:ascii="Arial" w:cs="Arial" w:eastAsia="Arial" w:hAnsi="Arial"/>
          <w:sz w:val="14"/>
          <w:szCs w:val="14"/>
          <w:color w:val="auto"/>
        </w:rPr>
        <w:t>Stockholder outreach</w:t>
      </w:r>
    </w:p>
    <w:p>
      <w:pPr>
        <w:spacing w:after="0" w:line="89" w:lineRule="exact"/>
        <w:rPr>
          <w:rFonts w:ascii="MS PGothic" w:cs="MS PGothic" w:eastAsia="MS PGothic" w:hAnsi="MS PGothic"/>
          <w:sz w:val="16"/>
          <w:szCs w:val="16"/>
          <w:color w:val="auto"/>
        </w:rPr>
      </w:pPr>
    </w:p>
    <w:p>
      <w:pPr>
        <w:ind w:left="360" w:hanging="251"/>
        <w:spacing w:after="0"/>
        <w:tabs>
          <w:tab w:leader="none" w:pos="360" w:val="left"/>
        </w:tabs>
        <w:numPr>
          <w:ilvl w:val="0"/>
          <w:numId w:val="30"/>
        </w:numPr>
        <w:rPr>
          <w:rFonts w:ascii="MS PGothic" w:cs="MS PGothic" w:eastAsia="MS PGothic" w:hAnsi="MS PGothic"/>
          <w:sz w:val="18"/>
          <w:szCs w:val="18"/>
          <w:color w:val="auto"/>
        </w:rPr>
      </w:pPr>
      <w:r>
        <w:rPr>
          <w:rFonts w:ascii="Arial" w:cs="Arial" w:eastAsia="Arial" w:hAnsi="Arial"/>
          <w:sz w:val="14"/>
          <w:szCs w:val="14"/>
          <w:color w:val="auto"/>
        </w:rPr>
        <w:t>Regular market assessments against our peer group</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FFFFFF"/>
        </w:rPr>
        <w:t>What We Do Not Do</w:t>
      </w:r>
    </w:p>
    <w:p>
      <w:pPr>
        <w:spacing w:after="0" w:line="69" w:lineRule="exact"/>
        <w:rPr>
          <w:sz w:val="20"/>
          <w:szCs w:val="20"/>
          <w:color w:val="auto"/>
        </w:rPr>
      </w:pPr>
    </w:p>
    <w:p>
      <w:pPr>
        <w:ind w:left="240" w:hanging="240"/>
        <w:spacing w:after="0"/>
        <w:tabs>
          <w:tab w:leader="none" w:pos="240" w:val="left"/>
        </w:tabs>
        <w:numPr>
          <w:ilvl w:val="0"/>
          <w:numId w:val="31"/>
        </w:numPr>
        <w:rPr>
          <w:rFonts w:ascii="MS PGothic" w:cs="MS PGothic" w:eastAsia="MS PGothic" w:hAnsi="MS PGothic"/>
          <w:sz w:val="14"/>
          <w:szCs w:val="14"/>
          <w:color w:val="auto"/>
        </w:rPr>
      </w:pPr>
      <w:r>
        <w:rPr>
          <w:rFonts w:ascii="Arial" w:cs="Arial" w:eastAsia="Arial" w:hAnsi="Arial"/>
          <w:sz w:val="14"/>
          <w:szCs w:val="14"/>
          <w:color w:val="auto"/>
        </w:rPr>
        <w:t>No multi-year guarantees of salary increases</w:t>
      </w:r>
    </w:p>
    <w:p>
      <w:pPr>
        <w:spacing w:after="0" w:line="82" w:lineRule="exact"/>
        <w:rPr>
          <w:rFonts w:ascii="MS PGothic" w:cs="MS PGothic" w:eastAsia="MS PGothic" w:hAnsi="MS PGothic"/>
          <w:sz w:val="14"/>
          <w:szCs w:val="14"/>
          <w:color w:val="auto"/>
        </w:rPr>
      </w:pPr>
    </w:p>
    <w:p>
      <w:pPr>
        <w:ind w:left="240" w:hanging="240"/>
        <w:spacing w:after="0"/>
        <w:tabs>
          <w:tab w:leader="none" w:pos="240" w:val="left"/>
        </w:tabs>
        <w:numPr>
          <w:ilvl w:val="0"/>
          <w:numId w:val="31"/>
        </w:numPr>
        <w:rPr>
          <w:rFonts w:ascii="MS PGothic" w:cs="MS PGothic" w:eastAsia="MS PGothic" w:hAnsi="MS PGothic"/>
          <w:sz w:val="14"/>
          <w:szCs w:val="14"/>
          <w:color w:val="auto"/>
        </w:rPr>
      </w:pPr>
      <w:r>
        <w:rPr>
          <w:rFonts w:ascii="Arial" w:cs="Arial" w:eastAsia="Arial" w:hAnsi="Arial"/>
          <w:sz w:val="14"/>
          <w:szCs w:val="14"/>
          <w:color w:val="auto"/>
        </w:rPr>
        <w:t>No tax gross-ups on termination payments following a change in control</w:t>
      </w:r>
    </w:p>
    <w:p>
      <w:pPr>
        <w:spacing w:after="0" w:line="82" w:lineRule="exact"/>
        <w:rPr>
          <w:rFonts w:ascii="MS PGothic" w:cs="MS PGothic" w:eastAsia="MS PGothic" w:hAnsi="MS PGothic"/>
          <w:sz w:val="14"/>
          <w:szCs w:val="14"/>
          <w:color w:val="auto"/>
        </w:rPr>
      </w:pPr>
    </w:p>
    <w:p>
      <w:pPr>
        <w:ind w:left="240" w:hanging="240"/>
        <w:spacing w:after="0"/>
        <w:tabs>
          <w:tab w:leader="none" w:pos="240" w:val="left"/>
        </w:tabs>
        <w:numPr>
          <w:ilvl w:val="0"/>
          <w:numId w:val="31"/>
        </w:numPr>
        <w:rPr>
          <w:rFonts w:ascii="MS PGothic" w:cs="MS PGothic" w:eastAsia="MS PGothic" w:hAnsi="MS PGothic"/>
          <w:sz w:val="14"/>
          <w:szCs w:val="14"/>
          <w:color w:val="auto"/>
        </w:rPr>
      </w:pPr>
      <w:r>
        <w:rPr>
          <w:rFonts w:ascii="Arial" w:cs="Arial" w:eastAsia="Arial" w:hAnsi="Arial"/>
          <w:sz w:val="14"/>
          <w:szCs w:val="14"/>
          <w:color w:val="auto"/>
        </w:rPr>
        <w:t>No hedging of Company stock</w:t>
      </w:r>
    </w:p>
    <w:p>
      <w:pPr>
        <w:spacing w:after="0" w:line="82" w:lineRule="exact"/>
        <w:rPr>
          <w:rFonts w:ascii="MS PGothic" w:cs="MS PGothic" w:eastAsia="MS PGothic" w:hAnsi="MS PGothic"/>
          <w:sz w:val="14"/>
          <w:szCs w:val="14"/>
          <w:color w:val="auto"/>
        </w:rPr>
      </w:pPr>
    </w:p>
    <w:p>
      <w:pPr>
        <w:ind w:left="240" w:hanging="240"/>
        <w:spacing w:after="0"/>
        <w:tabs>
          <w:tab w:leader="none" w:pos="240" w:val="left"/>
        </w:tabs>
        <w:numPr>
          <w:ilvl w:val="0"/>
          <w:numId w:val="31"/>
        </w:numPr>
        <w:rPr>
          <w:rFonts w:ascii="MS PGothic" w:cs="MS PGothic" w:eastAsia="MS PGothic" w:hAnsi="MS PGothic"/>
          <w:sz w:val="14"/>
          <w:szCs w:val="14"/>
          <w:color w:val="auto"/>
        </w:rPr>
      </w:pPr>
      <w:r>
        <w:rPr>
          <w:rFonts w:ascii="Arial" w:cs="Arial" w:eastAsia="Arial" w:hAnsi="Arial"/>
          <w:sz w:val="14"/>
          <w:szCs w:val="14"/>
          <w:color w:val="auto"/>
        </w:rPr>
        <w:t>No pledging of Company stock</w:t>
      </w:r>
    </w:p>
    <w:p>
      <w:pPr>
        <w:spacing w:after="0" w:line="82" w:lineRule="exact"/>
        <w:rPr>
          <w:rFonts w:ascii="MS PGothic" w:cs="MS PGothic" w:eastAsia="MS PGothic" w:hAnsi="MS PGothic"/>
          <w:sz w:val="14"/>
          <w:szCs w:val="14"/>
          <w:color w:val="auto"/>
        </w:rPr>
      </w:pPr>
    </w:p>
    <w:p>
      <w:pPr>
        <w:ind w:left="240" w:hanging="240"/>
        <w:spacing w:after="0"/>
        <w:tabs>
          <w:tab w:leader="none" w:pos="240" w:val="left"/>
        </w:tabs>
        <w:numPr>
          <w:ilvl w:val="0"/>
          <w:numId w:val="31"/>
        </w:numPr>
        <w:rPr>
          <w:rFonts w:ascii="MS PGothic" w:cs="MS PGothic" w:eastAsia="MS PGothic" w:hAnsi="MS PGothic"/>
          <w:sz w:val="14"/>
          <w:szCs w:val="14"/>
          <w:color w:val="auto"/>
        </w:rPr>
      </w:pPr>
      <w:r>
        <w:rPr>
          <w:rFonts w:ascii="Arial" w:cs="Arial" w:eastAsia="Arial" w:hAnsi="Arial"/>
          <w:sz w:val="14"/>
          <w:szCs w:val="14"/>
          <w:color w:val="auto"/>
        </w:rPr>
        <w:t>No significant perquisites or defined benefit pension plans</w:t>
      </w:r>
    </w:p>
    <w:p>
      <w:pPr>
        <w:spacing w:after="0" w:line="82" w:lineRule="exact"/>
        <w:rPr>
          <w:rFonts w:ascii="MS PGothic" w:cs="MS PGothic" w:eastAsia="MS PGothic" w:hAnsi="MS PGothic"/>
          <w:sz w:val="14"/>
          <w:szCs w:val="14"/>
          <w:color w:val="auto"/>
        </w:rPr>
      </w:pPr>
    </w:p>
    <w:p>
      <w:pPr>
        <w:ind w:left="240" w:hanging="240"/>
        <w:spacing w:after="0"/>
        <w:tabs>
          <w:tab w:leader="none" w:pos="240" w:val="left"/>
        </w:tabs>
        <w:numPr>
          <w:ilvl w:val="0"/>
          <w:numId w:val="31"/>
        </w:numPr>
        <w:rPr>
          <w:rFonts w:ascii="MS PGothic" w:cs="MS PGothic" w:eastAsia="MS PGothic" w:hAnsi="MS PGothic"/>
          <w:sz w:val="14"/>
          <w:szCs w:val="14"/>
          <w:color w:val="auto"/>
        </w:rPr>
      </w:pPr>
      <w:r>
        <w:rPr>
          <w:rFonts w:ascii="Arial" w:cs="Arial" w:eastAsia="Arial" w:hAnsi="Arial"/>
          <w:sz w:val="14"/>
          <w:szCs w:val="14"/>
          <w:color w:val="auto"/>
        </w:rPr>
        <w:t>No “single-trigger” termination payments upon a change in control</w:t>
      </w:r>
    </w:p>
    <w:p>
      <w:pPr>
        <w:spacing w:after="0" w:line="82" w:lineRule="exact"/>
        <w:rPr>
          <w:rFonts w:ascii="MS PGothic" w:cs="MS PGothic" w:eastAsia="MS PGothic" w:hAnsi="MS PGothic"/>
          <w:sz w:val="14"/>
          <w:szCs w:val="14"/>
          <w:color w:val="auto"/>
        </w:rPr>
      </w:pPr>
    </w:p>
    <w:p>
      <w:pPr>
        <w:ind w:left="240" w:hanging="240"/>
        <w:spacing w:after="0"/>
        <w:tabs>
          <w:tab w:leader="none" w:pos="240" w:val="left"/>
        </w:tabs>
        <w:numPr>
          <w:ilvl w:val="0"/>
          <w:numId w:val="31"/>
        </w:numPr>
        <w:rPr>
          <w:rFonts w:ascii="MS PGothic" w:cs="MS PGothic" w:eastAsia="MS PGothic" w:hAnsi="MS PGothic"/>
          <w:sz w:val="14"/>
          <w:szCs w:val="14"/>
          <w:color w:val="auto"/>
        </w:rPr>
      </w:pPr>
      <w:r>
        <w:rPr>
          <w:rFonts w:ascii="Arial" w:cs="Arial" w:eastAsia="Arial" w:hAnsi="Arial"/>
          <w:sz w:val="14"/>
          <w:szCs w:val="14"/>
          <w:color w:val="auto"/>
        </w:rPr>
        <w:t>No repricing or backdating stock options without stockholder approval</w:t>
      </w:r>
    </w:p>
    <w:p>
      <w:pPr>
        <w:spacing w:after="0" w:line="1519" w:lineRule="exact"/>
        <w:rPr>
          <w:sz w:val="20"/>
          <w:szCs w:val="20"/>
          <w:color w:val="auto"/>
        </w:rPr>
      </w:pPr>
    </w:p>
    <w:p>
      <w:pPr>
        <w:sectPr>
          <w:pgSz w:w="11900" w:h="16838" w:orient="portrait"/>
          <w:cols w:equalWidth="0" w:num="2">
            <w:col w:w="5200" w:space="620"/>
            <w:col w:w="5420"/>
          </w:cols>
          <w:pgMar w:left="320" w:top="292" w:right="33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The Role of the Compensation Committee</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Committee is responsible for overseeing the design and administration of the executive compensation program so that the program is consistent with our compensation philosophy. The Committee reviews compensation levels for all of our executive officers, including our NEOs. The Committee also makes all final compensation decisions regarding our NEOs and executive officers, except for the CEO, whose compensation is reviewed and approved by the full Board, excluding Mr. Lowe, based upon recommendations of the Committee.</w:t>
      </w:r>
    </w:p>
    <w:p>
      <w:pPr>
        <w:spacing w:after="0" w:line="11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Committee also works very closely with its independent compensation consultant and with management to examine the effectiveness of the Company’s executive compensation program. Details of the Committee’s authority and responsibilities are specified in the Committee’s charter, which is available on our website (www.spx.com) under the heading “Investor Relations—Corporate Governance—Board Committees.”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The Role of Management</w:t>
      </w:r>
    </w:p>
    <w:p>
      <w:pPr>
        <w:spacing w:after="0" w:line="6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Certain members of our senior management team help prepare for and attend meetings where executive compensation, Company and individual performance, and competitive compensation levels and practices are discussed and evaluated. However, only the Committee members are allowed to vote on decisions regarding executive compensation. The Committee also receives recommendations from the CEO regarding the compensation of our other executive officers, including the other NEOs. The CEO does not participate in the deliberations of the Committee and Board regarding his own compensation.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The Role of the Independent Compensation Consultant</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For 2024, the Committee retained Meridian Compensation Partners, LLC (“Meridian”) as its sole independent compensation consultant. Meridian does not provide any services to our Company other than advice to and services for the Committee relating to compensation of all executives and the Governance &amp; Sustainability Committee relating to compensation of our non-employee directors. The independent compensation consultant may provide other consulting services to SPX, on a limited basis and only with approval from the Committee and the Governance &amp; Sustainability Committee. The Committee reviews services provided by its independent compensation consultant on at least an annual basis. The independent compensation consultant reviews, analyzes and assesses the Company’s executive compensation program and management’s recommendations for compensation; conducts risk assessments on the Company’s executive incentive plans; and presents recommendations on compensation amounts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641985</wp:posOffset>
            </wp:positionV>
            <wp:extent cx="403225" cy="145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0322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2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27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35" w:name="page36"/>
    <w:bookmarkEnd w:id="35"/>
    <w:p>
      <w:pPr>
        <w:ind w:left="20"/>
        <w:spacing w:after="0"/>
        <w:rPr>
          <w:sz w:val="20"/>
          <w:szCs w:val="20"/>
          <w:color w:val="auto"/>
        </w:rPr>
      </w:pPr>
      <w:r>
        <w:rPr>
          <w:rFonts w:ascii="Arial" w:cs="Arial" w:eastAsia="Arial" w:hAnsi="Arial"/>
          <w:sz w:val="14"/>
          <w:szCs w:val="14"/>
          <w:color w:val="004C9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structure for the President and CEO. In addition, the independent compensation consultant recommends the list of peer companies against which we benchmark our executive officer and director compensation.</w:t>
      </w:r>
    </w:p>
    <w:p>
      <w:pPr>
        <w:spacing w:after="0" w:line="11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Committee has directed the independent compensation consultants to collaborate with management, including our human resources function, to obtain data, clarify information, and review preliminary recommendations prior to the time they are shared with the relevant committee.</w:t>
      </w:r>
    </w:p>
    <w:p>
      <w:pPr>
        <w:spacing w:after="0" w:line="11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Committee has considered the independence of Meridian in light of SEC rules, NYSE listing standards, and the requirements of the Committee’s charter. The Committee requested and received a letter from Meridian addressing relationships with and the independence of such firm and the senior advisor involved in the engagement of such firm.</w:t>
      </w:r>
    </w:p>
    <w:p>
      <w:pPr>
        <w:spacing w:after="0" w:line="131"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The Committee concluded that the work performed by Meridian and Meridian’s senior advisor involved in the engagement did not raise any conflict of interest and that it was independent.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The Role of the Peer Group</w:t>
      </w:r>
    </w:p>
    <w:p>
      <w:pPr>
        <w:spacing w:after="0" w:line="6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Our executive compensation program takes into account the compensation practices of companies with which we compete or could compete for executive talent. Peer companies are selected based on a number of factors including size, industry, and markets served.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setting 2024 executive compensation, the Committee used the following peer companies (“peer group”):</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300" w:type="dxa"/>
            <w:vAlign w:val="bottom"/>
            <w:tcBorders>
              <w:top w:val="single" w:sz="8" w:color="auto"/>
              <w:left w:val="single" w:sz="8" w:color="auto"/>
              <w:bottom w:val="single" w:sz="8" w:color="auto"/>
            </w:tcBorders>
            <w:shd w:val="clear" w:color="auto" w:fill="004C97"/>
          </w:tcPr>
          <w:p>
            <w:pPr>
              <w:spacing w:after="0"/>
              <w:rPr>
                <w:sz w:val="18"/>
                <w:szCs w:val="18"/>
                <w:color w:val="auto"/>
              </w:rPr>
            </w:pPr>
          </w:p>
        </w:tc>
        <w:tc>
          <w:tcPr>
            <w:tcW w:w="6960" w:type="dxa"/>
            <w:vAlign w:val="bottom"/>
            <w:tcBorders>
              <w:top w:val="single" w:sz="8" w:color="auto"/>
              <w:bottom w:val="single" w:sz="8" w:color="auto"/>
              <w:right w:val="single" w:sz="8" w:color="auto"/>
            </w:tcBorders>
            <w:gridSpan w:val="2"/>
            <w:shd w:val="clear" w:color="auto" w:fill="004C97"/>
          </w:tcPr>
          <w:p>
            <w:pPr>
              <w:ind w:left="600"/>
              <w:spacing w:after="0"/>
              <w:rPr>
                <w:sz w:val="20"/>
                <w:szCs w:val="20"/>
                <w:color w:val="auto"/>
              </w:rPr>
            </w:pPr>
            <w:r>
              <w:rPr>
                <w:rFonts w:ascii="Arial" w:cs="Arial" w:eastAsia="Arial" w:hAnsi="Arial"/>
                <w:sz w:val="14"/>
                <w:szCs w:val="14"/>
                <w:b w:val="1"/>
                <w:bCs w:val="1"/>
                <w:color w:val="FFFFFF"/>
              </w:rPr>
              <w:t>SPX Peer Companies</w:t>
            </w:r>
          </w:p>
        </w:tc>
      </w:tr>
      <w:tr>
        <w:trPr>
          <w:trHeight w:val="193"/>
        </w:trPr>
        <w:tc>
          <w:tcPr>
            <w:tcW w:w="4300" w:type="dxa"/>
            <w:vAlign w:val="bottom"/>
            <w:tcBorders>
              <w:left w:val="single" w:sz="8" w:color="auto"/>
              <w:bottom w:val="single" w:sz="8" w:color="auto"/>
            </w:tcBorders>
            <w:shd w:val="clear" w:color="auto" w:fill="E5E5E5"/>
          </w:tcPr>
          <w:p>
            <w:pPr>
              <w:jc w:val="center"/>
              <w:ind w:left="1268"/>
              <w:spacing w:after="0"/>
              <w:rPr>
                <w:sz w:val="20"/>
                <w:szCs w:val="20"/>
                <w:color w:val="auto"/>
              </w:rPr>
            </w:pPr>
            <w:r>
              <w:rPr>
                <w:rFonts w:ascii="Arial" w:cs="Arial" w:eastAsia="Arial" w:hAnsi="Arial"/>
                <w:sz w:val="14"/>
                <w:szCs w:val="14"/>
                <w:color w:val="auto"/>
              </w:rPr>
              <w:t>Barnes Group Inc.</w:t>
            </w:r>
          </w:p>
        </w:tc>
        <w:tc>
          <w:tcPr>
            <w:tcW w:w="1340" w:type="dxa"/>
            <w:vAlign w:val="bottom"/>
            <w:tcBorders>
              <w:bottom w:val="single" w:sz="8" w:color="auto"/>
              <w:right w:val="single" w:sz="8" w:color="auto"/>
            </w:tcBorders>
            <w:shd w:val="clear" w:color="auto" w:fill="E5E5E5"/>
          </w:tcPr>
          <w:p>
            <w:pPr>
              <w:spacing w:after="0"/>
              <w:rPr>
                <w:sz w:val="16"/>
                <w:szCs w:val="16"/>
                <w:color w:val="auto"/>
              </w:rPr>
            </w:pPr>
          </w:p>
        </w:tc>
        <w:tc>
          <w:tcPr>
            <w:tcW w:w="562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Franklin Electric Co., Inc.</w:t>
            </w:r>
          </w:p>
        </w:tc>
      </w:tr>
      <w:tr>
        <w:trPr>
          <w:trHeight w:val="206"/>
        </w:trPr>
        <w:tc>
          <w:tcPr>
            <w:tcW w:w="4300" w:type="dxa"/>
            <w:vAlign w:val="bottom"/>
            <w:tcBorders>
              <w:left w:val="single" w:sz="8" w:color="auto"/>
            </w:tcBorders>
          </w:tcPr>
          <w:p>
            <w:pPr>
              <w:jc w:val="center"/>
              <w:ind w:left="1268"/>
              <w:spacing w:after="0"/>
              <w:rPr>
                <w:sz w:val="20"/>
                <w:szCs w:val="20"/>
                <w:color w:val="auto"/>
              </w:rPr>
            </w:pPr>
            <w:r>
              <w:rPr>
                <w:rFonts w:ascii="Arial" w:cs="Arial" w:eastAsia="Arial" w:hAnsi="Arial"/>
                <w:sz w:val="14"/>
                <w:szCs w:val="14"/>
                <w:color w:val="auto"/>
              </w:rPr>
              <w:t>Chart Industries, Inc.</w:t>
            </w:r>
          </w:p>
        </w:tc>
        <w:tc>
          <w:tcPr>
            <w:tcW w:w="1340" w:type="dxa"/>
            <w:vAlign w:val="bottom"/>
            <w:tcBorders>
              <w:right w:val="single" w:sz="8" w:color="auto"/>
            </w:tcBorders>
          </w:tcPr>
          <w:p>
            <w:pPr>
              <w:spacing w:after="0"/>
              <w:rPr>
                <w:sz w:val="17"/>
                <w:szCs w:val="17"/>
                <w:color w:val="auto"/>
              </w:rPr>
            </w:pPr>
          </w:p>
        </w:tc>
        <w:tc>
          <w:tcPr>
            <w:tcW w:w="56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Graco, Inc.</w:t>
            </w:r>
          </w:p>
        </w:tc>
      </w:tr>
      <w:tr>
        <w:trPr>
          <w:trHeight w:val="22"/>
        </w:trPr>
        <w:tc>
          <w:tcPr>
            <w:tcW w:w="4300" w:type="dxa"/>
            <w:vAlign w:val="bottom"/>
            <w:tcBorders>
              <w:left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5620" w:type="dxa"/>
            <w:vAlign w:val="bottom"/>
            <w:tcBorders>
              <w:bottom w:val="single" w:sz="8" w:color="auto"/>
              <w:right w:val="single" w:sz="8" w:color="auto"/>
            </w:tcBorders>
          </w:tcPr>
          <w:p>
            <w:pPr>
              <w:spacing w:after="0" w:line="20" w:lineRule="exact"/>
              <w:rPr>
                <w:sz w:val="1"/>
                <w:szCs w:val="1"/>
                <w:color w:val="auto"/>
              </w:rPr>
            </w:pPr>
          </w:p>
        </w:tc>
      </w:tr>
      <w:tr>
        <w:trPr>
          <w:trHeight w:val="192"/>
        </w:trPr>
        <w:tc>
          <w:tcPr>
            <w:tcW w:w="4300" w:type="dxa"/>
            <w:vAlign w:val="bottom"/>
            <w:tcBorders>
              <w:left w:val="single" w:sz="8" w:color="auto"/>
              <w:bottom w:val="single" w:sz="8" w:color="auto"/>
            </w:tcBorders>
            <w:shd w:val="clear" w:color="auto" w:fill="E5E5E5"/>
          </w:tcPr>
          <w:p>
            <w:pPr>
              <w:jc w:val="center"/>
              <w:ind w:left="1288"/>
              <w:spacing w:after="0"/>
              <w:rPr>
                <w:sz w:val="20"/>
                <w:szCs w:val="20"/>
                <w:color w:val="auto"/>
              </w:rPr>
            </w:pPr>
            <w:r>
              <w:rPr>
                <w:rFonts w:ascii="Arial" w:cs="Arial" w:eastAsia="Arial" w:hAnsi="Arial"/>
                <w:sz w:val="14"/>
                <w:szCs w:val="14"/>
                <w:color w:val="auto"/>
              </w:rPr>
              <w:t>Crane Co.</w:t>
            </w:r>
          </w:p>
        </w:tc>
        <w:tc>
          <w:tcPr>
            <w:tcW w:w="1340" w:type="dxa"/>
            <w:vAlign w:val="bottom"/>
            <w:tcBorders>
              <w:bottom w:val="single" w:sz="8" w:color="auto"/>
              <w:right w:val="single" w:sz="8" w:color="auto"/>
            </w:tcBorders>
            <w:shd w:val="clear" w:color="auto" w:fill="E5E5E5"/>
          </w:tcPr>
          <w:p>
            <w:pPr>
              <w:spacing w:after="0"/>
              <w:rPr>
                <w:sz w:val="16"/>
                <w:szCs w:val="16"/>
                <w:color w:val="auto"/>
              </w:rPr>
            </w:pPr>
          </w:p>
        </w:tc>
        <w:tc>
          <w:tcPr>
            <w:tcW w:w="562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IDEX Corp.</w:t>
            </w:r>
          </w:p>
        </w:tc>
      </w:tr>
      <w:tr>
        <w:trPr>
          <w:trHeight w:val="206"/>
        </w:trPr>
        <w:tc>
          <w:tcPr>
            <w:tcW w:w="4300" w:type="dxa"/>
            <w:vAlign w:val="bottom"/>
            <w:tcBorders>
              <w:left w:val="single" w:sz="8" w:color="auto"/>
            </w:tcBorders>
          </w:tcPr>
          <w:p>
            <w:pPr>
              <w:jc w:val="center"/>
              <w:ind w:left="1288"/>
              <w:spacing w:after="0"/>
              <w:rPr>
                <w:sz w:val="20"/>
                <w:szCs w:val="20"/>
                <w:color w:val="auto"/>
              </w:rPr>
            </w:pPr>
            <w:r>
              <w:rPr>
                <w:rFonts w:ascii="Arial" w:cs="Arial" w:eastAsia="Arial" w:hAnsi="Arial"/>
                <w:sz w:val="14"/>
                <w:szCs w:val="14"/>
                <w:color w:val="auto"/>
              </w:rPr>
              <w:t>Curtiss-Wright Corp.</w:t>
            </w:r>
          </w:p>
        </w:tc>
        <w:tc>
          <w:tcPr>
            <w:tcW w:w="1340" w:type="dxa"/>
            <w:vAlign w:val="bottom"/>
            <w:tcBorders>
              <w:right w:val="single" w:sz="8" w:color="auto"/>
            </w:tcBorders>
          </w:tcPr>
          <w:p>
            <w:pPr>
              <w:spacing w:after="0"/>
              <w:rPr>
                <w:sz w:val="17"/>
                <w:szCs w:val="17"/>
                <w:color w:val="auto"/>
              </w:rPr>
            </w:pPr>
          </w:p>
        </w:tc>
        <w:tc>
          <w:tcPr>
            <w:tcW w:w="56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John Bean Technologies Corp.</w:t>
            </w:r>
          </w:p>
        </w:tc>
      </w:tr>
      <w:tr>
        <w:trPr>
          <w:trHeight w:val="22"/>
        </w:trPr>
        <w:tc>
          <w:tcPr>
            <w:tcW w:w="4300" w:type="dxa"/>
            <w:vAlign w:val="bottom"/>
            <w:tcBorders>
              <w:left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5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300" w:type="dxa"/>
            <w:vAlign w:val="bottom"/>
            <w:tcBorders>
              <w:left w:val="single" w:sz="8" w:color="auto"/>
              <w:bottom w:val="single" w:sz="8" w:color="E5E5E5"/>
            </w:tcBorders>
            <w:shd w:val="clear" w:color="auto" w:fill="E5E5E5"/>
          </w:tcPr>
          <w:p>
            <w:pPr>
              <w:jc w:val="center"/>
              <w:ind w:left="1288"/>
              <w:spacing w:after="0"/>
              <w:rPr>
                <w:sz w:val="20"/>
                <w:szCs w:val="20"/>
                <w:color w:val="auto"/>
              </w:rPr>
            </w:pPr>
            <w:r>
              <w:rPr>
                <w:rFonts w:ascii="Arial" w:cs="Arial" w:eastAsia="Arial" w:hAnsi="Arial"/>
                <w:sz w:val="14"/>
                <w:szCs w:val="14"/>
                <w:color w:val="auto"/>
              </w:rPr>
              <w:t>Enpro Inc.</w:t>
            </w:r>
          </w:p>
        </w:tc>
        <w:tc>
          <w:tcPr>
            <w:tcW w:w="1340" w:type="dxa"/>
            <w:vAlign w:val="bottom"/>
            <w:tcBorders>
              <w:bottom w:val="single" w:sz="8" w:color="E5E5E5"/>
              <w:right w:val="single" w:sz="8" w:color="auto"/>
            </w:tcBorders>
            <w:shd w:val="clear" w:color="auto" w:fill="E5E5E5"/>
          </w:tcPr>
          <w:p>
            <w:pPr>
              <w:spacing w:after="0"/>
              <w:rPr>
                <w:sz w:val="19"/>
                <w:szCs w:val="19"/>
                <w:color w:val="auto"/>
              </w:rPr>
            </w:pPr>
          </w:p>
        </w:tc>
        <w:tc>
          <w:tcPr>
            <w:tcW w:w="56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Nordson Corp.</w:t>
            </w:r>
          </w:p>
        </w:tc>
      </w:tr>
      <w:tr>
        <w:trPr>
          <w:trHeight w:val="202"/>
        </w:trPr>
        <w:tc>
          <w:tcPr>
            <w:tcW w:w="4300" w:type="dxa"/>
            <w:vAlign w:val="bottom"/>
            <w:tcBorders>
              <w:top w:val="single" w:sz="8" w:color="auto"/>
              <w:left w:val="single" w:sz="8" w:color="auto"/>
            </w:tcBorders>
          </w:tcPr>
          <w:p>
            <w:pPr>
              <w:jc w:val="center"/>
              <w:ind w:left="1268"/>
              <w:spacing w:after="0"/>
              <w:rPr>
                <w:sz w:val="20"/>
                <w:szCs w:val="20"/>
                <w:color w:val="auto"/>
              </w:rPr>
            </w:pPr>
            <w:r>
              <w:rPr>
                <w:rFonts w:ascii="Arial" w:cs="Arial" w:eastAsia="Arial" w:hAnsi="Arial"/>
                <w:sz w:val="14"/>
                <w:szCs w:val="14"/>
                <w:color w:val="auto"/>
              </w:rPr>
              <w:t>Enviri Corporation</w:t>
            </w:r>
          </w:p>
        </w:tc>
        <w:tc>
          <w:tcPr>
            <w:tcW w:w="1340" w:type="dxa"/>
            <w:vAlign w:val="bottom"/>
            <w:tcBorders>
              <w:top w:val="single" w:sz="8" w:color="auto"/>
              <w:right w:val="single" w:sz="8" w:color="auto"/>
            </w:tcBorders>
          </w:tcPr>
          <w:p>
            <w:pPr>
              <w:spacing w:after="0"/>
              <w:rPr>
                <w:sz w:val="17"/>
                <w:szCs w:val="17"/>
                <w:color w:val="auto"/>
              </w:rPr>
            </w:pPr>
          </w:p>
        </w:tc>
        <w:tc>
          <w:tcPr>
            <w:tcW w:w="5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TriMas Corp.</w:t>
            </w:r>
          </w:p>
        </w:tc>
      </w:tr>
      <w:tr>
        <w:trPr>
          <w:trHeight w:val="22"/>
        </w:trPr>
        <w:tc>
          <w:tcPr>
            <w:tcW w:w="4300" w:type="dxa"/>
            <w:vAlign w:val="bottom"/>
            <w:tcBorders>
              <w:left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5620" w:type="dxa"/>
            <w:vAlign w:val="bottom"/>
            <w:tcBorders>
              <w:bottom w:val="single" w:sz="8" w:color="auto"/>
              <w:right w:val="single" w:sz="8" w:color="auto"/>
            </w:tcBorders>
          </w:tcPr>
          <w:p>
            <w:pPr>
              <w:spacing w:after="0" w:line="20" w:lineRule="exact"/>
              <w:rPr>
                <w:sz w:val="1"/>
                <w:szCs w:val="1"/>
                <w:color w:val="auto"/>
              </w:rPr>
            </w:pPr>
          </w:p>
        </w:tc>
      </w:tr>
      <w:tr>
        <w:trPr>
          <w:trHeight w:val="192"/>
        </w:trPr>
        <w:tc>
          <w:tcPr>
            <w:tcW w:w="4300" w:type="dxa"/>
            <w:vAlign w:val="bottom"/>
            <w:tcBorders>
              <w:left w:val="single" w:sz="8" w:color="auto"/>
              <w:bottom w:val="single" w:sz="8" w:color="auto"/>
            </w:tcBorders>
            <w:shd w:val="clear" w:color="auto" w:fill="E5E5E5"/>
          </w:tcPr>
          <w:p>
            <w:pPr>
              <w:jc w:val="center"/>
              <w:ind w:left="1288"/>
              <w:spacing w:after="0"/>
              <w:rPr>
                <w:sz w:val="20"/>
                <w:szCs w:val="20"/>
                <w:color w:val="auto"/>
              </w:rPr>
            </w:pPr>
            <w:r>
              <w:rPr>
                <w:rFonts w:ascii="Arial" w:cs="Arial" w:eastAsia="Arial" w:hAnsi="Arial"/>
                <w:sz w:val="14"/>
                <w:szCs w:val="14"/>
                <w:color w:val="auto"/>
              </w:rPr>
              <w:t>ESAB Corporation</w:t>
            </w:r>
          </w:p>
        </w:tc>
        <w:tc>
          <w:tcPr>
            <w:tcW w:w="1340" w:type="dxa"/>
            <w:vAlign w:val="bottom"/>
            <w:tcBorders>
              <w:bottom w:val="single" w:sz="8" w:color="auto"/>
              <w:right w:val="single" w:sz="8" w:color="auto"/>
            </w:tcBorders>
            <w:shd w:val="clear" w:color="auto" w:fill="E5E5E5"/>
          </w:tcPr>
          <w:p>
            <w:pPr>
              <w:spacing w:after="0"/>
              <w:rPr>
                <w:sz w:val="16"/>
                <w:szCs w:val="16"/>
                <w:color w:val="auto"/>
              </w:rPr>
            </w:pPr>
          </w:p>
        </w:tc>
        <w:tc>
          <w:tcPr>
            <w:tcW w:w="562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Watts Water Technologies, Inc.</w:t>
            </w:r>
          </w:p>
        </w:tc>
      </w:tr>
      <w:tr>
        <w:trPr>
          <w:trHeight w:val="196"/>
        </w:trPr>
        <w:tc>
          <w:tcPr>
            <w:tcW w:w="4300" w:type="dxa"/>
            <w:vAlign w:val="bottom"/>
            <w:tcBorders>
              <w:left w:val="single" w:sz="8" w:color="auto"/>
              <w:bottom w:val="single" w:sz="8" w:color="auto"/>
            </w:tcBorders>
          </w:tcPr>
          <w:p>
            <w:pPr>
              <w:jc w:val="center"/>
              <w:ind w:left="1268"/>
              <w:spacing w:after="0"/>
              <w:rPr>
                <w:sz w:val="20"/>
                <w:szCs w:val="20"/>
                <w:color w:val="auto"/>
              </w:rPr>
            </w:pPr>
            <w:r>
              <w:rPr>
                <w:rFonts w:ascii="Arial" w:cs="Arial" w:eastAsia="Arial" w:hAnsi="Arial"/>
                <w:sz w:val="14"/>
                <w:szCs w:val="14"/>
                <w:color w:val="auto"/>
              </w:rPr>
              <w:t>Federal Signal Corporation</w:t>
            </w:r>
          </w:p>
        </w:tc>
        <w:tc>
          <w:tcPr>
            <w:tcW w:w="1340" w:type="dxa"/>
            <w:vAlign w:val="bottom"/>
            <w:tcBorders>
              <w:bottom w:val="single" w:sz="8" w:color="auto"/>
              <w:right w:val="single" w:sz="8" w:color="auto"/>
            </w:tcBorders>
          </w:tcPr>
          <w:p>
            <w:pPr>
              <w:spacing w:after="0"/>
              <w:rPr>
                <w:sz w:val="17"/>
                <w:szCs w:val="17"/>
                <w:color w:val="auto"/>
              </w:rPr>
            </w:pP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Zurn Elkay Water Solutions Corp.</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Committee selected this roster of peers after considering factors including:</w:t>
      </w:r>
    </w:p>
    <w:p>
      <w:pPr>
        <w:spacing w:after="0" w:line="181" w:lineRule="exact"/>
        <w:rPr>
          <w:sz w:val="20"/>
          <w:szCs w:val="20"/>
          <w:color w:val="auto"/>
        </w:rPr>
      </w:pPr>
    </w:p>
    <w:p>
      <w:pPr>
        <w:ind w:left="200" w:hanging="192"/>
        <w:spacing w:after="0"/>
        <w:tabs>
          <w:tab w:leader="none" w:pos="2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Similar business mix to SPX;</w:t>
      </w:r>
    </w:p>
    <w:p>
      <w:pPr>
        <w:spacing w:after="0" w:line="59" w:lineRule="exact"/>
        <w:rPr>
          <w:rFonts w:ascii="Arial" w:cs="Arial" w:eastAsia="Arial" w:hAnsi="Arial"/>
          <w:sz w:val="16"/>
          <w:szCs w:val="16"/>
          <w:color w:val="auto"/>
        </w:rPr>
      </w:pPr>
    </w:p>
    <w:p>
      <w:pPr>
        <w:ind w:left="200" w:hanging="192"/>
        <w:spacing w:after="0"/>
        <w:tabs>
          <w:tab w:leader="none" w:pos="2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Similar end markets to SPX;</w:t>
      </w:r>
    </w:p>
    <w:p>
      <w:pPr>
        <w:spacing w:after="0" w:line="72" w:lineRule="exact"/>
        <w:rPr>
          <w:rFonts w:ascii="Arial" w:cs="Arial" w:eastAsia="Arial" w:hAnsi="Arial"/>
          <w:sz w:val="16"/>
          <w:szCs w:val="16"/>
          <w:color w:val="auto"/>
        </w:rPr>
      </w:pPr>
    </w:p>
    <w:p>
      <w:pPr>
        <w:ind w:left="200" w:hanging="192"/>
        <w:spacing w:after="0"/>
        <w:tabs>
          <w:tab w:leader="none" w:pos="2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Competitors for executive talent;</w:t>
      </w:r>
    </w:p>
    <w:p>
      <w:pPr>
        <w:spacing w:after="0" w:line="59" w:lineRule="exact"/>
        <w:rPr>
          <w:rFonts w:ascii="Arial" w:cs="Arial" w:eastAsia="Arial" w:hAnsi="Arial"/>
          <w:sz w:val="16"/>
          <w:szCs w:val="16"/>
          <w:color w:val="auto"/>
        </w:rPr>
      </w:pPr>
    </w:p>
    <w:p>
      <w:pPr>
        <w:ind w:left="200" w:hanging="192"/>
        <w:spacing w:after="0"/>
        <w:tabs>
          <w:tab w:leader="none" w:pos="2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Market capitalization; and</w:t>
      </w:r>
    </w:p>
    <w:p>
      <w:pPr>
        <w:spacing w:after="0" w:line="59" w:lineRule="exact"/>
        <w:rPr>
          <w:rFonts w:ascii="Arial" w:cs="Arial" w:eastAsia="Arial" w:hAnsi="Arial"/>
          <w:sz w:val="16"/>
          <w:szCs w:val="16"/>
          <w:color w:val="auto"/>
        </w:rPr>
      </w:pPr>
    </w:p>
    <w:p>
      <w:pPr>
        <w:ind w:left="200" w:hanging="192"/>
        <w:spacing w:after="0"/>
        <w:tabs>
          <w:tab w:leader="none" w:pos="2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Revenue of approximately 0.4 to 2.5 times SPX’s revenue.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SPX annual revenues for 2024 are approximately at the median of peer companies.</w:t>
      </w:r>
    </w:p>
    <w:p>
      <w:pPr>
        <w:spacing w:after="0" w:line="16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Committee reviews the peer group annually to assure alignment and adds or removes companies as peers as it deems appropriate and necessary to maintain competitive and balanced alignment. The Committee uses the peer group data to assist in compensation decisions around base salary, short-term incentives, and long-term incentives, as well as in benchmarking other executive compensation matters.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Base Salary</w:t>
      </w:r>
    </w:p>
    <w:p>
      <w:pPr>
        <w:spacing w:after="0" w:line="6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Base salary represents annual fixed compensation and is a standard element of compensation necessary to attract and retain talent. Base salary levels are reviewed annually. When making adjustments, the Committee considers the Company’s overall performance; the NEO’s individual performance, experience, career potential, and tenure with the Company; and competitive market practices. The Committee approved increases in annual base salary, effective March 25, 2024, as reflected in the table below, to continue to improve the competitive market position of our NEO’s base salaries relative to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650240</wp:posOffset>
            </wp:positionV>
            <wp:extent cx="402590"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0259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30</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92" w:right="319" w:bottom="1440" w:gutter="0" w:footer="0" w:header="0"/>
        </w:sectPr>
      </w:pPr>
    </w:p>
    <w:bookmarkStart w:id="36" w:name="page37"/>
    <w:bookmarkEnd w:id="36"/>
    <w:p>
      <w:pPr>
        <w:ind w:left="9220"/>
        <w:spacing w:after="0"/>
        <w:rPr>
          <w:sz w:val="20"/>
          <w:szCs w:val="20"/>
          <w:color w:val="auto"/>
        </w:rPr>
      </w:pPr>
      <w:r>
        <w:rPr>
          <w:rFonts w:ascii="Arial" w:cs="Arial" w:eastAsia="Arial" w:hAnsi="Arial"/>
          <w:sz w:val="14"/>
          <w:szCs w:val="14"/>
          <w:color w:val="004C9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820" w:type="dxa"/>
            <w:vAlign w:val="bottom"/>
            <w:tcBorders>
              <w:top w:val="single" w:sz="8" w:color="auto"/>
              <w:left w:val="single" w:sz="8" w:color="auto"/>
              <w:right w:val="single" w:sz="8" w:color="auto"/>
            </w:tcBorders>
            <w:shd w:val="clear" w:color="auto" w:fill="004C97"/>
          </w:tcPr>
          <w:p>
            <w:pPr>
              <w:spacing w:after="0"/>
              <w:rPr>
                <w:sz w:val="17"/>
                <w:szCs w:val="17"/>
                <w:color w:val="auto"/>
              </w:rPr>
            </w:pPr>
          </w:p>
        </w:tc>
        <w:tc>
          <w:tcPr>
            <w:tcW w:w="206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Annual Base Salary</w:t>
            </w:r>
          </w:p>
        </w:tc>
        <w:tc>
          <w:tcPr>
            <w:tcW w:w="1720" w:type="dxa"/>
            <w:vAlign w:val="bottom"/>
            <w:tcBorders>
              <w:top w:val="single" w:sz="8" w:color="auto"/>
              <w:right w:val="single" w:sz="8" w:color="004C97"/>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Annual Base Salary</w:t>
            </w:r>
          </w:p>
        </w:tc>
        <w:tc>
          <w:tcPr>
            <w:tcW w:w="1660" w:type="dxa"/>
            <w:vAlign w:val="bottom"/>
            <w:tcBorders>
              <w:top w:val="single" w:sz="8" w:color="auto"/>
              <w:right w:val="single" w:sz="8" w:color="auto"/>
            </w:tcBorders>
            <w:shd w:val="clear" w:color="auto" w:fill="004C97"/>
          </w:tcPr>
          <w:p>
            <w:pPr>
              <w:jc w:val="right"/>
              <w:ind w:right="728"/>
              <w:spacing w:after="0"/>
              <w:rPr>
                <w:sz w:val="20"/>
                <w:szCs w:val="20"/>
                <w:color w:val="auto"/>
              </w:rPr>
            </w:pPr>
            <w:r>
              <w:rPr>
                <w:rFonts w:ascii="Arial" w:cs="Arial" w:eastAsia="Arial" w:hAnsi="Arial"/>
                <w:sz w:val="14"/>
                <w:szCs w:val="14"/>
                <w:b w:val="1"/>
                <w:bCs w:val="1"/>
                <w:color w:val="FFFFFF"/>
              </w:rPr>
              <w:t>%</w:t>
            </w:r>
          </w:p>
        </w:tc>
      </w:tr>
      <w:tr>
        <w:trPr>
          <w:trHeight w:val="205"/>
        </w:trPr>
        <w:tc>
          <w:tcPr>
            <w:tcW w:w="5820" w:type="dxa"/>
            <w:vAlign w:val="bottom"/>
            <w:tcBorders>
              <w:left w:val="single" w:sz="8" w:color="auto"/>
              <w:bottom w:val="single" w:sz="8" w:color="auto"/>
              <w:right w:val="single" w:sz="8" w:color="auto"/>
            </w:tcBorders>
            <w:shd w:val="clear" w:color="auto" w:fill="004C97"/>
          </w:tcPr>
          <w:p>
            <w:pPr>
              <w:ind w:left="2060"/>
              <w:spacing w:after="0"/>
              <w:rPr>
                <w:sz w:val="20"/>
                <w:szCs w:val="20"/>
                <w:color w:val="auto"/>
              </w:rPr>
            </w:pPr>
            <w:r>
              <w:rPr>
                <w:rFonts w:ascii="Arial" w:cs="Arial" w:eastAsia="Arial" w:hAnsi="Arial"/>
                <w:sz w:val="14"/>
                <w:szCs w:val="14"/>
                <w:b w:val="1"/>
                <w:bCs w:val="1"/>
                <w:color w:val="FFFFFF"/>
              </w:rPr>
              <w:t>Named Executive Officer</w:t>
            </w:r>
          </w:p>
        </w:tc>
        <w:tc>
          <w:tcPr>
            <w:tcW w:w="206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(From 3/27/2023)</w:t>
            </w:r>
          </w:p>
        </w:tc>
        <w:tc>
          <w:tcPr>
            <w:tcW w:w="1720" w:type="dxa"/>
            <w:vAlign w:val="bottom"/>
            <w:tcBorders>
              <w:bottom w:val="single" w:sz="8" w:color="auto"/>
              <w:right w:val="single" w:sz="8" w:color="004C97"/>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(From 3/25//2024)</w:t>
            </w:r>
          </w:p>
        </w:tc>
        <w:tc>
          <w:tcPr>
            <w:tcW w:w="1660" w:type="dxa"/>
            <w:vAlign w:val="bottom"/>
            <w:tcBorders>
              <w:bottom w:val="single" w:sz="8" w:color="auto"/>
              <w:right w:val="single" w:sz="8" w:color="auto"/>
            </w:tcBorders>
            <w:shd w:val="clear" w:color="auto" w:fill="004C97"/>
          </w:tcPr>
          <w:p>
            <w:pPr>
              <w:jc w:val="right"/>
              <w:ind w:right="388"/>
              <w:spacing w:after="0"/>
              <w:rPr>
                <w:sz w:val="20"/>
                <w:szCs w:val="20"/>
                <w:color w:val="auto"/>
              </w:rPr>
            </w:pPr>
            <w:r>
              <w:rPr>
                <w:rFonts w:ascii="Arial" w:cs="Arial" w:eastAsia="Arial" w:hAnsi="Arial"/>
                <w:sz w:val="14"/>
                <w:szCs w:val="14"/>
                <w:b w:val="1"/>
                <w:bCs w:val="1"/>
                <w:color w:val="FFFFFF"/>
              </w:rPr>
              <w:t>Adjustment</w:t>
            </w:r>
          </w:p>
        </w:tc>
      </w:tr>
      <w:tr>
        <w:trPr>
          <w:trHeight w:val="234"/>
        </w:trPr>
        <w:tc>
          <w:tcPr>
            <w:tcW w:w="5820" w:type="dxa"/>
            <w:vAlign w:val="bottom"/>
            <w:tcBorders>
              <w:left w:val="single" w:sz="8" w:color="auto"/>
              <w:bottom w:val="single" w:sz="8" w:color="E5E5E5"/>
              <w:right w:val="single" w:sz="8" w:color="auto"/>
            </w:tcBorders>
            <w:shd w:val="clear" w:color="auto" w:fill="E5E5E5"/>
          </w:tcPr>
          <w:p>
            <w:pPr>
              <w:ind w:left="200"/>
              <w:spacing w:after="0"/>
              <w:rPr>
                <w:sz w:val="20"/>
                <w:szCs w:val="20"/>
                <w:color w:val="auto"/>
              </w:rPr>
            </w:pPr>
            <w:r>
              <w:rPr>
                <w:rFonts w:ascii="Arial" w:cs="Arial" w:eastAsia="Arial" w:hAnsi="Arial"/>
                <w:sz w:val="14"/>
                <w:szCs w:val="14"/>
                <w:color w:val="auto"/>
              </w:rPr>
              <w:t>Eugene J. Lowe, III</w:t>
            </w:r>
          </w:p>
        </w:tc>
        <w:tc>
          <w:tcPr>
            <w:tcW w:w="206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$1,035,000</w:t>
            </w:r>
          </w:p>
        </w:tc>
        <w:tc>
          <w:tcPr>
            <w:tcW w:w="17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$1,097,200</w:t>
            </w:r>
          </w:p>
        </w:tc>
        <w:tc>
          <w:tcPr>
            <w:tcW w:w="1660" w:type="dxa"/>
            <w:vAlign w:val="bottom"/>
            <w:tcBorders>
              <w:bottom w:val="single" w:sz="8" w:color="E5E5E5"/>
              <w:right w:val="single" w:sz="8" w:color="auto"/>
            </w:tcBorders>
            <w:shd w:val="clear" w:color="auto" w:fill="E5E5E5"/>
          </w:tcPr>
          <w:p>
            <w:pPr>
              <w:jc w:val="right"/>
              <w:ind w:right="608"/>
              <w:spacing w:after="0"/>
              <w:rPr>
                <w:sz w:val="20"/>
                <w:szCs w:val="20"/>
                <w:color w:val="auto"/>
              </w:rPr>
            </w:pPr>
            <w:r>
              <w:rPr>
                <w:rFonts w:ascii="Arial" w:cs="Arial" w:eastAsia="Arial" w:hAnsi="Arial"/>
                <w:sz w:val="14"/>
                <w:szCs w:val="14"/>
                <w:color w:val="auto"/>
              </w:rPr>
              <w:t>6.0%</w:t>
            </w:r>
          </w:p>
        </w:tc>
      </w:tr>
      <w:tr>
        <w:trPr>
          <w:trHeight w:val="202"/>
        </w:trPr>
        <w:tc>
          <w:tcPr>
            <w:tcW w:w="582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Mark A. Carano</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$500,000</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$530,000</w:t>
            </w:r>
          </w:p>
        </w:tc>
        <w:tc>
          <w:tcPr>
            <w:tcW w:w="1660" w:type="dxa"/>
            <w:vAlign w:val="bottom"/>
            <w:tcBorders>
              <w:top w:val="single" w:sz="8" w:color="auto"/>
              <w:right w:val="single" w:sz="8" w:color="auto"/>
            </w:tcBorders>
          </w:tcPr>
          <w:p>
            <w:pPr>
              <w:jc w:val="right"/>
              <w:ind w:right="608"/>
              <w:spacing w:after="0"/>
              <w:rPr>
                <w:sz w:val="20"/>
                <w:szCs w:val="20"/>
                <w:color w:val="auto"/>
              </w:rPr>
            </w:pPr>
            <w:r>
              <w:rPr>
                <w:rFonts w:ascii="Arial" w:cs="Arial" w:eastAsia="Arial" w:hAnsi="Arial"/>
                <w:sz w:val="14"/>
                <w:szCs w:val="14"/>
                <w:color w:val="auto"/>
              </w:rPr>
              <w:t>6.0%</w:t>
            </w:r>
          </w:p>
        </w:tc>
      </w:tr>
      <w:tr>
        <w:trPr>
          <w:trHeight w:val="22"/>
        </w:trPr>
        <w:tc>
          <w:tcPr>
            <w:tcW w:w="5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820" w:type="dxa"/>
            <w:vAlign w:val="bottom"/>
            <w:tcBorders>
              <w:left w:val="single" w:sz="8" w:color="auto"/>
              <w:bottom w:val="single" w:sz="8" w:color="E5E5E5"/>
              <w:right w:val="single" w:sz="8" w:color="auto"/>
            </w:tcBorders>
            <w:shd w:val="clear" w:color="auto" w:fill="E5E5E5"/>
          </w:tcPr>
          <w:p>
            <w:pPr>
              <w:ind w:left="200"/>
              <w:spacing w:after="0"/>
              <w:rPr>
                <w:sz w:val="20"/>
                <w:szCs w:val="20"/>
                <w:color w:val="auto"/>
              </w:rPr>
            </w:pPr>
            <w:r>
              <w:rPr>
                <w:rFonts w:ascii="Arial" w:cs="Arial" w:eastAsia="Arial" w:hAnsi="Arial"/>
                <w:sz w:val="14"/>
                <w:szCs w:val="14"/>
                <w:color w:val="auto"/>
              </w:rPr>
              <w:t>J. Randall Data</w:t>
            </w:r>
          </w:p>
        </w:tc>
        <w:tc>
          <w:tcPr>
            <w:tcW w:w="206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$544,619</w:t>
            </w:r>
          </w:p>
        </w:tc>
        <w:tc>
          <w:tcPr>
            <w:tcW w:w="17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$571,850</w:t>
            </w:r>
          </w:p>
        </w:tc>
        <w:tc>
          <w:tcPr>
            <w:tcW w:w="1660" w:type="dxa"/>
            <w:vAlign w:val="bottom"/>
            <w:tcBorders>
              <w:bottom w:val="single" w:sz="8" w:color="E5E5E5"/>
              <w:right w:val="single" w:sz="8" w:color="auto"/>
            </w:tcBorders>
            <w:shd w:val="clear" w:color="auto" w:fill="E5E5E5"/>
          </w:tcPr>
          <w:p>
            <w:pPr>
              <w:jc w:val="right"/>
              <w:ind w:right="608"/>
              <w:spacing w:after="0"/>
              <w:rPr>
                <w:sz w:val="20"/>
                <w:szCs w:val="20"/>
                <w:color w:val="auto"/>
              </w:rPr>
            </w:pPr>
            <w:r>
              <w:rPr>
                <w:rFonts w:ascii="Arial" w:cs="Arial" w:eastAsia="Arial" w:hAnsi="Arial"/>
                <w:sz w:val="14"/>
                <w:szCs w:val="14"/>
                <w:color w:val="auto"/>
              </w:rPr>
              <w:t>5.0%</w:t>
            </w:r>
          </w:p>
        </w:tc>
      </w:tr>
      <w:tr>
        <w:trPr>
          <w:trHeight w:val="202"/>
        </w:trPr>
        <w:tc>
          <w:tcPr>
            <w:tcW w:w="582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John W. Swann, III</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$576,800</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$605,640</w:t>
            </w:r>
          </w:p>
        </w:tc>
        <w:tc>
          <w:tcPr>
            <w:tcW w:w="1660" w:type="dxa"/>
            <w:vAlign w:val="bottom"/>
            <w:tcBorders>
              <w:top w:val="single" w:sz="8" w:color="auto"/>
              <w:right w:val="single" w:sz="8" w:color="auto"/>
            </w:tcBorders>
          </w:tcPr>
          <w:p>
            <w:pPr>
              <w:jc w:val="right"/>
              <w:ind w:right="608"/>
              <w:spacing w:after="0"/>
              <w:rPr>
                <w:sz w:val="20"/>
                <w:szCs w:val="20"/>
                <w:color w:val="auto"/>
              </w:rPr>
            </w:pPr>
            <w:r>
              <w:rPr>
                <w:rFonts w:ascii="Arial" w:cs="Arial" w:eastAsia="Arial" w:hAnsi="Arial"/>
                <w:sz w:val="14"/>
                <w:szCs w:val="14"/>
                <w:color w:val="auto"/>
              </w:rPr>
              <w:t>5.0%</w:t>
            </w:r>
          </w:p>
        </w:tc>
      </w:tr>
      <w:tr>
        <w:trPr>
          <w:trHeight w:val="22"/>
        </w:trPr>
        <w:tc>
          <w:tcPr>
            <w:tcW w:w="5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r>
      <w:tr>
        <w:trPr>
          <w:trHeight w:val="203"/>
        </w:trPr>
        <w:tc>
          <w:tcPr>
            <w:tcW w:w="5820" w:type="dxa"/>
            <w:vAlign w:val="bottom"/>
            <w:tcBorders>
              <w:left w:val="single" w:sz="8" w:color="auto"/>
              <w:bottom w:val="single" w:sz="8" w:color="E5E5E5"/>
              <w:right w:val="single" w:sz="8" w:color="auto"/>
            </w:tcBorders>
            <w:shd w:val="clear" w:color="auto" w:fill="E5E5E5"/>
          </w:tcPr>
          <w:p>
            <w:pPr>
              <w:ind w:left="200"/>
              <w:spacing w:after="0"/>
              <w:rPr>
                <w:sz w:val="20"/>
                <w:szCs w:val="20"/>
                <w:color w:val="auto"/>
              </w:rPr>
            </w:pPr>
            <w:r>
              <w:rPr>
                <w:rFonts w:ascii="Arial" w:cs="Arial" w:eastAsia="Arial" w:hAnsi="Arial"/>
                <w:sz w:val="14"/>
                <w:szCs w:val="14"/>
                <w:color w:val="auto"/>
              </w:rPr>
              <w:t>Sean McClenaghan</w:t>
            </w:r>
          </w:p>
        </w:tc>
        <w:tc>
          <w:tcPr>
            <w:tcW w:w="206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$576,800</w:t>
            </w:r>
          </w:p>
        </w:tc>
        <w:tc>
          <w:tcPr>
            <w:tcW w:w="17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$605,640</w:t>
            </w:r>
          </w:p>
        </w:tc>
        <w:tc>
          <w:tcPr>
            <w:tcW w:w="1660" w:type="dxa"/>
            <w:vAlign w:val="bottom"/>
            <w:tcBorders>
              <w:bottom w:val="single" w:sz="8" w:color="E5E5E5"/>
              <w:right w:val="single" w:sz="8" w:color="auto"/>
            </w:tcBorders>
            <w:shd w:val="clear" w:color="auto" w:fill="E5E5E5"/>
          </w:tcPr>
          <w:p>
            <w:pPr>
              <w:jc w:val="right"/>
              <w:ind w:right="608"/>
              <w:spacing w:after="0"/>
              <w:rPr>
                <w:sz w:val="20"/>
                <w:szCs w:val="20"/>
                <w:color w:val="auto"/>
              </w:rPr>
            </w:pPr>
            <w:r>
              <w:rPr>
                <w:rFonts w:ascii="Arial" w:cs="Arial" w:eastAsia="Arial" w:hAnsi="Arial"/>
                <w:sz w:val="14"/>
                <w:szCs w:val="14"/>
                <w:color w:val="auto"/>
              </w:rPr>
              <w:t>5.0%</w:t>
            </w:r>
          </w:p>
        </w:tc>
      </w:tr>
      <w:tr>
        <w:trPr>
          <w:trHeight w:val="20"/>
        </w:trPr>
        <w:tc>
          <w:tcPr>
            <w:tcW w:w="58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60" w:type="dxa"/>
            <w:vAlign w:val="bottom"/>
            <w:tcBorders>
              <w:right w:val="single" w:sz="8" w:color="auto"/>
            </w:tcBorders>
            <w:shd w:val="clear" w:color="auto" w:fill="000000"/>
          </w:tcPr>
          <w:p>
            <w:pPr>
              <w:spacing w:after="0" w:line="20" w:lineRule="exact"/>
              <w:rPr>
                <w:sz w:val="1"/>
                <w:szCs w:val="1"/>
                <w:color w:val="auto"/>
              </w:rPr>
            </w:pPr>
          </w:p>
        </w:tc>
        <w:tc>
          <w:tcPr>
            <w:tcW w:w="172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Annual Incentive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4C97"/>
        </w:rPr>
        <w:t>Executive Bonus Program</w:t>
      </w:r>
    </w:p>
    <w:p>
      <w:pPr>
        <w:spacing w:after="0" w:line="66"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Our Executive Bonus Program pays annual bonuses ranging from 0% to 200% of target by reference to three key metrics: adjusted Earnings Before Interest, Taxes, Depreciation, and Amortization (EBITDA)*, adjusted free cash flow*, and adjusted revenue.*</w:t>
      </w:r>
    </w:p>
    <w:p>
      <w:pPr>
        <w:spacing w:after="0" w:line="102"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The Committee selected these metrics to be transparent and to provide clarity and consistency in calculating bonuses. In setting short-term incentive goals, SPX management and the Committee utilized a number of data points to focus targets on driving the Company’s strategic priorities, including setting goals that incentivize delivery of annual objectives. Adjusted EBITDA* used for compensation purposes is calculated in a manner consistent with adjusted EBITDA* as presented by the Company in its quarterly and annual earnings announcements, with additional adjustments to eliminate the impact of acquisitions and dispositions occurring during the year and certain other items.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Targets for 2024 were set to drive continued growth in adjusted EBITDA*, adjusted revenue*, and adjusted free cash flow*.</w:t>
      </w:r>
    </w:p>
    <w:p>
      <w:pPr>
        <w:spacing w:after="0" w:line="18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As previously discussed, we delivered very strong financial performance in 2024, with double-digit growth in all three of our compensation-linked target metrics. Most of our businesses exceeded their revenue targets, reflecting continued robust demand for our products, favorable pricing, and strong operational execution across our platforms. We also generated substantial increases in Adjusted EBITDA* and Adjusted Free Cash Flow*, reflecting the scale benefits of higher sales, successful continuous improvement initiatives, and efficient cost management throughout the company.</w:t>
      </w:r>
    </w:p>
    <w:p>
      <w:pPr>
        <w:spacing w:after="0" w:line="11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table below shows the 2024 threshold, target, and maximum goals for each of the relevant metrics under our Executive Bonus Program, as well as the actual performance results. Threshold payout is 50% of target and maximum payout is 200% of target, with linear interpolation of payouts for results between threshold and target or between target and maximum.</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5440" w:type="dxa"/>
            <w:vAlign w:val="bottom"/>
            <w:tcBorders>
              <w:top w:val="single" w:sz="8" w:color="auto"/>
              <w:left w:val="single" w:sz="8" w:color="auto"/>
              <w:bottom w:val="single" w:sz="8" w:color="004C97"/>
              <w:right w:val="single" w:sz="8" w:color="auto"/>
            </w:tcBorders>
            <w:shd w:val="clear" w:color="auto" w:fill="004C97"/>
          </w:tcPr>
          <w:p>
            <w:pPr>
              <w:spacing w:after="0"/>
              <w:rPr>
                <w:sz w:val="23"/>
                <w:szCs w:val="23"/>
                <w:color w:val="auto"/>
              </w:rPr>
            </w:pPr>
          </w:p>
        </w:tc>
        <w:tc>
          <w:tcPr>
            <w:tcW w:w="1220" w:type="dxa"/>
            <w:vAlign w:val="bottom"/>
            <w:tcBorders>
              <w:top w:val="single" w:sz="8" w:color="auto"/>
              <w:bottom w:val="single" w:sz="8" w:color="auto"/>
              <w:right w:val="single" w:sz="8" w:color="004C97"/>
            </w:tcBorders>
            <w:shd w:val="clear" w:color="auto" w:fill="004C97"/>
          </w:tcPr>
          <w:p>
            <w:pPr>
              <w:spacing w:after="0"/>
              <w:rPr>
                <w:sz w:val="23"/>
                <w:szCs w:val="23"/>
                <w:color w:val="auto"/>
              </w:rPr>
            </w:pPr>
          </w:p>
        </w:tc>
        <w:tc>
          <w:tcPr>
            <w:tcW w:w="2420" w:type="dxa"/>
            <w:vAlign w:val="bottom"/>
            <w:tcBorders>
              <w:top w:val="single" w:sz="8" w:color="auto"/>
              <w:bottom w:val="single" w:sz="8" w:color="auto"/>
              <w:right w:val="single" w:sz="8" w:color="004C97"/>
            </w:tcBorders>
            <w:gridSpan w:val="2"/>
            <w:shd w:val="clear" w:color="auto" w:fill="004C97"/>
          </w:tcPr>
          <w:p>
            <w:pPr>
              <w:jc w:val="right"/>
              <w:ind w:right="28"/>
              <w:spacing w:after="0"/>
              <w:rPr>
                <w:sz w:val="20"/>
                <w:szCs w:val="20"/>
                <w:color w:val="auto"/>
              </w:rPr>
            </w:pPr>
            <w:r>
              <w:rPr>
                <w:rFonts w:ascii="Arial" w:cs="Arial" w:eastAsia="Arial" w:hAnsi="Arial"/>
                <w:sz w:val="14"/>
                <w:szCs w:val="14"/>
                <w:b w:val="1"/>
                <w:bCs w:val="1"/>
                <w:color w:val="FFFFFF"/>
              </w:rPr>
              <w:t>Level of Performance ($ Millions)</w:t>
            </w:r>
          </w:p>
        </w:tc>
        <w:tc>
          <w:tcPr>
            <w:tcW w:w="1220" w:type="dxa"/>
            <w:vAlign w:val="bottom"/>
            <w:tcBorders>
              <w:top w:val="single" w:sz="8" w:color="auto"/>
              <w:bottom w:val="single" w:sz="8" w:color="auto"/>
              <w:right w:val="single" w:sz="8" w:color="auto"/>
            </w:tcBorders>
            <w:shd w:val="clear" w:color="auto" w:fill="004C97"/>
          </w:tcPr>
          <w:p>
            <w:pPr>
              <w:spacing w:after="0"/>
              <w:rPr>
                <w:sz w:val="23"/>
                <w:szCs w:val="23"/>
                <w:color w:val="auto"/>
              </w:rPr>
            </w:pPr>
          </w:p>
        </w:tc>
        <w:tc>
          <w:tcPr>
            <w:tcW w:w="960" w:type="dxa"/>
            <w:vAlign w:val="bottom"/>
            <w:tcBorders>
              <w:top w:val="single" w:sz="8" w:color="auto"/>
              <w:bottom w:val="single" w:sz="8" w:color="auto"/>
              <w:right w:val="single" w:sz="8" w:color="auto"/>
            </w:tcBorders>
            <w:vMerge w:val="restart"/>
            <w:shd w:val="clear" w:color="auto" w:fill="004C97"/>
          </w:tcPr>
          <w:p>
            <w:pPr>
              <w:jc w:val="right"/>
              <w:ind w:right="188"/>
              <w:spacing w:after="0"/>
              <w:rPr>
                <w:sz w:val="20"/>
                <w:szCs w:val="20"/>
                <w:color w:val="auto"/>
              </w:rPr>
            </w:pPr>
            <w:r>
              <w:rPr>
                <w:rFonts w:ascii="Arial" w:cs="Arial" w:eastAsia="Arial" w:hAnsi="Arial"/>
                <w:sz w:val="14"/>
                <w:szCs w:val="14"/>
                <w:b w:val="1"/>
                <w:bCs w:val="1"/>
                <w:color w:val="FFFFFF"/>
              </w:rPr>
              <w:t>Payout</w:t>
            </w:r>
          </w:p>
        </w:tc>
        <w:tc>
          <w:tcPr>
            <w:tcW w:w="0" w:type="dxa"/>
            <w:vAlign w:val="bottom"/>
          </w:tcPr>
          <w:p>
            <w:pPr>
              <w:spacing w:after="0"/>
              <w:rPr>
                <w:sz w:val="1"/>
                <w:szCs w:val="1"/>
                <w:color w:val="auto"/>
              </w:rPr>
            </w:pPr>
          </w:p>
        </w:tc>
      </w:tr>
      <w:tr>
        <w:trPr>
          <w:trHeight w:val="67"/>
        </w:trPr>
        <w:tc>
          <w:tcPr>
            <w:tcW w:w="5440" w:type="dxa"/>
            <w:vAlign w:val="bottom"/>
            <w:tcBorders>
              <w:left w:val="single" w:sz="8" w:color="auto"/>
              <w:right w:val="single" w:sz="8" w:color="auto"/>
            </w:tcBorders>
            <w:shd w:val="clear" w:color="auto" w:fill="004C97"/>
          </w:tcPr>
          <w:p>
            <w:pPr>
              <w:spacing w:after="0"/>
              <w:rPr>
                <w:sz w:val="5"/>
                <w:szCs w:val="5"/>
                <w:color w:val="auto"/>
              </w:rPr>
            </w:pPr>
          </w:p>
        </w:tc>
        <w:tc>
          <w:tcPr>
            <w:tcW w:w="1220" w:type="dxa"/>
            <w:vAlign w:val="bottom"/>
            <w:tcBorders>
              <w:right w:val="single" w:sz="8" w:color="auto"/>
            </w:tcBorders>
            <w:shd w:val="clear" w:color="auto" w:fill="004C97"/>
          </w:tcPr>
          <w:p>
            <w:pPr>
              <w:spacing w:after="0"/>
              <w:rPr>
                <w:sz w:val="5"/>
                <w:szCs w:val="5"/>
                <w:color w:val="auto"/>
              </w:rPr>
            </w:pPr>
          </w:p>
        </w:tc>
        <w:tc>
          <w:tcPr>
            <w:tcW w:w="1220" w:type="dxa"/>
            <w:vAlign w:val="bottom"/>
            <w:tcBorders>
              <w:right w:val="single" w:sz="8" w:color="auto"/>
            </w:tcBorders>
            <w:shd w:val="clear" w:color="auto" w:fill="004C97"/>
          </w:tcPr>
          <w:p>
            <w:pPr>
              <w:spacing w:after="0"/>
              <w:rPr>
                <w:sz w:val="5"/>
                <w:szCs w:val="5"/>
                <w:color w:val="auto"/>
              </w:rPr>
            </w:pPr>
          </w:p>
        </w:tc>
        <w:tc>
          <w:tcPr>
            <w:tcW w:w="1200" w:type="dxa"/>
            <w:vAlign w:val="bottom"/>
            <w:tcBorders>
              <w:right w:val="single" w:sz="8" w:color="auto"/>
            </w:tcBorders>
            <w:shd w:val="clear" w:color="auto" w:fill="004C97"/>
          </w:tcPr>
          <w:p>
            <w:pPr>
              <w:spacing w:after="0"/>
              <w:rPr>
                <w:sz w:val="5"/>
                <w:szCs w:val="5"/>
                <w:color w:val="auto"/>
              </w:rPr>
            </w:pPr>
          </w:p>
        </w:tc>
        <w:tc>
          <w:tcPr>
            <w:tcW w:w="1220" w:type="dxa"/>
            <w:vAlign w:val="bottom"/>
            <w:tcBorders>
              <w:right w:val="single" w:sz="8" w:color="auto"/>
            </w:tcBorders>
            <w:shd w:val="clear" w:color="auto" w:fill="004C97"/>
          </w:tcPr>
          <w:p>
            <w:pPr>
              <w:spacing w:after="0"/>
              <w:rPr>
                <w:sz w:val="5"/>
                <w:szCs w:val="5"/>
                <w:color w:val="auto"/>
              </w:rPr>
            </w:pPr>
          </w:p>
        </w:tc>
        <w:tc>
          <w:tcPr>
            <w:tcW w:w="960" w:type="dxa"/>
            <w:vAlign w:val="bottom"/>
            <w:tcBorders>
              <w:right w:val="single" w:sz="8" w:color="auto"/>
            </w:tcBorders>
            <w:vMerge w:val="continue"/>
            <w:shd w:val="clear" w:color="auto" w:fill="004C97"/>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5440" w:type="dxa"/>
            <w:vAlign w:val="bottom"/>
            <w:tcBorders>
              <w:left w:val="single" w:sz="8" w:color="auto"/>
              <w:bottom w:val="single" w:sz="8" w:color="auto"/>
              <w:right w:val="single" w:sz="8" w:color="auto"/>
            </w:tcBorders>
            <w:shd w:val="clear" w:color="auto" w:fill="004C97"/>
          </w:tcPr>
          <w:p>
            <w:pPr>
              <w:ind w:left="1540"/>
              <w:spacing w:after="0"/>
              <w:rPr>
                <w:sz w:val="20"/>
                <w:szCs w:val="20"/>
                <w:color w:val="auto"/>
              </w:rPr>
            </w:pPr>
            <w:r>
              <w:rPr>
                <w:rFonts w:ascii="Arial" w:cs="Arial" w:eastAsia="Arial" w:hAnsi="Arial"/>
                <w:sz w:val="14"/>
                <w:szCs w:val="14"/>
                <w:b w:val="1"/>
                <w:bCs w:val="1"/>
                <w:color w:val="FFFFFF"/>
              </w:rPr>
              <w:t>Performance Metric and Weighting</w:t>
            </w:r>
          </w:p>
        </w:tc>
        <w:tc>
          <w:tcPr>
            <w:tcW w:w="1220" w:type="dxa"/>
            <w:vAlign w:val="bottom"/>
            <w:tcBorders>
              <w:bottom w:val="single" w:sz="8" w:color="auto"/>
              <w:right w:val="single" w:sz="8" w:color="auto"/>
            </w:tcBorders>
            <w:shd w:val="clear" w:color="auto" w:fill="004C97"/>
          </w:tcPr>
          <w:p>
            <w:pPr>
              <w:jc w:val="right"/>
              <w:ind w:right="88"/>
              <w:spacing w:after="0"/>
              <w:rPr>
                <w:sz w:val="20"/>
                <w:szCs w:val="20"/>
                <w:color w:val="auto"/>
              </w:rPr>
            </w:pPr>
            <w:r>
              <w:rPr>
                <w:rFonts w:ascii="Arial" w:cs="Arial" w:eastAsia="Arial" w:hAnsi="Arial"/>
                <w:sz w:val="14"/>
                <w:szCs w:val="14"/>
                <w:b w:val="1"/>
                <w:bCs w:val="1"/>
                <w:color w:val="FFFFFF"/>
              </w:rPr>
              <w:t>Threshold ($)</w:t>
            </w:r>
          </w:p>
        </w:tc>
        <w:tc>
          <w:tcPr>
            <w:tcW w:w="1220" w:type="dxa"/>
            <w:vAlign w:val="bottom"/>
            <w:tcBorders>
              <w:bottom w:val="single" w:sz="8" w:color="auto"/>
              <w:right w:val="single" w:sz="8" w:color="auto"/>
            </w:tcBorders>
            <w:shd w:val="clear" w:color="auto" w:fill="004C97"/>
          </w:tcPr>
          <w:p>
            <w:pPr>
              <w:jc w:val="right"/>
              <w:ind w:right="228"/>
              <w:spacing w:after="0"/>
              <w:rPr>
                <w:sz w:val="20"/>
                <w:szCs w:val="20"/>
                <w:color w:val="auto"/>
              </w:rPr>
            </w:pPr>
            <w:r>
              <w:rPr>
                <w:rFonts w:ascii="Arial" w:cs="Arial" w:eastAsia="Arial" w:hAnsi="Arial"/>
                <w:sz w:val="14"/>
                <w:szCs w:val="14"/>
                <w:b w:val="1"/>
                <w:bCs w:val="1"/>
                <w:color w:val="FFFFFF"/>
              </w:rPr>
              <w:t>Target ($)</w:t>
            </w:r>
          </w:p>
        </w:tc>
        <w:tc>
          <w:tcPr>
            <w:tcW w:w="1200" w:type="dxa"/>
            <w:vAlign w:val="bottom"/>
            <w:tcBorders>
              <w:bottom w:val="single" w:sz="8" w:color="auto"/>
              <w:right w:val="single" w:sz="8" w:color="auto"/>
            </w:tcBorders>
            <w:shd w:val="clear" w:color="auto" w:fill="004C97"/>
          </w:tcPr>
          <w:p>
            <w:pPr>
              <w:jc w:val="right"/>
              <w:ind w:right="108"/>
              <w:spacing w:after="0"/>
              <w:rPr>
                <w:sz w:val="20"/>
                <w:szCs w:val="20"/>
                <w:color w:val="auto"/>
              </w:rPr>
            </w:pPr>
            <w:r>
              <w:rPr>
                <w:rFonts w:ascii="Arial" w:cs="Arial" w:eastAsia="Arial" w:hAnsi="Arial"/>
                <w:sz w:val="14"/>
                <w:szCs w:val="14"/>
                <w:b w:val="1"/>
                <w:bCs w:val="1"/>
                <w:color w:val="FFFFFF"/>
              </w:rPr>
              <w:t>Maximum ($)</w:t>
            </w:r>
          </w:p>
        </w:tc>
        <w:tc>
          <w:tcPr>
            <w:tcW w:w="1220" w:type="dxa"/>
            <w:vAlign w:val="bottom"/>
            <w:tcBorders>
              <w:bottom w:val="single" w:sz="8" w:color="auto"/>
              <w:right w:val="single" w:sz="8" w:color="auto"/>
            </w:tcBorders>
            <w:shd w:val="clear" w:color="auto" w:fill="004C97"/>
          </w:tcPr>
          <w:p>
            <w:pPr>
              <w:jc w:val="right"/>
              <w:ind w:right="228"/>
              <w:spacing w:after="0"/>
              <w:rPr>
                <w:sz w:val="20"/>
                <w:szCs w:val="20"/>
                <w:color w:val="auto"/>
              </w:rPr>
            </w:pPr>
            <w:r>
              <w:rPr>
                <w:rFonts w:ascii="Arial" w:cs="Arial" w:eastAsia="Arial" w:hAnsi="Arial"/>
                <w:sz w:val="14"/>
                <w:szCs w:val="14"/>
                <w:b w:val="1"/>
                <w:bCs w:val="1"/>
                <w:color w:val="FFFFFF"/>
              </w:rPr>
              <w:t>Actual ($)</w:t>
            </w:r>
          </w:p>
        </w:tc>
        <w:tc>
          <w:tcPr>
            <w:tcW w:w="960" w:type="dxa"/>
            <w:vAlign w:val="bottom"/>
            <w:tcBorders>
              <w:bottom w:val="single" w:sz="8" w:color="auto"/>
              <w:right w:val="single" w:sz="8" w:color="auto"/>
            </w:tcBorders>
            <w:shd w:val="clear" w:color="auto" w:fill="004C97"/>
          </w:tcPr>
          <w:p>
            <w:pPr>
              <w:jc w:val="right"/>
              <w:ind w:right="3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9"/>
        </w:trPr>
        <w:tc>
          <w:tcPr>
            <w:tcW w:w="5440" w:type="dxa"/>
            <w:vAlign w:val="bottom"/>
            <w:tcBorders>
              <w:left w:val="single" w:sz="8" w:color="auto"/>
              <w:bottom w:val="single" w:sz="8" w:color="E5E5E5"/>
              <w:right w:val="single" w:sz="8" w:color="auto"/>
            </w:tcBorders>
            <w:shd w:val="clear" w:color="auto" w:fill="E5E5E5"/>
          </w:tcPr>
          <w:p>
            <w:pPr>
              <w:ind w:left="200"/>
              <w:spacing w:after="0"/>
              <w:rPr>
                <w:sz w:val="20"/>
                <w:szCs w:val="20"/>
                <w:color w:val="auto"/>
              </w:rPr>
            </w:pPr>
            <w:r>
              <w:rPr>
                <w:rFonts w:ascii="Arial" w:cs="Arial" w:eastAsia="Arial" w:hAnsi="Arial"/>
                <w:sz w:val="14"/>
                <w:szCs w:val="14"/>
                <w:color w:val="auto"/>
              </w:rPr>
              <w:t>Adjusted EBITDA* (50%)</w:t>
            </w:r>
          </w:p>
        </w:tc>
        <w:tc>
          <w:tcPr>
            <w:tcW w:w="122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$ 340.0</w:t>
            </w:r>
          </w:p>
        </w:tc>
        <w:tc>
          <w:tcPr>
            <w:tcW w:w="122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$ 359.0</w:t>
            </w:r>
          </w:p>
        </w:tc>
        <w:tc>
          <w:tcPr>
            <w:tcW w:w="120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$ 385.0</w:t>
            </w:r>
          </w:p>
        </w:tc>
        <w:tc>
          <w:tcPr>
            <w:tcW w:w="122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$ 403.9</w:t>
            </w:r>
          </w:p>
        </w:tc>
        <w:tc>
          <w:tcPr>
            <w:tcW w:w="96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01"/>
        </w:trPr>
        <w:tc>
          <w:tcPr>
            <w:tcW w:w="544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Adjusted Free Cash Flow* (25%)</w:t>
            </w:r>
          </w:p>
        </w:tc>
        <w:tc>
          <w:tcPr>
            <w:tcW w:w="12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$ 309.0</w:t>
            </w:r>
          </w:p>
        </w:tc>
        <w:tc>
          <w:tcPr>
            <w:tcW w:w="12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$ 335.0</w:t>
            </w:r>
          </w:p>
        </w:tc>
        <w:tc>
          <w:tcPr>
            <w:tcW w:w="12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$ 369.0</w:t>
            </w:r>
          </w:p>
        </w:tc>
        <w:tc>
          <w:tcPr>
            <w:tcW w:w="12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$ 392.0</w:t>
            </w:r>
          </w:p>
        </w:tc>
        <w:tc>
          <w:tcPr>
            <w:tcW w:w="9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2"/>
        </w:trPr>
        <w:tc>
          <w:tcPr>
            <w:tcW w:w="5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440" w:type="dxa"/>
            <w:vAlign w:val="bottom"/>
            <w:tcBorders>
              <w:left w:val="single" w:sz="8" w:color="auto"/>
              <w:bottom w:val="single" w:sz="8" w:color="E5E5E5"/>
              <w:right w:val="single" w:sz="8" w:color="auto"/>
            </w:tcBorders>
            <w:shd w:val="clear" w:color="auto" w:fill="E5E5E5"/>
          </w:tcPr>
          <w:p>
            <w:pPr>
              <w:ind w:left="200"/>
              <w:spacing w:after="0"/>
              <w:rPr>
                <w:sz w:val="20"/>
                <w:szCs w:val="20"/>
                <w:color w:val="auto"/>
              </w:rPr>
            </w:pPr>
            <w:r>
              <w:rPr>
                <w:rFonts w:ascii="Arial" w:cs="Arial" w:eastAsia="Arial" w:hAnsi="Arial"/>
                <w:sz w:val="14"/>
                <w:szCs w:val="14"/>
                <w:color w:val="auto"/>
              </w:rPr>
              <w:t>Adjusted Revenue* (25%)</w:t>
            </w:r>
          </w:p>
        </w:tc>
        <w:tc>
          <w:tcPr>
            <w:tcW w:w="122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$1,829.0</w:t>
            </w:r>
          </w:p>
        </w:tc>
        <w:tc>
          <w:tcPr>
            <w:tcW w:w="122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$1,892.0</w:t>
            </w:r>
          </w:p>
        </w:tc>
        <w:tc>
          <w:tcPr>
            <w:tcW w:w="120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$1,987.0</w:t>
            </w:r>
          </w:p>
        </w:tc>
        <w:tc>
          <w:tcPr>
            <w:tcW w:w="122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$1,916.1</w:t>
            </w:r>
          </w:p>
        </w:tc>
        <w:tc>
          <w:tcPr>
            <w:tcW w:w="96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125.3%</w:t>
            </w:r>
          </w:p>
        </w:tc>
        <w:tc>
          <w:tcPr>
            <w:tcW w:w="0" w:type="dxa"/>
            <w:vAlign w:val="bottom"/>
          </w:tcPr>
          <w:p>
            <w:pPr>
              <w:spacing w:after="0"/>
              <w:rPr>
                <w:sz w:val="1"/>
                <w:szCs w:val="1"/>
                <w:color w:val="auto"/>
              </w:rPr>
            </w:pPr>
          </w:p>
        </w:tc>
      </w:tr>
      <w:tr>
        <w:trPr>
          <w:trHeight w:val="201"/>
        </w:trPr>
        <w:tc>
          <w:tcPr>
            <w:tcW w:w="544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Total Corporate Results</w:t>
            </w:r>
          </w:p>
        </w:tc>
        <w:tc>
          <w:tcPr>
            <w:tcW w:w="1220" w:type="dxa"/>
            <w:vAlign w:val="bottom"/>
            <w:tcBorders>
              <w:top w:val="single" w:sz="8" w:color="auto"/>
              <w:right w:val="single" w:sz="8" w:color="auto"/>
            </w:tcBorders>
          </w:tcPr>
          <w:p>
            <w:pPr>
              <w:spacing w:after="0"/>
              <w:rPr>
                <w:sz w:val="17"/>
                <w:szCs w:val="17"/>
                <w:color w:val="auto"/>
              </w:rPr>
            </w:pPr>
          </w:p>
        </w:tc>
        <w:tc>
          <w:tcPr>
            <w:tcW w:w="1220" w:type="dxa"/>
            <w:vAlign w:val="bottom"/>
            <w:tcBorders>
              <w:top w:val="single" w:sz="8" w:color="auto"/>
              <w:right w:val="single" w:sz="8" w:color="auto"/>
            </w:tcBorders>
          </w:tcPr>
          <w:p>
            <w:pPr>
              <w:spacing w:after="0"/>
              <w:rPr>
                <w:sz w:val="17"/>
                <w:szCs w:val="17"/>
                <w:color w:val="auto"/>
              </w:rPr>
            </w:pPr>
          </w:p>
        </w:tc>
        <w:tc>
          <w:tcPr>
            <w:tcW w:w="1200" w:type="dxa"/>
            <w:vAlign w:val="bottom"/>
            <w:tcBorders>
              <w:top w:val="single" w:sz="8" w:color="auto"/>
              <w:right w:val="single" w:sz="8" w:color="auto"/>
            </w:tcBorders>
          </w:tcPr>
          <w:p>
            <w:pPr>
              <w:spacing w:after="0"/>
              <w:rPr>
                <w:sz w:val="17"/>
                <w:szCs w:val="17"/>
                <w:color w:val="auto"/>
              </w:rPr>
            </w:pPr>
          </w:p>
        </w:tc>
        <w:tc>
          <w:tcPr>
            <w:tcW w:w="1220" w:type="dxa"/>
            <w:vAlign w:val="bottom"/>
            <w:tcBorders>
              <w:top w:val="single" w:sz="8" w:color="auto"/>
              <w:right w:val="single" w:sz="8" w:color="auto"/>
            </w:tcBorders>
          </w:tcPr>
          <w:p>
            <w:pPr>
              <w:spacing w:after="0"/>
              <w:rPr>
                <w:sz w:val="17"/>
                <w:szCs w:val="17"/>
                <w:color w:val="auto"/>
              </w:rPr>
            </w:pPr>
          </w:p>
        </w:tc>
        <w:tc>
          <w:tcPr>
            <w:tcW w:w="9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181.3%</w:t>
            </w:r>
          </w:p>
        </w:tc>
        <w:tc>
          <w:tcPr>
            <w:tcW w:w="0" w:type="dxa"/>
            <w:vAlign w:val="bottom"/>
          </w:tcPr>
          <w:p>
            <w:pPr>
              <w:spacing w:after="0"/>
              <w:rPr>
                <w:sz w:val="1"/>
                <w:szCs w:val="1"/>
                <w:color w:val="auto"/>
              </w:rPr>
            </w:pPr>
          </w:p>
        </w:tc>
      </w:tr>
      <w:tr>
        <w:trPr>
          <w:trHeight w:val="22"/>
        </w:trPr>
        <w:tc>
          <w:tcPr>
            <w:tcW w:w="5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80" w:right="40" w:hanging="72"/>
        <w:spacing w:after="0" w:line="264" w:lineRule="auto"/>
        <w:tabs>
          <w:tab w:leader="none" w:pos="93" w:val="left"/>
        </w:tabs>
        <w:numPr>
          <w:ilvl w:val="0"/>
          <w:numId w:val="33"/>
        </w:numPr>
        <w:rPr>
          <w:rFonts w:ascii="Arial" w:cs="Arial" w:eastAsia="Arial" w:hAnsi="Arial"/>
          <w:sz w:val="13"/>
          <w:szCs w:val="13"/>
          <w:color w:val="auto"/>
        </w:rPr>
      </w:pPr>
      <w:r>
        <w:rPr>
          <w:rFonts w:ascii="Arial" w:cs="Arial" w:eastAsia="Arial" w:hAnsi="Arial"/>
          <w:sz w:val="13"/>
          <w:szCs w:val="13"/>
          <w:color w:val="auto"/>
        </w:rPr>
        <w:t>Non-GAAP financial measure. Reconciliations of amounts presented as non-GAAP financial measures with the amounts of the most comparable measures calculated and presented in accordance with GAAP are presented in Appendix A of this Proxy Statement.</w:t>
      </w:r>
    </w:p>
    <w:p>
      <w:pPr>
        <w:spacing w:after="0" w:line="93"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For 2024, adjusted EBITDA* of $403.9 million resulted in a 200% payout, with a weighting of 50%. Adjusted free cash flow* of $392.0 million resulted in a 200% payout, with a weighting of 25%. Adjusted revenue* of $1,916.1 million resulted in a 125% payout, with a weighting of 25%. Accordingly, based on these performance metrics the cumulative payout for 2024 results would be 181.3% of target for those NEOs with 100% of their bonus tied to corporate metrics.</w:t>
      </w:r>
    </w:p>
    <w:p>
      <w:pPr>
        <w:spacing w:after="0" w:line="315"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Mr. Lowe, Mr. Carano, and Mr. Data’s bonus payouts are tied 100% to the corporate results. Mr. Swann and Mr. McClenaghan have target incentives that include both business unit and corporate results: 75% of each of their incentives is based on their respective roles as a segment President, and 25% is based on corporate metrics. For 2024, the segment performance achievement metric for Mr. Swann was 146.2%, generating an overall payout of 155.0% for him, and the segment performance achievement metric for Mr. McClenaghan was 185.0%, generating an overall payout of 184.1% for him. We do not include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766445</wp:posOffset>
            </wp:positionV>
            <wp:extent cx="403225"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0322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2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27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92" w:right="319" w:bottom="1440" w:gutter="0" w:footer="0" w:header="0"/>
        </w:sectPr>
      </w:pPr>
    </w:p>
    <w:bookmarkStart w:id="37" w:name="page38"/>
    <w:bookmarkEnd w:id="37"/>
    <w:p>
      <w:pPr>
        <w:ind w:left="20"/>
        <w:spacing w:after="0"/>
        <w:rPr>
          <w:sz w:val="20"/>
          <w:szCs w:val="20"/>
          <w:color w:val="auto"/>
        </w:rPr>
      </w:pPr>
      <w:r>
        <w:rPr>
          <w:rFonts w:ascii="Arial" w:cs="Arial" w:eastAsia="Arial" w:hAnsi="Arial"/>
          <w:sz w:val="14"/>
          <w:szCs w:val="14"/>
          <w:color w:val="004C9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specific segment and business unit financial metrics and performance levels for Mr. Swann and Mr. McClenaghan because we believe this information is confidential information and its public disclosure could cause competitive harm to those businesses. At the time these performance goals were set, the Committee deemed the target performance levels to be realistic “stretch” goals, with a maximum payout possible only in the event of superior performance. Following application of calculated awards, the payout by named executive officer is noted in the table below.</w:t>
      </w:r>
    </w:p>
    <w:p>
      <w:pPr>
        <w:spacing w:after="0" w:line="129" w:lineRule="exact"/>
        <w:rPr>
          <w:sz w:val="20"/>
          <w:szCs w:val="20"/>
          <w:color w:val="auto"/>
        </w:rPr>
      </w:pPr>
    </w:p>
    <w:p>
      <w:pPr>
        <w:ind w:left="80" w:right="40" w:hanging="72"/>
        <w:spacing w:after="0" w:line="264" w:lineRule="auto"/>
        <w:tabs>
          <w:tab w:leader="none" w:pos="93" w:val="left"/>
        </w:tabs>
        <w:numPr>
          <w:ilvl w:val="0"/>
          <w:numId w:val="34"/>
        </w:numPr>
        <w:rPr>
          <w:rFonts w:ascii="Arial" w:cs="Arial" w:eastAsia="Arial" w:hAnsi="Arial"/>
          <w:sz w:val="13"/>
          <w:szCs w:val="13"/>
          <w:color w:val="auto"/>
        </w:rPr>
      </w:pPr>
      <w:r>
        <w:rPr>
          <w:rFonts w:ascii="Arial" w:cs="Arial" w:eastAsia="Arial" w:hAnsi="Arial"/>
          <w:sz w:val="13"/>
          <w:szCs w:val="13"/>
          <w:color w:val="auto"/>
        </w:rPr>
        <w:t>Non-GAAP financial measure. Reconciliations of amounts presented as non-GAAP financial measures with the amounts of the most comparable measures calculated and presented in accordance with GAAP are presented in Appendix A of this Proxy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004C97"/>
        </w:rPr>
        <w:t>Executive Bonus Results for 2024</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total annual bonuses earned by our NEOs for 2024.</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320" w:type="dxa"/>
            <w:vAlign w:val="bottom"/>
            <w:tcBorders>
              <w:top w:val="single" w:sz="8" w:color="auto"/>
              <w:left w:val="single" w:sz="8" w:color="auto"/>
              <w:right w:val="single" w:sz="8" w:color="auto"/>
            </w:tcBorders>
            <w:shd w:val="clear" w:color="auto" w:fill="004C97"/>
          </w:tcPr>
          <w:p>
            <w:pPr>
              <w:spacing w:after="0"/>
              <w:rPr>
                <w:sz w:val="17"/>
                <w:szCs w:val="17"/>
                <w:color w:val="auto"/>
              </w:rPr>
            </w:pPr>
          </w:p>
        </w:tc>
        <w:tc>
          <w:tcPr>
            <w:tcW w:w="166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Annual Base Salary as</w:t>
            </w:r>
          </w:p>
        </w:tc>
        <w:tc>
          <w:tcPr>
            <w:tcW w:w="148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Target Payout (as</w:t>
            </w:r>
          </w:p>
        </w:tc>
        <w:tc>
          <w:tcPr>
            <w:tcW w:w="1720" w:type="dxa"/>
            <w:vAlign w:val="bottom"/>
            <w:tcBorders>
              <w:top w:val="single" w:sz="8" w:color="auto"/>
              <w:right w:val="single" w:sz="8" w:color="auto"/>
            </w:tcBorders>
            <w:vMerge w:val="restart"/>
            <w:shd w:val="clear" w:color="auto" w:fill="004C97"/>
          </w:tcPr>
          <w:p>
            <w:pPr>
              <w:jc w:val="right"/>
              <w:ind w:right="48"/>
              <w:spacing w:after="0"/>
              <w:rPr>
                <w:sz w:val="20"/>
                <w:szCs w:val="20"/>
                <w:color w:val="auto"/>
              </w:rPr>
            </w:pPr>
            <w:r>
              <w:rPr>
                <w:rFonts w:ascii="Arial" w:cs="Arial" w:eastAsia="Arial" w:hAnsi="Arial"/>
                <w:sz w:val="14"/>
                <w:szCs w:val="14"/>
                <w:b w:val="1"/>
                <w:bCs w:val="1"/>
                <w:color w:val="FFFFFF"/>
              </w:rPr>
              <w:t>Bonus Achieved (% of</w:t>
            </w:r>
          </w:p>
        </w:tc>
        <w:tc>
          <w:tcPr>
            <w:tcW w:w="1080" w:type="dxa"/>
            <w:vAlign w:val="bottom"/>
            <w:tcBorders>
              <w:top w:val="single" w:sz="8" w:color="auto"/>
              <w:right w:val="single" w:sz="8" w:color="auto"/>
            </w:tcBorders>
            <w:vMerge w:val="restart"/>
            <w:shd w:val="clear" w:color="auto" w:fill="004C97"/>
          </w:tcPr>
          <w:p>
            <w:pPr>
              <w:jc w:val="right"/>
              <w:ind w:right="30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62"/>
        </w:trPr>
        <w:tc>
          <w:tcPr>
            <w:tcW w:w="5320" w:type="dxa"/>
            <w:vAlign w:val="bottom"/>
            <w:tcBorders>
              <w:left w:val="single" w:sz="8" w:color="auto"/>
              <w:right w:val="single" w:sz="8" w:color="auto"/>
            </w:tcBorders>
            <w:shd w:val="clear" w:color="auto" w:fill="004C97"/>
          </w:tcPr>
          <w:p>
            <w:pPr>
              <w:spacing w:after="0"/>
              <w:rPr>
                <w:sz w:val="14"/>
                <w:szCs w:val="14"/>
                <w:color w:val="auto"/>
              </w:rPr>
            </w:pPr>
          </w:p>
        </w:tc>
        <w:tc>
          <w:tcPr>
            <w:tcW w:w="166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of</w:t>
            </w:r>
          </w:p>
        </w:tc>
        <w:tc>
          <w:tcPr>
            <w:tcW w:w="148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a % of Base</w:t>
            </w:r>
          </w:p>
        </w:tc>
        <w:tc>
          <w:tcPr>
            <w:tcW w:w="1720" w:type="dxa"/>
            <w:vAlign w:val="bottom"/>
            <w:tcBorders>
              <w:right w:val="single" w:sz="8" w:color="auto"/>
            </w:tcBorders>
            <w:vMerge w:val="continue"/>
            <w:shd w:val="clear" w:color="auto" w:fill="004C97"/>
          </w:tcPr>
          <w:p>
            <w:pPr>
              <w:spacing w:after="0"/>
              <w:rPr>
                <w:sz w:val="14"/>
                <w:szCs w:val="14"/>
                <w:color w:val="auto"/>
              </w:rPr>
            </w:pPr>
          </w:p>
        </w:tc>
        <w:tc>
          <w:tcPr>
            <w:tcW w:w="1080" w:type="dxa"/>
            <w:vAlign w:val="bottom"/>
            <w:tcBorders>
              <w:right w:val="single" w:sz="8" w:color="auto"/>
            </w:tcBorders>
            <w:vMerge w:val="continue"/>
            <w:shd w:val="clear" w:color="auto" w:fill="004C97"/>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320" w:type="dxa"/>
            <w:vAlign w:val="bottom"/>
            <w:tcBorders>
              <w:left w:val="single" w:sz="8" w:color="auto"/>
              <w:bottom w:val="single" w:sz="8" w:color="auto"/>
              <w:right w:val="single" w:sz="8" w:color="auto"/>
            </w:tcBorders>
            <w:shd w:val="clear" w:color="auto" w:fill="004C97"/>
          </w:tcPr>
          <w:p>
            <w:pPr>
              <w:ind w:left="1820"/>
              <w:spacing w:after="0"/>
              <w:rPr>
                <w:sz w:val="20"/>
                <w:szCs w:val="20"/>
                <w:color w:val="auto"/>
              </w:rPr>
            </w:pPr>
            <w:r>
              <w:rPr>
                <w:rFonts w:ascii="Arial" w:cs="Arial" w:eastAsia="Arial" w:hAnsi="Arial"/>
                <w:sz w:val="14"/>
                <w:szCs w:val="14"/>
                <w:b w:val="1"/>
                <w:bCs w:val="1"/>
                <w:color w:val="FFFFFF"/>
              </w:rPr>
              <w:t>Named Executive Officer</w:t>
            </w:r>
          </w:p>
        </w:tc>
        <w:tc>
          <w:tcPr>
            <w:tcW w:w="166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12/31/2024</w:t>
            </w:r>
          </w:p>
        </w:tc>
        <w:tc>
          <w:tcPr>
            <w:tcW w:w="148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w w:val="98"/>
              </w:rPr>
              <w:t>Salary)</w:t>
            </w:r>
          </w:p>
        </w:tc>
        <w:tc>
          <w:tcPr>
            <w:tcW w:w="1720" w:type="dxa"/>
            <w:vAlign w:val="bottom"/>
            <w:tcBorders>
              <w:bottom w:val="single" w:sz="8" w:color="auto"/>
              <w:right w:val="single" w:sz="8" w:color="auto"/>
            </w:tcBorders>
            <w:shd w:val="clear" w:color="auto" w:fill="004C97"/>
          </w:tcPr>
          <w:p>
            <w:pPr>
              <w:jc w:val="right"/>
              <w:ind w:right="308"/>
              <w:spacing w:after="0"/>
              <w:rPr>
                <w:sz w:val="20"/>
                <w:szCs w:val="20"/>
                <w:color w:val="auto"/>
              </w:rPr>
            </w:pPr>
            <w:r>
              <w:rPr>
                <w:rFonts w:ascii="Arial" w:cs="Arial" w:eastAsia="Arial" w:hAnsi="Arial"/>
                <w:sz w:val="14"/>
                <w:szCs w:val="14"/>
                <w:b w:val="1"/>
                <w:bCs w:val="1"/>
                <w:color w:val="FFFFFF"/>
              </w:rPr>
              <w:t>Target Payout)</w:t>
            </w:r>
          </w:p>
        </w:tc>
        <w:tc>
          <w:tcPr>
            <w:tcW w:w="1080" w:type="dxa"/>
            <w:vAlign w:val="bottom"/>
            <w:tcBorders>
              <w:bottom w:val="single" w:sz="8" w:color="auto"/>
              <w:right w:val="single" w:sz="8" w:color="auto"/>
            </w:tcBorders>
            <w:shd w:val="clear" w:color="auto" w:fill="004C97"/>
          </w:tcPr>
          <w:p>
            <w:pPr>
              <w:jc w:val="right"/>
              <w:ind w:right="248"/>
              <w:spacing w:after="0"/>
              <w:rPr>
                <w:sz w:val="20"/>
                <w:szCs w:val="20"/>
                <w:color w:val="auto"/>
              </w:rPr>
            </w:pPr>
            <w:r>
              <w:rPr>
                <w:rFonts w:ascii="Arial" w:cs="Arial" w:eastAsia="Arial" w:hAnsi="Arial"/>
                <w:sz w:val="14"/>
                <w:szCs w:val="14"/>
                <w:b w:val="1"/>
                <w:bCs w:val="1"/>
                <w:color w:val="FFFFFF"/>
              </w:rPr>
              <w:t>Bonus</w:t>
            </w:r>
          </w:p>
        </w:tc>
        <w:tc>
          <w:tcPr>
            <w:tcW w:w="0" w:type="dxa"/>
            <w:vAlign w:val="bottom"/>
          </w:tcPr>
          <w:p>
            <w:pPr>
              <w:spacing w:after="0"/>
              <w:rPr>
                <w:sz w:val="1"/>
                <w:szCs w:val="1"/>
                <w:color w:val="auto"/>
              </w:rPr>
            </w:pPr>
          </w:p>
        </w:tc>
      </w:tr>
      <w:tr>
        <w:trPr>
          <w:trHeight w:val="229"/>
        </w:trPr>
        <w:tc>
          <w:tcPr>
            <w:tcW w:w="5320" w:type="dxa"/>
            <w:vAlign w:val="bottom"/>
            <w:tcBorders>
              <w:left w:val="single" w:sz="8" w:color="auto"/>
              <w:bottom w:val="single" w:sz="8" w:color="E5E5E5"/>
              <w:right w:val="single" w:sz="8" w:color="auto"/>
            </w:tcBorders>
            <w:shd w:val="clear" w:color="auto" w:fill="E5E5E5"/>
          </w:tcPr>
          <w:p>
            <w:pPr>
              <w:ind w:left="200"/>
              <w:spacing w:after="0"/>
              <w:rPr>
                <w:sz w:val="20"/>
                <w:szCs w:val="20"/>
                <w:color w:val="auto"/>
              </w:rPr>
            </w:pPr>
            <w:r>
              <w:rPr>
                <w:rFonts w:ascii="Arial" w:cs="Arial" w:eastAsia="Arial" w:hAnsi="Arial"/>
                <w:sz w:val="14"/>
                <w:szCs w:val="14"/>
                <w:color w:val="auto"/>
              </w:rPr>
              <w:t>Eugene J. Lowe, III</w:t>
            </w:r>
          </w:p>
        </w:tc>
        <w:tc>
          <w:tcPr>
            <w:tcW w:w="166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$1,097,100</w:t>
            </w:r>
          </w:p>
        </w:tc>
        <w:tc>
          <w:tcPr>
            <w:tcW w:w="148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110%</w:t>
            </w:r>
          </w:p>
        </w:tc>
        <w:tc>
          <w:tcPr>
            <w:tcW w:w="172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181.3%</w:t>
            </w:r>
          </w:p>
        </w:tc>
        <w:tc>
          <w:tcPr>
            <w:tcW w:w="108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$2,188,359</w:t>
            </w:r>
          </w:p>
        </w:tc>
        <w:tc>
          <w:tcPr>
            <w:tcW w:w="0" w:type="dxa"/>
            <w:vAlign w:val="bottom"/>
          </w:tcPr>
          <w:p>
            <w:pPr>
              <w:spacing w:after="0"/>
              <w:rPr>
                <w:sz w:val="1"/>
                <w:szCs w:val="1"/>
                <w:color w:val="auto"/>
              </w:rPr>
            </w:pPr>
          </w:p>
        </w:tc>
      </w:tr>
      <w:tr>
        <w:trPr>
          <w:trHeight w:val="202"/>
        </w:trPr>
        <w:tc>
          <w:tcPr>
            <w:tcW w:w="532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Mark A. Carano</w:t>
            </w:r>
          </w:p>
        </w:tc>
        <w:tc>
          <w:tcPr>
            <w:tcW w:w="16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$530,000</w:t>
            </w:r>
          </w:p>
        </w:tc>
        <w:tc>
          <w:tcPr>
            <w:tcW w:w="14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7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181.3%</w:t>
            </w:r>
          </w:p>
        </w:tc>
        <w:tc>
          <w:tcPr>
            <w:tcW w:w="10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$672,750</w:t>
            </w:r>
          </w:p>
        </w:tc>
        <w:tc>
          <w:tcPr>
            <w:tcW w:w="0" w:type="dxa"/>
            <w:vAlign w:val="bottom"/>
          </w:tcPr>
          <w:p>
            <w:pPr>
              <w:spacing w:after="0"/>
              <w:rPr>
                <w:sz w:val="1"/>
                <w:szCs w:val="1"/>
                <w:color w:val="auto"/>
              </w:rPr>
            </w:pPr>
          </w:p>
        </w:tc>
      </w:tr>
      <w:tr>
        <w:trPr>
          <w:trHeight w:val="22"/>
        </w:trPr>
        <w:tc>
          <w:tcPr>
            <w:tcW w:w="5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320" w:type="dxa"/>
            <w:vAlign w:val="bottom"/>
            <w:tcBorders>
              <w:left w:val="single" w:sz="8" w:color="auto"/>
              <w:bottom w:val="single" w:sz="8" w:color="E5E5E5"/>
              <w:right w:val="single" w:sz="8" w:color="auto"/>
            </w:tcBorders>
            <w:shd w:val="clear" w:color="auto" w:fill="E5E5E5"/>
          </w:tcPr>
          <w:p>
            <w:pPr>
              <w:ind w:left="200"/>
              <w:spacing w:after="0"/>
              <w:rPr>
                <w:sz w:val="20"/>
                <w:szCs w:val="20"/>
                <w:color w:val="auto"/>
              </w:rPr>
            </w:pPr>
            <w:r>
              <w:rPr>
                <w:rFonts w:ascii="Arial" w:cs="Arial" w:eastAsia="Arial" w:hAnsi="Arial"/>
                <w:sz w:val="14"/>
                <w:szCs w:val="14"/>
                <w:color w:val="auto"/>
              </w:rPr>
              <w:t>J. Randall Data</w:t>
            </w:r>
          </w:p>
        </w:tc>
        <w:tc>
          <w:tcPr>
            <w:tcW w:w="166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$571,850</w:t>
            </w:r>
          </w:p>
        </w:tc>
        <w:tc>
          <w:tcPr>
            <w:tcW w:w="148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70%</w:t>
            </w:r>
          </w:p>
        </w:tc>
        <w:tc>
          <w:tcPr>
            <w:tcW w:w="172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181.3%</w:t>
            </w:r>
          </w:p>
        </w:tc>
        <w:tc>
          <w:tcPr>
            <w:tcW w:w="108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$725,872</w:t>
            </w:r>
          </w:p>
        </w:tc>
        <w:tc>
          <w:tcPr>
            <w:tcW w:w="0" w:type="dxa"/>
            <w:vAlign w:val="bottom"/>
          </w:tcPr>
          <w:p>
            <w:pPr>
              <w:spacing w:after="0"/>
              <w:rPr>
                <w:sz w:val="1"/>
                <w:szCs w:val="1"/>
                <w:color w:val="auto"/>
              </w:rPr>
            </w:pPr>
          </w:p>
        </w:tc>
      </w:tr>
      <w:tr>
        <w:trPr>
          <w:trHeight w:val="202"/>
        </w:trPr>
        <w:tc>
          <w:tcPr>
            <w:tcW w:w="532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John W. Swann, III</w:t>
            </w:r>
          </w:p>
        </w:tc>
        <w:tc>
          <w:tcPr>
            <w:tcW w:w="16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$605,640</w:t>
            </w:r>
          </w:p>
        </w:tc>
        <w:tc>
          <w:tcPr>
            <w:tcW w:w="14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7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155.0%</w:t>
            </w:r>
          </w:p>
        </w:tc>
        <w:tc>
          <w:tcPr>
            <w:tcW w:w="10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$657,127</w:t>
            </w:r>
          </w:p>
        </w:tc>
        <w:tc>
          <w:tcPr>
            <w:tcW w:w="0" w:type="dxa"/>
            <w:vAlign w:val="bottom"/>
          </w:tcPr>
          <w:p>
            <w:pPr>
              <w:spacing w:after="0"/>
              <w:rPr>
                <w:sz w:val="1"/>
                <w:szCs w:val="1"/>
                <w:color w:val="auto"/>
              </w:rPr>
            </w:pPr>
          </w:p>
        </w:tc>
      </w:tr>
      <w:tr>
        <w:trPr>
          <w:trHeight w:val="22"/>
        </w:trPr>
        <w:tc>
          <w:tcPr>
            <w:tcW w:w="5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320" w:type="dxa"/>
            <w:vAlign w:val="bottom"/>
            <w:tcBorders>
              <w:left w:val="single" w:sz="8" w:color="auto"/>
              <w:bottom w:val="single" w:sz="8" w:color="E5E5E5"/>
              <w:right w:val="single" w:sz="8" w:color="auto"/>
            </w:tcBorders>
            <w:shd w:val="clear" w:color="auto" w:fill="E5E5E5"/>
          </w:tcPr>
          <w:p>
            <w:pPr>
              <w:ind w:left="200"/>
              <w:spacing w:after="0"/>
              <w:rPr>
                <w:sz w:val="20"/>
                <w:szCs w:val="20"/>
                <w:color w:val="auto"/>
              </w:rPr>
            </w:pPr>
            <w:r>
              <w:rPr>
                <w:rFonts w:ascii="Arial" w:cs="Arial" w:eastAsia="Arial" w:hAnsi="Arial"/>
                <w:sz w:val="14"/>
                <w:szCs w:val="14"/>
                <w:color w:val="auto"/>
              </w:rPr>
              <w:t>Sean McClenaghan</w:t>
            </w:r>
          </w:p>
        </w:tc>
        <w:tc>
          <w:tcPr>
            <w:tcW w:w="166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$605,640</w:t>
            </w:r>
          </w:p>
        </w:tc>
        <w:tc>
          <w:tcPr>
            <w:tcW w:w="148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70%</w:t>
            </w:r>
          </w:p>
        </w:tc>
        <w:tc>
          <w:tcPr>
            <w:tcW w:w="172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184.1%</w:t>
            </w:r>
          </w:p>
        </w:tc>
        <w:tc>
          <w:tcPr>
            <w:tcW w:w="108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$780,395</w:t>
            </w:r>
          </w:p>
        </w:tc>
        <w:tc>
          <w:tcPr>
            <w:tcW w:w="0" w:type="dxa"/>
            <w:vAlign w:val="bottom"/>
          </w:tcPr>
          <w:p>
            <w:pPr>
              <w:spacing w:after="0"/>
              <w:rPr>
                <w:sz w:val="1"/>
                <w:szCs w:val="1"/>
                <w:color w:val="auto"/>
              </w:rPr>
            </w:pPr>
          </w:p>
        </w:tc>
      </w:tr>
      <w:tr>
        <w:trPr>
          <w:trHeight w:val="20"/>
        </w:trPr>
        <w:tc>
          <w:tcPr>
            <w:tcW w:w="53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Borders>
              <w:right w:val="single" w:sz="8" w:color="auto"/>
            </w:tcBorders>
            <w:shd w:val="clear" w:color="auto" w:fill="000000"/>
          </w:tcPr>
          <w:p>
            <w:pPr>
              <w:spacing w:after="0" w:line="20" w:lineRule="exact"/>
              <w:rPr>
                <w:sz w:val="1"/>
                <w:szCs w:val="1"/>
                <w:color w:val="auto"/>
              </w:rPr>
            </w:pPr>
          </w:p>
        </w:tc>
        <w:tc>
          <w:tcPr>
            <w:tcW w:w="172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Long-Term Incentives</w:t>
      </w:r>
    </w:p>
    <w:p>
      <w:pPr>
        <w:spacing w:after="0" w:line="6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Long-term incentives are an integral part of our executive compensation program. They are designed to align the financial interests of our NEOs with those of our stockholders through performance-based compensation that correlates with the creation of long-term stockholder value. Our long-term incentive awards also support our executive retention strategy.</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For 2024, the Committee approved the following mix of LTI awards, which awards were granted in February 2024 under our stockholder approved plans: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004C97"/>
        </w:rPr>
        <w:t>Stock Options (25% Weighting)</w:t>
      </w:r>
    </w:p>
    <w:p>
      <w:pPr>
        <w:spacing w:after="0" w:line="66"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In 2024, awards of Options were granted to eligible participants, including each of the NEOs. The Committee approved the 2024 Option grants to the NEOs in February 2024. The exercise price per share of the 2024 Options is the closing trading price per share on the NYSE on the date of grant. The 2024 Options grant agreement provides generally for time-based ratable vesting in equal installments (of 33 1/3 percent per year) over a three-year period (generally subject to continued service during the period) with a maximum exercise term of ten years.</w:t>
      </w:r>
    </w:p>
    <w:p>
      <w:pPr>
        <w:spacing w:after="0" w:line="119"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The Committee approves all grants of Options to executive officers based on its equity grant guidelines. The Committee’s practice is to grant annual option awards in late February or early March, several trading days after the filing of the Company’s Form 10-K for the preceding fiscal year, which is consistent with the Committee’s policy that option awards not be granted until after material information then-known to the Company that would affect the value of the options has been publicly disclosed.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4C97"/>
        </w:rPr>
        <w:t>Performance Stock Units (50% Weighting)</w:t>
      </w:r>
    </w:p>
    <w:p>
      <w:pPr>
        <w:spacing w:after="0" w:line="66"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The 2024 awards of PSUs provide eligible participants, including each of the NEOs, the opportunity to receive shares of common stock based on pre-established financial performance targets over a specified three-year period (and generally subject to continued service during the performance period). The performance criteria for the PSUs are based on the r-TSR of SPX as compared to the results of a peer group within the aggregated S&amp;P 600 Small Cap and S&amp;P 400 Mid Cap Capital Goods Indices. At grant date, this peer group was comprised of 103 companies that compete in similar markets. Payouts under the program are made in shares of our common stock and range from 0% to 200% based on our TSR achievement versus the peer group. Threshold payout is 50% of target and maximum payout is 200% of target, with linear interpolation of payouts for results between threshold and target or between target and maximum. Threshold payout is achieved at the 30th percentile, target at the 55th percentile, and maximum at the 85th percentile. No payout is awarded unless SPX performance is equal to or greater than the 30th percentile. Payout cannot exceed target if our TSR is negative.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654050</wp:posOffset>
            </wp:positionV>
            <wp:extent cx="402590"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0259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32</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92" w:right="319" w:bottom="1440" w:gutter="0" w:footer="0" w:header="0"/>
        </w:sectPr>
      </w:pPr>
    </w:p>
    <w:bookmarkStart w:id="38" w:name="page39"/>
    <w:bookmarkEnd w:id="38"/>
    <w:p>
      <w:pPr>
        <w:ind w:left="9220"/>
        <w:spacing w:after="0"/>
        <w:rPr>
          <w:sz w:val="20"/>
          <w:szCs w:val="20"/>
          <w:color w:val="auto"/>
        </w:rPr>
      </w:pPr>
      <w:r>
        <w:rPr>
          <w:rFonts w:ascii="Arial" w:cs="Arial" w:eastAsia="Arial" w:hAnsi="Arial"/>
          <w:sz w:val="14"/>
          <w:szCs w:val="14"/>
          <w:color w:val="004C9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004C97"/>
        </w:rPr>
        <w:t>Restricted Stock Units (25% Weighting)</w:t>
      </w:r>
    </w:p>
    <w:p>
      <w:pPr>
        <w:spacing w:after="0" w:line="66"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As part of the 2024 long-term incentive program, participants, including each of the NEOs, received RSUs. The Committee approved the 2024 RSU grants to the NEOs in February 2024. The 2024 RSU grant agreement provides generally for time-based ratable vesting in annual installments (of 33 1/3 percent per year) over a three-year period (generally subject to continued service during the period). The Committee approves all grants of RSUs to be issued by the Company pursuant to approved equity grant guidelines.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Our NEOs received the following long-term incentive award opportunities in 2024:</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313"/>
        </w:trPr>
        <w:tc>
          <w:tcPr>
            <w:tcW w:w="6260" w:type="dxa"/>
            <w:vAlign w:val="bottom"/>
            <w:tcBorders>
              <w:top w:val="single" w:sz="8" w:color="auto"/>
              <w:left w:val="single" w:sz="8" w:color="auto"/>
              <w:bottom w:val="single" w:sz="8" w:color="004C97"/>
              <w:right w:val="single" w:sz="8" w:color="auto"/>
            </w:tcBorders>
            <w:shd w:val="clear" w:color="auto" w:fill="004C97"/>
          </w:tcPr>
          <w:p>
            <w:pPr>
              <w:spacing w:after="0"/>
              <w:rPr>
                <w:sz w:val="24"/>
                <w:szCs w:val="24"/>
                <w:color w:val="auto"/>
              </w:rPr>
            </w:pPr>
          </w:p>
        </w:tc>
        <w:tc>
          <w:tcPr>
            <w:tcW w:w="260" w:type="dxa"/>
            <w:vAlign w:val="bottom"/>
            <w:tcBorders>
              <w:top w:val="single" w:sz="8" w:color="auto"/>
              <w:bottom w:val="single" w:sz="8" w:color="004C97"/>
            </w:tcBorders>
            <w:shd w:val="clear" w:color="auto" w:fill="004C97"/>
          </w:tcPr>
          <w:p>
            <w:pPr>
              <w:spacing w:after="0"/>
              <w:rPr>
                <w:sz w:val="24"/>
                <w:szCs w:val="24"/>
                <w:color w:val="auto"/>
              </w:rPr>
            </w:pPr>
          </w:p>
        </w:tc>
        <w:tc>
          <w:tcPr>
            <w:tcW w:w="1280" w:type="dxa"/>
            <w:vAlign w:val="bottom"/>
            <w:tcBorders>
              <w:top w:val="single" w:sz="8" w:color="auto"/>
              <w:bottom w:val="single" w:sz="8" w:color="auto"/>
              <w:right w:val="single" w:sz="8" w:color="auto"/>
            </w:tcBorders>
            <w:shd w:val="clear" w:color="auto" w:fill="004C97"/>
          </w:tcPr>
          <w:p>
            <w:pPr>
              <w:jc w:val="right"/>
              <w:ind w:right="368"/>
              <w:spacing w:after="0"/>
              <w:rPr>
                <w:sz w:val="20"/>
                <w:szCs w:val="20"/>
                <w:color w:val="auto"/>
              </w:rPr>
            </w:pPr>
            <w:r>
              <w:rPr>
                <w:rFonts w:ascii="Arial" w:cs="Arial" w:eastAsia="Arial" w:hAnsi="Arial"/>
                <w:sz w:val="14"/>
                <w:szCs w:val="14"/>
                <w:b w:val="1"/>
                <w:bCs w:val="1"/>
                <w:color w:val="FFFFFF"/>
              </w:rPr>
              <w:t>Target LTI</w:t>
            </w:r>
          </w:p>
        </w:tc>
        <w:tc>
          <w:tcPr>
            <w:tcW w:w="1280" w:type="dxa"/>
            <w:vAlign w:val="bottom"/>
            <w:tcBorders>
              <w:top w:val="single" w:sz="8" w:color="auto"/>
              <w:bottom w:val="single" w:sz="8" w:color="auto"/>
              <w:right w:val="single" w:sz="8" w:color="004C97"/>
            </w:tcBorders>
            <w:shd w:val="clear" w:color="auto" w:fill="004C97"/>
          </w:tcPr>
          <w:p>
            <w:pPr>
              <w:spacing w:after="0"/>
              <w:rPr>
                <w:sz w:val="24"/>
                <w:szCs w:val="24"/>
                <w:color w:val="auto"/>
              </w:rPr>
            </w:pPr>
          </w:p>
        </w:tc>
        <w:tc>
          <w:tcPr>
            <w:tcW w:w="1100" w:type="dxa"/>
            <w:vAlign w:val="bottom"/>
            <w:tcBorders>
              <w:top w:val="single" w:sz="8" w:color="auto"/>
              <w:bottom w:val="single" w:sz="8" w:color="auto"/>
              <w:right w:val="single" w:sz="8" w:color="004C97"/>
            </w:tcBorders>
            <w:shd w:val="clear" w:color="auto" w:fill="004C97"/>
          </w:tcPr>
          <w:p>
            <w:pPr>
              <w:jc w:val="right"/>
              <w:ind w:right="408"/>
              <w:spacing w:after="0"/>
              <w:rPr>
                <w:sz w:val="20"/>
                <w:szCs w:val="20"/>
                <w:color w:val="auto"/>
              </w:rPr>
            </w:pPr>
            <w:r>
              <w:rPr>
                <w:rFonts w:ascii="Arial" w:cs="Arial" w:eastAsia="Arial" w:hAnsi="Arial"/>
                <w:sz w:val="14"/>
                <w:szCs w:val="14"/>
                <w:b w:val="1"/>
                <w:bCs w:val="1"/>
                <w:color w:val="FFFFFF"/>
              </w:rPr>
              <w:t>Units</w:t>
            </w:r>
          </w:p>
        </w:tc>
        <w:tc>
          <w:tcPr>
            <w:tcW w:w="1080" w:type="dxa"/>
            <w:vAlign w:val="bottom"/>
            <w:tcBorders>
              <w:top w:val="single" w:sz="8" w:color="auto"/>
              <w:bottom w:val="single" w:sz="8" w:color="auto"/>
              <w:right w:val="single" w:sz="8" w:color="auto"/>
            </w:tcBorders>
            <w:shd w:val="clear" w:color="auto" w:fill="004C97"/>
          </w:tcPr>
          <w:p>
            <w:pPr>
              <w:spacing w:after="0"/>
              <w:rPr>
                <w:sz w:val="24"/>
                <w:szCs w:val="24"/>
                <w:color w:val="auto"/>
              </w:rPr>
            </w:pPr>
          </w:p>
        </w:tc>
      </w:tr>
      <w:tr>
        <w:trPr>
          <w:trHeight w:val="205"/>
        </w:trPr>
        <w:tc>
          <w:tcPr>
            <w:tcW w:w="6260" w:type="dxa"/>
            <w:vAlign w:val="bottom"/>
            <w:tcBorders>
              <w:top w:val="single" w:sz="8" w:color="004C97"/>
              <w:left w:val="single" w:sz="8" w:color="auto"/>
              <w:bottom w:val="single" w:sz="8" w:color="auto"/>
              <w:right w:val="single" w:sz="8" w:color="auto"/>
            </w:tcBorders>
            <w:shd w:val="clear" w:color="auto" w:fill="004C97"/>
          </w:tcPr>
          <w:p>
            <w:pPr>
              <w:ind w:left="2280"/>
              <w:spacing w:after="0"/>
              <w:rPr>
                <w:sz w:val="20"/>
                <w:szCs w:val="20"/>
                <w:color w:val="auto"/>
              </w:rPr>
            </w:pPr>
            <w:r>
              <w:rPr>
                <w:rFonts w:ascii="Arial" w:cs="Arial" w:eastAsia="Arial" w:hAnsi="Arial"/>
                <w:sz w:val="14"/>
                <w:szCs w:val="14"/>
                <w:b w:val="1"/>
                <w:bCs w:val="1"/>
                <w:color w:val="FFFFFF"/>
              </w:rPr>
              <w:t>Named Executive Officer</w:t>
            </w:r>
          </w:p>
        </w:tc>
        <w:tc>
          <w:tcPr>
            <w:tcW w:w="260" w:type="dxa"/>
            <w:vAlign w:val="bottom"/>
            <w:tcBorders>
              <w:top w:val="single" w:sz="8" w:color="004C97"/>
              <w:bottom w:val="single" w:sz="8" w:color="auto"/>
            </w:tcBorders>
            <w:shd w:val="clear" w:color="auto" w:fill="004C97"/>
          </w:tcPr>
          <w:p>
            <w:pPr>
              <w:spacing w:after="0"/>
              <w:rPr>
                <w:sz w:val="17"/>
                <w:szCs w:val="17"/>
                <w:color w:val="auto"/>
              </w:rPr>
            </w:pPr>
          </w:p>
        </w:tc>
        <w:tc>
          <w:tcPr>
            <w:tcW w:w="1280" w:type="dxa"/>
            <w:vAlign w:val="bottom"/>
            <w:tcBorders>
              <w:top w:val="single" w:sz="8" w:color="auto"/>
              <w:bottom w:val="single" w:sz="8" w:color="auto"/>
              <w:right w:val="single" w:sz="8" w:color="auto"/>
            </w:tcBorders>
            <w:shd w:val="clear" w:color="auto" w:fill="004C97"/>
          </w:tcPr>
          <w:p>
            <w:pPr>
              <w:jc w:val="right"/>
              <w:ind w:right="528"/>
              <w:spacing w:after="0"/>
              <w:rPr>
                <w:sz w:val="20"/>
                <w:szCs w:val="20"/>
                <w:color w:val="auto"/>
              </w:rPr>
            </w:pPr>
            <w:r>
              <w:rPr>
                <w:rFonts w:ascii="Arial" w:cs="Arial" w:eastAsia="Arial" w:hAnsi="Arial"/>
                <w:sz w:val="14"/>
                <w:szCs w:val="14"/>
                <w:b w:val="1"/>
                <w:bCs w:val="1"/>
                <w:color w:val="FFFFFF"/>
              </w:rPr>
              <w:t>Value</w:t>
            </w:r>
          </w:p>
        </w:tc>
        <w:tc>
          <w:tcPr>
            <w:tcW w:w="1280" w:type="dxa"/>
            <w:vAlign w:val="bottom"/>
            <w:tcBorders>
              <w:top w:val="single" w:sz="8" w:color="004C97"/>
              <w:bottom w:val="single" w:sz="8" w:color="auto"/>
              <w:right w:val="single" w:sz="8" w:color="auto"/>
            </w:tcBorders>
            <w:shd w:val="clear" w:color="auto" w:fill="004C97"/>
          </w:tcPr>
          <w:p>
            <w:pPr>
              <w:jc w:val="right"/>
              <w:ind w:right="308"/>
              <w:spacing w:after="0"/>
              <w:rPr>
                <w:sz w:val="20"/>
                <w:szCs w:val="20"/>
                <w:color w:val="auto"/>
              </w:rPr>
            </w:pPr>
            <w:r>
              <w:rPr>
                <w:rFonts w:ascii="Arial" w:cs="Arial" w:eastAsia="Arial" w:hAnsi="Arial"/>
                <w:sz w:val="14"/>
                <w:szCs w:val="14"/>
                <w:b w:val="1"/>
                <w:bCs w:val="1"/>
                <w:color w:val="FFFFFF"/>
              </w:rPr>
              <w:t>Options</w:t>
            </w:r>
          </w:p>
        </w:tc>
        <w:tc>
          <w:tcPr>
            <w:tcW w:w="1100" w:type="dxa"/>
            <w:vAlign w:val="bottom"/>
            <w:tcBorders>
              <w:top w:val="single" w:sz="8" w:color="004C97"/>
              <w:bottom w:val="single" w:sz="8" w:color="auto"/>
              <w:right w:val="single" w:sz="8" w:color="auto"/>
            </w:tcBorders>
            <w:shd w:val="clear" w:color="auto" w:fill="004C97"/>
          </w:tcPr>
          <w:p>
            <w:pPr>
              <w:jc w:val="right"/>
              <w:ind w:right="308"/>
              <w:spacing w:after="0"/>
              <w:rPr>
                <w:sz w:val="20"/>
                <w:szCs w:val="20"/>
                <w:color w:val="auto"/>
              </w:rPr>
            </w:pPr>
            <w:r>
              <w:rPr>
                <w:rFonts w:ascii="Arial" w:cs="Arial" w:eastAsia="Arial" w:hAnsi="Arial"/>
                <w:sz w:val="14"/>
                <w:szCs w:val="14"/>
                <w:b w:val="1"/>
                <w:bCs w:val="1"/>
                <w:color w:val="FFFFFF"/>
              </w:rPr>
              <w:t>PSUs</w:t>
            </w:r>
          </w:p>
        </w:tc>
        <w:tc>
          <w:tcPr>
            <w:tcW w:w="1080" w:type="dxa"/>
            <w:vAlign w:val="bottom"/>
            <w:tcBorders>
              <w:top w:val="single" w:sz="8" w:color="004C97"/>
              <w:bottom w:val="single" w:sz="8" w:color="auto"/>
              <w:right w:val="single" w:sz="8" w:color="auto"/>
            </w:tcBorders>
            <w:shd w:val="clear" w:color="auto" w:fill="004C97"/>
          </w:tcPr>
          <w:p>
            <w:pPr>
              <w:jc w:val="right"/>
              <w:ind w:right="288"/>
              <w:spacing w:after="0"/>
              <w:rPr>
                <w:sz w:val="20"/>
                <w:szCs w:val="20"/>
                <w:color w:val="auto"/>
              </w:rPr>
            </w:pPr>
            <w:r>
              <w:rPr>
                <w:rFonts w:ascii="Arial" w:cs="Arial" w:eastAsia="Arial" w:hAnsi="Arial"/>
                <w:sz w:val="14"/>
                <w:szCs w:val="14"/>
                <w:b w:val="1"/>
                <w:bCs w:val="1"/>
                <w:color w:val="FFFFFF"/>
              </w:rPr>
              <w:t>RSUs</w:t>
            </w:r>
          </w:p>
        </w:tc>
      </w:tr>
      <w:tr>
        <w:trPr>
          <w:trHeight w:val="234"/>
        </w:trPr>
        <w:tc>
          <w:tcPr>
            <w:tcW w:w="6260" w:type="dxa"/>
            <w:vAlign w:val="bottom"/>
            <w:tcBorders>
              <w:left w:val="single" w:sz="8" w:color="auto"/>
              <w:bottom w:val="single" w:sz="8" w:color="E5E5E5"/>
              <w:right w:val="single" w:sz="8" w:color="auto"/>
            </w:tcBorders>
            <w:shd w:val="clear" w:color="auto" w:fill="E5E5E5"/>
          </w:tcPr>
          <w:p>
            <w:pPr>
              <w:ind w:left="200"/>
              <w:spacing w:after="0"/>
              <w:rPr>
                <w:sz w:val="20"/>
                <w:szCs w:val="20"/>
                <w:color w:val="auto"/>
              </w:rPr>
            </w:pPr>
            <w:r>
              <w:rPr>
                <w:rFonts w:ascii="Arial" w:cs="Arial" w:eastAsia="Arial" w:hAnsi="Arial"/>
                <w:sz w:val="14"/>
                <w:szCs w:val="14"/>
                <w:color w:val="auto"/>
              </w:rPr>
              <w:t>Eugene J. Lowe, III</w:t>
            </w:r>
          </w:p>
        </w:tc>
        <w:tc>
          <w:tcPr>
            <w:tcW w:w="26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4,600,000</w:t>
            </w:r>
          </w:p>
        </w:tc>
        <w:tc>
          <w:tcPr>
            <w:tcW w:w="1280" w:type="dxa"/>
            <w:vAlign w:val="bottom"/>
            <w:tcBorders>
              <w:bottom w:val="single" w:sz="8" w:color="E5E5E5"/>
              <w:right w:val="single" w:sz="8" w:color="auto"/>
            </w:tcBorders>
            <w:shd w:val="clear" w:color="auto" w:fill="E5E5E5"/>
          </w:tcPr>
          <w:p>
            <w:pPr>
              <w:jc w:val="right"/>
              <w:ind w:right="188"/>
              <w:spacing w:after="0"/>
              <w:rPr>
                <w:sz w:val="20"/>
                <w:szCs w:val="20"/>
                <w:color w:val="auto"/>
              </w:rPr>
            </w:pPr>
            <w:r>
              <w:rPr>
                <w:rFonts w:ascii="Arial" w:cs="Arial" w:eastAsia="Arial" w:hAnsi="Arial"/>
                <w:sz w:val="14"/>
                <w:szCs w:val="14"/>
                <w:color w:val="auto"/>
              </w:rPr>
              <w:t>24,238</w:t>
            </w:r>
          </w:p>
        </w:tc>
        <w:tc>
          <w:tcPr>
            <w:tcW w:w="1100" w:type="dxa"/>
            <w:vAlign w:val="bottom"/>
            <w:tcBorders>
              <w:bottom w:val="single" w:sz="8" w:color="E5E5E5"/>
              <w:right w:val="single" w:sz="8" w:color="auto"/>
            </w:tcBorders>
            <w:shd w:val="clear" w:color="auto" w:fill="E5E5E5"/>
          </w:tcPr>
          <w:p>
            <w:pPr>
              <w:jc w:val="right"/>
              <w:ind w:right="188"/>
              <w:spacing w:after="0"/>
              <w:rPr>
                <w:sz w:val="20"/>
                <w:szCs w:val="20"/>
                <w:color w:val="auto"/>
              </w:rPr>
            </w:pPr>
            <w:r>
              <w:rPr>
                <w:rFonts w:ascii="Arial" w:cs="Arial" w:eastAsia="Arial" w:hAnsi="Arial"/>
                <w:sz w:val="14"/>
                <w:szCs w:val="14"/>
                <w:color w:val="auto"/>
              </w:rPr>
              <w:t>21,175</w:t>
            </w:r>
          </w:p>
        </w:tc>
        <w:tc>
          <w:tcPr>
            <w:tcW w:w="1080" w:type="dxa"/>
            <w:vAlign w:val="bottom"/>
            <w:tcBorders>
              <w:bottom w:val="single" w:sz="8" w:color="E5E5E5"/>
              <w:right w:val="single" w:sz="8" w:color="auto"/>
            </w:tcBorders>
            <w:shd w:val="clear" w:color="auto" w:fill="E5E5E5"/>
          </w:tcPr>
          <w:p>
            <w:pPr>
              <w:jc w:val="right"/>
              <w:ind w:right="188"/>
              <w:spacing w:after="0"/>
              <w:rPr>
                <w:sz w:val="20"/>
                <w:szCs w:val="20"/>
                <w:color w:val="auto"/>
              </w:rPr>
            </w:pPr>
            <w:r>
              <w:rPr>
                <w:rFonts w:ascii="Arial" w:cs="Arial" w:eastAsia="Arial" w:hAnsi="Arial"/>
                <w:sz w:val="14"/>
                <w:szCs w:val="14"/>
                <w:color w:val="auto"/>
              </w:rPr>
              <w:t>10,587</w:t>
            </w:r>
          </w:p>
        </w:tc>
      </w:tr>
      <w:tr>
        <w:trPr>
          <w:trHeight w:val="202"/>
        </w:trPr>
        <w:tc>
          <w:tcPr>
            <w:tcW w:w="62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Mark A. Carano</w:t>
            </w: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770,000</w:t>
            </w:r>
          </w:p>
        </w:tc>
        <w:tc>
          <w:tcPr>
            <w:tcW w:w="1280" w:type="dxa"/>
            <w:vAlign w:val="bottom"/>
            <w:tcBorders>
              <w:top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4,057</w:t>
            </w:r>
          </w:p>
        </w:tc>
        <w:tc>
          <w:tcPr>
            <w:tcW w:w="1100" w:type="dxa"/>
            <w:vAlign w:val="bottom"/>
            <w:tcBorders>
              <w:top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3,544</w:t>
            </w:r>
          </w:p>
        </w:tc>
        <w:tc>
          <w:tcPr>
            <w:tcW w:w="1080" w:type="dxa"/>
            <w:vAlign w:val="bottom"/>
            <w:tcBorders>
              <w:top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1,772</w:t>
            </w:r>
          </w:p>
        </w:tc>
      </w:tr>
      <w:tr>
        <w:trPr>
          <w:trHeight w:val="22"/>
        </w:trPr>
        <w:tc>
          <w:tcPr>
            <w:tcW w:w="6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6260" w:type="dxa"/>
            <w:vAlign w:val="bottom"/>
            <w:tcBorders>
              <w:left w:val="single" w:sz="8" w:color="auto"/>
              <w:bottom w:val="single" w:sz="8" w:color="E5E5E5"/>
              <w:right w:val="single" w:sz="8" w:color="auto"/>
            </w:tcBorders>
            <w:shd w:val="clear" w:color="auto" w:fill="E5E5E5"/>
          </w:tcPr>
          <w:p>
            <w:pPr>
              <w:ind w:left="200"/>
              <w:spacing w:after="0"/>
              <w:rPr>
                <w:sz w:val="20"/>
                <w:szCs w:val="20"/>
                <w:color w:val="auto"/>
              </w:rPr>
            </w:pPr>
            <w:r>
              <w:rPr>
                <w:rFonts w:ascii="Arial" w:cs="Arial" w:eastAsia="Arial" w:hAnsi="Arial"/>
                <w:sz w:val="14"/>
                <w:szCs w:val="14"/>
                <w:color w:val="auto"/>
              </w:rPr>
              <w:t>J. Randall Data</w:t>
            </w:r>
          </w:p>
        </w:tc>
        <w:tc>
          <w:tcPr>
            <w:tcW w:w="26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1,300,000</w:t>
            </w:r>
          </w:p>
        </w:tc>
        <w:tc>
          <w:tcPr>
            <w:tcW w:w="1280" w:type="dxa"/>
            <w:vAlign w:val="bottom"/>
            <w:tcBorders>
              <w:bottom w:val="single" w:sz="8" w:color="E5E5E5"/>
              <w:right w:val="single" w:sz="8" w:color="auto"/>
            </w:tcBorders>
            <w:shd w:val="clear" w:color="auto" w:fill="E5E5E5"/>
          </w:tcPr>
          <w:p>
            <w:pPr>
              <w:jc w:val="right"/>
              <w:ind w:right="188"/>
              <w:spacing w:after="0"/>
              <w:rPr>
                <w:sz w:val="20"/>
                <w:szCs w:val="20"/>
                <w:color w:val="auto"/>
              </w:rPr>
            </w:pPr>
            <w:r>
              <w:rPr>
                <w:rFonts w:ascii="Arial" w:cs="Arial" w:eastAsia="Arial" w:hAnsi="Arial"/>
                <w:sz w:val="14"/>
                <w:szCs w:val="14"/>
                <w:color w:val="auto"/>
              </w:rPr>
              <w:t>6,850</w:t>
            </w:r>
          </w:p>
        </w:tc>
        <w:tc>
          <w:tcPr>
            <w:tcW w:w="1100" w:type="dxa"/>
            <w:vAlign w:val="bottom"/>
            <w:tcBorders>
              <w:bottom w:val="single" w:sz="8" w:color="E5E5E5"/>
              <w:right w:val="single" w:sz="8" w:color="auto"/>
            </w:tcBorders>
            <w:shd w:val="clear" w:color="auto" w:fill="E5E5E5"/>
          </w:tcPr>
          <w:p>
            <w:pPr>
              <w:jc w:val="right"/>
              <w:ind w:right="188"/>
              <w:spacing w:after="0"/>
              <w:rPr>
                <w:sz w:val="20"/>
                <w:szCs w:val="20"/>
                <w:color w:val="auto"/>
              </w:rPr>
            </w:pPr>
            <w:r>
              <w:rPr>
                <w:rFonts w:ascii="Arial" w:cs="Arial" w:eastAsia="Arial" w:hAnsi="Arial"/>
                <w:sz w:val="14"/>
                <w:szCs w:val="14"/>
                <w:color w:val="auto"/>
              </w:rPr>
              <w:t>5,984</w:t>
            </w:r>
          </w:p>
        </w:tc>
        <w:tc>
          <w:tcPr>
            <w:tcW w:w="1080" w:type="dxa"/>
            <w:vAlign w:val="bottom"/>
            <w:tcBorders>
              <w:bottom w:val="single" w:sz="8" w:color="E5E5E5"/>
              <w:right w:val="single" w:sz="8" w:color="auto"/>
            </w:tcBorders>
            <w:shd w:val="clear" w:color="auto" w:fill="E5E5E5"/>
          </w:tcPr>
          <w:p>
            <w:pPr>
              <w:jc w:val="right"/>
              <w:ind w:right="188"/>
              <w:spacing w:after="0"/>
              <w:rPr>
                <w:sz w:val="20"/>
                <w:szCs w:val="20"/>
                <w:color w:val="auto"/>
              </w:rPr>
            </w:pPr>
            <w:r>
              <w:rPr>
                <w:rFonts w:ascii="Arial" w:cs="Arial" w:eastAsia="Arial" w:hAnsi="Arial"/>
                <w:sz w:val="14"/>
                <w:szCs w:val="14"/>
                <w:color w:val="auto"/>
              </w:rPr>
              <w:t>2,992</w:t>
            </w:r>
          </w:p>
        </w:tc>
      </w:tr>
      <w:tr>
        <w:trPr>
          <w:trHeight w:val="202"/>
        </w:trPr>
        <w:tc>
          <w:tcPr>
            <w:tcW w:w="62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John W. Swann, III</w:t>
            </w: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800,000</w:t>
            </w:r>
          </w:p>
        </w:tc>
        <w:tc>
          <w:tcPr>
            <w:tcW w:w="1280" w:type="dxa"/>
            <w:vAlign w:val="bottom"/>
            <w:tcBorders>
              <w:top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4,215</w:t>
            </w:r>
          </w:p>
        </w:tc>
        <w:tc>
          <w:tcPr>
            <w:tcW w:w="1100" w:type="dxa"/>
            <w:vAlign w:val="bottom"/>
            <w:tcBorders>
              <w:top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3,683</w:t>
            </w:r>
          </w:p>
        </w:tc>
        <w:tc>
          <w:tcPr>
            <w:tcW w:w="1080" w:type="dxa"/>
            <w:vAlign w:val="bottom"/>
            <w:tcBorders>
              <w:top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1,841</w:t>
            </w:r>
          </w:p>
        </w:tc>
      </w:tr>
      <w:tr>
        <w:trPr>
          <w:trHeight w:val="22"/>
        </w:trPr>
        <w:tc>
          <w:tcPr>
            <w:tcW w:w="6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r>
      <w:tr>
        <w:trPr>
          <w:trHeight w:val="203"/>
        </w:trPr>
        <w:tc>
          <w:tcPr>
            <w:tcW w:w="6260" w:type="dxa"/>
            <w:vAlign w:val="bottom"/>
            <w:tcBorders>
              <w:left w:val="single" w:sz="8" w:color="auto"/>
              <w:bottom w:val="single" w:sz="8" w:color="E5E5E5"/>
              <w:right w:val="single" w:sz="8" w:color="auto"/>
            </w:tcBorders>
            <w:shd w:val="clear" w:color="auto" w:fill="E5E5E5"/>
          </w:tcPr>
          <w:p>
            <w:pPr>
              <w:ind w:left="200"/>
              <w:spacing w:after="0"/>
              <w:rPr>
                <w:sz w:val="20"/>
                <w:szCs w:val="20"/>
                <w:color w:val="auto"/>
              </w:rPr>
            </w:pPr>
            <w:r>
              <w:rPr>
                <w:rFonts w:ascii="Arial" w:cs="Arial" w:eastAsia="Arial" w:hAnsi="Arial"/>
                <w:sz w:val="14"/>
                <w:szCs w:val="14"/>
                <w:color w:val="auto"/>
              </w:rPr>
              <w:t>Sean McClenaghan</w:t>
            </w:r>
          </w:p>
        </w:tc>
        <w:tc>
          <w:tcPr>
            <w:tcW w:w="26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1,000,000</w:t>
            </w:r>
          </w:p>
        </w:tc>
        <w:tc>
          <w:tcPr>
            <w:tcW w:w="1280" w:type="dxa"/>
            <w:vAlign w:val="bottom"/>
            <w:tcBorders>
              <w:bottom w:val="single" w:sz="8" w:color="E5E5E5"/>
              <w:right w:val="single" w:sz="8" w:color="auto"/>
            </w:tcBorders>
            <w:shd w:val="clear" w:color="auto" w:fill="E5E5E5"/>
          </w:tcPr>
          <w:p>
            <w:pPr>
              <w:jc w:val="right"/>
              <w:ind w:right="188"/>
              <w:spacing w:after="0"/>
              <w:rPr>
                <w:sz w:val="20"/>
                <w:szCs w:val="20"/>
                <w:color w:val="auto"/>
              </w:rPr>
            </w:pPr>
            <w:r>
              <w:rPr>
                <w:rFonts w:ascii="Arial" w:cs="Arial" w:eastAsia="Arial" w:hAnsi="Arial"/>
                <w:sz w:val="14"/>
                <w:szCs w:val="14"/>
                <w:color w:val="auto"/>
              </w:rPr>
              <w:t>5,269</w:t>
            </w:r>
          </w:p>
        </w:tc>
        <w:tc>
          <w:tcPr>
            <w:tcW w:w="1100" w:type="dxa"/>
            <w:vAlign w:val="bottom"/>
            <w:tcBorders>
              <w:bottom w:val="single" w:sz="8" w:color="E5E5E5"/>
              <w:right w:val="single" w:sz="8" w:color="auto"/>
            </w:tcBorders>
            <w:shd w:val="clear" w:color="auto" w:fill="E5E5E5"/>
          </w:tcPr>
          <w:p>
            <w:pPr>
              <w:jc w:val="right"/>
              <w:ind w:right="188"/>
              <w:spacing w:after="0"/>
              <w:rPr>
                <w:sz w:val="20"/>
                <w:szCs w:val="20"/>
                <w:color w:val="auto"/>
              </w:rPr>
            </w:pPr>
            <w:r>
              <w:rPr>
                <w:rFonts w:ascii="Arial" w:cs="Arial" w:eastAsia="Arial" w:hAnsi="Arial"/>
                <w:sz w:val="14"/>
                <w:szCs w:val="14"/>
                <w:color w:val="auto"/>
              </w:rPr>
              <w:t>4,603</w:t>
            </w:r>
          </w:p>
        </w:tc>
        <w:tc>
          <w:tcPr>
            <w:tcW w:w="1080" w:type="dxa"/>
            <w:vAlign w:val="bottom"/>
            <w:tcBorders>
              <w:bottom w:val="single" w:sz="8" w:color="E5E5E5"/>
              <w:right w:val="single" w:sz="8" w:color="auto"/>
            </w:tcBorders>
            <w:shd w:val="clear" w:color="auto" w:fill="E5E5E5"/>
          </w:tcPr>
          <w:p>
            <w:pPr>
              <w:jc w:val="right"/>
              <w:ind w:right="188"/>
              <w:spacing w:after="0"/>
              <w:rPr>
                <w:sz w:val="20"/>
                <w:szCs w:val="20"/>
                <w:color w:val="auto"/>
              </w:rPr>
            </w:pPr>
            <w:r>
              <w:rPr>
                <w:rFonts w:ascii="Arial" w:cs="Arial" w:eastAsia="Arial" w:hAnsi="Arial"/>
                <w:sz w:val="14"/>
                <w:szCs w:val="14"/>
                <w:color w:val="auto"/>
              </w:rPr>
              <w:t>2,302</w:t>
            </w:r>
          </w:p>
        </w:tc>
      </w:tr>
      <w:tr>
        <w:trPr>
          <w:trHeight w:val="20"/>
        </w:trPr>
        <w:tc>
          <w:tcPr>
            <w:tcW w:w="62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r>
    </w:tbl>
    <w:p>
      <w:pPr>
        <w:spacing w:after="0" w:line="18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allocation of Options was based on the Black-Scholes valuation and RSUs and PSUs were based on the average closing fair market value of SPX stock for the 15 trading days immediately preceding the date of grant. The amounts included for PSUs in the “Summary Compensation Table” beginning on page 37 and in the table included in “Grants of Plan-Based Awards” beginning on page 39 are based on the grant date fair value of the PSUs determined using financial accounting assumptions as required by SEC rules for reporting the related compensation in those tables, which differ from the values assigned to these awards in the allocations described above.</w:t>
      </w:r>
    </w:p>
    <w:p>
      <w:pPr>
        <w:spacing w:after="0" w:line="13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Outstanding equity awards are more fully described in the “Outstanding Equity Awards at Fiscal Year-End” table in “Executive Compensation,” beginning on page 40.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004C97"/>
        </w:rPr>
        <w:t>Performance Stock Units Awards in 2022</w:t>
      </w:r>
    </w:p>
    <w:p>
      <w:pPr>
        <w:spacing w:after="0" w:line="66"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The grant of PSUs made in March 2022 to the NEOs other than Mr. Carano and Mr. McClenaghan (who joined SPX after those grants had been made) covered the measurement period of January 1, 2022 through December 31, 2024. The performance metric for these PSUs measures r-TSR compared to a peer group comprised of the S&amp;P 600 Small Cap Capital Goods Index. Total stockholder return delivered in the measurement period was 184.4%, which ranked in the 90th percentile, compared to threshold of 30th percentile that would earn a 50% payout, target of 50th percentile, and maximum of 75th percentile that would earn a 150% payout. The resulting performance achievement of the March 2022 grant was a 150% payout of the PSUs. The final value of the payout reflects both the appreciation of the value of stock since the time of the grant and the payout at 150% of the performance award.</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PRACTICES, POLICIES, AND GUIDELINES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Policy on Hedging</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No SPX director or employee may trade in derivative securities relating to SPX securities, such as put and call options or forward transactions.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Policy on Pledging</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No SPX director or executive officer may pledge SPX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Insider Trading Policy</w:t>
      </w:r>
    </w:p>
    <w:p>
      <w:pPr>
        <w:spacing w:after="0" w:line="6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We have adopted an insider trading policy governing the purchase, sale and other dispositions of the Company’s securities that applies to all Company personnel, including directors, officers, employees, and other covered persons. We also follow procedures for the repurchase of our securities. We believe that our insider trading policy and repurchase procedures are reasonably designed to promote compliance with insider trading laws, rules and regulations, and listing standards applicable to the SPX.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650240</wp:posOffset>
            </wp:positionV>
            <wp:extent cx="403225"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0322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2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33</w:t>
            </w:r>
          </w:p>
        </w:tc>
      </w:tr>
      <w:tr>
        <w:trPr>
          <w:trHeight w:val="27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92" w:right="319" w:bottom="1440" w:gutter="0" w:footer="0" w:header="0"/>
        </w:sectPr>
      </w:pPr>
    </w:p>
    <w:bookmarkStart w:id="39" w:name="page40"/>
    <w:bookmarkEnd w:id="39"/>
    <w:p>
      <w:pPr>
        <w:ind w:left="20"/>
        <w:spacing w:after="0"/>
        <w:rPr>
          <w:sz w:val="20"/>
          <w:szCs w:val="20"/>
          <w:color w:val="auto"/>
        </w:rPr>
      </w:pPr>
      <w:r>
        <w:rPr>
          <w:rFonts w:ascii="Arial" w:cs="Arial" w:eastAsia="Arial" w:hAnsi="Arial"/>
          <w:sz w:val="14"/>
          <w:szCs w:val="14"/>
          <w:color w:val="004C9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Stock Ownership Guidelines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Our Stock Ownership Guidelines are designed to help ensure our executive officers’ interests are closely aligned with those of our long-term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 detail can be found in “Ownership of Common Stock—Stock Ownership Guidelines” on page 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Compensation Clawback Policies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Company maintains two executive compensation clawback policies with respect to its executive officers, including a policy adopted effective as of December 1, 2023 to address new requirements under rules recently adopted by the SEC and NYSE under the Dodd-Frank Wall Street Reform and Consumer Protection Act of 2010 mandating the clawback of incentive compensation upon the restatement of the Company’s financial statements (the “Dodd-Frank clawback policy”). The prior-existing clawback policy that had been adopted by the Company defines the economic consequences misconduct could have on the compensation of executive officers. Under that policy, we retroactively adjust compensation in the event of a restatement of financial or other performance results to the extent required under applicable rules under the Sarbanes-Oxley Act of 2002. Our executive bonus program provides for repayment or forfeiture of awards under specified circumstances if the Company, as a result of misconduct, is required to prepare an accounting restatement due to material noncompliance with any financial reporting requirement under the securities laws. Any awards earned or accrued during the 12-month period following the first public issuance or filing with the SEC (whichever first occurred) of the financial document that failed to materially comply with a financial reporting requirement must be paid back to the Company. To the extent that the affected award was deferred under a nonqualified deferred compensation plan maintained by the Company rather than paid to the executive officer, the deferred amount (and any earnings from it) must be forfeited. If the Board were to determine that a NEO had engaged in fraudulent or intentional misconduct, it would take action to remedy the misconduct and impose appropriate discipline. Discipline would vary based on the facts and circumstances, but could include termination of employment and/or other appropriate actions.</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Dodd-Frank clawback policy is of broader scope and applies with respect to a restatement of the Company’s financial statements even in the absence of any fraud or misconduct by an executive officer. The policy generally requires the recovery by the Company, in the event of a required accounting restatement (including a “little-r” restatement) of the Company’s financial statements, of incentive-based compensation received after the effective date of the adoption of the policy, which is based wholly or in part upon the attainment of any financial reporting measure, received by current or former executive officers to the extent that such compensation based on the erroneously reported financial information exceeds the amount derived from the restated financial information. Clawback under the policy is required for any such excess compensation received during the three completed fiscal years immediately preceding the date the Company is required to prepare an accounting restatement. The policy provides for mandatory clawback by the Company of such excess compensation, with exceptions applicable only if (1) the direct expense paid to a third party to assist in enforcing the policy would exceed the amount to be recovered (provided that the Company must make a reasonable attempt to recover such erroneously awarded compensation, document its reasonable attempts to recover, and provide that documentation to the NYSE) or (2) a recovery from certain tax-qualified retirement plans would likely cause such plans to fail to meet the statutory requirements for tax exemption.</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To facilitate the application of the Dodd-Frank clawback policy, the Company requires recipients of awards of incentive compensation based wholly or in part upon the attainment of any financial reporting measure, including relative TSR, to agree to repay any such excess compensation in accordance with the policy. Since 2013, our equity award agreements have provided that awards are subject to any compensation recovery policy adopted by the Company, as amended from time to time.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Other Benefits and Perquisites</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provide perquisites to attract and retain executives in a competitive marketplace, and we believe these benefits are generally consistent with market practices of our peer group and other comparable public industrial manufacturing companies. For a full listing of benefits and perquisites, see the “Summary Compensation Table” and accompanying footnotes beginning on page 37. We do not provide tax gross-up payments for perquisites.</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CEO may utilize our aircraft for personal travel for himself and his family. Other executive officers may be permitted personal use of our aircraft for themselves and their families if approved by our CEO. We report the value of any personal use of our corporate aircraft by NEOs as ordinary taxable income based on Standard Industry Fare Levels and as compensation in the “Summary Compensation Table” on page 37 based on our incremental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636270</wp:posOffset>
            </wp:positionV>
            <wp:extent cx="402590" cy="145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0259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34</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40" w:name="page41"/>
    <w:bookmarkEnd w:id="40"/>
    <w:p>
      <w:pPr>
        <w:ind w:left="9220"/>
        <w:spacing w:after="0"/>
        <w:rPr>
          <w:sz w:val="20"/>
          <w:szCs w:val="20"/>
          <w:color w:val="auto"/>
        </w:rPr>
      </w:pPr>
      <w:r>
        <w:rPr>
          <w:rFonts w:ascii="Arial" w:cs="Arial" w:eastAsia="Arial" w:hAnsi="Arial"/>
          <w:sz w:val="14"/>
          <w:szCs w:val="14"/>
          <w:color w:val="004C9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Retirement and Deferred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40575" cy="274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0575" cy="274320"/>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 of our NEOs participate in an SPX defined benefit pension plan.</w:t>
      </w:r>
    </w:p>
    <w:p>
      <w:pPr>
        <w:spacing w:after="0" w:line="32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executives, along with the majority of our U.S.-based employee population, are eligible to receive matching contributions into the SPX Retirement Savings and Stock Ownership Plan (the “401(k) Plan”), a tax-qualified retirement savings plan. Matching contributions are immediately vested and are invested initially in the SPX Common Stock Fund in the form of units. This fund under the 401(k) Plan is primarily invested in SPX common stock, with a small portion of the fund in cash, for purposes of administrative convenience.</w:t>
      </w:r>
    </w:p>
    <w:p>
      <w:pPr>
        <w:spacing w:after="0" w:line="119"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Executive officers and other senior-level management employees are also eligible to participate in the SPX Supplemental Retirement Savings Plan (the “SRSP”), a non-qualified deferred compensation plan that permits voluntary deferrals of base salary and annual bonuses.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regarding these plans, see “Nonqualified Deferred Compensation,” beginning on page 42.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Termination and Change-in-Control Provisions</w:t>
      </w:r>
    </w:p>
    <w:p>
      <w:pPr>
        <w:spacing w:after="0" w:line="6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As described below, all our NEOs who are currently employed, except Mr. Lowe, have entered into the current form of our change-in-control agreement as filed with the SEC.</w:t>
      </w:r>
    </w:p>
    <w:p>
      <w:pPr>
        <w:spacing w:after="0" w:line="8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September 28, 2015, the Committee recommended, and the Board approved, an employment agreement and a change-in-control agreement for Mr. Lowe, President and Chief Executive Officer, and the form of severance benefit agreements and change-in-control agreements for all other current executive officers. The Committee reviews these agreements annually considering stakeholder interests and market competitiveness and will address adjustments as it deems appropriate.</w:t>
      </w:r>
    </w:p>
    <w:p>
      <w:pPr>
        <w:spacing w:after="0" w:line="13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severance arrangements are designed to protect stockholder interests by stabilizing management during periods of uncertainty. Executives often assign significant value to severance agreements because these agreements provide compensation for lost professional opportunities in the event of a negative qualifying event following a change-in-control.</w:t>
      </w:r>
    </w:p>
    <w:p>
      <w:pPr>
        <w:spacing w:after="0" w:line="1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Severance agreements can also be a powerful tool to discourage entrenchment of management, in that these agreements can offset the risk of financial and professional loss that management may face when recommending a sale to or merger with another company. Our severance arrangements are structured to serve the above functions, which differ, and are perceived by recipients to differ, from pay for performance. Accordingly, decisions relating to other elements of compensation have minimal effect on decisions relating to existing severance agreements. As described above, all our NEOs who are currently employed, except Mr. Lowe, have entered into the most current form of our severance benefit agreement as filed with the SEC. In lieu of a separate severance benefit agreement, we have entered into an employment agreement with Mr. Lowe that provides for certain severance benefits.</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utilize a double-trigger in the event of a change-in-control. If the executive officer experiences a qualifying negative employment action following a change-in-control, then the executive officer becomes immediately vested in all previously granted unvested SPX equity, including shares subject to performance vesting, at the target level of vesting. This feature is designed to be equitable in the event of dismissal without cause or resignation for good reason, and we believe it is appropriate in the event of termination following a change-in-control.</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Severance and change-in-control terms are further discussed and quantified in “Potential Payments Upon Termination or Change-in-Control,” beginning on page 44.</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Notes</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discussion of performance targets in this CD&amp;A is exclusively in the context of executive compensation and should not be used for any other purpose or regarded as an indication of management’s expectations of future results.</w:t>
      </w:r>
    </w:p>
    <w:p>
      <w:pPr>
        <w:spacing w:after="0" w:line="10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References to “bonus” or “bonuses” in this CD&amp;A and the compensation tables are to our annual performance-based payments reflected as “Non-Equity Incentive Plan Compensation” in the “Summary Compensation Table” on page 37 and “Estimated Future Payouts under Non-Equity Incentive Plan Awards” in the “Grants of Plan-Based Awards” table on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644525</wp:posOffset>
            </wp:positionV>
            <wp:extent cx="403225" cy="146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0322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2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r>
        <w:trPr>
          <w:trHeight w:val="27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41" w:name="page42"/>
    <w:bookmarkEnd w:id="41"/>
    <w:p>
      <w:pPr>
        <w:ind w:left="20"/>
        <w:spacing w:after="0"/>
        <w:rPr>
          <w:sz w:val="20"/>
          <w:szCs w:val="20"/>
          <w:color w:val="auto"/>
        </w:rPr>
      </w:pPr>
      <w:r>
        <w:rPr>
          <w:rFonts w:ascii="Arial" w:cs="Arial" w:eastAsia="Arial" w:hAnsi="Arial"/>
          <w:sz w:val="14"/>
          <w:szCs w:val="14"/>
          <w:color w:val="004C9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Risk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Management regularly monitors and reviews our compensation program and the related risks and reports its findings to the Committee.</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do not believe our compensation policies and practices give rise to risks that are reasonably likely to have a material adverse effect on our Company. In reaching this conclusion, we considered the following factors:</w:t>
      </w:r>
    </w:p>
    <w:p>
      <w:pPr>
        <w:spacing w:after="0" w:line="102" w:lineRule="exact"/>
        <w:rPr>
          <w:sz w:val="20"/>
          <w:szCs w:val="20"/>
          <w:color w:val="auto"/>
        </w:rPr>
      </w:pPr>
    </w:p>
    <w:p>
      <w:pPr>
        <w:ind w:left="200" w:hanging="192"/>
        <w:spacing w:after="0"/>
        <w:tabs>
          <w:tab w:leader="none" w:pos="2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compensation program is designed to provide a mix of both fixed and variable incentive compensation.</w:t>
      </w:r>
    </w:p>
    <w:p>
      <w:pPr>
        <w:spacing w:after="0" w:line="99" w:lineRule="exact"/>
        <w:rPr>
          <w:rFonts w:ascii="Arial" w:cs="Arial" w:eastAsia="Arial" w:hAnsi="Arial"/>
          <w:sz w:val="16"/>
          <w:szCs w:val="16"/>
          <w:color w:val="auto"/>
        </w:rPr>
      </w:pPr>
    </w:p>
    <w:p>
      <w:pPr>
        <w:ind w:left="200" w:hanging="192"/>
        <w:spacing w:after="0" w:line="304" w:lineRule="auto"/>
        <w:tabs>
          <w:tab w:leader="none" w:pos="197"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variable portions of compensation (cash incentive and equity awards) are designed to reward both annual performance and longer-term performance. We believe this design mitigates any incentive for short-term risk-taking that could be detrimental to our Company’s long-term best interests.</w:t>
      </w:r>
    </w:p>
    <w:p>
      <w:pPr>
        <w:spacing w:after="0" w:line="19" w:lineRule="exact"/>
        <w:rPr>
          <w:rFonts w:ascii="Arial" w:cs="Arial" w:eastAsia="Arial" w:hAnsi="Arial"/>
          <w:sz w:val="16"/>
          <w:szCs w:val="16"/>
          <w:color w:val="auto"/>
        </w:rPr>
      </w:pPr>
    </w:p>
    <w:p>
      <w:pPr>
        <w:jc w:val="both"/>
        <w:ind w:left="200" w:hanging="192"/>
        <w:spacing w:after="0" w:line="275" w:lineRule="auto"/>
        <w:tabs>
          <w:tab w:leader="none" w:pos="197"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 business and segment level executives, a significant percentage of their compensation is based on the performance of our Company as a whole. This is designed to mitigate any incentive to pursue strategies that might maximize the performance of a single operating business unit to the detriment of our Company as a whole.</w:t>
      </w:r>
    </w:p>
    <w:p>
      <w:pPr>
        <w:spacing w:after="0" w:line="42" w:lineRule="exact"/>
        <w:rPr>
          <w:rFonts w:ascii="Arial" w:cs="Arial" w:eastAsia="Arial" w:hAnsi="Arial"/>
          <w:sz w:val="16"/>
          <w:szCs w:val="16"/>
          <w:color w:val="auto"/>
        </w:rPr>
      </w:pPr>
    </w:p>
    <w:p>
      <w:pPr>
        <w:ind w:left="200" w:hanging="192"/>
        <w:spacing w:after="0" w:line="286" w:lineRule="auto"/>
        <w:tabs>
          <w:tab w:leader="none" w:pos="197"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executive officers are subject to stock ownership guidelines that we believe incentivize our executives to consider the long-term interests of our Company and our stockholders and discourage excessive risk-taking that could negatively impact our stock price.</w:t>
      </w:r>
    </w:p>
    <w:p>
      <w:pPr>
        <w:spacing w:after="0" w:line="34" w:lineRule="exact"/>
        <w:rPr>
          <w:rFonts w:ascii="Arial" w:cs="Arial" w:eastAsia="Arial" w:hAnsi="Arial"/>
          <w:sz w:val="16"/>
          <w:szCs w:val="16"/>
          <w:color w:val="auto"/>
        </w:rPr>
      </w:pPr>
    </w:p>
    <w:p>
      <w:pPr>
        <w:ind w:left="200" w:hanging="192"/>
        <w:spacing w:after="0"/>
        <w:tabs>
          <w:tab w:leader="none" w:pos="2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Committee exercises risk oversight of our executive compensation program.</w:t>
      </w:r>
    </w:p>
    <w:p>
      <w:pPr>
        <w:spacing w:after="0" w:line="99" w:lineRule="exact"/>
        <w:rPr>
          <w:rFonts w:ascii="Arial" w:cs="Arial" w:eastAsia="Arial" w:hAnsi="Arial"/>
          <w:sz w:val="16"/>
          <w:szCs w:val="16"/>
          <w:color w:val="auto"/>
        </w:rPr>
      </w:pPr>
    </w:p>
    <w:p>
      <w:pPr>
        <w:ind w:left="200" w:hanging="192"/>
        <w:spacing w:after="0" w:line="304" w:lineRule="auto"/>
        <w:tabs>
          <w:tab w:leader="none" w:pos="197"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qualitative risk assessment concluded that our plans do not have an unreasonable ratio between fixed and variable compensation. The annual bonus plans are capped at specified maximum percentages, which limits incentives to undertake excessive risk.</w:t>
      </w:r>
    </w:p>
    <w:p>
      <w:pPr>
        <w:spacing w:after="0" w:line="19" w:lineRule="exact"/>
        <w:rPr>
          <w:rFonts w:ascii="Arial" w:cs="Arial" w:eastAsia="Arial" w:hAnsi="Arial"/>
          <w:sz w:val="16"/>
          <w:szCs w:val="16"/>
          <w:color w:val="auto"/>
        </w:rPr>
      </w:pPr>
    </w:p>
    <w:p>
      <w:pPr>
        <w:ind w:left="200" w:hanging="192"/>
        <w:spacing w:after="0" w:line="286" w:lineRule="auto"/>
        <w:tabs>
          <w:tab w:leader="none" w:pos="197"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management annual bonus plan also has clawback provisions relating to any fraud, manipulation, or negligence in connection with computation of performance measures or payments under the plans.</w:t>
      </w:r>
    </w:p>
    <w:p>
      <w:pPr>
        <w:spacing w:after="0" w:line="34" w:lineRule="exact"/>
        <w:rPr>
          <w:rFonts w:ascii="Arial" w:cs="Arial" w:eastAsia="Arial" w:hAnsi="Arial"/>
          <w:sz w:val="16"/>
          <w:szCs w:val="16"/>
          <w:color w:val="auto"/>
        </w:rPr>
      </w:pPr>
    </w:p>
    <w:p>
      <w:pPr>
        <w:ind w:left="200" w:hanging="192"/>
        <w:spacing w:after="0"/>
        <w:tabs>
          <w:tab w:leader="none" w:pos="2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Incentive plans are primarily determined by a formula tied directly to Company performance.</w:t>
      </w:r>
    </w:p>
    <w:p>
      <w:pPr>
        <w:spacing w:after="0" w:line="99" w:lineRule="exact"/>
        <w:rPr>
          <w:rFonts w:ascii="Arial" w:cs="Arial" w:eastAsia="Arial" w:hAnsi="Arial"/>
          <w:sz w:val="16"/>
          <w:szCs w:val="16"/>
          <w:color w:val="auto"/>
        </w:rPr>
      </w:pPr>
    </w:p>
    <w:p>
      <w:pPr>
        <w:ind w:left="200" w:hanging="192"/>
        <w:spacing w:after="0"/>
        <w:tabs>
          <w:tab w:leader="none" w:pos="2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Sales incentive plans are regularly reviewed within the context of enterprise risk.</w:t>
      </w:r>
    </w:p>
    <w:p>
      <w:pPr>
        <w:spacing w:after="0" w:line="99" w:lineRule="exact"/>
        <w:rPr>
          <w:rFonts w:ascii="Arial" w:cs="Arial" w:eastAsia="Arial" w:hAnsi="Arial"/>
          <w:sz w:val="16"/>
          <w:szCs w:val="16"/>
          <w:color w:val="auto"/>
        </w:rPr>
      </w:pPr>
    </w:p>
    <w:p>
      <w:pPr>
        <w:ind w:left="200" w:hanging="192"/>
        <w:spacing w:after="0" w:line="304" w:lineRule="auto"/>
        <w:tabs>
          <w:tab w:leader="none" w:pos="197"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addition to the structure of our plans, we mitigate any risk that may be generated by compensation plans through management oversight, compliance training and enforcement, and periodic reviews.</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No single SPX business unit carries a significant portion of the Company’s risk profile, or has compensation structured in a significantly different manner than other business units within the Company, regardless of relative business unit profitability or compensation expense as a percentage of revenues.</w:t>
      </w:r>
    </w:p>
    <w:p>
      <w:pPr>
        <w:spacing w:after="0" w:line="1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Management does not believe that any of the design features pose a significant concern. Based upon this analysis, we determined that the compensation programs do not present a material risk.</w:t>
      </w:r>
    </w:p>
    <w:p>
      <w:pPr>
        <w:spacing w:after="0" w:line="25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Compensation Committee of the SPX Board of Directors consists of five directors. Each of the Committee members is independent, as defined under SEC rules and the listing standards of the NYSE. The Committee reviews SPX’s “Compensation Discussion and Analysis” on behalf of the Board.</w:t>
      </w:r>
    </w:p>
    <w:p>
      <w:pPr>
        <w:spacing w:after="0" w:line="11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Committee has reviewed and discussed the “Compensation Discussion and Analysis” with management, and based on the review and discussions, the Committee recommended to the Board that the “Compensation Discussion and Analysis” be included in this Proxy Statement and SPX’s Annual Report on Form 10-K for the year ended December 31, 2024.</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Ricky D. Puckett, Chairman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David A. Roberts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Ruth G. Shaw</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Robert B. Toth</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Tana L. Utley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561340</wp:posOffset>
            </wp:positionV>
            <wp:extent cx="402590" cy="146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0259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36</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42" w:name="page43"/>
    <w:bookmarkEnd w:id="42"/>
    <w:p>
      <w:pPr>
        <w:ind w:left="9220"/>
        <w:spacing w:after="0"/>
        <w:rPr>
          <w:sz w:val="20"/>
          <w:szCs w:val="20"/>
          <w:color w:val="auto"/>
        </w:rPr>
      </w:pPr>
      <w:r>
        <w:rPr>
          <w:rFonts w:ascii="Arial" w:cs="Arial" w:eastAsia="Arial" w:hAnsi="Arial"/>
          <w:sz w:val="14"/>
          <w:szCs w:val="14"/>
          <w:color w:val="004C9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COMPENSATION TABLE</w:t>
      </w:r>
    </w:p>
    <w:p>
      <w:pPr>
        <w:spacing w:after="0" w:line="7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following table summarizes the compensation for our named executive officers during 2024. The “named executive officers” or “NEOs” are our Chief Executive Officer, our Chief Financial Officer and our next three most highly compensated officers who were executive officers at year end. Only 2023 and 2024 compensation amounts are provided for Mr. Carano, who joined SPX in 2023.</w:t>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100" w:type="dxa"/>
            <w:vAlign w:val="bottom"/>
            <w:tcBorders>
              <w:top w:val="single" w:sz="8" w:color="auto"/>
              <w:left w:val="single" w:sz="8" w:color="auto"/>
              <w:right w:val="single" w:sz="8" w:color="auto"/>
            </w:tcBorders>
            <w:shd w:val="clear" w:color="auto" w:fill="004C97"/>
          </w:tcPr>
          <w:p>
            <w:pPr>
              <w:spacing w:after="0"/>
              <w:rPr>
                <w:sz w:val="17"/>
                <w:szCs w:val="17"/>
                <w:color w:val="auto"/>
              </w:rPr>
            </w:pPr>
          </w:p>
        </w:tc>
        <w:tc>
          <w:tcPr>
            <w:tcW w:w="600" w:type="dxa"/>
            <w:vAlign w:val="bottom"/>
            <w:tcBorders>
              <w:top w:val="single" w:sz="8" w:color="auto"/>
              <w:right w:val="single" w:sz="8" w:color="auto"/>
            </w:tcBorders>
            <w:shd w:val="clear" w:color="auto" w:fill="004C97"/>
          </w:tcPr>
          <w:p>
            <w:pPr>
              <w:spacing w:after="0"/>
              <w:rPr>
                <w:sz w:val="17"/>
                <w:szCs w:val="17"/>
                <w:color w:val="auto"/>
              </w:rPr>
            </w:pPr>
          </w:p>
        </w:tc>
        <w:tc>
          <w:tcPr>
            <w:tcW w:w="900" w:type="dxa"/>
            <w:vAlign w:val="bottom"/>
            <w:tcBorders>
              <w:top w:val="single" w:sz="8" w:color="auto"/>
              <w:right w:val="single" w:sz="8" w:color="auto"/>
            </w:tcBorders>
            <w:shd w:val="clear" w:color="auto" w:fill="004C97"/>
          </w:tcPr>
          <w:p>
            <w:pPr>
              <w:spacing w:after="0"/>
              <w:rPr>
                <w:sz w:val="17"/>
                <w:szCs w:val="17"/>
                <w:color w:val="auto"/>
              </w:rPr>
            </w:pPr>
          </w:p>
        </w:tc>
        <w:tc>
          <w:tcPr>
            <w:tcW w:w="860" w:type="dxa"/>
            <w:vAlign w:val="bottom"/>
            <w:tcBorders>
              <w:top w:val="single" w:sz="8" w:color="auto"/>
              <w:right w:val="single" w:sz="8" w:color="auto"/>
            </w:tcBorders>
            <w:shd w:val="clear" w:color="auto" w:fill="004C97"/>
          </w:tcPr>
          <w:p>
            <w:pPr>
              <w:spacing w:after="0"/>
              <w:rPr>
                <w:sz w:val="17"/>
                <w:szCs w:val="17"/>
                <w:color w:val="auto"/>
              </w:rPr>
            </w:pPr>
          </w:p>
        </w:tc>
        <w:tc>
          <w:tcPr>
            <w:tcW w:w="920" w:type="dxa"/>
            <w:vAlign w:val="bottom"/>
            <w:tcBorders>
              <w:top w:val="single" w:sz="8" w:color="auto"/>
              <w:right w:val="single" w:sz="8" w:color="auto"/>
            </w:tcBorders>
            <w:shd w:val="clear" w:color="auto" w:fill="004C97"/>
          </w:tcPr>
          <w:p>
            <w:pPr>
              <w:spacing w:after="0"/>
              <w:rPr>
                <w:sz w:val="17"/>
                <w:szCs w:val="17"/>
                <w:color w:val="auto"/>
              </w:rPr>
            </w:pPr>
          </w:p>
        </w:tc>
        <w:tc>
          <w:tcPr>
            <w:tcW w:w="900" w:type="dxa"/>
            <w:vAlign w:val="bottom"/>
            <w:tcBorders>
              <w:top w:val="single" w:sz="8" w:color="auto"/>
              <w:right w:val="single" w:sz="8" w:color="auto"/>
            </w:tcBorders>
            <w:shd w:val="clear" w:color="auto" w:fill="004C97"/>
          </w:tcPr>
          <w:p>
            <w:pPr>
              <w:spacing w:after="0"/>
              <w:rPr>
                <w:sz w:val="17"/>
                <w:szCs w:val="17"/>
                <w:color w:val="auto"/>
              </w:rPr>
            </w:pPr>
          </w:p>
        </w:tc>
        <w:tc>
          <w:tcPr>
            <w:tcW w:w="1340" w:type="dxa"/>
            <w:vAlign w:val="bottom"/>
            <w:tcBorders>
              <w:top w:val="single" w:sz="8" w:color="auto"/>
              <w:right w:val="single" w:sz="8" w:color="auto"/>
            </w:tcBorders>
            <w:shd w:val="clear" w:color="auto" w:fill="004C97"/>
          </w:tcPr>
          <w:p>
            <w:pPr>
              <w:spacing w:after="0"/>
              <w:rPr>
                <w:sz w:val="17"/>
                <w:szCs w:val="17"/>
                <w:color w:val="auto"/>
              </w:rPr>
            </w:pPr>
          </w:p>
        </w:tc>
        <w:tc>
          <w:tcPr>
            <w:tcW w:w="132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Change in</w:t>
            </w:r>
          </w:p>
        </w:tc>
        <w:tc>
          <w:tcPr>
            <w:tcW w:w="1280" w:type="dxa"/>
            <w:vAlign w:val="bottom"/>
            <w:tcBorders>
              <w:top w:val="single" w:sz="8" w:color="auto"/>
              <w:right w:val="single" w:sz="8" w:color="auto"/>
            </w:tcBorders>
            <w:shd w:val="clear" w:color="auto" w:fill="004C97"/>
          </w:tcPr>
          <w:p>
            <w:pPr>
              <w:spacing w:after="0"/>
              <w:rPr>
                <w:sz w:val="17"/>
                <w:szCs w:val="17"/>
                <w:color w:val="auto"/>
              </w:rPr>
            </w:pPr>
          </w:p>
        </w:tc>
        <w:tc>
          <w:tcPr>
            <w:tcW w:w="1040" w:type="dxa"/>
            <w:vAlign w:val="bottom"/>
            <w:tcBorders>
              <w:top w:val="single" w:sz="8" w:color="auto"/>
              <w:right w:val="single" w:sz="8" w:color="auto"/>
            </w:tcBorders>
            <w:shd w:val="clear" w:color="auto" w:fill="004C97"/>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100" w:type="dxa"/>
            <w:vAlign w:val="bottom"/>
            <w:tcBorders>
              <w:left w:val="single" w:sz="8" w:color="auto"/>
              <w:right w:val="single" w:sz="8" w:color="auto"/>
            </w:tcBorders>
            <w:shd w:val="clear" w:color="auto" w:fill="004C97"/>
          </w:tcPr>
          <w:p>
            <w:pPr>
              <w:spacing w:after="0"/>
              <w:rPr>
                <w:sz w:val="15"/>
                <w:szCs w:val="15"/>
                <w:color w:val="auto"/>
              </w:rPr>
            </w:pPr>
          </w:p>
        </w:tc>
        <w:tc>
          <w:tcPr>
            <w:tcW w:w="600" w:type="dxa"/>
            <w:vAlign w:val="bottom"/>
            <w:tcBorders>
              <w:right w:val="single" w:sz="8" w:color="auto"/>
            </w:tcBorders>
            <w:shd w:val="clear" w:color="auto" w:fill="004C97"/>
          </w:tcPr>
          <w:p>
            <w:pPr>
              <w:spacing w:after="0"/>
              <w:rPr>
                <w:sz w:val="15"/>
                <w:szCs w:val="15"/>
                <w:color w:val="auto"/>
              </w:rPr>
            </w:pPr>
          </w:p>
        </w:tc>
        <w:tc>
          <w:tcPr>
            <w:tcW w:w="900" w:type="dxa"/>
            <w:vAlign w:val="bottom"/>
            <w:tcBorders>
              <w:right w:val="single" w:sz="8" w:color="auto"/>
            </w:tcBorders>
            <w:shd w:val="clear" w:color="auto" w:fill="004C97"/>
          </w:tcPr>
          <w:p>
            <w:pPr>
              <w:spacing w:after="0"/>
              <w:rPr>
                <w:sz w:val="15"/>
                <w:szCs w:val="15"/>
                <w:color w:val="auto"/>
              </w:rPr>
            </w:pPr>
          </w:p>
        </w:tc>
        <w:tc>
          <w:tcPr>
            <w:tcW w:w="860" w:type="dxa"/>
            <w:vAlign w:val="bottom"/>
            <w:tcBorders>
              <w:right w:val="single" w:sz="8" w:color="auto"/>
            </w:tcBorders>
            <w:shd w:val="clear" w:color="auto" w:fill="004C97"/>
          </w:tcPr>
          <w:p>
            <w:pPr>
              <w:spacing w:after="0"/>
              <w:rPr>
                <w:sz w:val="15"/>
                <w:szCs w:val="15"/>
                <w:color w:val="auto"/>
              </w:rPr>
            </w:pPr>
          </w:p>
        </w:tc>
        <w:tc>
          <w:tcPr>
            <w:tcW w:w="920" w:type="dxa"/>
            <w:vAlign w:val="bottom"/>
            <w:tcBorders>
              <w:right w:val="single" w:sz="8" w:color="auto"/>
            </w:tcBorders>
            <w:shd w:val="clear" w:color="auto" w:fill="004C97"/>
          </w:tcPr>
          <w:p>
            <w:pPr>
              <w:spacing w:after="0"/>
              <w:rPr>
                <w:sz w:val="15"/>
                <w:szCs w:val="15"/>
                <w:color w:val="auto"/>
              </w:rPr>
            </w:pPr>
          </w:p>
        </w:tc>
        <w:tc>
          <w:tcPr>
            <w:tcW w:w="900" w:type="dxa"/>
            <w:vAlign w:val="bottom"/>
            <w:tcBorders>
              <w:right w:val="single" w:sz="8" w:color="auto"/>
            </w:tcBorders>
            <w:shd w:val="clear" w:color="auto" w:fill="004C97"/>
          </w:tcPr>
          <w:p>
            <w:pPr>
              <w:spacing w:after="0"/>
              <w:rPr>
                <w:sz w:val="15"/>
                <w:szCs w:val="15"/>
                <w:color w:val="auto"/>
              </w:rPr>
            </w:pPr>
          </w:p>
        </w:tc>
        <w:tc>
          <w:tcPr>
            <w:tcW w:w="1340" w:type="dxa"/>
            <w:vAlign w:val="bottom"/>
            <w:tcBorders>
              <w:right w:val="single" w:sz="8" w:color="auto"/>
            </w:tcBorders>
            <w:shd w:val="clear" w:color="auto" w:fill="004C97"/>
          </w:tcPr>
          <w:p>
            <w:pPr>
              <w:spacing w:after="0"/>
              <w:rPr>
                <w:sz w:val="15"/>
                <w:szCs w:val="15"/>
                <w:color w:val="auto"/>
              </w:rPr>
            </w:pPr>
          </w:p>
        </w:tc>
        <w:tc>
          <w:tcPr>
            <w:tcW w:w="132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Pension Value</w:t>
            </w:r>
          </w:p>
        </w:tc>
        <w:tc>
          <w:tcPr>
            <w:tcW w:w="1280" w:type="dxa"/>
            <w:vAlign w:val="bottom"/>
            <w:tcBorders>
              <w:right w:val="single" w:sz="8" w:color="auto"/>
            </w:tcBorders>
            <w:shd w:val="clear" w:color="auto" w:fill="004C97"/>
          </w:tcPr>
          <w:p>
            <w:pPr>
              <w:spacing w:after="0"/>
              <w:rPr>
                <w:sz w:val="15"/>
                <w:szCs w:val="15"/>
                <w:color w:val="auto"/>
              </w:rPr>
            </w:pPr>
          </w:p>
        </w:tc>
        <w:tc>
          <w:tcPr>
            <w:tcW w:w="1040" w:type="dxa"/>
            <w:vAlign w:val="bottom"/>
            <w:tcBorders>
              <w:right w:val="single" w:sz="8" w:color="auto"/>
            </w:tcBorders>
            <w:shd w:val="clear" w:color="auto" w:fill="004C97"/>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00" w:type="dxa"/>
            <w:vAlign w:val="bottom"/>
            <w:tcBorders>
              <w:left w:val="single" w:sz="8" w:color="auto"/>
              <w:right w:val="single" w:sz="8" w:color="auto"/>
            </w:tcBorders>
            <w:shd w:val="clear" w:color="auto" w:fill="004C97"/>
          </w:tcPr>
          <w:p>
            <w:pPr>
              <w:spacing w:after="0"/>
              <w:rPr>
                <w:sz w:val="14"/>
                <w:szCs w:val="14"/>
                <w:color w:val="auto"/>
              </w:rPr>
            </w:pPr>
          </w:p>
        </w:tc>
        <w:tc>
          <w:tcPr>
            <w:tcW w:w="600" w:type="dxa"/>
            <w:vAlign w:val="bottom"/>
            <w:tcBorders>
              <w:right w:val="single" w:sz="8" w:color="auto"/>
            </w:tcBorders>
            <w:shd w:val="clear" w:color="auto" w:fill="004C97"/>
          </w:tcPr>
          <w:p>
            <w:pPr>
              <w:spacing w:after="0"/>
              <w:rPr>
                <w:sz w:val="14"/>
                <w:szCs w:val="14"/>
                <w:color w:val="auto"/>
              </w:rPr>
            </w:pPr>
          </w:p>
        </w:tc>
        <w:tc>
          <w:tcPr>
            <w:tcW w:w="900" w:type="dxa"/>
            <w:vAlign w:val="bottom"/>
            <w:tcBorders>
              <w:right w:val="single" w:sz="8" w:color="auto"/>
            </w:tcBorders>
            <w:shd w:val="clear" w:color="auto" w:fill="004C97"/>
          </w:tcPr>
          <w:p>
            <w:pPr>
              <w:spacing w:after="0"/>
              <w:rPr>
                <w:sz w:val="14"/>
                <w:szCs w:val="14"/>
                <w:color w:val="auto"/>
              </w:rPr>
            </w:pPr>
          </w:p>
        </w:tc>
        <w:tc>
          <w:tcPr>
            <w:tcW w:w="860" w:type="dxa"/>
            <w:vAlign w:val="bottom"/>
            <w:tcBorders>
              <w:right w:val="single" w:sz="8" w:color="auto"/>
            </w:tcBorders>
            <w:shd w:val="clear" w:color="auto" w:fill="004C97"/>
          </w:tcPr>
          <w:p>
            <w:pPr>
              <w:spacing w:after="0"/>
              <w:rPr>
                <w:sz w:val="14"/>
                <w:szCs w:val="14"/>
                <w:color w:val="auto"/>
              </w:rPr>
            </w:pPr>
          </w:p>
        </w:tc>
        <w:tc>
          <w:tcPr>
            <w:tcW w:w="920" w:type="dxa"/>
            <w:vAlign w:val="bottom"/>
            <w:tcBorders>
              <w:right w:val="single" w:sz="8" w:color="auto"/>
            </w:tcBorders>
            <w:shd w:val="clear" w:color="auto" w:fill="004C97"/>
          </w:tcPr>
          <w:p>
            <w:pPr>
              <w:spacing w:after="0"/>
              <w:rPr>
                <w:sz w:val="14"/>
                <w:szCs w:val="14"/>
                <w:color w:val="auto"/>
              </w:rPr>
            </w:pPr>
          </w:p>
        </w:tc>
        <w:tc>
          <w:tcPr>
            <w:tcW w:w="900" w:type="dxa"/>
            <w:vAlign w:val="bottom"/>
            <w:tcBorders>
              <w:right w:val="single" w:sz="8" w:color="auto"/>
            </w:tcBorders>
            <w:shd w:val="clear" w:color="auto" w:fill="004C97"/>
          </w:tcPr>
          <w:p>
            <w:pPr>
              <w:spacing w:after="0"/>
              <w:rPr>
                <w:sz w:val="14"/>
                <w:szCs w:val="14"/>
                <w:color w:val="auto"/>
              </w:rPr>
            </w:pPr>
          </w:p>
        </w:tc>
        <w:tc>
          <w:tcPr>
            <w:tcW w:w="134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4"/>
                <w:szCs w:val="14"/>
                <w:b w:val="1"/>
                <w:bCs w:val="1"/>
                <w:color w:val="FFFFFF"/>
              </w:rPr>
              <w:t>Non-Equity</w:t>
            </w:r>
          </w:p>
        </w:tc>
        <w:tc>
          <w:tcPr>
            <w:tcW w:w="1320" w:type="dxa"/>
            <w:vAlign w:val="bottom"/>
            <w:tcBorders>
              <w:right w:val="single" w:sz="8" w:color="auto"/>
            </w:tcBorders>
            <w:shd w:val="clear" w:color="auto" w:fill="004C97"/>
          </w:tcPr>
          <w:p>
            <w:pPr>
              <w:jc w:val="right"/>
              <w:ind w:right="8"/>
              <w:spacing w:after="0"/>
              <w:rPr>
                <w:sz w:val="20"/>
                <w:szCs w:val="20"/>
                <w:color w:val="auto"/>
              </w:rPr>
            </w:pPr>
            <w:r>
              <w:rPr>
                <w:rFonts w:ascii="Arial" w:cs="Arial" w:eastAsia="Arial" w:hAnsi="Arial"/>
                <w:sz w:val="14"/>
                <w:szCs w:val="14"/>
                <w:b w:val="1"/>
                <w:bCs w:val="1"/>
                <w:color w:val="FFFFFF"/>
              </w:rPr>
              <w:t>and Nonqualified</w:t>
            </w:r>
          </w:p>
        </w:tc>
        <w:tc>
          <w:tcPr>
            <w:tcW w:w="1280" w:type="dxa"/>
            <w:vAlign w:val="bottom"/>
            <w:tcBorders>
              <w:right w:val="single" w:sz="8" w:color="auto"/>
            </w:tcBorders>
            <w:shd w:val="clear" w:color="auto" w:fill="004C97"/>
          </w:tcPr>
          <w:p>
            <w:pPr>
              <w:spacing w:after="0"/>
              <w:rPr>
                <w:sz w:val="14"/>
                <w:szCs w:val="14"/>
                <w:color w:val="auto"/>
              </w:rPr>
            </w:pPr>
          </w:p>
        </w:tc>
        <w:tc>
          <w:tcPr>
            <w:tcW w:w="1040" w:type="dxa"/>
            <w:vAlign w:val="bottom"/>
            <w:tcBorders>
              <w:right w:val="single" w:sz="8" w:color="auto"/>
            </w:tcBorders>
            <w:shd w:val="clear" w:color="auto" w:fill="004C97"/>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100" w:type="dxa"/>
            <w:vAlign w:val="bottom"/>
            <w:tcBorders>
              <w:left w:val="single" w:sz="8" w:color="auto"/>
              <w:right w:val="single" w:sz="8" w:color="auto"/>
            </w:tcBorders>
            <w:shd w:val="clear" w:color="auto" w:fill="004C97"/>
          </w:tcPr>
          <w:p>
            <w:pPr>
              <w:spacing w:after="0"/>
              <w:rPr>
                <w:sz w:val="5"/>
                <w:szCs w:val="5"/>
                <w:color w:val="auto"/>
              </w:rPr>
            </w:pPr>
          </w:p>
        </w:tc>
        <w:tc>
          <w:tcPr>
            <w:tcW w:w="600" w:type="dxa"/>
            <w:vAlign w:val="bottom"/>
            <w:tcBorders>
              <w:right w:val="single" w:sz="8" w:color="auto"/>
            </w:tcBorders>
            <w:shd w:val="clear" w:color="auto" w:fill="004C97"/>
          </w:tcPr>
          <w:p>
            <w:pPr>
              <w:spacing w:after="0"/>
              <w:rPr>
                <w:sz w:val="5"/>
                <w:szCs w:val="5"/>
                <w:color w:val="auto"/>
              </w:rPr>
            </w:pPr>
          </w:p>
        </w:tc>
        <w:tc>
          <w:tcPr>
            <w:tcW w:w="900" w:type="dxa"/>
            <w:vAlign w:val="bottom"/>
            <w:tcBorders>
              <w:right w:val="single" w:sz="8" w:color="auto"/>
            </w:tcBorders>
            <w:shd w:val="clear" w:color="auto" w:fill="004C97"/>
          </w:tcPr>
          <w:p>
            <w:pPr>
              <w:spacing w:after="0"/>
              <w:rPr>
                <w:sz w:val="5"/>
                <w:szCs w:val="5"/>
                <w:color w:val="auto"/>
              </w:rPr>
            </w:pPr>
          </w:p>
        </w:tc>
        <w:tc>
          <w:tcPr>
            <w:tcW w:w="860" w:type="dxa"/>
            <w:vAlign w:val="bottom"/>
            <w:tcBorders>
              <w:right w:val="single" w:sz="8" w:color="auto"/>
            </w:tcBorders>
            <w:shd w:val="clear" w:color="auto" w:fill="004C97"/>
          </w:tcPr>
          <w:p>
            <w:pPr>
              <w:spacing w:after="0"/>
              <w:rPr>
                <w:sz w:val="5"/>
                <w:szCs w:val="5"/>
                <w:color w:val="auto"/>
              </w:rPr>
            </w:pPr>
          </w:p>
        </w:tc>
        <w:tc>
          <w:tcPr>
            <w:tcW w:w="920" w:type="dxa"/>
            <w:vAlign w:val="bottom"/>
            <w:tcBorders>
              <w:right w:val="single" w:sz="8" w:color="auto"/>
            </w:tcBorders>
            <w:shd w:val="clear" w:color="auto" w:fill="004C97"/>
          </w:tcPr>
          <w:p>
            <w:pPr>
              <w:spacing w:after="0"/>
              <w:rPr>
                <w:sz w:val="5"/>
                <w:szCs w:val="5"/>
                <w:color w:val="auto"/>
              </w:rPr>
            </w:pPr>
          </w:p>
        </w:tc>
        <w:tc>
          <w:tcPr>
            <w:tcW w:w="900" w:type="dxa"/>
            <w:vAlign w:val="bottom"/>
            <w:tcBorders>
              <w:right w:val="single" w:sz="8" w:color="auto"/>
            </w:tcBorders>
            <w:shd w:val="clear" w:color="auto" w:fill="004C97"/>
          </w:tcPr>
          <w:p>
            <w:pPr>
              <w:spacing w:after="0"/>
              <w:rPr>
                <w:sz w:val="5"/>
                <w:szCs w:val="5"/>
                <w:color w:val="auto"/>
              </w:rPr>
            </w:pPr>
          </w:p>
        </w:tc>
        <w:tc>
          <w:tcPr>
            <w:tcW w:w="1340" w:type="dxa"/>
            <w:vAlign w:val="bottom"/>
            <w:tcBorders>
              <w:right w:val="single" w:sz="8" w:color="auto"/>
            </w:tcBorders>
            <w:vMerge w:val="continue"/>
            <w:shd w:val="clear" w:color="auto" w:fill="004C97"/>
          </w:tcPr>
          <w:p>
            <w:pPr>
              <w:spacing w:after="0"/>
              <w:rPr>
                <w:sz w:val="5"/>
                <w:szCs w:val="5"/>
                <w:color w:val="auto"/>
              </w:rPr>
            </w:pPr>
          </w:p>
        </w:tc>
        <w:tc>
          <w:tcPr>
            <w:tcW w:w="132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4"/>
                <w:szCs w:val="14"/>
                <w:b w:val="1"/>
                <w:bCs w:val="1"/>
                <w:color w:val="FFFFFF"/>
              </w:rPr>
              <w:t>Deferred</w:t>
            </w:r>
          </w:p>
        </w:tc>
        <w:tc>
          <w:tcPr>
            <w:tcW w:w="1280" w:type="dxa"/>
            <w:vAlign w:val="bottom"/>
            <w:tcBorders>
              <w:right w:val="single" w:sz="8" w:color="auto"/>
            </w:tcBorders>
            <w:shd w:val="clear" w:color="auto" w:fill="004C97"/>
          </w:tcPr>
          <w:p>
            <w:pPr>
              <w:spacing w:after="0"/>
              <w:rPr>
                <w:sz w:val="5"/>
                <w:szCs w:val="5"/>
                <w:color w:val="auto"/>
              </w:rPr>
            </w:pPr>
          </w:p>
        </w:tc>
        <w:tc>
          <w:tcPr>
            <w:tcW w:w="1040" w:type="dxa"/>
            <w:vAlign w:val="bottom"/>
            <w:tcBorders>
              <w:right w:val="single" w:sz="8" w:color="auto"/>
            </w:tcBorders>
            <w:shd w:val="clear" w:color="auto" w:fill="004C97"/>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100" w:type="dxa"/>
            <w:vAlign w:val="bottom"/>
            <w:tcBorders>
              <w:left w:val="single" w:sz="8" w:color="auto"/>
              <w:right w:val="single" w:sz="8" w:color="auto"/>
            </w:tcBorders>
            <w:shd w:val="clear" w:color="auto" w:fill="004C97"/>
          </w:tcPr>
          <w:p>
            <w:pPr>
              <w:spacing w:after="0"/>
              <w:rPr>
                <w:sz w:val="9"/>
                <w:szCs w:val="9"/>
                <w:color w:val="auto"/>
              </w:rPr>
            </w:pPr>
          </w:p>
        </w:tc>
        <w:tc>
          <w:tcPr>
            <w:tcW w:w="600" w:type="dxa"/>
            <w:vAlign w:val="bottom"/>
            <w:tcBorders>
              <w:right w:val="single" w:sz="8" w:color="auto"/>
            </w:tcBorders>
            <w:shd w:val="clear" w:color="auto" w:fill="004C97"/>
          </w:tcPr>
          <w:p>
            <w:pPr>
              <w:spacing w:after="0"/>
              <w:rPr>
                <w:sz w:val="9"/>
                <w:szCs w:val="9"/>
                <w:color w:val="auto"/>
              </w:rPr>
            </w:pPr>
          </w:p>
        </w:tc>
        <w:tc>
          <w:tcPr>
            <w:tcW w:w="900" w:type="dxa"/>
            <w:vAlign w:val="bottom"/>
            <w:tcBorders>
              <w:right w:val="single" w:sz="8" w:color="auto"/>
            </w:tcBorders>
            <w:shd w:val="clear" w:color="auto" w:fill="004C97"/>
          </w:tcPr>
          <w:p>
            <w:pPr>
              <w:spacing w:after="0"/>
              <w:rPr>
                <w:sz w:val="9"/>
                <w:szCs w:val="9"/>
                <w:color w:val="auto"/>
              </w:rPr>
            </w:pPr>
          </w:p>
        </w:tc>
        <w:tc>
          <w:tcPr>
            <w:tcW w:w="860" w:type="dxa"/>
            <w:vAlign w:val="bottom"/>
            <w:tcBorders>
              <w:right w:val="single" w:sz="8" w:color="auto"/>
            </w:tcBorders>
            <w:shd w:val="clear" w:color="auto" w:fill="004C97"/>
          </w:tcPr>
          <w:p>
            <w:pPr>
              <w:spacing w:after="0"/>
              <w:rPr>
                <w:sz w:val="9"/>
                <w:szCs w:val="9"/>
                <w:color w:val="auto"/>
              </w:rPr>
            </w:pPr>
          </w:p>
        </w:tc>
        <w:tc>
          <w:tcPr>
            <w:tcW w:w="920" w:type="dxa"/>
            <w:vAlign w:val="bottom"/>
            <w:tcBorders>
              <w:right w:val="single" w:sz="8" w:color="auto"/>
            </w:tcBorders>
            <w:shd w:val="clear" w:color="auto" w:fill="004C97"/>
          </w:tcPr>
          <w:p>
            <w:pPr>
              <w:spacing w:after="0"/>
              <w:rPr>
                <w:sz w:val="9"/>
                <w:szCs w:val="9"/>
                <w:color w:val="auto"/>
              </w:rPr>
            </w:pPr>
          </w:p>
        </w:tc>
        <w:tc>
          <w:tcPr>
            <w:tcW w:w="900" w:type="dxa"/>
            <w:vAlign w:val="bottom"/>
            <w:tcBorders>
              <w:right w:val="single" w:sz="8" w:color="auto"/>
            </w:tcBorders>
            <w:shd w:val="clear" w:color="auto" w:fill="004C97"/>
          </w:tcPr>
          <w:p>
            <w:pPr>
              <w:spacing w:after="0"/>
              <w:rPr>
                <w:sz w:val="9"/>
                <w:szCs w:val="9"/>
                <w:color w:val="auto"/>
              </w:rPr>
            </w:pPr>
          </w:p>
        </w:tc>
        <w:tc>
          <w:tcPr>
            <w:tcW w:w="134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320" w:type="dxa"/>
            <w:vAlign w:val="bottom"/>
            <w:tcBorders>
              <w:right w:val="single" w:sz="8" w:color="auto"/>
            </w:tcBorders>
            <w:vMerge w:val="continue"/>
            <w:shd w:val="clear" w:color="auto" w:fill="004C97"/>
          </w:tcPr>
          <w:p>
            <w:pPr>
              <w:spacing w:after="0"/>
              <w:rPr>
                <w:sz w:val="9"/>
                <w:szCs w:val="9"/>
                <w:color w:val="auto"/>
              </w:rPr>
            </w:pPr>
          </w:p>
        </w:tc>
        <w:tc>
          <w:tcPr>
            <w:tcW w:w="128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4"/>
                <w:szCs w:val="14"/>
                <w:b w:val="1"/>
                <w:bCs w:val="1"/>
                <w:color w:val="FFFFFF"/>
              </w:rPr>
              <w:t>All Other</w:t>
            </w:r>
          </w:p>
        </w:tc>
        <w:tc>
          <w:tcPr>
            <w:tcW w:w="1040" w:type="dxa"/>
            <w:vAlign w:val="bottom"/>
            <w:tcBorders>
              <w:right w:val="single" w:sz="8" w:color="auto"/>
            </w:tcBorders>
            <w:shd w:val="clear" w:color="auto" w:fill="004C97"/>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100" w:type="dxa"/>
            <w:vAlign w:val="bottom"/>
            <w:tcBorders>
              <w:left w:val="single" w:sz="8" w:color="auto"/>
              <w:right w:val="single" w:sz="8" w:color="auto"/>
            </w:tcBorders>
            <w:shd w:val="clear" w:color="auto" w:fill="004C97"/>
          </w:tcPr>
          <w:p>
            <w:pPr>
              <w:spacing w:after="0"/>
              <w:rPr>
                <w:sz w:val="5"/>
                <w:szCs w:val="5"/>
                <w:color w:val="auto"/>
              </w:rPr>
            </w:pPr>
          </w:p>
        </w:tc>
        <w:tc>
          <w:tcPr>
            <w:tcW w:w="600" w:type="dxa"/>
            <w:vAlign w:val="bottom"/>
            <w:tcBorders>
              <w:right w:val="single" w:sz="8" w:color="auto"/>
            </w:tcBorders>
            <w:shd w:val="clear" w:color="auto" w:fill="004C97"/>
          </w:tcPr>
          <w:p>
            <w:pPr>
              <w:spacing w:after="0"/>
              <w:rPr>
                <w:sz w:val="5"/>
                <w:szCs w:val="5"/>
                <w:color w:val="auto"/>
              </w:rPr>
            </w:pPr>
          </w:p>
        </w:tc>
        <w:tc>
          <w:tcPr>
            <w:tcW w:w="900" w:type="dxa"/>
            <w:vAlign w:val="bottom"/>
            <w:tcBorders>
              <w:right w:val="single" w:sz="8" w:color="auto"/>
            </w:tcBorders>
            <w:vMerge w:val="restart"/>
            <w:shd w:val="clear" w:color="auto" w:fill="004C97"/>
          </w:tcPr>
          <w:p>
            <w:pPr>
              <w:jc w:val="right"/>
              <w:ind w:right="168"/>
              <w:spacing w:after="0"/>
              <w:rPr>
                <w:sz w:val="20"/>
                <w:szCs w:val="20"/>
                <w:color w:val="auto"/>
              </w:rPr>
            </w:pPr>
            <w:r>
              <w:rPr>
                <w:rFonts w:ascii="Arial" w:cs="Arial" w:eastAsia="Arial" w:hAnsi="Arial"/>
                <w:sz w:val="14"/>
                <w:szCs w:val="14"/>
                <w:b w:val="1"/>
                <w:bCs w:val="1"/>
                <w:color w:val="FFFFFF"/>
              </w:rPr>
              <w:t>Salary</w:t>
            </w:r>
          </w:p>
        </w:tc>
        <w:tc>
          <w:tcPr>
            <w:tcW w:w="860" w:type="dxa"/>
            <w:vAlign w:val="bottom"/>
            <w:tcBorders>
              <w:right w:val="single" w:sz="8" w:color="auto"/>
            </w:tcBorders>
            <w:vMerge w:val="restart"/>
            <w:shd w:val="clear" w:color="auto" w:fill="004C97"/>
          </w:tcPr>
          <w:p>
            <w:pPr>
              <w:jc w:val="right"/>
              <w:ind w:right="148"/>
              <w:spacing w:after="0"/>
              <w:rPr>
                <w:sz w:val="20"/>
                <w:szCs w:val="20"/>
                <w:color w:val="auto"/>
              </w:rPr>
            </w:pPr>
            <w:r>
              <w:rPr>
                <w:rFonts w:ascii="Arial" w:cs="Arial" w:eastAsia="Arial" w:hAnsi="Arial"/>
                <w:sz w:val="14"/>
                <w:szCs w:val="14"/>
                <w:b w:val="1"/>
                <w:bCs w:val="1"/>
                <w:color w:val="FFFFFF"/>
              </w:rPr>
              <w:t>Bonus</w:t>
            </w:r>
          </w:p>
        </w:tc>
        <w:tc>
          <w:tcPr>
            <w:tcW w:w="920" w:type="dxa"/>
            <w:vAlign w:val="bottom"/>
            <w:tcBorders>
              <w:right w:val="single" w:sz="8" w:color="auto"/>
            </w:tcBorders>
            <w:vMerge w:val="restart"/>
            <w:shd w:val="clear" w:color="auto" w:fill="004C97"/>
          </w:tcPr>
          <w:p>
            <w:pPr>
              <w:jc w:val="right"/>
              <w:ind w:right="208"/>
              <w:spacing w:after="0"/>
              <w:rPr>
                <w:sz w:val="20"/>
                <w:szCs w:val="20"/>
                <w:color w:val="auto"/>
              </w:rPr>
            </w:pPr>
            <w:r>
              <w:rPr>
                <w:rFonts w:ascii="Arial" w:cs="Arial" w:eastAsia="Arial" w:hAnsi="Arial"/>
                <w:sz w:val="14"/>
                <w:szCs w:val="14"/>
                <w:b w:val="1"/>
                <w:bCs w:val="1"/>
                <w:color w:val="FFFFFF"/>
              </w:rPr>
              <w:t>Stock</w:t>
            </w:r>
          </w:p>
        </w:tc>
        <w:tc>
          <w:tcPr>
            <w:tcW w:w="900" w:type="dxa"/>
            <w:vAlign w:val="bottom"/>
            <w:tcBorders>
              <w:right w:val="single" w:sz="8" w:color="auto"/>
            </w:tcBorders>
            <w:vMerge w:val="restart"/>
            <w:shd w:val="clear" w:color="auto" w:fill="004C97"/>
          </w:tcPr>
          <w:p>
            <w:pPr>
              <w:jc w:val="right"/>
              <w:ind w:right="168"/>
              <w:spacing w:after="0"/>
              <w:rPr>
                <w:sz w:val="20"/>
                <w:szCs w:val="20"/>
                <w:color w:val="auto"/>
              </w:rPr>
            </w:pPr>
            <w:r>
              <w:rPr>
                <w:rFonts w:ascii="Arial" w:cs="Arial" w:eastAsia="Arial" w:hAnsi="Arial"/>
                <w:sz w:val="14"/>
                <w:szCs w:val="14"/>
                <w:b w:val="1"/>
                <w:bCs w:val="1"/>
                <w:color w:val="FFFFFF"/>
              </w:rPr>
              <w:t>Option</w:t>
            </w:r>
          </w:p>
        </w:tc>
        <w:tc>
          <w:tcPr>
            <w:tcW w:w="1340" w:type="dxa"/>
            <w:vAlign w:val="bottom"/>
            <w:tcBorders>
              <w:right w:val="single" w:sz="8" w:color="auto"/>
            </w:tcBorders>
            <w:vMerge w:val="continue"/>
            <w:shd w:val="clear" w:color="auto" w:fill="004C97"/>
          </w:tcPr>
          <w:p>
            <w:pPr>
              <w:spacing w:after="0"/>
              <w:rPr>
                <w:sz w:val="5"/>
                <w:szCs w:val="5"/>
                <w:color w:val="auto"/>
              </w:rPr>
            </w:pPr>
          </w:p>
        </w:tc>
        <w:tc>
          <w:tcPr>
            <w:tcW w:w="132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4"/>
                <w:szCs w:val="14"/>
                <w:b w:val="1"/>
                <w:bCs w:val="1"/>
                <w:color w:val="FFFFFF"/>
              </w:rPr>
              <w:t>Compensation</w:t>
            </w:r>
          </w:p>
        </w:tc>
        <w:tc>
          <w:tcPr>
            <w:tcW w:w="1280" w:type="dxa"/>
            <w:vAlign w:val="bottom"/>
            <w:tcBorders>
              <w:right w:val="single" w:sz="8" w:color="auto"/>
            </w:tcBorders>
            <w:vMerge w:val="continue"/>
            <w:shd w:val="clear" w:color="auto" w:fill="004C97"/>
          </w:tcPr>
          <w:p>
            <w:pPr>
              <w:spacing w:after="0"/>
              <w:rPr>
                <w:sz w:val="5"/>
                <w:szCs w:val="5"/>
                <w:color w:val="auto"/>
              </w:rPr>
            </w:pPr>
          </w:p>
        </w:tc>
        <w:tc>
          <w:tcPr>
            <w:tcW w:w="1040" w:type="dxa"/>
            <w:vAlign w:val="bottom"/>
            <w:tcBorders>
              <w:right w:val="single" w:sz="8" w:color="auto"/>
            </w:tcBorders>
            <w:vMerge w:val="restart"/>
            <w:shd w:val="clear" w:color="auto" w:fill="004C97"/>
          </w:tcPr>
          <w:p>
            <w:pPr>
              <w:jc w:val="right"/>
              <w:ind w:right="28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44"/>
        </w:trPr>
        <w:tc>
          <w:tcPr>
            <w:tcW w:w="2100" w:type="dxa"/>
            <w:vAlign w:val="bottom"/>
            <w:tcBorders>
              <w:left w:val="single" w:sz="8" w:color="auto"/>
              <w:right w:val="single" w:sz="8" w:color="auto"/>
            </w:tcBorders>
            <w:vMerge w:val="restart"/>
            <w:shd w:val="clear" w:color="auto" w:fill="004C97"/>
          </w:tcPr>
          <w:p>
            <w:pPr>
              <w:ind w:left="80"/>
              <w:spacing w:after="0"/>
              <w:rPr>
                <w:sz w:val="20"/>
                <w:szCs w:val="20"/>
                <w:color w:val="auto"/>
              </w:rPr>
            </w:pPr>
            <w:r>
              <w:rPr>
                <w:rFonts w:ascii="Arial" w:cs="Arial" w:eastAsia="Arial" w:hAnsi="Arial"/>
                <w:sz w:val="14"/>
                <w:szCs w:val="14"/>
                <w:b w:val="1"/>
                <w:bCs w:val="1"/>
                <w:color w:val="FFFFFF"/>
              </w:rPr>
              <w:t>Name and Principal Position</w:t>
            </w:r>
          </w:p>
        </w:tc>
        <w:tc>
          <w:tcPr>
            <w:tcW w:w="600" w:type="dxa"/>
            <w:vAlign w:val="bottom"/>
            <w:tcBorders>
              <w:right w:val="single" w:sz="8" w:color="auto"/>
            </w:tcBorders>
            <w:vMerge w:val="restart"/>
            <w:shd w:val="clear" w:color="auto" w:fill="004C97"/>
          </w:tcPr>
          <w:p>
            <w:pPr>
              <w:ind w:left="140"/>
              <w:spacing w:after="0"/>
              <w:rPr>
                <w:sz w:val="20"/>
                <w:szCs w:val="20"/>
                <w:color w:val="auto"/>
              </w:rPr>
            </w:pPr>
            <w:r>
              <w:rPr>
                <w:rFonts w:ascii="Arial" w:cs="Arial" w:eastAsia="Arial" w:hAnsi="Arial"/>
                <w:sz w:val="14"/>
                <w:szCs w:val="14"/>
                <w:b w:val="1"/>
                <w:bCs w:val="1"/>
                <w:color w:val="FFFFFF"/>
              </w:rPr>
              <w:t>Year</w:t>
            </w:r>
          </w:p>
        </w:tc>
        <w:tc>
          <w:tcPr>
            <w:tcW w:w="900" w:type="dxa"/>
            <w:vAlign w:val="bottom"/>
            <w:tcBorders>
              <w:right w:val="single" w:sz="8" w:color="auto"/>
            </w:tcBorders>
            <w:vMerge w:val="continue"/>
            <w:shd w:val="clear" w:color="auto" w:fill="004C97"/>
          </w:tcPr>
          <w:p>
            <w:pPr>
              <w:spacing w:after="0"/>
              <w:rPr>
                <w:sz w:val="12"/>
                <w:szCs w:val="12"/>
                <w:color w:val="auto"/>
              </w:rPr>
            </w:pPr>
          </w:p>
        </w:tc>
        <w:tc>
          <w:tcPr>
            <w:tcW w:w="860" w:type="dxa"/>
            <w:vAlign w:val="bottom"/>
            <w:tcBorders>
              <w:right w:val="single" w:sz="8" w:color="auto"/>
            </w:tcBorders>
            <w:vMerge w:val="continue"/>
            <w:shd w:val="clear" w:color="auto" w:fill="004C97"/>
          </w:tcPr>
          <w:p>
            <w:pPr>
              <w:spacing w:after="0"/>
              <w:rPr>
                <w:sz w:val="12"/>
                <w:szCs w:val="12"/>
                <w:color w:val="auto"/>
              </w:rPr>
            </w:pPr>
          </w:p>
        </w:tc>
        <w:tc>
          <w:tcPr>
            <w:tcW w:w="920" w:type="dxa"/>
            <w:vAlign w:val="bottom"/>
            <w:tcBorders>
              <w:right w:val="single" w:sz="8" w:color="auto"/>
            </w:tcBorders>
            <w:vMerge w:val="continue"/>
            <w:shd w:val="clear" w:color="auto" w:fill="004C97"/>
          </w:tcPr>
          <w:p>
            <w:pPr>
              <w:spacing w:after="0"/>
              <w:rPr>
                <w:sz w:val="12"/>
                <w:szCs w:val="12"/>
                <w:color w:val="auto"/>
              </w:rPr>
            </w:pPr>
          </w:p>
        </w:tc>
        <w:tc>
          <w:tcPr>
            <w:tcW w:w="900" w:type="dxa"/>
            <w:vAlign w:val="bottom"/>
            <w:tcBorders>
              <w:right w:val="single" w:sz="8" w:color="auto"/>
            </w:tcBorders>
            <w:vMerge w:val="continue"/>
            <w:shd w:val="clear" w:color="auto" w:fill="004C97"/>
          </w:tcPr>
          <w:p>
            <w:pPr>
              <w:spacing w:after="0"/>
              <w:rPr>
                <w:sz w:val="12"/>
                <w:szCs w:val="12"/>
                <w:color w:val="auto"/>
              </w:rPr>
            </w:pPr>
          </w:p>
        </w:tc>
        <w:tc>
          <w:tcPr>
            <w:tcW w:w="1340" w:type="dxa"/>
            <w:vAlign w:val="bottom"/>
            <w:tcBorders>
              <w:right w:val="single" w:sz="8" w:color="auto"/>
            </w:tcBorders>
            <w:shd w:val="clear" w:color="auto" w:fill="004C97"/>
          </w:tcPr>
          <w:p>
            <w:pPr>
              <w:jc w:val="center"/>
              <w:spacing w:after="0" w:line="145" w:lineRule="exact"/>
              <w:rPr>
                <w:sz w:val="20"/>
                <w:szCs w:val="20"/>
                <w:color w:val="auto"/>
              </w:rPr>
            </w:pPr>
            <w:r>
              <w:rPr>
                <w:rFonts w:ascii="Arial" w:cs="Arial" w:eastAsia="Arial" w:hAnsi="Arial"/>
                <w:sz w:val="14"/>
                <w:szCs w:val="14"/>
                <w:b w:val="1"/>
                <w:bCs w:val="1"/>
                <w:color w:val="FFFFFF"/>
              </w:rPr>
              <w:t>Compensation ($)</w:t>
            </w:r>
          </w:p>
        </w:tc>
        <w:tc>
          <w:tcPr>
            <w:tcW w:w="1320" w:type="dxa"/>
            <w:vAlign w:val="bottom"/>
            <w:tcBorders>
              <w:right w:val="single" w:sz="8" w:color="auto"/>
            </w:tcBorders>
            <w:vMerge w:val="continue"/>
            <w:shd w:val="clear" w:color="auto" w:fill="004C97"/>
          </w:tcPr>
          <w:p>
            <w:pPr>
              <w:spacing w:after="0"/>
              <w:rPr>
                <w:sz w:val="12"/>
                <w:szCs w:val="12"/>
                <w:color w:val="auto"/>
              </w:rPr>
            </w:pPr>
          </w:p>
        </w:tc>
        <w:tc>
          <w:tcPr>
            <w:tcW w:w="1280" w:type="dxa"/>
            <w:vAlign w:val="bottom"/>
            <w:tcBorders>
              <w:right w:val="single" w:sz="8" w:color="auto"/>
            </w:tcBorders>
            <w:shd w:val="clear" w:color="auto" w:fill="004C97"/>
          </w:tcPr>
          <w:p>
            <w:pPr>
              <w:jc w:val="center"/>
              <w:spacing w:after="0" w:line="145" w:lineRule="exact"/>
              <w:rPr>
                <w:sz w:val="20"/>
                <w:szCs w:val="20"/>
                <w:color w:val="auto"/>
              </w:rPr>
            </w:pPr>
            <w:r>
              <w:rPr>
                <w:rFonts w:ascii="Arial" w:cs="Arial" w:eastAsia="Arial" w:hAnsi="Arial"/>
                <w:sz w:val="14"/>
                <w:szCs w:val="14"/>
                <w:b w:val="1"/>
                <w:bCs w:val="1"/>
                <w:color w:val="FFFFFF"/>
              </w:rPr>
              <w:t>Compensation ($)</w:t>
            </w:r>
          </w:p>
        </w:tc>
        <w:tc>
          <w:tcPr>
            <w:tcW w:w="1040" w:type="dxa"/>
            <w:vAlign w:val="bottom"/>
            <w:tcBorders>
              <w:right w:val="single" w:sz="8" w:color="auto"/>
            </w:tcBorders>
            <w:vMerge w:val="continue"/>
            <w:shd w:val="clear" w:color="auto" w:fill="004C97"/>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00" w:type="dxa"/>
            <w:vAlign w:val="bottom"/>
            <w:tcBorders>
              <w:left w:val="single" w:sz="8" w:color="auto"/>
              <w:bottom w:val="single" w:sz="8" w:color="auto"/>
              <w:right w:val="single" w:sz="8" w:color="auto"/>
            </w:tcBorders>
            <w:vMerge w:val="continue"/>
            <w:shd w:val="clear" w:color="auto" w:fill="004C97"/>
          </w:tcPr>
          <w:p>
            <w:pPr>
              <w:spacing w:after="0"/>
              <w:rPr>
                <w:sz w:val="15"/>
                <w:szCs w:val="15"/>
                <w:color w:val="auto"/>
              </w:rPr>
            </w:pPr>
          </w:p>
        </w:tc>
        <w:tc>
          <w:tcPr>
            <w:tcW w:w="600" w:type="dxa"/>
            <w:vAlign w:val="bottom"/>
            <w:tcBorders>
              <w:bottom w:val="single" w:sz="8" w:color="auto"/>
              <w:right w:val="single" w:sz="8" w:color="auto"/>
            </w:tcBorders>
            <w:vMerge w:val="continue"/>
            <w:shd w:val="clear" w:color="auto" w:fill="004C97"/>
          </w:tcPr>
          <w:p>
            <w:pPr>
              <w:spacing w:after="0"/>
              <w:rPr>
                <w:sz w:val="15"/>
                <w:szCs w:val="15"/>
                <w:color w:val="auto"/>
              </w:rPr>
            </w:pPr>
          </w:p>
        </w:tc>
        <w:tc>
          <w:tcPr>
            <w:tcW w:w="900" w:type="dxa"/>
            <w:vAlign w:val="bottom"/>
            <w:tcBorders>
              <w:bottom w:val="single" w:sz="8" w:color="auto"/>
              <w:right w:val="single" w:sz="8" w:color="auto"/>
            </w:tcBorders>
            <w:shd w:val="clear" w:color="auto" w:fill="004C97"/>
          </w:tcPr>
          <w:p>
            <w:pPr>
              <w:jc w:val="right"/>
              <w:ind w:right="248"/>
              <w:spacing w:after="0" w:line="176"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c>
          <w:tcPr>
            <w:tcW w:w="860" w:type="dxa"/>
            <w:vAlign w:val="bottom"/>
            <w:tcBorders>
              <w:bottom w:val="single" w:sz="8" w:color="auto"/>
              <w:right w:val="single" w:sz="8" w:color="auto"/>
            </w:tcBorders>
            <w:shd w:val="clear" w:color="auto" w:fill="004C97"/>
          </w:tcPr>
          <w:p>
            <w:pPr>
              <w:jc w:val="right"/>
              <w:ind w:right="268"/>
              <w:spacing w:after="0"/>
              <w:rPr>
                <w:sz w:val="20"/>
                <w:szCs w:val="20"/>
                <w:color w:val="auto"/>
              </w:rPr>
            </w:pPr>
            <w:r>
              <w:rPr>
                <w:rFonts w:ascii="Arial" w:cs="Arial" w:eastAsia="Arial" w:hAnsi="Arial"/>
                <w:sz w:val="14"/>
                <w:szCs w:val="14"/>
                <w:b w:val="1"/>
                <w:bCs w:val="1"/>
                <w:color w:val="FFFFFF"/>
              </w:rPr>
              <w:t>($)</w:t>
            </w:r>
          </w:p>
        </w:tc>
        <w:tc>
          <w:tcPr>
            <w:tcW w:w="920" w:type="dxa"/>
            <w:vAlign w:val="bottom"/>
            <w:tcBorders>
              <w:bottom w:val="single" w:sz="8" w:color="auto"/>
              <w:right w:val="single" w:sz="8" w:color="auto"/>
            </w:tcBorders>
            <w:shd w:val="clear" w:color="auto" w:fill="004C97"/>
          </w:tcPr>
          <w:p>
            <w:pPr>
              <w:jc w:val="right"/>
              <w:spacing w:after="0" w:line="176" w:lineRule="exact"/>
              <w:rPr>
                <w:sz w:val="20"/>
                <w:szCs w:val="20"/>
                <w:color w:val="auto"/>
              </w:rPr>
            </w:pPr>
            <w:r>
              <w:rPr>
                <w:rFonts w:ascii="Arial" w:cs="Arial" w:eastAsia="Arial" w:hAnsi="Arial"/>
                <w:sz w:val="14"/>
                <w:szCs w:val="14"/>
                <w:b w:val="1"/>
                <w:bCs w:val="1"/>
                <w:color w:val="FFFFFF"/>
                <w:w w:val="99"/>
              </w:rPr>
              <w:t>Awards ($)</w:t>
            </w:r>
            <w:r>
              <w:rPr>
                <w:rFonts w:ascii="Arial" w:cs="Arial" w:eastAsia="Arial" w:hAnsi="Arial"/>
                <w:sz w:val="18"/>
                <w:szCs w:val="18"/>
                <w:b w:val="1"/>
                <w:bCs w:val="1"/>
                <w:color w:val="FFFFFF"/>
                <w:w w:val="99"/>
                <w:vertAlign w:val="superscript"/>
              </w:rPr>
              <w:t>(2)</w:t>
            </w:r>
          </w:p>
        </w:tc>
        <w:tc>
          <w:tcPr>
            <w:tcW w:w="900" w:type="dxa"/>
            <w:vAlign w:val="bottom"/>
            <w:tcBorders>
              <w:bottom w:val="single" w:sz="8" w:color="auto"/>
              <w:right w:val="single" w:sz="8" w:color="auto"/>
            </w:tcBorders>
            <w:shd w:val="clear" w:color="auto" w:fill="004C97"/>
          </w:tcPr>
          <w:p>
            <w:pPr>
              <w:jc w:val="right"/>
              <w:spacing w:after="0" w:line="176" w:lineRule="exact"/>
              <w:rPr>
                <w:sz w:val="20"/>
                <w:szCs w:val="20"/>
                <w:color w:val="auto"/>
              </w:rPr>
            </w:pPr>
            <w:r>
              <w:rPr>
                <w:rFonts w:ascii="Arial" w:cs="Arial" w:eastAsia="Arial" w:hAnsi="Arial"/>
                <w:sz w:val="14"/>
                <w:szCs w:val="14"/>
                <w:b w:val="1"/>
                <w:bCs w:val="1"/>
                <w:color w:val="FFFFFF"/>
                <w:w w:val="97"/>
              </w:rPr>
              <w:t>Awards ($)</w:t>
            </w:r>
            <w:r>
              <w:rPr>
                <w:rFonts w:ascii="Arial" w:cs="Arial" w:eastAsia="Arial" w:hAnsi="Arial"/>
                <w:sz w:val="18"/>
                <w:szCs w:val="18"/>
                <w:b w:val="1"/>
                <w:bCs w:val="1"/>
                <w:color w:val="FFFFFF"/>
                <w:w w:val="97"/>
                <w:vertAlign w:val="superscript"/>
              </w:rPr>
              <w:t>(3)</w:t>
            </w:r>
          </w:p>
        </w:tc>
        <w:tc>
          <w:tcPr>
            <w:tcW w:w="134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9"/>
                <w:szCs w:val="9"/>
                <w:b w:val="1"/>
                <w:bCs w:val="1"/>
                <w:color w:val="FFFFFF"/>
              </w:rPr>
              <w:t>(4)</w:t>
            </w:r>
          </w:p>
        </w:tc>
        <w:tc>
          <w:tcPr>
            <w:tcW w:w="132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Earnings ($)</w:t>
            </w:r>
          </w:p>
        </w:tc>
        <w:tc>
          <w:tcPr>
            <w:tcW w:w="128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9"/>
                <w:szCs w:val="9"/>
                <w:b w:val="1"/>
                <w:bCs w:val="1"/>
                <w:color w:val="FFFFFF"/>
              </w:rPr>
              <w:t>(5)</w:t>
            </w:r>
          </w:p>
        </w:tc>
        <w:tc>
          <w:tcPr>
            <w:tcW w:w="1040" w:type="dxa"/>
            <w:vAlign w:val="bottom"/>
            <w:tcBorders>
              <w:bottom w:val="single" w:sz="8" w:color="auto"/>
              <w:right w:val="single" w:sz="8" w:color="auto"/>
            </w:tcBorders>
            <w:shd w:val="clear" w:color="auto" w:fill="004C97"/>
          </w:tcPr>
          <w:p>
            <w:pPr>
              <w:jc w:val="right"/>
              <w:ind w:right="36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55"/>
        </w:trPr>
        <w:tc>
          <w:tcPr>
            <w:tcW w:w="2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Eugene J. Lowe, III</w:t>
            </w:r>
          </w:p>
        </w:tc>
        <w:tc>
          <w:tcPr>
            <w:tcW w:w="600" w:type="dxa"/>
            <w:vAlign w:val="bottom"/>
            <w:tcBorders>
              <w:bottom w:val="single" w:sz="8" w:color="E5E5E5"/>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2024</w:t>
            </w:r>
          </w:p>
        </w:tc>
        <w:tc>
          <w:tcPr>
            <w:tcW w:w="90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1,085,644</w:t>
            </w:r>
          </w:p>
        </w:tc>
        <w:tc>
          <w:tcPr>
            <w:tcW w:w="86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4,597,246</w:t>
            </w:r>
          </w:p>
        </w:tc>
        <w:tc>
          <w:tcPr>
            <w:tcW w:w="90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1,232,260</w:t>
            </w:r>
          </w:p>
        </w:tc>
        <w:tc>
          <w:tcPr>
            <w:tcW w:w="1340" w:type="dxa"/>
            <w:vAlign w:val="bottom"/>
            <w:tcBorders>
              <w:bottom w:val="single" w:sz="8" w:color="E5E5E5"/>
              <w:right w:val="single" w:sz="8" w:color="auto"/>
            </w:tcBorders>
            <w:shd w:val="clear" w:color="auto" w:fill="E5E5E5"/>
          </w:tcPr>
          <w:p>
            <w:pPr>
              <w:jc w:val="right"/>
              <w:ind w:right="9"/>
              <w:spacing w:after="0"/>
              <w:rPr>
                <w:sz w:val="20"/>
                <w:szCs w:val="20"/>
                <w:color w:val="auto"/>
              </w:rPr>
            </w:pPr>
            <w:r>
              <w:rPr>
                <w:rFonts w:ascii="Arial" w:cs="Arial" w:eastAsia="Arial" w:hAnsi="Arial"/>
                <w:sz w:val="14"/>
                <w:szCs w:val="14"/>
                <w:color w:val="auto"/>
              </w:rPr>
              <w:t>2,188,359</w:t>
            </w:r>
          </w:p>
        </w:tc>
        <w:tc>
          <w:tcPr>
            <w:tcW w:w="132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E5E5E5"/>
              <w:right w:val="single" w:sz="8" w:color="auto"/>
            </w:tcBorders>
            <w:shd w:val="clear" w:color="auto" w:fill="E5E5E5"/>
          </w:tcPr>
          <w:p>
            <w:pPr>
              <w:jc w:val="right"/>
              <w:ind w:right="10"/>
              <w:spacing w:after="0"/>
              <w:rPr>
                <w:sz w:val="20"/>
                <w:szCs w:val="20"/>
                <w:color w:val="auto"/>
              </w:rPr>
            </w:pPr>
            <w:r>
              <w:rPr>
                <w:rFonts w:ascii="Arial" w:cs="Arial" w:eastAsia="Arial" w:hAnsi="Arial"/>
                <w:sz w:val="14"/>
                <w:szCs w:val="14"/>
                <w:color w:val="auto"/>
              </w:rPr>
              <w:t>201,660</w:t>
            </w:r>
          </w:p>
        </w:tc>
        <w:tc>
          <w:tcPr>
            <w:tcW w:w="104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9,305,169</w:t>
            </w:r>
          </w:p>
        </w:tc>
        <w:tc>
          <w:tcPr>
            <w:tcW w:w="0" w:type="dxa"/>
            <w:vAlign w:val="bottom"/>
          </w:tcPr>
          <w:p>
            <w:pPr>
              <w:spacing w:after="0"/>
              <w:rPr>
                <w:sz w:val="1"/>
                <w:szCs w:val="1"/>
                <w:color w:val="auto"/>
              </w:rPr>
            </w:pPr>
          </w:p>
        </w:tc>
      </w:tr>
      <w:tr>
        <w:trPr>
          <w:trHeight w:val="200"/>
        </w:trPr>
        <w:tc>
          <w:tcPr>
            <w:tcW w:w="2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President and Chief Executive</w:t>
            </w:r>
          </w:p>
        </w:tc>
        <w:tc>
          <w:tcPr>
            <w:tcW w:w="6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2023</w:t>
            </w:r>
          </w:p>
        </w:tc>
        <w:tc>
          <w:tcPr>
            <w:tcW w:w="90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1,026,849</w:t>
            </w:r>
          </w:p>
        </w:tc>
        <w:tc>
          <w:tcPr>
            <w:tcW w:w="86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3,175,978</w:t>
            </w:r>
          </w:p>
        </w:tc>
        <w:tc>
          <w:tcPr>
            <w:tcW w:w="90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1,051,658</w:t>
            </w:r>
          </w:p>
        </w:tc>
        <w:tc>
          <w:tcPr>
            <w:tcW w:w="1340" w:type="dxa"/>
            <w:vAlign w:val="bottom"/>
            <w:tcBorders>
              <w:top w:val="single" w:sz="8" w:color="auto"/>
              <w:right w:val="single" w:sz="8" w:color="auto"/>
            </w:tcBorders>
          </w:tcPr>
          <w:p>
            <w:pPr>
              <w:jc w:val="right"/>
              <w:ind w:right="9"/>
              <w:spacing w:after="0"/>
              <w:rPr>
                <w:sz w:val="20"/>
                <w:szCs w:val="20"/>
                <w:color w:val="auto"/>
              </w:rPr>
            </w:pPr>
            <w:r>
              <w:rPr>
                <w:rFonts w:ascii="Arial" w:cs="Arial" w:eastAsia="Arial" w:hAnsi="Arial"/>
                <w:sz w:val="14"/>
                <w:szCs w:val="14"/>
                <w:color w:val="auto"/>
              </w:rPr>
              <w:t>2,277,000</w:t>
            </w:r>
          </w:p>
        </w:tc>
        <w:tc>
          <w:tcPr>
            <w:tcW w:w="132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4"/>
                <w:szCs w:val="14"/>
                <w:color w:val="auto"/>
              </w:rPr>
              <w:t>127,129</w:t>
            </w:r>
          </w:p>
        </w:tc>
        <w:tc>
          <w:tcPr>
            <w:tcW w:w="104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7,658,614</w:t>
            </w:r>
          </w:p>
        </w:tc>
        <w:tc>
          <w:tcPr>
            <w:tcW w:w="0" w:type="dxa"/>
            <w:vAlign w:val="bottom"/>
          </w:tcPr>
          <w:p>
            <w:pPr>
              <w:spacing w:after="0"/>
              <w:rPr>
                <w:sz w:val="1"/>
                <w:szCs w:val="1"/>
                <w:color w:val="auto"/>
              </w:rPr>
            </w:pPr>
          </w:p>
        </w:tc>
      </w:tr>
      <w:tr>
        <w:trPr>
          <w:trHeight w:val="50"/>
        </w:trPr>
        <w:tc>
          <w:tcPr>
            <w:tcW w:w="21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Officer</w:t>
            </w:r>
          </w:p>
        </w:tc>
        <w:tc>
          <w:tcPr>
            <w:tcW w:w="6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100" w:type="dxa"/>
            <w:vAlign w:val="bottom"/>
            <w:tcBorders>
              <w:left w:val="single" w:sz="8" w:color="auto"/>
              <w:right w:val="single" w:sz="8" w:color="auto"/>
            </w:tcBorders>
            <w:vMerge w:val="continue"/>
          </w:tcPr>
          <w:p>
            <w:pPr>
              <w:spacing w:after="0"/>
              <w:rPr>
                <w:sz w:val="10"/>
                <w:szCs w:val="10"/>
                <w:color w:val="auto"/>
              </w:rPr>
            </w:pPr>
          </w:p>
        </w:tc>
        <w:tc>
          <w:tcPr>
            <w:tcW w:w="600" w:type="dxa"/>
            <w:vAlign w:val="bottom"/>
            <w:tcBorders>
              <w:right w:val="single" w:sz="8" w:color="auto"/>
            </w:tcBorders>
            <w:vMerge w:val="restart"/>
            <w:shd w:val="clear" w:color="auto" w:fill="E5E5E5"/>
          </w:tcPr>
          <w:p>
            <w:pPr>
              <w:ind w:left="120"/>
              <w:spacing w:after="0"/>
              <w:rPr>
                <w:sz w:val="20"/>
                <w:szCs w:val="20"/>
                <w:color w:val="auto"/>
              </w:rPr>
            </w:pPr>
            <w:r>
              <w:rPr>
                <w:rFonts w:ascii="Arial" w:cs="Arial" w:eastAsia="Arial" w:hAnsi="Arial"/>
                <w:sz w:val="14"/>
                <w:szCs w:val="14"/>
                <w:color w:val="auto"/>
              </w:rPr>
              <w:t>2022</w:t>
            </w:r>
          </w:p>
        </w:tc>
        <w:tc>
          <w:tcPr>
            <w:tcW w:w="900" w:type="dxa"/>
            <w:vAlign w:val="bottom"/>
            <w:tcBorders>
              <w:right w:val="single" w:sz="8" w:color="auto"/>
            </w:tcBorders>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991,047</w:t>
            </w:r>
          </w:p>
        </w:tc>
        <w:tc>
          <w:tcPr>
            <w:tcW w:w="860" w:type="dxa"/>
            <w:vAlign w:val="bottom"/>
            <w:tcBorders>
              <w:right w:val="single" w:sz="8" w:color="auto"/>
            </w:tcBorders>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vMerge w:val="restart"/>
            <w:shd w:val="clear" w:color="auto" w:fill="E5E5E5"/>
          </w:tcPr>
          <w:p>
            <w:pPr>
              <w:jc w:val="right"/>
              <w:ind w:right="28"/>
              <w:spacing w:after="0"/>
              <w:rPr>
                <w:sz w:val="20"/>
                <w:szCs w:val="20"/>
                <w:color w:val="auto"/>
              </w:rPr>
            </w:pPr>
            <w:r>
              <w:rPr>
                <w:rFonts w:ascii="Arial" w:cs="Arial" w:eastAsia="Arial" w:hAnsi="Arial"/>
                <w:sz w:val="14"/>
                <w:szCs w:val="14"/>
                <w:color w:val="auto"/>
              </w:rPr>
              <w:t>2,937,238</w:t>
            </w:r>
          </w:p>
        </w:tc>
        <w:tc>
          <w:tcPr>
            <w:tcW w:w="900" w:type="dxa"/>
            <w:vAlign w:val="bottom"/>
            <w:tcBorders>
              <w:right w:val="single" w:sz="8" w:color="auto"/>
            </w:tcBorders>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954,477</w:t>
            </w:r>
          </w:p>
        </w:tc>
        <w:tc>
          <w:tcPr>
            <w:tcW w:w="1340" w:type="dxa"/>
            <w:vAlign w:val="bottom"/>
            <w:tcBorders>
              <w:right w:val="single" w:sz="8" w:color="auto"/>
            </w:tcBorders>
            <w:vMerge w:val="restart"/>
            <w:shd w:val="clear" w:color="auto" w:fill="E5E5E5"/>
          </w:tcPr>
          <w:p>
            <w:pPr>
              <w:jc w:val="right"/>
              <w:ind w:right="9"/>
              <w:spacing w:after="0"/>
              <w:rPr>
                <w:sz w:val="20"/>
                <w:szCs w:val="20"/>
                <w:color w:val="auto"/>
              </w:rPr>
            </w:pPr>
            <w:r>
              <w:rPr>
                <w:rFonts w:ascii="Arial" w:cs="Arial" w:eastAsia="Arial" w:hAnsi="Arial"/>
                <w:sz w:val="14"/>
                <w:szCs w:val="14"/>
                <w:color w:val="auto"/>
              </w:rPr>
              <w:t>1,454,313</w:t>
            </w:r>
          </w:p>
        </w:tc>
        <w:tc>
          <w:tcPr>
            <w:tcW w:w="1320" w:type="dxa"/>
            <w:vAlign w:val="bottom"/>
            <w:tcBorders>
              <w:right w:val="single" w:sz="8" w:color="auto"/>
            </w:tcBorders>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vMerge w:val="restart"/>
            <w:shd w:val="clear" w:color="auto" w:fill="E5E5E5"/>
          </w:tcPr>
          <w:p>
            <w:pPr>
              <w:jc w:val="right"/>
              <w:ind w:right="10"/>
              <w:spacing w:after="0"/>
              <w:rPr>
                <w:sz w:val="20"/>
                <w:szCs w:val="20"/>
                <w:color w:val="auto"/>
              </w:rPr>
            </w:pPr>
            <w:r>
              <w:rPr>
                <w:rFonts w:ascii="Arial" w:cs="Arial" w:eastAsia="Arial" w:hAnsi="Arial"/>
                <w:sz w:val="14"/>
                <w:szCs w:val="14"/>
                <w:color w:val="auto"/>
              </w:rPr>
              <w:t>247,000</w:t>
            </w:r>
          </w:p>
        </w:tc>
        <w:tc>
          <w:tcPr>
            <w:tcW w:w="1040" w:type="dxa"/>
            <w:vAlign w:val="bottom"/>
            <w:tcBorders>
              <w:right w:val="single" w:sz="8" w:color="auto"/>
            </w:tcBorders>
            <w:vMerge w:val="restart"/>
            <w:shd w:val="clear" w:color="auto" w:fill="E5E5E5"/>
          </w:tcPr>
          <w:p>
            <w:pPr>
              <w:jc w:val="right"/>
              <w:ind w:right="8"/>
              <w:spacing w:after="0"/>
              <w:rPr>
                <w:sz w:val="20"/>
                <w:szCs w:val="20"/>
                <w:color w:val="auto"/>
              </w:rPr>
            </w:pPr>
            <w:r>
              <w:rPr>
                <w:rFonts w:ascii="Arial" w:cs="Arial" w:eastAsia="Arial" w:hAnsi="Arial"/>
                <w:sz w:val="14"/>
                <w:szCs w:val="14"/>
                <w:color w:val="auto"/>
              </w:rPr>
              <w:t>6,584,075</w:t>
            </w:r>
          </w:p>
        </w:tc>
        <w:tc>
          <w:tcPr>
            <w:tcW w:w="0" w:type="dxa"/>
            <w:vAlign w:val="bottom"/>
          </w:tcPr>
          <w:p>
            <w:pPr>
              <w:spacing w:after="0"/>
              <w:rPr>
                <w:sz w:val="1"/>
                <w:szCs w:val="1"/>
                <w:color w:val="auto"/>
              </w:rPr>
            </w:pPr>
          </w:p>
        </w:tc>
      </w:tr>
      <w:tr>
        <w:trPr>
          <w:trHeight w:val="129"/>
        </w:trPr>
        <w:tc>
          <w:tcPr>
            <w:tcW w:w="2100" w:type="dxa"/>
            <w:vAlign w:val="bottom"/>
            <w:tcBorders>
              <w:left w:val="single" w:sz="8" w:color="auto"/>
              <w:right w:val="single" w:sz="8" w:color="auto"/>
            </w:tcBorders>
          </w:tcPr>
          <w:p>
            <w:pPr>
              <w:spacing w:after="0"/>
              <w:rPr>
                <w:sz w:val="11"/>
                <w:szCs w:val="11"/>
                <w:color w:val="auto"/>
              </w:rPr>
            </w:pPr>
          </w:p>
        </w:tc>
        <w:tc>
          <w:tcPr>
            <w:tcW w:w="600" w:type="dxa"/>
            <w:vAlign w:val="bottom"/>
            <w:tcBorders>
              <w:bottom w:val="single" w:sz="8" w:color="E5E5E5"/>
              <w:right w:val="single" w:sz="8" w:color="auto"/>
            </w:tcBorders>
            <w:vMerge w:val="continue"/>
            <w:shd w:val="clear" w:color="auto" w:fill="E5E5E5"/>
          </w:tcPr>
          <w:p>
            <w:pPr>
              <w:spacing w:after="0"/>
              <w:rPr>
                <w:sz w:val="11"/>
                <w:szCs w:val="11"/>
                <w:color w:val="auto"/>
              </w:rPr>
            </w:pPr>
          </w:p>
        </w:tc>
        <w:tc>
          <w:tcPr>
            <w:tcW w:w="900" w:type="dxa"/>
            <w:vAlign w:val="bottom"/>
            <w:tcBorders>
              <w:bottom w:val="single" w:sz="8" w:color="E5E5E5"/>
              <w:right w:val="single" w:sz="8" w:color="auto"/>
            </w:tcBorders>
            <w:vMerge w:val="continue"/>
            <w:shd w:val="clear" w:color="auto" w:fill="E5E5E5"/>
          </w:tcPr>
          <w:p>
            <w:pPr>
              <w:spacing w:after="0"/>
              <w:rPr>
                <w:sz w:val="11"/>
                <w:szCs w:val="11"/>
                <w:color w:val="auto"/>
              </w:rPr>
            </w:pPr>
          </w:p>
        </w:tc>
        <w:tc>
          <w:tcPr>
            <w:tcW w:w="860" w:type="dxa"/>
            <w:vAlign w:val="bottom"/>
            <w:tcBorders>
              <w:bottom w:val="single" w:sz="8" w:color="E5E5E5"/>
              <w:right w:val="single" w:sz="8" w:color="auto"/>
            </w:tcBorders>
            <w:vMerge w:val="continue"/>
            <w:shd w:val="clear" w:color="auto" w:fill="E5E5E5"/>
          </w:tcPr>
          <w:p>
            <w:pPr>
              <w:spacing w:after="0"/>
              <w:rPr>
                <w:sz w:val="11"/>
                <w:szCs w:val="11"/>
                <w:color w:val="auto"/>
              </w:rPr>
            </w:pPr>
          </w:p>
        </w:tc>
        <w:tc>
          <w:tcPr>
            <w:tcW w:w="920" w:type="dxa"/>
            <w:vAlign w:val="bottom"/>
            <w:tcBorders>
              <w:bottom w:val="single" w:sz="8" w:color="E5E5E5"/>
              <w:right w:val="single" w:sz="8" w:color="auto"/>
            </w:tcBorders>
            <w:vMerge w:val="continue"/>
            <w:shd w:val="clear" w:color="auto" w:fill="E5E5E5"/>
          </w:tcPr>
          <w:p>
            <w:pPr>
              <w:spacing w:after="0"/>
              <w:rPr>
                <w:sz w:val="11"/>
                <w:szCs w:val="11"/>
                <w:color w:val="auto"/>
              </w:rPr>
            </w:pPr>
          </w:p>
        </w:tc>
        <w:tc>
          <w:tcPr>
            <w:tcW w:w="900" w:type="dxa"/>
            <w:vAlign w:val="bottom"/>
            <w:tcBorders>
              <w:bottom w:val="single" w:sz="8" w:color="E5E5E5"/>
              <w:right w:val="single" w:sz="8" w:color="auto"/>
            </w:tcBorders>
            <w:vMerge w:val="continue"/>
            <w:shd w:val="clear" w:color="auto" w:fill="E5E5E5"/>
          </w:tcPr>
          <w:p>
            <w:pPr>
              <w:spacing w:after="0"/>
              <w:rPr>
                <w:sz w:val="11"/>
                <w:szCs w:val="11"/>
                <w:color w:val="auto"/>
              </w:rPr>
            </w:pPr>
          </w:p>
        </w:tc>
        <w:tc>
          <w:tcPr>
            <w:tcW w:w="1340" w:type="dxa"/>
            <w:vAlign w:val="bottom"/>
            <w:tcBorders>
              <w:bottom w:val="single" w:sz="8" w:color="E5E5E5"/>
              <w:right w:val="single" w:sz="8" w:color="auto"/>
            </w:tcBorders>
            <w:vMerge w:val="continue"/>
            <w:shd w:val="clear" w:color="auto" w:fill="E5E5E5"/>
          </w:tcPr>
          <w:p>
            <w:pPr>
              <w:spacing w:after="0"/>
              <w:rPr>
                <w:sz w:val="11"/>
                <w:szCs w:val="11"/>
                <w:color w:val="auto"/>
              </w:rPr>
            </w:pPr>
          </w:p>
        </w:tc>
        <w:tc>
          <w:tcPr>
            <w:tcW w:w="1320" w:type="dxa"/>
            <w:vAlign w:val="bottom"/>
            <w:tcBorders>
              <w:bottom w:val="single" w:sz="8" w:color="E5E5E5"/>
              <w:right w:val="single" w:sz="8" w:color="auto"/>
            </w:tcBorders>
            <w:vMerge w:val="continue"/>
            <w:shd w:val="clear" w:color="auto" w:fill="E5E5E5"/>
          </w:tcPr>
          <w:p>
            <w:pPr>
              <w:spacing w:after="0"/>
              <w:rPr>
                <w:sz w:val="11"/>
                <w:szCs w:val="11"/>
                <w:color w:val="auto"/>
              </w:rPr>
            </w:pPr>
          </w:p>
        </w:tc>
        <w:tc>
          <w:tcPr>
            <w:tcW w:w="1280" w:type="dxa"/>
            <w:vAlign w:val="bottom"/>
            <w:tcBorders>
              <w:bottom w:val="single" w:sz="8" w:color="E5E5E5"/>
              <w:right w:val="single" w:sz="8" w:color="auto"/>
            </w:tcBorders>
            <w:vMerge w:val="continue"/>
            <w:shd w:val="clear" w:color="auto" w:fill="E5E5E5"/>
          </w:tcPr>
          <w:p>
            <w:pPr>
              <w:spacing w:after="0"/>
              <w:rPr>
                <w:sz w:val="11"/>
                <w:szCs w:val="11"/>
                <w:color w:val="auto"/>
              </w:rPr>
            </w:pPr>
          </w:p>
        </w:tc>
        <w:tc>
          <w:tcPr>
            <w:tcW w:w="1040" w:type="dxa"/>
            <w:vAlign w:val="bottom"/>
            <w:tcBorders>
              <w:bottom w:val="single" w:sz="8" w:color="E5E5E5"/>
              <w:right w:val="single" w:sz="8" w:color="auto"/>
            </w:tcBorders>
            <w:vMerge w:val="continue"/>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10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Mark A. Carano</w:t>
            </w:r>
          </w:p>
        </w:tc>
        <w:tc>
          <w:tcPr>
            <w:tcW w:w="6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2024</w:t>
            </w:r>
          </w:p>
        </w:tc>
        <w:tc>
          <w:tcPr>
            <w:tcW w:w="90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524,466</w:t>
            </w:r>
          </w:p>
        </w:tc>
        <w:tc>
          <w:tcPr>
            <w:tcW w:w="86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769,438</w:t>
            </w:r>
          </w:p>
        </w:tc>
        <w:tc>
          <w:tcPr>
            <w:tcW w:w="90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206,258</w:t>
            </w:r>
          </w:p>
        </w:tc>
        <w:tc>
          <w:tcPr>
            <w:tcW w:w="1340" w:type="dxa"/>
            <w:vAlign w:val="bottom"/>
            <w:tcBorders>
              <w:top w:val="single" w:sz="8" w:color="auto"/>
              <w:right w:val="single" w:sz="8" w:color="auto"/>
            </w:tcBorders>
          </w:tcPr>
          <w:p>
            <w:pPr>
              <w:jc w:val="right"/>
              <w:ind w:right="9"/>
              <w:spacing w:after="0"/>
              <w:rPr>
                <w:sz w:val="20"/>
                <w:szCs w:val="20"/>
                <w:color w:val="auto"/>
              </w:rPr>
            </w:pPr>
            <w:r>
              <w:rPr>
                <w:rFonts w:ascii="Arial" w:cs="Arial" w:eastAsia="Arial" w:hAnsi="Arial"/>
                <w:sz w:val="14"/>
                <w:szCs w:val="14"/>
                <w:color w:val="auto"/>
              </w:rPr>
              <w:t>672,750</w:t>
            </w:r>
          </w:p>
        </w:tc>
        <w:tc>
          <w:tcPr>
            <w:tcW w:w="132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4"/>
                <w:szCs w:val="14"/>
                <w:color w:val="auto"/>
              </w:rPr>
              <w:t>64,042</w:t>
            </w:r>
          </w:p>
        </w:tc>
        <w:tc>
          <w:tcPr>
            <w:tcW w:w="104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2,236,954</w:t>
            </w:r>
          </w:p>
        </w:tc>
        <w:tc>
          <w:tcPr>
            <w:tcW w:w="0" w:type="dxa"/>
            <w:vAlign w:val="bottom"/>
          </w:tcPr>
          <w:p>
            <w:pPr>
              <w:spacing w:after="0"/>
              <w:rPr>
                <w:sz w:val="1"/>
                <w:szCs w:val="1"/>
                <w:color w:val="auto"/>
              </w:rPr>
            </w:pPr>
          </w:p>
        </w:tc>
      </w:tr>
      <w:tr>
        <w:trPr>
          <w:trHeight w:val="35"/>
        </w:trPr>
        <w:tc>
          <w:tcPr>
            <w:tcW w:w="2100" w:type="dxa"/>
            <w:vAlign w:val="bottom"/>
            <w:tcBorders>
              <w:left w:val="single" w:sz="8" w:color="auto"/>
              <w:bottom w:val="single" w:sz="8" w:color="auto"/>
              <w:right w:val="single" w:sz="8" w:color="auto"/>
            </w:tcBorders>
            <w:vMerge w:val="continue"/>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Vice President, Chief Financial</w:t>
            </w:r>
          </w:p>
        </w:tc>
        <w:tc>
          <w:tcPr>
            <w:tcW w:w="600" w:type="dxa"/>
            <w:vAlign w:val="bottom"/>
            <w:tcBorders>
              <w:bottom w:val="single" w:sz="8" w:color="E5E5E5"/>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2023</w:t>
            </w:r>
          </w:p>
        </w:tc>
        <w:tc>
          <w:tcPr>
            <w:tcW w:w="90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497,260</w:t>
            </w:r>
          </w:p>
        </w:tc>
        <w:tc>
          <w:tcPr>
            <w:tcW w:w="86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100,000</w:t>
            </w:r>
          </w:p>
        </w:tc>
        <w:tc>
          <w:tcPr>
            <w:tcW w:w="92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787,103</w:t>
            </w:r>
          </w:p>
        </w:tc>
        <w:tc>
          <w:tcPr>
            <w:tcW w:w="90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173,222</w:t>
            </w:r>
          </w:p>
        </w:tc>
        <w:tc>
          <w:tcPr>
            <w:tcW w:w="1340" w:type="dxa"/>
            <w:vAlign w:val="bottom"/>
            <w:tcBorders>
              <w:bottom w:val="single" w:sz="8" w:color="E5E5E5"/>
              <w:right w:val="single" w:sz="8" w:color="auto"/>
            </w:tcBorders>
            <w:shd w:val="clear" w:color="auto" w:fill="E5E5E5"/>
          </w:tcPr>
          <w:p>
            <w:pPr>
              <w:jc w:val="right"/>
              <w:ind w:right="9"/>
              <w:spacing w:after="0"/>
              <w:rPr>
                <w:sz w:val="20"/>
                <w:szCs w:val="20"/>
                <w:color w:val="auto"/>
              </w:rPr>
            </w:pPr>
            <w:r>
              <w:rPr>
                <w:rFonts w:ascii="Arial" w:cs="Arial" w:eastAsia="Arial" w:hAnsi="Arial"/>
                <w:sz w:val="14"/>
                <w:szCs w:val="14"/>
                <w:color w:val="auto"/>
              </w:rPr>
              <w:t>700,000</w:t>
            </w:r>
          </w:p>
        </w:tc>
        <w:tc>
          <w:tcPr>
            <w:tcW w:w="132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E5E5E5"/>
              <w:right w:val="single" w:sz="8" w:color="auto"/>
            </w:tcBorders>
            <w:shd w:val="clear" w:color="auto" w:fill="E5E5E5"/>
          </w:tcPr>
          <w:p>
            <w:pPr>
              <w:jc w:val="right"/>
              <w:ind w:right="10"/>
              <w:spacing w:after="0"/>
              <w:rPr>
                <w:sz w:val="20"/>
                <w:szCs w:val="20"/>
                <w:color w:val="auto"/>
              </w:rPr>
            </w:pPr>
            <w:r>
              <w:rPr>
                <w:rFonts w:ascii="Arial" w:cs="Arial" w:eastAsia="Arial" w:hAnsi="Arial"/>
                <w:sz w:val="14"/>
                <w:szCs w:val="14"/>
                <w:color w:val="auto"/>
              </w:rPr>
              <w:t>29,320</w:t>
            </w:r>
          </w:p>
        </w:tc>
        <w:tc>
          <w:tcPr>
            <w:tcW w:w="104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2,286,905</w:t>
            </w:r>
          </w:p>
        </w:tc>
        <w:tc>
          <w:tcPr>
            <w:tcW w:w="0" w:type="dxa"/>
            <w:vAlign w:val="bottom"/>
          </w:tcPr>
          <w:p>
            <w:pPr>
              <w:spacing w:after="0"/>
              <w:rPr>
                <w:sz w:val="1"/>
                <w:szCs w:val="1"/>
                <w:color w:val="auto"/>
              </w:rPr>
            </w:pPr>
          </w:p>
        </w:tc>
      </w:tr>
      <w:tr>
        <w:trPr>
          <w:trHeight w:val="121"/>
        </w:trPr>
        <w:tc>
          <w:tcPr>
            <w:tcW w:w="2100" w:type="dxa"/>
            <w:vAlign w:val="bottom"/>
            <w:tcBorders>
              <w:left w:val="single" w:sz="8" w:color="auto"/>
              <w:right w:val="single" w:sz="8" w:color="auto"/>
            </w:tcBorders>
          </w:tcPr>
          <w:p>
            <w:pPr>
              <w:ind w:left="40"/>
              <w:spacing w:after="0" w:line="121" w:lineRule="exact"/>
              <w:rPr>
                <w:sz w:val="20"/>
                <w:szCs w:val="20"/>
                <w:color w:val="auto"/>
              </w:rPr>
            </w:pPr>
            <w:r>
              <w:rPr>
                <w:rFonts w:ascii="Arial" w:cs="Arial" w:eastAsia="Arial" w:hAnsi="Arial"/>
                <w:sz w:val="13"/>
                <w:szCs w:val="13"/>
                <w:color w:val="auto"/>
              </w:rPr>
              <w:t>Officer and Treasurer</w:t>
            </w:r>
          </w:p>
        </w:tc>
        <w:tc>
          <w:tcPr>
            <w:tcW w:w="600" w:type="dxa"/>
            <w:vAlign w:val="bottom"/>
            <w:tcBorders>
              <w:top w:val="single" w:sz="8" w:color="auto"/>
              <w:right w:val="single" w:sz="8" w:color="auto"/>
            </w:tcBorders>
          </w:tcPr>
          <w:p>
            <w:pPr>
              <w:spacing w:after="0"/>
              <w:rPr>
                <w:sz w:val="10"/>
                <w:szCs w:val="10"/>
                <w:color w:val="auto"/>
              </w:rPr>
            </w:pPr>
          </w:p>
        </w:tc>
        <w:tc>
          <w:tcPr>
            <w:tcW w:w="900" w:type="dxa"/>
            <w:vAlign w:val="bottom"/>
            <w:tcBorders>
              <w:top w:val="single" w:sz="8" w:color="auto"/>
              <w:right w:val="single" w:sz="8" w:color="auto"/>
            </w:tcBorders>
          </w:tcPr>
          <w:p>
            <w:pPr>
              <w:spacing w:after="0"/>
              <w:rPr>
                <w:sz w:val="10"/>
                <w:szCs w:val="10"/>
                <w:color w:val="auto"/>
              </w:rPr>
            </w:pPr>
          </w:p>
        </w:tc>
        <w:tc>
          <w:tcPr>
            <w:tcW w:w="860" w:type="dxa"/>
            <w:vAlign w:val="bottom"/>
            <w:tcBorders>
              <w:top w:val="single" w:sz="8" w:color="auto"/>
              <w:right w:val="single" w:sz="8" w:color="auto"/>
            </w:tcBorders>
          </w:tcPr>
          <w:p>
            <w:pPr>
              <w:spacing w:after="0"/>
              <w:rPr>
                <w:sz w:val="10"/>
                <w:szCs w:val="10"/>
                <w:color w:val="auto"/>
              </w:rPr>
            </w:pPr>
          </w:p>
        </w:tc>
        <w:tc>
          <w:tcPr>
            <w:tcW w:w="920" w:type="dxa"/>
            <w:vAlign w:val="bottom"/>
            <w:tcBorders>
              <w:top w:val="single" w:sz="8" w:color="auto"/>
              <w:right w:val="single" w:sz="8" w:color="auto"/>
            </w:tcBorders>
          </w:tcPr>
          <w:p>
            <w:pPr>
              <w:spacing w:after="0"/>
              <w:rPr>
                <w:sz w:val="10"/>
                <w:szCs w:val="10"/>
                <w:color w:val="auto"/>
              </w:rPr>
            </w:pPr>
          </w:p>
        </w:tc>
        <w:tc>
          <w:tcPr>
            <w:tcW w:w="900" w:type="dxa"/>
            <w:vAlign w:val="bottom"/>
            <w:tcBorders>
              <w:top w:val="single" w:sz="8" w:color="auto"/>
              <w:right w:val="single" w:sz="8" w:color="auto"/>
            </w:tcBorders>
          </w:tcPr>
          <w:p>
            <w:pPr>
              <w:spacing w:after="0"/>
              <w:rPr>
                <w:sz w:val="10"/>
                <w:szCs w:val="10"/>
                <w:color w:val="auto"/>
              </w:rPr>
            </w:pPr>
          </w:p>
        </w:tc>
        <w:tc>
          <w:tcPr>
            <w:tcW w:w="1340" w:type="dxa"/>
            <w:vAlign w:val="bottom"/>
            <w:tcBorders>
              <w:top w:val="single" w:sz="8" w:color="auto"/>
              <w:right w:val="single" w:sz="8" w:color="auto"/>
            </w:tcBorders>
          </w:tcPr>
          <w:p>
            <w:pPr>
              <w:spacing w:after="0"/>
              <w:rPr>
                <w:sz w:val="10"/>
                <w:szCs w:val="10"/>
                <w:color w:val="auto"/>
              </w:rPr>
            </w:pPr>
          </w:p>
        </w:tc>
        <w:tc>
          <w:tcPr>
            <w:tcW w:w="1320" w:type="dxa"/>
            <w:vAlign w:val="bottom"/>
            <w:tcBorders>
              <w:top w:val="single" w:sz="8" w:color="auto"/>
              <w:right w:val="single" w:sz="8" w:color="auto"/>
            </w:tcBorders>
          </w:tcPr>
          <w:p>
            <w:pPr>
              <w:spacing w:after="0"/>
              <w:rPr>
                <w:sz w:val="10"/>
                <w:szCs w:val="10"/>
                <w:color w:val="auto"/>
              </w:rPr>
            </w:pPr>
          </w:p>
        </w:tc>
        <w:tc>
          <w:tcPr>
            <w:tcW w:w="1280" w:type="dxa"/>
            <w:vAlign w:val="bottom"/>
            <w:tcBorders>
              <w:top w:val="single" w:sz="8" w:color="auto"/>
              <w:right w:val="single" w:sz="8" w:color="auto"/>
            </w:tcBorders>
          </w:tcPr>
          <w:p>
            <w:pPr>
              <w:spacing w:after="0"/>
              <w:rPr>
                <w:sz w:val="10"/>
                <w:szCs w:val="10"/>
                <w:color w:val="auto"/>
              </w:rPr>
            </w:pPr>
          </w:p>
        </w:tc>
        <w:tc>
          <w:tcPr>
            <w:tcW w:w="104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100" w:type="dxa"/>
            <w:vAlign w:val="bottom"/>
            <w:tcBorders>
              <w:left w:val="single" w:sz="8" w:color="auto"/>
              <w:bottom w:val="single" w:sz="8" w:color="auto"/>
              <w:right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1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J. Randall Data</w:t>
            </w:r>
          </w:p>
        </w:tc>
        <w:tc>
          <w:tcPr>
            <w:tcW w:w="600" w:type="dxa"/>
            <w:vAlign w:val="bottom"/>
            <w:tcBorders>
              <w:bottom w:val="single" w:sz="8" w:color="E5E5E5"/>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2024</w:t>
            </w:r>
          </w:p>
        </w:tc>
        <w:tc>
          <w:tcPr>
            <w:tcW w:w="90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567,075</w:t>
            </w:r>
          </w:p>
        </w:tc>
        <w:tc>
          <w:tcPr>
            <w:tcW w:w="86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1,299,186</w:t>
            </w:r>
          </w:p>
        </w:tc>
        <w:tc>
          <w:tcPr>
            <w:tcW w:w="90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348,254</w:t>
            </w:r>
          </w:p>
        </w:tc>
        <w:tc>
          <w:tcPr>
            <w:tcW w:w="1340" w:type="dxa"/>
            <w:vAlign w:val="bottom"/>
            <w:tcBorders>
              <w:bottom w:val="single" w:sz="8" w:color="E5E5E5"/>
              <w:right w:val="single" w:sz="8" w:color="auto"/>
            </w:tcBorders>
            <w:shd w:val="clear" w:color="auto" w:fill="E5E5E5"/>
          </w:tcPr>
          <w:p>
            <w:pPr>
              <w:jc w:val="right"/>
              <w:ind w:right="9"/>
              <w:spacing w:after="0"/>
              <w:rPr>
                <w:sz w:val="20"/>
                <w:szCs w:val="20"/>
                <w:color w:val="auto"/>
              </w:rPr>
            </w:pPr>
            <w:r>
              <w:rPr>
                <w:rFonts w:ascii="Arial" w:cs="Arial" w:eastAsia="Arial" w:hAnsi="Arial"/>
                <w:sz w:val="14"/>
                <w:szCs w:val="14"/>
                <w:color w:val="auto"/>
              </w:rPr>
              <w:t>725,872</w:t>
            </w:r>
          </w:p>
        </w:tc>
        <w:tc>
          <w:tcPr>
            <w:tcW w:w="132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E5E5E5"/>
              <w:right w:val="single" w:sz="8" w:color="auto"/>
            </w:tcBorders>
            <w:shd w:val="clear" w:color="auto" w:fill="E5E5E5"/>
          </w:tcPr>
          <w:p>
            <w:pPr>
              <w:jc w:val="right"/>
              <w:ind w:right="10"/>
              <w:spacing w:after="0"/>
              <w:rPr>
                <w:sz w:val="20"/>
                <w:szCs w:val="20"/>
                <w:color w:val="auto"/>
              </w:rPr>
            </w:pPr>
            <w:r>
              <w:rPr>
                <w:rFonts w:ascii="Arial" w:cs="Arial" w:eastAsia="Arial" w:hAnsi="Arial"/>
                <w:sz w:val="14"/>
                <w:szCs w:val="14"/>
                <w:color w:val="auto"/>
              </w:rPr>
              <w:t>60,046</w:t>
            </w:r>
          </w:p>
        </w:tc>
        <w:tc>
          <w:tcPr>
            <w:tcW w:w="104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3,000,433</w:t>
            </w:r>
          </w:p>
        </w:tc>
        <w:tc>
          <w:tcPr>
            <w:tcW w:w="0" w:type="dxa"/>
            <w:vAlign w:val="bottom"/>
          </w:tcPr>
          <w:p>
            <w:pPr>
              <w:spacing w:after="0"/>
              <w:rPr>
                <w:sz w:val="1"/>
                <w:szCs w:val="1"/>
                <w:color w:val="auto"/>
              </w:rPr>
            </w:pPr>
          </w:p>
        </w:tc>
      </w:tr>
      <w:tr>
        <w:trPr>
          <w:trHeight w:val="106"/>
        </w:trPr>
        <w:tc>
          <w:tcPr>
            <w:tcW w:w="2100" w:type="dxa"/>
            <w:vAlign w:val="bottom"/>
            <w:tcBorders>
              <w:left w:val="single" w:sz="8" w:color="auto"/>
              <w:right w:val="single" w:sz="8" w:color="auto"/>
            </w:tcBorders>
            <w:vMerge w:val="continue"/>
          </w:tcPr>
          <w:p>
            <w:pPr>
              <w:spacing w:after="0"/>
              <w:rPr>
                <w:sz w:val="9"/>
                <w:szCs w:val="9"/>
                <w:color w:val="auto"/>
              </w:rPr>
            </w:pPr>
          </w:p>
        </w:tc>
        <w:tc>
          <w:tcPr>
            <w:tcW w:w="600" w:type="dxa"/>
            <w:vAlign w:val="bottom"/>
            <w:tcBorders>
              <w:top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2023</w:t>
            </w:r>
          </w:p>
        </w:tc>
        <w:tc>
          <w:tcPr>
            <w:tcW w:w="900" w:type="dxa"/>
            <w:vAlign w:val="bottom"/>
            <w:tcBorders>
              <w:top w:val="single" w:sz="8" w:color="auto"/>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539,157</w:t>
            </w:r>
          </w:p>
        </w:tc>
        <w:tc>
          <w:tcPr>
            <w:tcW w:w="860" w:type="dxa"/>
            <w:vAlign w:val="bottom"/>
            <w:tcBorders>
              <w:top w:val="single" w:sz="8" w:color="auto"/>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right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594,107</w:t>
            </w:r>
          </w:p>
        </w:tc>
        <w:tc>
          <w:tcPr>
            <w:tcW w:w="900" w:type="dxa"/>
            <w:vAlign w:val="bottom"/>
            <w:tcBorders>
              <w:top w:val="single" w:sz="8" w:color="auto"/>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196,716</w:t>
            </w:r>
          </w:p>
        </w:tc>
        <w:tc>
          <w:tcPr>
            <w:tcW w:w="1340" w:type="dxa"/>
            <w:vAlign w:val="bottom"/>
            <w:tcBorders>
              <w:top w:val="single" w:sz="8" w:color="auto"/>
              <w:right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762,467</w:t>
            </w:r>
          </w:p>
        </w:tc>
        <w:tc>
          <w:tcPr>
            <w:tcW w:w="1320" w:type="dxa"/>
            <w:vAlign w:val="bottom"/>
            <w:tcBorders>
              <w:top w:val="single" w:sz="8" w:color="auto"/>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right w:val="single" w:sz="8" w:color="auto"/>
            </w:tcBorders>
            <w:vMerge w:val="restart"/>
          </w:tcPr>
          <w:p>
            <w:pPr>
              <w:jc w:val="right"/>
              <w:ind w:right="10"/>
              <w:spacing w:after="0"/>
              <w:rPr>
                <w:sz w:val="20"/>
                <w:szCs w:val="20"/>
                <w:color w:val="auto"/>
              </w:rPr>
            </w:pPr>
            <w:r>
              <w:rPr>
                <w:rFonts w:ascii="Arial" w:cs="Arial" w:eastAsia="Arial" w:hAnsi="Arial"/>
                <w:sz w:val="14"/>
                <w:szCs w:val="14"/>
                <w:color w:val="auto"/>
              </w:rPr>
              <w:t>61,102</w:t>
            </w:r>
          </w:p>
        </w:tc>
        <w:tc>
          <w:tcPr>
            <w:tcW w:w="1040" w:type="dxa"/>
            <w:vAlign w:val="bottom"/>
            <w:tcBorders>
              <w:top w:val="single" w:sz="8" w:color="auto"/>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2,153,549</w:t>
            </w:r>
          </w:p>
        </w:tc>
        <w:tc>
          <w:tcPr>
            <w:tcW w:w="0" w:type="dxa"/>
            <w:vAlign w:val="bottom"/>
          </w:tcPr>
          <w:p>
            <w:pPr>
              <w:spacing w:after="0"/>
              <w:rPr>
                <w:sz w:val="1"/>
                <w:szCs w:val="1"/>
                <w:color w:val="auto"/>
              </w:rPr>
            </w:pPr>
          </w:p>
        </w:tc>
      </w:tr>
      <w:tr>
        <w:trPr>
          <w:trHeight w:val="109"/>
        </w:trPr>
        <w:tc>
          <w:tcPr>
            <w:tcW w:w="2100" w:type="dxa"/>
            <w:vAlign w:val="bottom"/>
            <w:tcBorders>
              <w:left w:val="single" w:sz="8" w:color="auto"/>
              <w:right w:val="single" w:sz="8" w:color="auto"/>
            </w:tcBorders>
            <w:vMerge w:val="restart"/>
          </w:tcPr>
          <w:p>
            <w:pPr>
              <w:ind w:left="40"/>
              <w:spacing w:after="0" w:line="125" w:lineRule="exact"/>
              <w:rPr>
                <w:sz w:val="20"/>
                <w:szCs w:val="20"/>
                <w:color w:val="auto"/>
              </w:rPr>
            </w:pPr>
            <w:r>
              <w:rPr>
                <w:rFonts w:ascii="Arial" w:cs="Arial" w:eastAsia="Arial" w:hAnsi="Arial"/>
                <w:sz w:val="14"/>
                <w:szCs w:val="14"/>
                <w:color w:val="auto"/>
              </w:rPr>
              <w:t>President, Global Operations</w:t>
            </w:r>
          </w:p>
        </w:tc>
        <w:tc>
          <w:tcPr>
            <w:tcW w:w="6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2100" w:type="dxa"/>
            <w:vAlign w:val="bottom"/>
            <w:tcBorders>
              <w:left w:val="single" w:sz="8" w:color="auto"/>
              <w:right w:val="single" w:sz="8" w:color="auto"/>
            </w:tcBorders>
            <w:vMerge w:val="continue"/>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00" w:type="dxa"/>
            <w:vAlign w:val="bottom"/>
            <w:tcBorders>
              <w:left w:val="single" w:sz="8" w:color="auto"/>
              <w:right w:val="single" w:sz="8" w:color="auto"/>
            </w:tcBorders>
          </w:tcPr>
          <w:p>
            <w:pPr>
              <w:spacing w:after="0"/>
              <w:rPr>
                <w:sz w:val="21"/>
                <w:szCs w:val="21"/>
                <w:color w:val="auto"/>
              </w:rPr>
            </w:pPr>
          </w:p>
        </w:tc>
        <w:tc>
          <w:tcPr>
            <w:tcW w:w="600" w:type="dxa"/>
            <w:vAlign w:val="bottom"/>
            <w:tcBorders>
              <w:bottom w:val="single" w:sz="8" w:color="E5E5E5"/>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2022</w:t>
            </w:r>
          </w:p>
        </w:tc>
        <w:tc>
          <w:tcPr>
            <w:tcW w:w="90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516,444</w:t>
            </w:r>
          </w:p>
        </w:tc>
        <w:tc>
          <w:tcPr>
            <w:tcW w:w="86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583,800</w:t>
            </w:r>
          </w:p>
        </w:tc>
        <w:tc>
          <w:tcPr>
            <w:tcW w:w="90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189,705</w:t>
            </w:r>
          </w:p>
        </w:tc>
        <w:tc>
          <w:tcPr>
            <w:tcW w:w="1340" w:type="dxa"/>
            <w:vAlign w:val="bottom"/>
            <w:tcBorders>
              <w:bottom w:val="single" w:sz="8" w:color="E5E5E5"/>
              <w:right w:val="single" w:sz="8" w:color="auto"/>
            </w:tcBorders>
            <w:shd w:val="clear" w:color="auto" w:fill="E5E5E5"/>
          </w:tcPr>
          <w:p>
            <w:pPr>
              <w:jc w:val="right"/>
              <w:ind w:right="9"/>
              <w:spacing w:after="0"/>
              <w:rPr>
                <w:sz w:val="20"/>
                <w:szCs w:val="20"/>
                <w:color w:val="auto"/>
              </w:rPr>
            </w:pPr>
            <w:r>
              <w:rPr>
                <w:rFonts w:ascii="Arial" w:cs="Arial" w:eastAsia="Arial" w:hAnsi="Arial"/>
                <w:sz w:val="14"/>
                <w:szCs w:val="14"/>
                <w:color w:val="auto"/>
              </w:rPr>
              <w:t>505,293</w:t>
            </w:r>
          </w:p>
        </w:tc>
        <w:tc>
          <w:tcPr>
            <w:tcW w:w="132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E5E5E5"/>
              <w:right w:val="single" w:sz="8" w:color="auto"/>
            </w:tcBorders>
            <w:shd w:val="clear" w:color="auto" w:fill="E5E5E5"/>
          </w:tcPr>
          <w:p>
            <w:pPr>
              <w:jc w:val="right"/>
              <w:ind w:right="10"/>
              <w:spacing w:after="0"/>
              <w:rPr>
                <w:sz w:val="20"/>
                <w:szCs w:val="20"/>
                <w:color w:val="auto"/>
              </w:rPr>
            </w:pPr>
            <w:r>
              <w:rPr>
                <w:rFonts w:ascii="Arial" w:cs="Arial" w:eastAsia="Arial" w:hAnsi="Arial"/>
                <w:sz w:val="14"/>
                <w:szCs w:val="14"/>
                <w:color w:val="auto"/>
              </w:rPr>
              <w:t>85,097</w:t>
            </w:r>
          </w:p>
        </w:tc>
        <w:tc>
          <w:tcPr>
            <w:tcW w:w="104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1,880,339</w:t>
            </w:r>
          </w:p>
        </w:tc>
        <w:tc>
          <w:tcPr>
            <w:tcW w:w="0" w:type="dxa"/>
            <w:vAlign w:val="bottom"/>
          </w:tcPr>
          <w:p>
            <w:pPr>
              <w:spacing w:after="0"/>
              <w:rPr>
                <w:sz w:val="1"/>
                <w:szCs w:val="1"/>
                <w:color w:val="auto"/>
              </w:rPr>
            </w:pPr>
          </w:p>
        </w:tc>
      </w:tr>
      <w:tr>
        <w:trPr>
          <w:trHeight w:val="215"/>
        </w:trPr>
        <w:tc>
          <w:tcPr>
            <w:tcW w:w="210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John W. Swann, III</w:t>
            </w:r>
          </w:p>
        </w:tc>
        <w:tc>
          <w:tcPr>
            <w:tcW w:w="6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2024</w:t>
            </w:r>
          </w:p>
        </w:tc>
        <w:tc>
          <w:tcPr>
            <w:tcW w:w="90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600,583</w:t>
            </w:r>
          </w:p>
        </w:tc>
        <w:tc>
          <w:tcPr>
            <w:tcW w:w="86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799,558</w:t>
            </w:r>
          </w:p>
        </w:tc>
        <w:tc>
          <w:tcPr>
            <w:tcW w:w="90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214,291</w:t>
            </w:r>
          </w:p>
        </w:tc>
        <w:tc>
          <w:tcPr>
            <w:tcW w:w="1340" w:type="dxa"/>
            <w:vAlign w:val="bottom"/>
            <w:tcBorders>
              <w:top w:val="single" w:sz="8" w:color="auto"/>
              <w:right w:val="single" w:sz="8" w:color="auto"/>
            </w:tcBorders>
          </w:tcPr>
          <w:p>
            <w:pPr>
              <w:jc w:val="right"/>
              <w:ind w:right="9"/>
              <w:spacing w:after="0"/>
              <w:rPr>
                <w:sz w:val="20"/>
                <w:szCs w:val="20"/>
                <w:color w:val="auto"/>
              </w:rPr>
            </w:pPr>
            <w:r>
              <w:rPr>
                <w:rFonts w:ascii="Arial" w:cs="Arial" w:eastAsia="Arial" w:hAnsi="Arial"/>
                <w:sz w:val="14"/>
                <w:szCs w:val="14"/>
                <w:color w:val="auto"/>
              </w:rPr>
              <w:t>657,127</w:t>
            </w:r>
          </w:p>
        </w:tc>
        <w:tc>
          <w:tcPr>
            <w:tcW w:w="132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4"/>
                <w:szCs w:val="14"/>
                <w:color w:val="auto"/>
              </w:rPr>
              <w:t>96,763</w:t>
            </w:r>
          </w:p>
        </w:tc>
        <w:tc>
          <w:tcPr>
            <w:tcW w:w="104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2,368,322</w:t>
            </w:r>
          </w:p>
        </w:tc>
        <w:tc>
          <w:tcPr>
            <w:tcW w:w="0" w:type="dxa"/>
            <w:vAlign w:val="bottom"/>
          </w:tcPr>
          <w:p>
            <w:pPr>
              <w:spacing w:after="0"/>
              <w:rPr>
                <w:sz w:val="1"/>
                <w:szCs w:val="1"/>
                <w:color w:val="auto"/>
              </w:rPr>
            </w:pPr>
          </w:p>
        </w:tc>
      </w:tr>
      <w:tr>
        <w:trPr>
          <w:trHeight w:val="35"/>
        </w:trPr>
        <w:tc>
          <w:tcPr>
            <w:tcW w:w="2100" w:type="dxa"/>
            <w:vAlign w:val="bottom"/>
            <w:tcBorders>
              <w:left w:val="single" w:sz="8" w:color="auto"/>
              <w:bottom w:val="single" w:sz="8" w:color="auto"/>
              <w:right w:val="single" w:sz="8" w:color="auto"/>
            </w:tcBorders>
            <w:vMerge w:val="continue"/>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Segment President, Detection</w:t>
            </w:r>
          </w:p>
        </w:tc>
        <w:tc>
          <w:tcPr>
            <w:tcW w:w="600" w:type="dxa"/>
            <w:vAlign w:val="bottom"/>
            <w:tcBorders>
              <w:bottom w:val="single" w:sz="8" w:color="E5E5E5"/>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2023</w:t>
            </w:r>
          </w:p>
        </w:tc>
        <w:tc>
          <w:tcPr>
            <w:tcW w:w="90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572,888</w:t>
            </w:r>
          </w:p>
        </w:tc>
        <w:tc>
          <w:tcPr>
            <w:tcW w:w="86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560,505</w:t>
            </w:r>
          </w:p>
        </w:tc>
        <w:tc>
          <w:tcPr>
            <w:tcW w:w="90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185,578</w:t>
            </w:r>
          </w:p>
        </w:tc>
        <w:tc>
          <w:tcPr>
            <w:tcW w:w="1340" w:type="dxa"/>
            <w:vAlign w:val="bottom"/>
            <w:tcBorders>
              <w:bottom w:val="single" w:sz="8" w:color="E5E5E5"/>
              <w:right w:val="single" w:sz="8" w:color="auto"/>
            </w:tcBorders>
            <w:shd w:val="clear" w:color="auto" w:fill="E5E5E5"/>
          </w:tcPr>
          <w:p>
            <w:pPr>
              <w:jc w:val="right"/>
              <w:ind w:right="9"/>
              <w:spacing w:after="0"/>
              <w:rPr>
                <w:sz w:val="20"/>
                <w:szCs w:val="20"/>
                <w:color w:val="auto"/>
              </w:rPr>
            </w:pPr>
            <w:r>
              <w:rPr>
                <w:rFonts w:ascii="Arial" w:cs="Arial" w:eastAsia="Arial" w:hAnsi="Arial"/>
                <w:sz w:val="14"/>
                <w:szCs w:val="14"/>
                <w:color w:val="auto"/>
              </w:rPr>
              <w:t>654,071</w:t>
            </w:r>
          </w:p>
        </w:tc>
        <w:tc>
          <w:tcPr>
            <w:tcW w:w="132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E5E5E5"/>
              <w:right w:val="single" w:sz="8" w:color="auto"/>
            </w:tcBorders>
            <w:shd w:val="clear" w:color="auto" w:fill="E5E5E5"/>
          </w:tcPr>
          <w:p>
            <w:pPr>
              <w:jc w:val="right"/>
              <w:ind w:right="10"/>
              <w:spacing w:after="0"/>
              <w:rPr>
                <w:sz w:val="20"/>
                <w:szCs w:val="20"/>
                <w:color w:val="auto"/>
              </w:rPr>
            </w:pPr>
            <w:r>
              <w:rPr>
                <w:rFonts w:ascii="Arial" w:cs="Arial" w:eastAsia="Arial" w:hAnsi="Arial"/>
                <w:sz w:val="14"/>
                <w:szCs w:val="14"/>
                <w:color w:val="auto"/>
              </w:rPr>
              <w:t>67,939</w:t>
            </w:r>
          </w:p>
        </w:tc>
        <w:tc>
          <w:tcPr>
            <w:tcW w:w="104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2,040,981</w:t>
            </w:r>
          </w:p>
        </w:tc>
        <w:tc>
          <w:tcPr>
            <w:tcW w:w="0" w:type="dxa"/>
            <w:vAlign w:val="bottom"/>
          </w:tcPr>
          <w:p>
            <w:pPr>
              <w:spacing w:after="0"/>
              <w:rPr>
                <w:sz w:val="1"/>
                <w:szCs w:val="1"/>
                <w:color w:val="auto"/>
              </w:rPr>
            </w:pPr>
          </w:p>
        </w:tc>
      </w:tr>
      <w:tr>
        <w:trPr>
          <w:trHeight w:val="120"/>
        </w:trPr>
        <w:tc>
          <w:tcPr>
            <w:tcW w:w="2100" w:type="dxa"/>
            <w:vAlign w:val="bottom"/>
            <w:tcBorders>
              <w:left w:val="single" w:sz="8" w:color="auto"/>
              <w:right w:val="single" w:sz="8" w:color="auto"/>
            </w:tcBorders>
          </w:tcPr>
          <w:p>
            <w:pPr>
              <w:ind w:left="40"/>
              <w:spacing w:after="0" w:line="121" w:lineRule="exact"/>
              <w:rPr>
                <w:sz w:val="20"/>
                <w:szCs w:val="20"/>
                <w:color w:val="auto"/>
              </w:rPr>
            </w:pPr>
            <w:r>
              <w:rPr>
                <w:rFonts w:ascii="Arial" w:cs="Arial" w:eastAsia="Arial" w:hAnsi="Arial"/>
                <w:sz w:val="13"/>
                <w:szCs w:val="13"/>
                <w:color w:val="auto"/>
              </w:rPr>
              <w:t>&amp; Measurement</w:t>
            </w:r>
          </w:p>
        </w:tc>
        <w:tc>
          <w:tcPr>
            <w:tcW w:w="600" w:type="dxa"/>
            <w:vAlign w:val="bottom"/>
            <w:tcBorders>
              <w:top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2022</w:t>
            </w:r>
          </w:p>
        </w:tc>
        <w:tc>
          <w:tcPr>
            <w:tcW w:w="900" w:type="dxa"/>
            <w:vAlign w:val="bottom"/>
            <w:tcBorders>
              <w:top w:val="single" w:sz="8" w:color="auto"/>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511,855</w:t>
            </w:r>
          </w:p>
        </w:tc>
        <w:tc>
          <w:tcPr>
            <w:tcW w:w="860" w:type="dxa"/>
            <w:vAlign w:val="bottom"/>
            <w:tcBorders>
              <w:top w:val="single" w:sz="8" w:color="auto"/>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right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514,021</w:t>
            </w:r>
          </w:p>
        </w:tc>
        <w:tc>
          <w:tcPr>
            <w:tcW w:w="900" w:type="dxa"/>
            <w:vAlign w:val="bottom"/>
            <w:tcBorders>
              <w:top w:val="single" w:sz="8" w:color="auto"/>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167,031</w:t>
            </w:r>
          </w:p>
        </w:tc>
        <w:tc>
          <w:tcPr>
            <w:tcW w:w="1340" w:type="dxa"/>
            <w:vAlign w:val="bottom"/>
            <w:tcBorders>
              <w:top w:val="single" w:sz="8" w:color="auto"/>
              <w:right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425,828</w:t>
            </w:r>
          </w:p>
        </w:tc>
        <w:tc>
          <w:tcPr>
            <w:tcW w:w="1320" w:type="dxa"/>
            <w:vAlign w:val="bottom"/>
            <w:tcBorders>
              <w:top w:val="single" w:sz="8" w:color="auto"/>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right w:val="single" w:sz="8" w:color="auto"/>
            </w:tcBorders>
            <w:vMerge w:val="restart"/>
          </w:tcPr>
          <w:p>
            <w:pPr>
              <w:jc w:val="right"/>
              <w:ind w:right="10"/>
              <w:spacing w:after="0"/>
              <w:rPr>
                <w:sz w:val="20"/>
                <w:szCs w:val="20"/>
                <w:color w:val="auto"/>
              </w:rPr>
            </w:pPr>
            <w:r>
              <w:rPr>
                <w:rFonts w:ascii="Arial" w:cs="Arial" w:eastAsia="Arial" w:hAnsi="Arial"/>
                <w:sz w:val="14"/>
                <w:szCs w:val="14"/>
                <w:color w:val="auto"/>
              </w:rPr>
              <w:t>139,158</w:t>
            </w:r>
          </w:p>
        </w:tc>
        <w:tc>
          <w:tcPr>
            <w:tcW w:w="1040" w:type="dxa"/>
            <w:vAlign w:val="bottom"/>
            <w:tcBorders>
              <w:top w:val="single" w:sz="8" w:color="auto"/>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1,757,893</w:t>
            </w:r>
          </w:p>
        </w:tc>
        <w:tc>
          <w:tcPr>
            <w:tcW w:w="0" w:type="dxa"/>
            <w:vAlign w:val="bottom"/>
          </w:tcPr>
          <w:p>
            <w:pPr>
              <w:spacing w:after="0"/>
              <w:rPr>
                <w:sz w:val="1"/>
                <w:szCs w:val="1"/>
                <w:color w:val="auto"/>
              </w:rPr>
            </w:pPr>
          </w:p>
        </w:tc>
      </w:tr>
      <w:tr>
        <w:trPr>
          <w:trHeight w:val="95"/>
        </w:trPr>
        <w:tc>
          <w:tcPr>
            <w:tcW w:w="2100" w:type="dxa"/>
            <w:vAlign w:val="bottom"/>
            <w:tcBorders>
              <w:left w:val="single" w:sz="8" w:color="auto"/>
              <w:right w:val="single" w:sz="8" w:color="auto"/>
            </w:tcBorders>
          </w:tcPr>
          <w:p>
            <w:pPr>
              <w:spacing w:after="0"/>
              <w:rPr>
                <w:sz w:val="8"/>
                <w:szCs w:val="8"/>
                <w:color w:val="auto"/>
              </w:rPr>
            </w:pPr>
          </w:p>
        </w:tc>
        <w:tc>
          <w:tcPr>
            <w:tcW w:w="60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128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100" w:type="dxa"/>
            <w:vAlign w:val="bottom"/>
            <w:tcBorders>
              <w:left w:val="single" w:sz="8" w:color="auto"/>
              <w:bottom w:val="single" w:sz="8" w:color="auto"/>
              <w:right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1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Sean McClenaghan</w:t>
            </w:r>
          </w:p>
        </w:tc>
        <w:tc>
          <w:tcPr>
            <w:tcW w:w="600" w:type="dxa"/>
            <w:vAlign w:val="bottom"/>
            <w:tcBorders>
              <w:bottom w:val="single" w:sz="8" w:color="E5E5E5"/>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2024</w:t>
            </w:r>
          </w:p>
        </w:tc>
        <w:tc>
          <w:tcPr>
            <w:tcW w:w="90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600,583</w:t>
            </w:r>
          </w:p>
        </w:tc>
        <w:tc>
          <w:tcPr>
            <w:tcW w:w="86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999,416</w:t>
            </w:r>
          </w:p>
        </w:tc>
        <w:tc>
          <w:tcPr>
            <w:tcW w:w="90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267,876</w:t>
            </w:r>
          </w:p>
        </w:tc>
        <w:tc>
          <w:tcPr>
            <w:tcW w:w="1340" w:type="dxa"/>
            <w:vAlign w:val="bottom"/>
            <w:tcBorders>
              <w:bottom w:val="single" w:sz="8" w:color="E5E5E5"/>
              <w:right w:val="single" w:sz="8" w:color="auto"/>
            </w:tcBorders>
            <w:shd w:val="clear" w:color="auto" w:fill="E5E5E5"/>
          </w:tcPr>
          <w:p>
            <w:pPr>
              <w:jc w:val="right"/>
              <w:ind w:right="9"/>
              <w:spacing w:after="0"/>
              <w:rPr>
                <w:sz w:val="20"/>
                <w:szCs w:val="20"/>
                <w:color w:val="auto"/>
              </w:rPr>
            </w:pPr>
            <w:r>
              <w:rPr>
                <w:rFonts w:ascii="Arial" w:cs="Arial" w:eastAsia="Arial" w:hAnsi="Arial"/>
                <w:sz w:val="14"/>
                <w:szCs w:val="14"/>
                <w:color w:val="auto"/>
              </w:rPr>
              <w:t>780,395</w:t>
            </w:r>
          </w:p>
        </w:tc>
        <w:tc>
          <w:tcPr>
            <w:tcW w:w="132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E5E5E5"/>
              <w:right w:val="single" w:sz="8" w:color="auto"/>
            </w:tcBorders>
            <w:shd w:val="clear" w:color="auto" w:fill="E5E5E5"/>
          </w:tcPr>
          <w:p>
            <w:pPr>
              <w:jc w:val="right"/>
              <w:ind w:right="10"/>
              <w:spacing w:after="0"/>
              <w:rPr>
                <w:sz w:val="20"/>
                <w:szCs w:val="20"/>
                <w:color w:val="auto"/>
              </w:rPr>
            </w:pPr>
            <w:r>
              <w:rPr>
                <w:rFonts w:ascii="Arial" w:cs="Arial" w:eastAsia="Arial" w:hAnsi="Arial"/>
                <w:sz w:val="14"/>
                <w:szCs w:val="14"/>
                <w:color w:val="auto"/>
              </w:rPr>
              <w:t>32,966</w:t>
            </w:r>
          </w:p>
        </w:tc>
        <w:tc>
          <w:tcPr>
            <w:tcW w:w="104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2,681,236</w:t>
            </w:r>
          </w:p>
        </w:tc>
        <w:tc>
          <w:tcPr>
            <w:tcW w:w="0" w:type="dxa"/>
            <w:vAlign w:val="bottom"/>
          </w:tcPr>
          <w:p>
            <w:pPr>
              <w:spacing w:after="0"/>
              <w:rPr>
                <w:sz w:val="1"/>
                <w:szCs w:val="1"/>
                <w:color w:val="auto"/>
              </w:rPr>
            </w:pPr>
          </w:p>
        </w:tc>
      </w:tr>
      <w:tr>
        <w:trPr>
          <w:trHeight w:val="106"/>
        </w:trPr>
        <w:tc>
          <w:tcPr>
            <w:tcW w:w="2100" w:type="dxa"/>
            <w:vAlign w:val="bottom"/>
            <w:tcBorders>
              <w:left w:val="single" w:sz="8" w:color="auto"/>
              <w:right w:val="single" w:sz="8" w:color="auto"/>
            </w:tcBorders>
            <w:vMerge w:val="continue"/>
          </w:tcPr>
          <w:p>
            <w:pPr>
              <w:spacing w:after="0"/>
              <w:rPr>
                <w:sz w:val="9"/>
                <w:szCs w:val="9"/>
                <w:color w:val="auto"/>
              </w:rPr>
            </w:pPr>
          </w:p>
        </w:tc>
        <w:tc>
          <w:tcPr>
            <w:tcW w:w="600" w:type="dxa"/>
            <w:vAlign w:val="bottom"/>
            <w:tcBorders>
              <w:top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2023</w:t>
            </w:r>
          </w:p>
        </w:tc>
        <w:tc>
          <w:tcPr>
            <w:tcW w:w="900" w:type="dxa"/>
            <w:vAlign w:val="bottom"/>
            <w:tcBorders>
              <w:top w:val="single" w:sz="8" w:color="auto"/>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572,888</w:t>
            </w:r>
          </w:p>
        </w:tc>
        <w:tc>
          <w:tcPr>
            <w:tcW w:w="860" w:type="dxa"/>
            <w:vAlign w:val="bottom"/>
            <w:tcBorders>
              <w:top w:val="single" w:sz="8" w:color="auto"/>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125,000</w:t>
            </w:r>
          </w:p>
        </w:tc>
        <w:tc>
          <w:tcPr>
            <w:tcW w:w="920" w:type="dxa"/>
            <w:vAlign w:val="bottom"/>
            <w:tcBorders>
              <w:top w:val="single" w:sz="8" w:color="auto"/>
              <w:right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560,505</w:t>
            </w:r>
          </w:p>
        </w:tc>
        <w:tc>
          <w:tcPr>
            <w:tcW w:w="900" w:type="dxa"/>
            <w:vAlign w:val="bottom"/>
            <w:tcBorders>
              <w:top w:val="single" w:sz="8" w:color="auto"/>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185,578</w:t>
            </w:r>
          </w:p>
        </w:tc>
        <w:tc>
          <w:tcPr>
            <w:tcW w:w="1340" w:type="dxa"/>
            <w:vAlign w:val="bottom"/>
            <w:tcBorders>
              <w:top w:val="single" w:sz="8" w:color="auto"/>
              <w:right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792,207</w:t>
            </w:r>
          </w:p>
        </w:tc>
        <w:tc>
          <w:tcPr>
            <w:tcW w:w="1320" w:type="dxa"/>
            <w:vAlign w:val="bottom"/>
            <w:tcBorders>
              <w:top w:val="single" w:sz="8" w:color="auto"/>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right w:val="single" w:sz="8" w:color="auto"/>
            </w:tcBorders>
            <w:vMerge w:val="restart"/>
          </w:tcPr>
          <w:p>
            <w:pPr>
              <w:jc w:val="right"/>
              <w:ind w:right="10"/>
              <w:spacing w:after="0"/>
              <w:rPr>
                <w:sz w:val="20"/>
                <w:szCs w:val="20"/>
                <w:color w:val="auto"/>
              </w:rPr>
            </w:pPr>
            <w:r>
              <w:rPr>
                <w:rFonts w:ascii="Arial" w:cs="Arial" w:eastAsia="Arial" w:hAnsi="Arial"/>
                <w:sz w:val="14"/>
                <w:szCs w:val="14"/>
                <w:color w:val="auto"/>
              </w:rPr>
              <w:t>22,771</w:t>
            </w:r>
          </w:p>
        </w:tc>
        <w:tc>
          <w:tcPr>
            <w:tcW w:w="1040" w:type="dxa"/>
            <w:vAlign w:val="bottom"/>
            <w:tcBorders>
              <w:top w:val="single" w:sz="8" w:color="auto"/>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2,258,949</w:t>
            </w:r>
          </w:p>
        </w:tc>
        <w:tc>
          <w:tcPr>
            <w:tcW w:w="0" w:type="dxa"/>
            <w:vAlign w:val="bottom"/>
          </w:tcPr>
          <w:p>
            <w:pPr>
              <w:spacing w:after="0"/>
              <w:rPr>
                <w:sz w:val="1"/>
                <w:szCs w:val="1"/>
                <w:color w:val="auto"/>
              </w:rPr>
            </w:pPr>
          </w:p>
        </w:tc>
      </w:tr>
      <w:tr>
        <w:trPr>
          <w:trHeight w:val="109"/>
        </w:trPr>
        <w:tc>
          <w:tcPr>
            <w:tcW w:w="2100" w:type="dxa"/>
            <w:vAlign w:val="bottom"/>
            <w:tcBorders>
              <w:left w:val="single" w:sz="8" w:color="auto"/>
              <w:right w:val="single" w:sz="8" w:color="auto"/>
            </w:tcBorders>
            <w:vMerge w:val="restart"/>
          </w:tcPr>
          <w:p>
            <w:pPr>
              <w:ind w:left="40"/>
              <w:spacing w:after="0" w:line="125" w:lineRule="exact"/>
              <w:rPr>
                <w:sz w:val="20"/>
                <w:szCs w:val="20"/>
                <w:color w:val="auto"/>
              </w:rPr>
            </w:pPr>
            <w:r>
              <w:rPr>
                <w:rFonts w:ascii="Arial" w:cs="Arial" w:eastAsia="Arial" w:hAnsi="Arial"/>
                <w:sz w:val="14"/>
                <w:szCs w:val="14"/>
                <w:color w:val="auto"/>
              </w:rPr>
              <w:t>Segment President, HVAC</w:t>
            </w:r>
          </w:p>
        </w:tc>
        <w:tc>
          <w:tcPr>
            <w:tcW w:w="6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2100" w:type="dxa"/>
            <w:vAlign w:val="bottom"/>
            <w:tcBorders>
              <w:left w:val="single" w:sz="8" w:color="auto"/>
              <w:right w:val="single" w:sz="8" w:color="auto"/>
            </w:tcBorders>
            <w:vMerge w:val="continue"/>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100" w:type="dxa"/>
            <w:vAlign w:val="bottom"/>
            <w:tcBorders>
              <w:left w:val="single" w:sz="8" w:color="auto"/>
              <w:right w:val="single" w:sz="8" w:color="auto"/>
            </w:tcBorders>
          </w:tcPr>
          <w:p>
            <w:pPr>
              <w:spacing w:after="0"/>
              <w:rPr>
                <w:sz w:val="20"/>
                <w:szCs w:val="20"/>
                <w:color w:val="auto"/>
              </w:rPr>
            </w:pPr>
          </w:p>
        </w:tc>
        <w:tc>
          <w:tcPr>
            <w:tcW w:w="600" w:type="dxa"/>
            <w:vAlign w:val="bottom"/>
            <w:tcBorders>
              <w:bottom w:val="single" w:sz="8" w:color="E5E5E5"/>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2022</w:t>
            </w:r>
          </w:p>
        </w:tc>
        <w:tc>
          <w:tcPr>
            <w:tcW w:w="90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148,822</w:t>
            </w:r>
          </w:p>
        </w:tc>
        <w:tc>
          <w:tcPr>
            <w:tcW w:w="86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125,000</w:t>
            </w:r>
          </w:p>
        </w:tc>
        <w:tc>
          <w:tcPr>
            <w:tcW w:w="92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490,519</w:t>
            </w:r>
          </w:p>
        </w:tc>
        <w:tc>
          <w:tcPr>
            <w:tcW w:w="90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490,541</w:t>
            </w:r>
          </w:p>
        </w:tc>
        <w:tc>
          <w:tcPr>
            <w:tcW w:w="1340" w:type="dxa"/>
            <w:vAlign w:val="bottom"/>
            <w:tcBorders>
              <w:bottom w:val="single" w:sz="8" w:color="E5E5E5"/>
              <w:right w:val="single" w:sz="8" w:color="auto"/>
            </w:tcBorders>
            <w:shd w:val="clear" w:color="auto" w:fill="E5E5E5"/>
          </w:tcPr>
          <w:p>
            <w:pPr>
              <w:jc w:val="right"/>
              <w:ind w:right="9"/>
              <w:spacing w:after="0"/>
              <w:rPr>
                <w:sz w:val="20"/>
                <w:szCs w:val="20"/>
                <w:color w:val="auto"/>
              </w:rPr>
            </w:pPr>
            <w:r>
              <w:rPr>
                <w:rFonts w:ascii="Arial" w:cs="Arial" w:eastAsia="Arial" w:hAnsi="Arial"/>
                <w:sz w:val="14"/>
                <w:szCs w:val="14"/>
                <w:color w:val="auto"/>
              </w:rPr>
              <w:t>154,281</w:t>
            </w:r>
          </w:p>
        </w:tc>
        <w:tc>
          <w:tcPr>
            <w:tcW w:w="132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E5E5E5"/>
              <w:right w:val="single" w:sz="8" w:color="auto"/>
            </w:tcBorders>
            <w:shd w:val="clear" w:color="auto" w:fill="E5E5E5"/>
          </w:tcPr>
          <w:p>
            <w:pPr>
              <w:jc w:val="right"/>
              <w:ind w:right="10"/>
              <w:spacing w:after="0"/>
              <w:rPr>
                <w:sz w:val="20"/>
                <w:szCs w:val="20"/>
                <w:color w:val="auto"/>
              </w:rPr>
            </w:pPr>
            <w:r>
              <w:rPr>
                <w:rFonts w:ascii="Arial" w:cs="Arial" w:eastAsia="Arial" w:hAnsi="Arial"/>
                <w:sz w:val="14"/>
                <w:szCs w:val="14"/>
                <w:color w:val="auto"/>
              </w:rPr>
              <w:t>5,800</w:t>
            </w:r>
          </w:p>
        </w:tc>
        <w:tc>
          <w:tcPr>
            <w:tcW w:w="104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1,414,963</w:t>
            </w:r>
          </w:p>
        </w:tc>
        <w:tc>
          <w:tcPr>
            <w:tcW w:w="0" w:type="dxa"/>
            <w:vAlign w:val="bottom"/>
          </w:tcPr>
          <w:p>
            <w:pPr>
              <w:spacing w:after="0"/>
              <w:rPr>
                <w:sz w:val="1"/>
                <w:szCs w:val="1"/>
                <w:color w:val="auto"/>
              </w:rPr>
            </w:pPr>
          </w:p>
        </w:tc>
      </w:tr>
      <w:tr>
        <w:trPr>
          <w:trHeight w:val="20"/>
        </w:trPr>
        <w:tc>
          <w:tcPr>
            <w:tcW w:w="2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340" w:right="20" w:hanging="332"/>
        <w:spacing w:after="0" w:line="264" w:lineRule="auto"/>
        <w:tabs>
          <w:tab w:leader="none" w:pos="332" w:val="left"/>
        </w:tabs>
        <w:numPr>
          <w:ilvl w:val="0"/>
          <w:numId w:val="36"/>
        </w:numPr>
        <w:rPr>
          <w:rFonts w:ascii="Arial" w:cs="Arial" w:eastAsia="Arial" w:hAnsi="Arial"/>
          <w:sz w:val="13"/>
          <w:szCs w:val="13"/>
          <w:color w:val="auto"/>
        </w:rPr>
      </w:pPr>
      <w:r>
        <w:rPr>
          <w:rFonts w:ascii="Arial" w:cs="Arial" w:eastAsia="Arial" w:hAnsi="Arial"/>
          <w:sz w:val="13"/>
          <w:szCs w:val="13"/>
          <w:color w:val="auto"/>
        </w:rPr>
        <w:t>NEOs are eligible to defer up to 50% of their salaries into the 401(k) Plan; and the SRSP. In 2024, the following NEOs deferred the following portions of their salaries into the 401(k) Plan and the SRSP:</w:t>
      </w:r>
    </w:p>
    <w:p>
      <w:pPr>
        <w:spacing w:after="0" w:line="47" w:lineRule="exact"/>
        <w:rPr>
          <w:sz w:val="20"/>
          <w:szCs w:val="20"/>
          <w:color w:val="auto"/>
        </w:rPr>
      </w:pPr>
    </w:p>
    <w:tbl>
      <w:tblPr>
        <w:tblLayout w:type="fixed"/>
        <w:tblInd w:w="350" w:type="dxa"/>
        <w:tblCellMar>
          <w:top w:w="0" w:type="dxa"/>
          <w:left w:w="0" w:type="dxa"/>
          <w:bottom w:w="0" w:type="dxa"/>
          <w:right w:w="0" w:type="dxa"/>
        </w:tblCellMar>
      </w:tblPr>
      <w:tr>
        <w:trPr>
          <w:trHeight w:val="207"/>
        </w:trPr>
        <w:tc>
          <w:tcPr>
            <w:tcW w:w="3640" w:type="dxa"/>
            <w:vAlign w:val="bottom"/>
            <w:tcBorders>
              <w:top w:val="single" w:sz="8" w:color="auto"/>
              <w:left w:val="single" w:sz="8" w:color="auto"/>
              <w:right w:val="single" w:sz="8" w:color="auto"/>
            </w:tcBorders>
            <w:shd w:val="clear" w:color="auto" w:fill="004C97"/>
          </w:tcPr>
          <w:p>
            <w:pPr>
              <w:spacing w:after="0"/>
              <w:rPr>
                <w:sz w:val="17"/>
                <w:szCs w:val="17"/>
                <w:color w:val="auto"/>
              </w:rPr>
            </w:pPr>
          </w:p>
        </w:tc>
        <w:tc>
          <w:tcPr>
            <w:tcW w:w="362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Deferred into</w:t>
            </w:r>
          </w:p>
        </w:tc>
        <w:tc>
          <w:tcPr>
            <w:tcW w:w="328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Deferred into</w:t>
            </w:r>
          </w:p>
        </w:tc>
      </w:tr>
      <w:tr>
        <w:trPr>
          <w:trHeight w:val="205"/>
        </w:trPr>
        <w:tc>
          <w:tcPr>
            <w:tcW w:w="3640" w:type="dxa"/>
            <w:vAlign w:val="bottom"/>
            <w:tcBorders>
              <w:left w:val="single" w:sz="8" w:color="auto"/>
              <w:bottom w:val="single" w:sz="8" w:color="auto"/>
              <w:right w:val="single" w:sz="8" w:color="auto"/>
            </w:tcBorders>
            <w:shd w:val="clear" w:color="auto" w:fill="004C97"/>
          </w:tcPr>
          <w:p>
            <w:pPr>
              <w:ind w:left="1620"/>
              <w:spacing w:after="0"/>
              <w:rPr>
                <w:sz w:val="20"/>
                <w:szCs w:val="20"/>
                <w:color w:val="auto"/>
              </w:rPr>
            </w:pPr>
            <w:r>
              <w:rPr>
                <w:rFonts w:ascii="Arial" w:cs="Arial" w:eastAsia="Arial" w:hAnsi="Arial"/>
                <w:sz w:val="14"/>
                <w:szCs w:val="14"/>
                <w:b w:val="1"/>
                <w:bCs w:val="1"/>
                <w:color w:val="FFFFFF"/>
              </w:rPr>
              <w:t>Name</w:t>
            </w:r>
          </w:p>
        </w:tc>
        <w:tc>
          <w:tcPr>
            <w:tcW w:w="362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401(k) Plan ($)</w:t>
            </w:r>
          </w:p>
        </w:tc>
        <w:tc>
          <w:tcPr>
            <w:tcW w:w="328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SRSP ($)</w:t>
            </w:r>
          </w:p>
        </w:tc>
      </w:tr>
      <w:tr>
        <w:trPr>
          <w:trHeight w:val="235"/>
        </w:trPr>
        <w:tc>
          <w:tcPr>
            <w:tcW w:w="3640" w:type="dxa"/>
            <w:vAlign w:val="bottom"/>
            <w:tcBorders>
              <w:left w:val="single" w:sz="8" w:color="auto"/>
              <w:bottom w:val="single" w:sz="8" w:color="E5E5E5"/>
              <w:right w:val="single" w:sz="8" w:color="auto"/>
            </w:tcBorders>
            <w:shd w:val="clear" w:color="auto" w:fill="E5E5E5"/>
          </w:tcPr>
          <w:p>
            <w:pPr>
              <w:ind w:left="180"/>
              <w:spacing w:after="0"/>
              <w:rPr>
                <w:sz w:val="20"/>
                <w:szCs w:val="20"/>
                <w:color w:val="auto"/>
              </w:rPr>
            </w:pPr>
            <w:r>
              <w:rPr>
                <w:rFonts w:ascii="Arial" w:cs="Arial" w:eastAsia="Arial" w:hAnsi="Arial"/>
                <w:sz w:val="14"/>
                <w:szCs w:val="14"/>
                <w:color w:val="auto"/>
              </w:rPr>
              <w:t>Eugene J. Lowe, III</w:t>
            </w:r>
          </w:p>
        </w:tc>
        <w:tc>
          <w:tcPr>
            <w:tcW w:w="36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15,923</w:t>
            </w:r>
          </w:p>
        </w:tc>
        <w:tc>
          <w:tcPr>
            <w:tcW w:w="328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44,067</w:t>
            </w:r>
          </w:p>
        </w:tc>
      </w:tr>
      <w:tr>
        <w:trPr>
          <w:trHeight w:val="201"/>
        </w:trPr>
        <w:tc>
          <w:tcPr>
            <w:tcW w:w="364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Mark A. Carano</w:t>
            </w:r>
          </w:p>
        </w:tc>
        <w:tc>
          <w:tcPr>
            <w:tcW w:w="3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13,269</w:t>
            </w:r>
          </w:p>
        </w:tc>
        <w:tc>
          <w:tcPr>
            <w:tcW w:w="3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25,546</w:t>
            </w:r>
          </w:p>
        </w:tc>
      </w:tr>
      <w:tr>
        <w:trPr>
          <w:trHeight w:val="22"/>
        </w:trPr>
        <w:tc>
          <w:tcPr>
            <w:tcW w:w="3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640" w:type="dxa"/>
            <w:vAlign w:val="bottom"/>
            <w:tcBorders>
              <w:left w:val="single" w:sz="8" w:color="auto"/>
              <w:bottom w:val="single" w:sz="8" w:color="E5E5E5"/>
              <w:right w:val="single" w:sz="8" w:color="auto"/>
            </w:tcBorders>
            <w:shd w:val="clear" w:color="auto" w:fill="E5E5E5"/>
          </w:tcPr>
          <w:p>
            <w:pPr>
              <w:ind w:left="180"/>
              <w:spacing w:after="0"/>
              <w:rPr>
                <w:sz w:val="20"/>
                <w:szCs w:val="20"/>
                <w:color w:val="auto"/>
              </w:rPr>
            </w:pPr>
            <w:r>
              <w:rPr>
                <w:rFonts w:ascii="Arial" w:cs="Arial" w:eastAsia="Arial" w:hAnsi="Arial"/>
                <w:sz w:val="14"/>
                <w:szCs w:val="14"/>
                <w:color w:val="auto"/>
              </w:rPr>
              <w:t>J. Randall Data</w:t>
            </w:r>
          </w:p>
        </w:tc>
        <w:tc>
          <w:tcPr>
            <w:tcW w:w="36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9,973</w:t>
            </w:r>
          </w:p>
        </w:tc>
        <w:tc>
          <w:tcPr>
            <w:tcW w:w="328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27,587</w:t>
            </w:r>
          </w:p>
        </w:tc>
      </w:tr>
      <w:tr>
        <w:trPr>
          <w:trHeight w:val="202"/>
        </w:trPr>
        <w:tc>
          <w:tcPr>
            <w:tcW w:w="364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John W. Swann, III</w:t>
            </w:r>
          </w:p>
        </w:tc>
        <w:tc>
          <w:tcPr>
            <w:tcW w:w="3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16,638</w:t>
            </w:r>
          </w:p>
        </w:tc>
        <w:tc>
          <w:tcPr>
            <w:tcW w:w="3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29,217</w:t>
            </w:r>
          </w:p>
        </w:tc>
      </w:tr>
      <w:tr>
        <w:trPr>
          <w:trHeight w:val="22"/>
        </w:trPr>
        <w:tc>
          <w:tcPr>
            <w:tcW w:w="3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280" w:type="dxa"/>
            <w:vAlign w:val="bottom"/>
            <w:tcBorders>
              <w:bottom w:val="single" w:sz="8" w:color="auto"/>
              <w:right w:val="single" w:sz="8" w:color="auto"/>
            </w:tcBorders>
          </w:tcPr>
          <w:p>
            <w:pPr>
              <w:spacing w:after="0" w:line="20" w:lineRule="exact"/>
              <w:rPr>
                <w:sz w:val="1"/>
                <w:szCs w:val="1"/>
                <w:color w:val="auto"/>
              </w:rPr>
            </w:pPr>
          </w:p>
        </w:tc>
      </w:tr>
      <w:tr>
        <w:trPr>
          <w:trHeight w:val="203"/>
        </w:trPr>
        <w:tc>
          <w:tcPr>
            <w:tcW w:w="3640" w:type="dxa"/>
            <w:vAlign w:val="bottom"/>
            <w:tcBorders>
              <w:left w:val="single" w:sz="8" w:color="auto"/>
              <w:bottom w:val="single" w:sz="8" w:color="E5E5E5"/>
              <w:right w:val="single" w:sz="8" w:color="auto"/>
            </w:tcBorders>
            <w:shd w:val="clear" w:color="auto" w:fill="E5E5E5"/>
          </w:tcPr>
          <w:p>
            <w:pPr>
              <w:ind w:left="180"/>
              <w:spacing w:after="0"/>
              <w:rPr>
                <w:sz w:val="20"/>
                <w:szCs w:val="20"/>
                <w:color w:val="auto"/>
              </w:rPr>
            </w:pPr>
            <w:r>
              <w:rPr>
                <w:rFonts w:ascii="Arial" w:cs="Arial" w:eastAsia="Arial" w:hAnsi="Arial"/>
                <w:sz w:val="14"/>
                <w:szCs w:val="14"/>
                <w:color w:val="auto"/>
              </w:rPr>
              <w:t>Sean McClenaghan</w:t>
            </w:r>
          </w:p>
        </w:tc>
        <w:tc>
          <w:tcPr>
            <w:tcW w:w="36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6,655</w:t>
            </w:r>
          </w:p>
        </w:tc>
        <w:tc>
          <w:tcPr>
            <w:tcW w:w="328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w w:val="99"/>
              </w:rPr>
              <w:t>—</w:t>
            </w:r>
          </w:p>
        </w:tc>
      </w:tr>
      <w:tr>
        <w:trPr>
          <w:trHeight w:val="20"/>
        </w:trPr>
        <w:tc>
          <w:tcPr>
            <w:tcW w:w="36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right w:val="single" w:sz="8" w:color="auto"/>
            </w:tcBorders>
            <w:shd w:val="clear" w:color="auto" w:fill="000000"/>
          </w:tcPr>
          <w:p>
            <w:pPr>
              <w:spacing w:after="0" w:line="20" w:lineRule="exact"/>
              <w:rPr>
                <w:sz w:val="1"/>
                <w:szCs w:val="1"/>
                <w:color w:val="auto"/>
              </w:rPr>
            </w:pPr>
          </w:p>
        </w:tc>
        <w:tc>
          <w:tcPr>
            <w:tcW w:w="3280" w:type="dxa"/>
            <w:vAlign w:val="bottom"/>
            <w:tcBorders>
              <w:right w:val="single" w:sz="8" w:color="auto"/>
            </w:tcBorders>
            <w:shd w:val="clear" w:color="auto" w:fill="000000"/>
          </w:tcPr>
          <w:p>
            <w:pPr>
              <w:spacing w:after="0" w:line="20" w:lineRule="exact"/>
              <w:rPr>
                <w:sz w:val="1"/>
                <w:szCs w:val="1"/>
                <w:color w:val="auto"/>
              </w:rPr>
            </w:pPr>
          </w:p>
        </w:tc>
      </w:tr>
    </w:tbl>
    <w:p>
      <w:pPr>
        <w:spacing w:after="0" w:line="185" w:lineRule="exact"/>
        <w:rPr>
          <w:sz w:val="20"/>
          <w:szCs w:val="20"/>
          <w:color w:val="auto"/>
        </w:rPr>
      </w:pPr>
    </w:p>
    <w:p>
      <w:pPr>
        <w:jc w:val="both"/>
        <w:ind w:left="340" w:right="20" w:hanging="332"/>
        <w:spacing w:after="0" w:line="245" w:lineRule="auto"/>
        <w:tabs>
          <w:tab w:leader="none" w:pos="332"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amounts reported in the above table were calculated in accordance with FASB Accounting Standard Codification Topic 718 (“Topic 718”) to reflect their grant date fair-value given vesting requirements. See Note 16 to the consolidated financial statements contained in our Annual Report on Form 10-K for the year ended December 31, 2024 for additional information regarding the calculation of these numbers. Amounts presented for 2024 include RSU and PSU awards. The values for PSUs assumes achievement at the target performance level. At the maximum performance level of 200%, Mr. Lowe would receive $6,729,839, Mr, Carano would receive $1,126,354, Mr. Data would receive $1,901,835, Mr. Swann would receive $1,170,531, and Mr. McClenaghan would receive $1,462,925.</w:t>
      </w:r>
    </w:p>
    <w:p>
      <w:pPr>
        <w:spacing w:after="0" w:line="46" w:lineRule="exact"/>
        <w:rPr>
          <w:rFonts w:ascii="Arial" w:cs="Arial" w:eastAsia="Arial" w:hAnsi="Arial"/>
          <w:sz w:val="13"/>
          <w:szCs w:val="13"/>
          <w:color w:val="auto"/>
        </w:rPr>
      </w:pPr>
    </w:p>
    <w:p>
      <w:pPr>
        <w:jc w:val="both"/>
        <w:ind w:left="340" w:right="20" w:hanging="332"/>
        <w:spacing w:after="0" w:line="251" w:lineRule="auto"/>
        <w:tabs>
          <w:tab w:leader="none" w:pos="332" w:val="left"/>
        </w:tabs>
        <w:numPr>
          <w:ilvl w:val="0"/>
          <w:numId w:val="37"/>
        </w:numPr>
        <w:rPr>
          <w:rFonts w:ascii="Arial" w:cs="Arial" w:eastAsia="Arial" w:hAnsi="Arial"/>
          <w:sz w:val="13"/>
          <w:szCs w:val="13"/>
          <w:color w:val="auto"/>
        </w:rPr>
      </w:pPr>
      <w:r>
        <w:rPr>
          <w:rFonts w:ascii="Arial" w:cs="Arial" w:eastAsia="Arial" w:hAnsi="Arial"/>
          <w:sz w:val="13"/>
          <w:szCs w:val="13"/>
          <w:color w:val="auto"/>
        </w:rPr>
        <w:t>Option Awards reflect the fair-value at time of grant in accordance with Topic 718 to reflect their grant date fair value given vesting requirements. See Note 16 to the consolidated financial statements contained in our Annual Report on Form 10-K for the year ended December 31, 2024 for additional information regarding the calculation of these numbers. See the “Grants of Plan-Based Awards” table for more information on these grants.</w:t>
      </w:r>
    </w:p>
    <w:p>
      <w:pPr>
        <w:spacing w:after="0" w:line="30" w:lineRule="exact"/>
        <w:rPr>
          <w:rFonts w:ascii="Arial" w:cs="Arial" w:eastAsia="Arial" w:hAnsi="Arial"/>
          <w:sz w:val="13"/>
          <w:szCs w:val="13"/>
          <w:color w:val="auto"/>
        </w:rPr>
      </w:pPr>
    </w:p>
    <w:p>
      <w:pPr>
        <w:ind w:left="320" w:hanging="312"/>
        <w:spacing w:after="0"/>
        <w:tabs>
          <w:tab w:leader="none" w:pos="3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 2025, the year in which they received the 2024 bonus payout, the following NEOs deferred the following portions of their bonuses into the 401(k) Plan and the SRSP: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645160</wp:posOffset>
            </wp:positionV>
            <wp:extent cx="403225" cy="145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0322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2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r>
        <w:trPr>
          <w:trHeight w:val="265"/>
        </w:trPr>
        <w:tc>
          <w:tcPr>
            <w:tcW w:w="1032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92" w:right="319" w:bottom="1440" w:gutter="0" w:footer="0" w:header="0"/>
        </w:sectPr>
      </w:pPr>
    </w:p>
    <w:bookmarkStart w:id="43" w:name="page44"/>
    <w:bookmarkEnd w:id="43"/>
    <w:p>
      <w:pPr>
        <w:ind w:left="20"/>
        <w:spacing w:after="0"/>
        <w:rPr>
          <w:sz w:val="20"/>
          <w:szCs w:val="20"/>
          <w:color w:val="auto"/>
        </w:rPr>
      </w:pPr>
      <w:r>
        <w:rPr>
          <w:rFonts w:ascii="Arial" w:cs="Arial" w:eastAsia="Arial" w:hAnsi="Arial"/>
          <w:sz w:val="14"/>
          <w:szCs w:val="14"/>
          <w:color w:val="004C9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350" w:type="dxa"/>
        <w:tblCellMar>
          <w:top w:w="0" w:type="dxa"/>
          <w:left w:w="0" w:type="dxa"/>
          <w:bottom w:w="0" w:type="dxa"/>
          <w:right w:w="0" w:type="dxa"/>
        </w:tblCellMar>
      </w:tblPr>
      <w:tr>
        <w:trPr>
          <w:trHeight w:val="207"/>
        </w:trPr>
        <w:tc>
          <w:tcPr>
            <w:tcW w:w="3520" w:type="dxa"/>
            <w:vAlign w:val="bottom"/>
            <w:tcBorders>
              <w:top w:val="single" w:sz="8" w:color="auto"/>
              <w:left w:val="single" w:sz="8" w:color="auto"/>
              <w:right w:val="single" w:sz="8" w:color="auto"/>
            </w:tcBorders>
            <w:shd w:val="clear" w:color="auto" w:fill="004C97"/>
          </w:tcPr>
          <w:p>
            <w:pPr>
              <w:spacing w:after="0"/>
              <w:rPr>
                <w:sz w:val="17"/>
                <w:szCs w:val="17"/>
                <w:color w:val="auto"/>
              </w:rPr>
            </w:pPr>
          </w:p>
        </w:tc>
        <w:tc>
          <w:tcPr>
            <w:tcW w:w="352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Deferred into</w:t>
            </w:r>
          </w:p>
        </w:tc>
        <w:tc>
          <w:tcPr>
            <w:tcW w:w="350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Deferred into</w:t>
            </w:r>
          </w:p>
        </w:tc>
      </w:tr>
      <w:tr>
        <w:trPr>
          <w:trHeight w:val="205"/>
        </w:trPr>
        <w:tc>
          <w:tcPr>
            <w:tcW w:w="3520" w:type="dxa"/>
            <w:vAlign w:val="bottom"/>
            <w:tcBorders>
              <w:left w:val="single" w:sz="8" w:color="auto"/>
              <w:bottom w:val="single" w:sz="8" w:color="auto"/>
              <w:right w:val="single" w:sz="8" w:color="auto"/>
            </w:tcBorders>
            <w:shd w:val="clear" w:color="auto" w:fill="004C97"/>
          </w:tcPr>
          <w:p>
            <w:pPr>
              <w:ind w:left="1560"/>
              <w:spacing w:after="0"/>
              <w:rPr>
                <w:sz w:val="20"/>
                <w:szCs w:val="20"/>
                <w:color w:val="auto"/>
              </w:rPr>
            </w:pPr>
            <w:r>
              <w:rPr>
                <w:rFonts w:ascii="Arial" w:cs="Arial" w:eastAsia="Arial" w:hAnsi="Arial"/>
                <w:sz w:val="14"/>
                <w:szCs w:val="14"/>
                <w:b w:val="1"/>
                <w:bCs w:val="1"/>
                <w:color w:val="FFFFFF"/>
              </w:rPr>
              <w:t>Name</w:t>
            </w:r>
          </w:p>
        </w:tc>
        <w:tc>
          <w:tcPr>
            <w:tcW w:w="352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401(k) Plan ($)</w:t>
            </w:r>
          </w:p>
        </w:tc>
        <w:tc>
          <w:tcPr>
            <w:tcW w:w="35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SRSP ($)</w:t>
            </w:r>
          </w:p>
        </w:tc>
      </w:tr>
      <w:tr>
        <w:trPr>
          <w:trHeight w:val="234"/>
        </w:trPr>
        <w:tc>
          <w:tcPr>
            <w:tcW w:w="3520" w:type="dxa"/>
            <w:vAlign w:val="bottom"/>
            <w:tcBorders>
              <w:left w:val="single" w:sz="8" w:color="auto"/>
              <w:bottom w:val="single" w:sz="8" w:color="E5E5E5"/>
              <w:right w:val="single" w:sz="8" w:color="auto"/>
            </w:tcBorders>
            <w:shd w:val="clear" w:color="auto" w:fill="E5E5E5"/>
          </w:tcPr>
          <w:p>
            <w:pPr>
              <w:ind w:left="180"/>
              <w:spacing w:after="0"/>
              <w:rPr>
                <w:sz w:val="20"/>
                <w:szCs w:val="20"/>
                <w:color w:val="auto"/>
              </w:rPr>
            </w:pPr>
            <w:r>
              <w:rPr>
                <w:rFonts w:ascii="Arial" w:cs="Arial" w:eastAsia="Arial" w:hAnsi="Arial"/>
                <w:sz w:val="14"/>
                <w:szCs w:val="14"/>
                <w:color w:val="auto"/>
              </w:rPr>
              <w:t>Eugene J. Lowe, III</w:t>
            </w:r>
          </w:p>
        </w:tc>
        <w:tc>
          <w:tcPr>
            <w:tcW w:w="35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6,622</w:t>
            </w:r>
          </w:p>
        </w:tc>
        <w:tc>
          <w:tcPr>
            <w:tcW w:w="350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102,467</w:t>
            </w:r>
          </w:p>
        </w:tc>
      </w:tr>
      <w:tr>
        <w:trPr>
          <w:trHeight w:val="202"/>
        </w:trPr>
        <w:tc>
          <w:tcPr>
            <w:tcW w:w="352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Mark A. Carano</w:t>
            </w:r>
          </w:p>
        </w:tc>
        <w:tc>
          <w:tcPr>
            <w:tcW w:w="3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16,269</w:t>
            </w:r>
          </w:p>
        </w:tc>
        <w:tc>
          <w:tcPr>
            <w:tcW w:w="3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25,480</w:t>
            </w:r>
          </w:p>
        </w:tc>
      </w:tr>
      <w:tr>
        <w:trPr>
          <w:trHeight w:val="22"/>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20" w:type="dxa"/>
            <w:vAlign w:val="bottom"/>
            <w:tcBorders>
              <w:bottom w:val="single" w:sz="8" w:color="auto"/>
              <w:right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520" w:type="dxa"/>
            <w:vAlign w:val="bottom"/>
            <w:tcBorders>
              <w:left w:val="single" w:sz="8" w:color="auto"/>
              <w:bottom w:val="single" w:sz="8" w:color="E5E5E5"/>
              <w:right w:val="single" w:sz="8" w:color="auto"/>
            </w:tcBorders>
            <w:shd w:val="clear" w:color="auto" w:fill="E5E5E5"/>
          </w:tcPr>
          <w:p>
            <w:pPr>
              <w:ind w:left="180"/>
              <w:spacing w:after="0"/>
              <w:rPr>
                <w:sz w:val="20"/>
                <w:szCs w:val="20"/>
                <w:color w:val="auto"/>
              </w:rPr>
            </w:pPr>
            <w:r>
              <w:rPr>
                <w:rFonts w:ascii="Arial" w:cs="Arial" w:eastAsia="Arial" w:hAnsi="Arial"/>
                <w:sz w:val="14"/>
                <w:szCs w:val="14"/>
                <w:color w:val="auto"/>
              </w:rPr>
              <w:t>J. Randall Data</w:t>
            </w:r>
          </w:p>
        </w:tc>
        <w:tc>
          <w:tcPr>
            <w:tcW w:w="35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23,003</w:t>
            </w:r>
          </w:p>
        </w:tc>
        <w:tc>
          <w:tcPr>
            <w:tcW w:w="350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w w:val="99"/>
              </w:rPr>
              <w:t>—</w:t>
            </w:r>
          </w:p>
        </w:tc>
      </w:tr>
      <w:tr>
        <w:trPr>
          <w:trHeight w:val="202"/>
        </w:trPr>
        <w:tc>
          <w:tcPr>
            <w:tcW w:w="352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John W. Swann, III</w:t>
            </w:r>
          </w:p>
        </w:tc>
        <w:tc>
          <w:tcPr>
            <w:tcW w:w="3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6,030</w:t>
            </w:r>
          </w:p>
        </w:tc>
        <w:tc>
          <w:tcPr>
            <w:tcW w:w="3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25,416</w:t>
            </w:r>
          </w:p>
        </w:tc>
      </w:tr>
      <w:tr>
        <w:trPr>
          <w:trHeight w:val="22"/>
        </w:trPr>
        <w:tc>
          <w:tcPr>
            <w:tcW w:w="3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520" w:type="dxa"/>
            <w:vAlign w:val="bottom"/>
            <w:tcBorders>
              <w:bottom w:val="single" w:sz="8" w:color="auto"/>
              <w:right w:val="single" w:sz="8" w:color="auto"/>
            </w:tcBorders>
          </w:tcPr>
          <w:p>
            <w:pPr>
              <w:spacing w:after="0" w:line="20" w:lineRule="exact"/>
              <w:rPr>
                <w:sz w:val="1"/>
                <w:szCs w:val="1"/>
                <w:color w:val="auto"/>
              </w:rPr>
            </w:pPr>
          </w:p>
        </w:tc>
        <w:tc>
          <w:tcPr>
            <w:tcW w:w="3500" w:type="dxa"/>
            <w:vAlign w:val="bottom"/>
            <w:tcBorders>
              <w:bottom w:val="single" w:sz="8" w:color="auto"/>
              <w:right w:val="single" w:sz="8" w:color="auto"/>
            </w:tcBorders>
          </w:tcPr>
          <w:p>
            <w:pPr>
              <w:spacing w:after="0" w:line="20" w:lineRule="exact"/>
              <w:rPr>
                <w:sz w:val="1"/>
                <w:szCs w:val="1"/>
                <w:color w:val="auto"/>
              </w:rPr>
            </w:pPr>
          </w:p>
        </w:tc>
      </w:tr>
      <w:tr>
        <w:trPr>
          <w:trHeight w:val="203"/>
        </w:trPr>
        <w:tc>
          <w:tcPr>
            <w:tcW w:w="3520" w:type="dxa"/>
            <w:vAlign w:val="bottom"/>
            <w:tcBorders>
              <w:left w:val="single" w:sz="8" w:color="auto"/>
              <w:bottom w:val="single" w:sz="8" w:color="E5E5E5"/>
              <w:right w:val="single" w:sz="8" w:color="auto"/>
            </w:tcBorders>
            <w:shd w:val="clear" w:color="auto" w:fill="E5E5E5"/>
          </w:tcPr>
          <w:p>
            <w:pPr>
              <w:ind w:left="180"/>
              <w:spacing w:after="0"/>
              <w:rPr>
                <w:sz w:val="20"/>
                <w:szCs w:val="20"/>
                <w:color w:val="auto"/>
              </w:rPr>
            </w:pPr>
            <w:r>
              <w:rPr>
                <w:rFonts w:ascii="Arial" w:cs="Arial" w:eastAsia="Arial" w:hAnsi="Arial"/>
                <w:sz w:val="14"/>
                <w:szCs w:val="14"/>
                <w:color w:val="auto"/>
              </w:rPr>
              <w:t>Sean McClenaghan</w:t>
            </w:r>
          </w:p>
        </w:tc>
        <w:tc>
          <w:tcPr>
            <w:tcW w:w="35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11,853</w:t>
            </w:r>
          </w:p>
        </w:tc>
        <w:tc>
          <w:tcPr>
            <w:tcW w:w="350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32,812</w:t>
            </w:r>
          </w:p>
        </w:tc>
      </w:tr>
      <w:tr>
        <w:trPr>
          <w:trHeight w:val="20"/>
        </w:trPr>
        <w:tc>
          <w:tcPr>
            <w:tcW w:w="35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520" w:type="dxa"/>
            <w:vAlign w:val="bottom"/>
            <w:tcBorders>
              <w:right w:val="single" w:sz="8" w:color="auto"/>
            </w:tcBorders>
            <w:shd w:val="clear" w:color="auto" w:fill="000000"/>
          </w:tcPr>
          <w:p>
            <w:pPr>
              <w:spacing w:after="0" w:line="20" w:lineRule="exact"/>
              <w:rPr>
                <w:sz w:val="1"/>
                <w:szCs w:val="1"/>
                <w:color w:val="auto"/>
              </w:rPr>
            </w:pPr>
          </w:p>
        </w:tc>
        <w:tc>
          <w:tcPr>
            <w:tcW w:w="3500" w:type="dxa"/>
            <w:vAlign w:val="bottom"/>
            <w:tcBorders>
              <w:right w:val="single" w:sz="8" w:color="auto"/>
            </w:tcBorders>
            <w:shd w:val="clear" w:color="auto" w:fill="000000"/>
          </w:tcPr>
          <w:p>
            <w:pPr>
              <w:spacing w:after="0" w:line="20" w:lineRule="exact"/>
              <w:rPr>
                <w:sz w:val="1"/>
                <w:szCs w:val="1"/>
                <w:color w:val="auto"/>
              </w:rPr>
            </w:pPr>
          </w:p>
        </w:tc>
      </w:tr>
    </w:tbl>
    <w:p>
      <w:pPr>
        <w:spacing w:after="0" w:line="185"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All Other Compensation for 2024 for NEOs is outlined in the table below:</w:t>
      </w:r>
    </w:p>
    <w:p>
      <w:pPr>
        <w:spacing w:after="0" w:line="132" w:lineRule="exact"/>
        <w:rPr>
          <w:sz w:val="20"/>
          <w:szCs w:val="20"/>
          <w:color w:val="auto"/>
        </w:rPr>
      </w:pPr>
    </w:p>
    <w:tbl>
      <w:tblPr>
        <w:tblLayout w:type="fixed"/>
        <w:tblInd w:w="350" w:type="dxa"/>
        <w:tblCellMar>
          <w:top w:w="0" w:type="dxa"/>
          <w:left w:w="0" w:type="dxa"/>
          <w:bottom w:w="0" w:type="dxa"/>
          <w:right w:w="0" w:type="dxa"/>
        </w:tblCellMar>
      </w:tblPr>
      <w:tr>
        <w:trPr>
          <w:trHeight w:val="207"/>
        </w:trPr>
        <w:tc>
          <w:tcPr>
            <w:tcW w:w="2500" w:type="dxa"/>
            <w:vAlign w:val="bottom"/>
            <w:tcBorders>
              <w:top w:val="single" w:sz="8" w:color="auto"/>
              <w:left w:val="single" w:sz="8" w:color="auto"/>
              <w:right w:val="single" w:sz="8" w:color="auto"/>
            </w:tcBorders>
            <w:shd w:val="clear" w:color="auto" w:fill="004C97"/>
          </w:tcPr>
          <w:p>
            <w:pPr>
              <w:spacing w:after="0"/>
              <w:rPr>
                <w:sz w:val="17"/>
                <w:szCs w:val="17"/>
                <w:color w:val="auto"/>
              </w:rPr>
            </w:pPr>
          </w:p>
        </w:tc>
        <w:tc>
          <w:tcPr>
            <w:tcW w:w="1000" w:type="dxa"/>
            <w:vAlign w:val="bottom"/>
            <w:tcBorders>
              <w:top w:val="single" w:sz="8" w:color="auto"/>
              <w:right w:val="single" w:sz="8" w:color="auto"/>
            </w:tcBorders>
            <w:shd w:val="clear" w:color="auto" w:fill="004C97"/>
          </w:tcPr>
          <w:p>
            <w:pPr>
              <w:spacing w:after="0"/>
              <w:rPr>
                <w:sz w:val="17"/>
                <w:szCs w:val="17"/>
                <w:color w:val="auto"/>
              </w:rPr>
            </w:pPr>
          </w:p>
        </w:tc>
        <w:tc>
          <w:tcPr>
            <w:tcW w:w="1000" w:type="dxa"/>
            <w:vAlign w:val="bottom"/>
            <w:tcBorders>
              <w:top w:val="single" w:sz="8" w:color="auto"/>
              <w:right w:val="single" w:sz="8" w:color="auto"/>
            </w:tcBorders>
            <w:shd w:val="clear" w:color="auto" w:fill="004C97"/>
          </w:tcPr>
          <w:p>
            <w:pPr>
              <w:spacing w:after="0"/>
              <w:rPr>
                <w:sz w:val="17"/>
                <w:szCs w:val="17"/>
                <w:color w:val="auto"/>
              </w:rPr>
            </w:pPr>
          </w:p>
        </w:tc>
        <w:tc>
          <w:tcPr>
            <w:tcW w:w="1000" w:type="dxa"/>
            <w:vAlign w:val="bottom"/>
            <w:tcBorders>
              <w:top w:val="single" w:sz="8" w:color="auto"/>
              <w:right w:val="single" w:sz="8" w:color="auto"/>
            </w:tcBorders>
            <w:shd w:val="clear" w:color="auto" w:fill="004C97"/>
          </w:tcPr>
          <w:p>
            <w:pPr>
              <w:spacing w:after="0"/>
              <w:rPr>
                <w:sz w:val="17"/>
                <w:szCs w:val="17"/>
                <w:color w:val="auto"/>
              </w:rPr>
            </w:pPr>
          </w:p>
        </w:tc>
        <w:tc>
          <w:tcPr>
            <w:tcW w:w="1000" w:type="dxa"/>
            <w:vAlign w:val="bottom"/>
            <w:tcBorders>
              <w:top w:val="single" w:sz="8" w:color="auto"/>
              <w:right w:val="single" w:sz="8" w:color="auto"/>
            </w:tcBorders>
            <w:shd w:val="clear" w:color="auto" w:fill="004C97"/>
          </w:tcPr>
          <w:p>
            <w:pPr>
              <w:spacing w:after="0"/>
              <w:rPr>
                <w:sz w:val="17"/>
                <w:szCs w:val="17"/>
                <w:color w:val="auto"/>
              </w:rPr>
            </w:pPr>
          </w:p>
        </w:tc>
        <w:tc>
          <w:tcPr>
            <w:tcW w:w="1000" w:type="dxa"/>
            <w:vAlign w:val="bottom"/>
            <w:tcBorders>
              <w:top w:val="single" w:sz="8" w:color="auto"/>
              <w:right w:val="single" w:sz="8" w:color="auto"/>
            </w:tcBorders>
            <w:shd w:val="clear" w:color="auto" w:fill="004C97"/>
          </w:tcPr>
          <w:p>
            <w:pPr>
              <w:spacing w:after="0"/>
              <w:rPr>
                <w:sz w:val="17"/>
                <w:szCs w:val="17"/>
                <w:color w:val="auto"/>
              </w:rPr>
            </w:pPr>
          </w:p>
        </w:tc>
        <w:tc>
          <w:tcPr>
            <w:tcW w:w="980" w:type="dxa"/>
            <w:vAlign w:val="bottom"/>
            <w:tcBorders>
              <w:top w:val="single" w:sz="8" w:color="auto"/>
              <w:right w:val="single" w:sz="8" w:color="auto"/>
            </w:tcBorders>
            <w:shd w:val="clear" w:color="auto" w:fill="004C97"/>
          </w:tcPr>
          <w:p>
            <w:pPr>
              <w:spacing w:after="0"/>
              <w:rPr>
                <w:sz w:val="17"/>
                <w:szCs w:val="17"/>
                <w:color w:val="auto"/>
              </w:rPr>
            </w:pPr>
          </w:p>
        </w:tc>
        <w:tc>
          <w:tcPr>
            <w:tcW w:w="134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Supplemental</w:t>
            </w:r>
          </w:p>
        </w:tc>
        <w:tc>
          <w:tcPr>
            <w:tcW w:w="720" w:type="dxa"/>
            <w:vAlign w:val="bottom"/>
            <w:tcBorders>
              <w:top w:val="single" w:sz="8" w:color="auto"/>
              <w:right w:val="single" w:sz="8" w:color="auto"/>
            </w:tcBorders>
            <w:shd w:val="clear" w:color="auto" w:fill="004C97"/>
          </w:tcPr>
          <w:p>
            <w:pPr>
              <w:spacing w:after="0"/>
              <w:rPr>
                <w:sz w:val="17"/>
                <w:szCs w:val="17"/>
                <w:color w:val="auto"/>
              </w:rPr>
            </w:pPr>
          </w:p>
        </w:tc>
      </w:tr>
      <w:tr>
        <w:trPr>
          <w:trHeight w:val="162"/>
        </w:trPr>
        <w:tc>
          <w:tcPr>
            <w:tcW w:w="2500" w:type="dxa"/>
            <w:vAlign w:val="bottom"/>
            <w:tcBorders>
              <w:left w:val="single" w:sz="8" w:color="auto"/>
              <w:right w:val="single" w:sz="8" w:color="auto"/>
            </w:tcBorders>
            <w:shd w:val="clear" w:color="auto" w:fill="004C97"/>
          </w:tcPr>
          <w:p>
            <w:pPr>
              <w:spacing w:after="0"/>
              <w:rPr>
                <w:sz w:val="14"/>
                <w:szCs w:val="14"/>
                <w:color w:val="auto"/>
              </w:rPr>
            </w:pPr>
          </w:p>
        </w:tc>
        <w:tc>
          <w:tcPr>
            <w:tcW w:w="1000" w:type="dxa"/>
            <w:vAlign w:val="bottom"/>
            <w:tcBorders>
              <w:right w:val="single" w:sz="8" w:color="auto"/>
            </w:tcBorders>
            <w:shd w:val="clear" w:color="auto" w:fill="004C97"/>
          </w:tcPr>
          <w:p>
            <w:pPr>
              <w:spacing w:after="0"/>
              <w:rPr>
                <w:sz w:val="14"/>
                <w:szCs w:val="14"/>
                <w:color w:val="auto"/>
              </w:rPr>
            </w:pPr>
          </w:p>
        </w:tc>
        <w:tc>
          <w:tcPr>
            <w:tcW w:w="1000" w:type="dxa"/>
            <w:vAlign w:val="bottom"/>
            <w:tcBorders>
              <w:right w:val="single" w:sz="8" w:color="auto"/>
            </w:tcBorders>
            <w:shd w:val="clear" w:color="auto" w:fill="004C97"/>
          </w:tcPr>
          <w:p>
            <w:pPr>
              <w:spacing w:after="0"/>
              <w:rPr>
                <w:sz w:val="14"/>
                <w:szCs w:val="14"/>
                <w:color w:val="auto"/>
              </w:rPr>
            </w:pPr>
          </w:p>
        </w:tc>
        <w:tc>
          <w:tcPr>
            <w:tcW w:w="1000" w:type="dxa"/>
            <w:vAlign w:val="bottom"/>
            <w:tcBorders>
              <w:right w:val="single" w:sz="8" w:color="auto"/>
            </w:tcBorders>
            <w:shd w:val="clear" w:color="auto" w:fill="004C97"/>
          </w:tcPr>
          <w:p>
            <w:pPr>
              <w:spacing w:after="0"/>
              <w:rPr>
                <w:sz w:val="14"/>
                <w:szCs w:val="14"/>
                <w:color w:val="auto"/>
              </w:rPr>
            </w:pPr>
          </w:p>
        </w:tc>
        <w:tc>
          <w:tcPr>
            <w:tcW w:w="10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Company</w:t>
            </w:r>
          </w:p>
        </w:tc>
        <w:tc>
          <w:tcPr>
            <w:tcW w:w="1000" w:type="dxa"/>
            <w:vAlign w:val="bottom"/>
            <w:tcBorders>
              <w:right w:val="single" w:sz="8" w:color="auto"/>
            </w:tcBorders>
            <w:shd w:val="clear" w:color="auto" w:fill="004C97"/>
          </w:tcPr>
          <w:p>
            <w:pPr>
              <w:spacing w:after="0"/>
              <w:rPr>
                <w:sz w:val="14"/>
                <w:szCs w:val="14"/>
                <w:color w:val="auto"/>
              </w:rPr>
            </w:pPr>
          </w:p>
        </w:tc>
        <w:tc>
          <w:tcPr>
            <w:tcW w:w="98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Retirement</w:t>
            </w:r>
          </w:p>
        </w:tc>
        <w:tc>
          <w:tcPr>
            <w:tcW w:w="134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Retirement</w:t>
            </w:r>
          </w:p>
        </w:tc>
        <w:tc>
          <w:tcPr>
            <w:tcW w:w="720" w:type="dxa"/>
            <w:vAlign w:val="bottom"/>
            <w:tcBorders>
              <w:right w:val="single" w:sz="8" w:color="auto"/>
            </w:tcBorders>
            <w:shd w:val="clear" w:color="auto" w:fill="004C97"/>
          </w:tcPr>
          <w:p>
            <w:pPr>
              <w:spacing w:after="0"/>
              <w:rPr>
                <w:sz w:val="14"/>
                <w:szCs w:val="14"/>
                <w:color w:val="auto"/>
              </w:rPr>
            </w:pPr>
          </w:p>
        </w:tc>
      </w:tr>
      <w:tr>
        <w:trPr>
          <w:trHeight w:val="176"/>
        </w:trPr>
        <w:tc>
          <w:tcPr>
            <w:tcW w:w="2500" w:type="dxa"/>
            <w:vAlign w:val="bottom"/>
            <w:tcBorders>
              <w:left w:val="single" w:sz="8" w:color="auto"/>
              <w:right w:val="single" w:sz="8" w:color="auto"/>
            </w:tcBorders>
            <w:shd w:val="clear" w:color="auto" w:fill="004C97"/>
          </w:tcPr>
          <w:p>
            <w:pPr>
              <w:spacing w:after="0"/>
              <w:rPr>
                <w:sz w:val="15"/>
                <w:szCs w:val="15"/>
                <w:color w:val="auto"/>
              </w:rPr>
            </w:pPr>
          </w:p>
        </w:tc>
        <w:tc>
          <w:tcPr>
            <w:tcW w:w="10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Financial</w:t>
            </w:r>
          </w:p>
        </w:tc>
        <w:tc>
          <w:tcPr>
            <w:tcW w:w="10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Executive</w:t>
            </w:r>
          </w:p>
        </w:tc>
        <w:tc>
          <w:tcPr>
            <w:tcW w:w="10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Matching</w:t>
            </w:r>
          </w:p>
        </w:tc>
        <w:tc>
          <w:tcPr>
            <w:tcW w:w="10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Aircraft</w:t>
            </w:r>
          </w:p>
        </w:tc>
        <w:tc>
          <w:tcPr>
            <w:tcW w:w="10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w w:val="99"/>
              </w:rPr>
              <w:t>Group Term</w:t>
            </w:r>
          </w:p>
        </w:tc>
        <w:tc>
          <w:tcPr>
            <w:tcW w:w="98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Savings Plan</w:t>
            </w:r>
          </w:p>
        </w:tc>
        <w:tc>
          <w:tcPr>
            <w:tcW w:w="134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Savings Plan</w:t>
            </w:r>
          </w:p>
        </w:tc>
        <w:tc>
          <w:tcPr>
            <w:tcW w:w="720" w:type="dxa"/>
            <w:vAlign w:val="bottom"/>
            <w:tcBorders>
              <w:right w:val="single" w:sz="8" w:color="auto"/>
            </w:tcBorders>
            <w:shd w:val="clear" w:color="auto" w:fill="004C97"/>
          </w:tcPr>
          <w:p>
            <w:pPr>
              <w:spacing w:after="0"/>
              <w:rPr>
                <w:sz w:val="15"/>
                <w:szCs w:val="15"/>
                <w:color w:val="auto"/>
              </w:rPr>
            </w:pPr>
          </w:p>
        </w:tc>
      </w:tr>
      <w:tr>
        <w:trPr>
          <w:trHeight w:val="173"/>
        </w:trPr>
        <w:tc>
          <w:tcPr>
            <w:tcW w:w="2500" w:type="dxa"/>
            <w:vAlign w:val="bottom"/>
            <w:tcBorders>
              <w:left w:val="single" w:sz="8" w:color="auto"/>
              <w:right w:val="single" w:sz="8" w:color="auto"/>
            </w:tcBorders>
            <w:shd w:val="clear" w:color="auto" w:fill="004C97"/>
          </w:tcPr>
          <w:p>
            <w:pPr>
              <w:spacing w:after="0"/>
              <w:rPr>
                <w:sz w:val="15"/>
                <w:szCs w:val="15"/>
                <w:color w:val="auto"/>
              </w:rPr>
            </w:pPr>
          </w:p>
        </w:tc>
        <w:tc>
          <w:tcPr>
            <w:tcW w:w="10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Planning</w:t>
            </w:r>
          </w:p>
        </w:tc>
        <w:tc>
          <w:tcPr>
            <w:tcW w:w="10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Physical</w:t>
            </w:r>
          </w:p>
        </w:tc>
        <w:tc>
          <w:tcPr>
            <w:tcW w:w="10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w w:val="99"/>
              </w:rPr>
              <w:t>Gift</w:t>
            </w:r>
          </w:p>
        </w:tc>
        <w:tc>
          <w:tcPr>
            <w:tcW w:w="10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Personal Use</w:t>
            </w:r>
          </w:p>
        </w:tc>
        <w:tc>
          <w:tcPr>
            <w:tcW w:w="10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Life (&gt;50k)</w:t>
            </w:r>
          </w:p>
        </w:tc>
        <w:tc>
          <w:tcPr>
            <w:tcW w:w="98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Match</w:t>
            </w:r>
          </w:p>
        </w:tc>
        <w:tc>
          <w:tcPr>
            <w:tcW w:w="134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w w:val="98"/>
              </w:rPr>
              <w:t>Match</w:t>
            </w:r>
          </w:p>
        </w:tc>
        <w:tc>
          <w:tcPr>
            <w:tcW w:w="720" w:type="dxa"/>
            <w:vAlign w:val="bottom"/>
            <w:tcBorders>
              <w:right w:val="single" w:sz="8" w:color="auto"/>
            </w:tcBorders>
            <w:shd w:val="clear" w:color="auto" w:fill="004C97"/>
          </w:tcPr>
          <w:p>
            <w:pPr>
              <w:jc w:val="right"/>
              <w:ind w:right="128"/>
              <w:spacing w:after="0"/>
              <w:rPr>
                <w:sz w:val="20"/>
                <w:szCs w:val="20"/>
                <w:color w:val="auto"/>
              </w:rPr>
            </w:pPr>
            <w:r>
              <w:rPr>
                <w:rFonts w:ascii="Arial" w:cs="Arial" w:eastAsia="Arial" w:hAnsi="Arial"/>
                <w:sz w:val="14"/>
                <w:szCs w:val="14"/>
                <w:b w:val="1"/>
                <w:bCs w:val="1"/>
                <w:color w:val="FFFFFF"/>
              </w:rPr>
              <w:t>Total</w:t>
            </w:r>
          </w:p>
        </w:tc>
      </w:tr>
      <w:tr>
        <w:trPr>
          <w:trHeight w:val="214"/>
        </w:trPr>
        <w:tc>
          <w:tcPr>
            <w:tcW w:w="2500" w:type="dxa"/>
            <w:vAlign w:val="bottom"/>
            <w:tcBorders>
              <w:left w:val="single" w:sz="8" w:color="auto"/>
              <w:bottom w:val="single" w:sz="8" w:color="auto"/>
              <w:right w:val="single" w:sz="8" w:color="auto"/>
            </w:tcBorders>
            <w:shd w:val="clear" w:color="auto" w:fill="004C97"/>
          </w:tcPr>
          <w:p>
            <w:pPr>
              <w:ind w:left="1040"/>
              <w:spacing w:after="0"/>
              <w:rPr>
                <w:sz w:val="20"/>
                <w:szCs w:val="20"/>
                <w:color w:val="auto"/>
              </w:rPr>
            </w:pPr>
            <w:r>
              <w:rPr>
                <w:rFonts w:ascii="Arial" w:cs="Arial" w:eastAsia="Arial" w:hAnsi="Arial"/>
                <w:sz w:val="14"/>
                <w:szCs w:val="14"/>
                <w:b w:val="1"/>
                <w:bCs w:val="1"/>
                <w:color w:val="FFFFFF"/>
              </w:rPr>
              <w:t>Name</w:t>
            </w:r>
          </w:p>
        </w:tc>
        <w:tc>
          <w:tcPr>
            <w:tcW w:w="10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w:t>
            </w:r>
          </w:p>
        </w:tc>
        <w:tc>
          <w:tcPr>
            <w:tcW w:w="10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w w:val="93"/>
              </w:rPr>
              <w:t>($)</w:t>
            </w:r>
          </w:p>
        </w:tc>
        <w:tc>
          <w:tcPr>
            <w:tcW w:w="10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w w:val="99"/>
              </w:rPr>
              <w:t>($)</w:t>
            </w:r>
            <w:r>
              <w:rPr>
                <w:rFonts w:ascii="Arial" w:cs="Arial" w:eastAsia="Arial" w:hAnsi="Arial"/>
                <w:sz w:val="9"/>
                <w:szCs w:val="9"/>
                <w:b w:val="1"/>
                <w:bCs w:val="1"/>
                <w:color w:val="FFFFFF"/>
                <w:w w:val="99"/>
              </w:rPr>
              <w:t>(a)</w:t>
            </w:r>
          </w:p>
        </w:tc>
        <w:tc>
          <w:tcPr>
            <w:tcW w:w="10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w w:val="97"/>
              </w:rPr>
              <w:t>($)</w:t>
            </w:r>
            <w:r>
              <w:rPr>
                <w:rFonts w:ascii="Arial" w:cs="Arial" w:eastAsia="Arial" w:hAnsi="Arial"/>
                <w:sz w:val="9"/>
                <w:szCs w:val="9"/>
                <w:b w:val="1"/>
                <w:bCs w:val="1"/>
                <w:color w:val="FFFFFF"/>
                <w:w w:val="97"/>
              </w:rPr>
              <w:t>(b)</w:t>
            </w:r>
          </w:p>
        </w:tc>
        <w:tc>
          <w:tcPr>
            <w:tcW w:w="10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w w:val="93"/>
              </w:rPr>
              <w:t>($)</w:t>
            </w:r>
          </w:p>
        </w:tc>
        <w:tc>
          <w:tcPr>
            <w:tcW w:w="98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w:t>
            </w:r>
          </w:p>
        </w:tc>
        <w:tc>
          <w:tcPr>
            <w:tcW w:w="1340" w:type="dxa"/>
            <w:vAlign w:val="bottom"/>
            <w:tcBorders>
              <w:bottom w:val="single" w:sz="8" w:color="auto"/>
              <w:right w:val="single" w:sz="8" w:color="auto"/>
            </w:tcBorders>
            <w:shd w:val="clear" w:color="auto" w:fill="004C97"/>
          </w:tcPr>
          <w:p>
            <w:pPr>
              <w:jc w:val="center"/>
              <w:spacing w:after="0" w:line="214" w:lineRule="exact"/>
              <w:rPr>
                <w:sz w:val="20"/>
                <w:szCs w:val="20"/>
                <w:color w:val="auto"/>
              </w:rPr>
            </w:pPr>
            <w:r>
              <w:rPr>
                <w:rFonts w:ascii="Arial" w:cs="Arial" w:eastAsia="Arial" w:hAnsi="Arial"/>
                <w:sz w:val="24"/>
                <w:szCs w:val="24"/>
                <w:b w:val="1"/>
                <w:bCs w:val="1"/>
                <w:color w:val="FFFFFF"/>
                <w:w w:val="91"/>
                <w:vertAlign w:val="subscript"/>
              </w:rPr>
              <w:t>($)</w:t>
            </w:r>
            <w:r>
              <w:rPr>
                <w:rFonts w:ascii="Arial" w:cs="Arial" w:eastAsia="Arial" w:hAnsi="Arial"/>
                <w:sz w:val="9"/>
                <w:szCs w:val="9"/>
                <w:b w:val="1"/>
                <w:bCs w:val="1"/>
                <w:color w:val="FFFFFF"/>
                <w:w w:val="91"/>
              </w:rPr>
              <w:t>(c)</w:t>
            </w:r>
          </w:p>
        </w:tc>
        <w:tc>
          <w:tcPr>
            <w:tcW w:w="720" w:type="dxa"/>
            <w:vAlign w:val="bottom"/>
            <w:tcBorders>
              <w:bottom w:val="single" w:sz="8" w:color="auto"/>
              <w:right w:val="single" w:sz="8" w:color="auto"/>
            </w:tcBorders>
            <w:shd w:val="clear" w:color="auto" w:fill="004C97"/>
          </w:tcPr>
          <w:p>
            <w:pPr>
              <w:jc w:val="right"/>
              <w:ind w:right="208"/>
              <w:spacing w:after="0"/>
              <w:rPr>
                <w:sz w:val="20"/>
                <w:szCs w:val="20"/>
                <w:color w:val="auto"/>
              </w:rPr>
            </w:pPr>
            <w:r>
              <w:rPr>
                <w:rFonts w:ascii="Arial" w:cs="Arial" w:eastAsia="Arial" w:hAnsi="Arial"/>
                <w:sz w:val="14"/>
                <w:szCs w:val="14"/>
                <w:b w:val="1"/>
                <w:bCs w:val="1"/>
                <w:color w:val="FFFFFF"/>
              </w:rPr>
              <w:t>($)</w:t>
            </w:r>
          </w:p>
        </w:tc>
      </w:tr>
      <w:tr>
        <w:trPr>
          <w:trHeight w:val="228"/>
        </w:trPr>
        <w:tc>
          <w:tcPr>
            <w:tcW w:w="2500" w:type="dxa"/>
            <w:vAlign w:val="bottom"/>
            <w:tcBorders>
              <w:left w:val="single" w:sz="8" w:color="auto"/>
              <w:bottom w:val="single" w:sz="8" w:color="E5E5E5"/>
              <w:right w:val="single" w:sz="8" w:color="auto"/>
            </w:tcBorders>
            <w:shd w:val="clear" w:color="auto" w:fill="E5E5E5"/>
          </w:tcPr>
          <w:p>
            <w:pPr>
              <w:ind w:left="180"/>
              <w:spacing w:after="0"/>
              <w:rPr>
                <w:sz w:val="20"/>
                <w:szCs w:val="20"/>
                <w:color w:val="auto"/>
              </w:rPr>
            </w:pPr>
            <w:r>
              <w:rPr>
                <w:rFonts w:ascii="Arial" w:cs="Arial" w:eastAsia="Arial" w:hAnsi="Arial"/>
                <w:sz w:val="14"/>
                <w:szCs w:val="14"/>
                <w:color w:val="auto"/>
              </w:rPr>
              <w:t>Eugene J. Lowe, III</w:t>
            </w:r>
          </w:p>
        </w:tc>
        <w:tc>
          <w:tcPr>
            <w:tcW w:w="100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14,783</w:t>
            </w:r>
          </w:p>
        </w:tc>
        <w:tc>
          <w:tcPr>
            <w:tcW w:w="100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10,000</w:t>
            </w:r>
          </w:p>
        </w:tc>
        <w:tc>
          <w:tcPr>
            <w:tcW w:w="100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19,168</w:t>
            </w:r>
          </w:p>
        </w:tc>
        <w:tc>
          <w:tcPr>
            <w:tcW w:w="100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4,902</w:t>
            </w:r>
          </w:p>
        </w:tc>
        <w:tc>
          <w:tcPr>
            <w:tcW w:w="98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17,250</w:t>
            </w:r>
          </w:p>
        </w:tc>
        <w:tc>
          <w:tcPr>
            <w:tcW w:w="1340" w:type="dxa"/>
            <w:vAlign w:val="bottom"/>
            <w:tcBorders>
              <w:bottom w:val="single" w:sz="8" w:color="E5E5E5"/>
              <w:right w:val="single" w:sz="8" w:color="auto"/>
            </w:tcBorders>
            <w:shd w:val="clear" w:color="auto" w:fill="E5E5E5"/>
          </w:tcPr>
          <w:p>
            <w:pPr>
              <w:jc w:val="right"/>
              <w:ind w:right="31"/>
              <w:spacing w:after="0"/>
              <w:rPr>
                <w:sz w:val="20"/>
                <w:szCs w:val="20"/>
                <w:color w:val="auto"/>
              </w:rPr>
            </w:pPr>
            <w:r>
              <w:rPr>
                <w:rFonts w:ascii="Arial" w:cs="Arial" w:eastAsia="Arial" w:hAnsi="Arial"/>
                <w:sz w:val="14"/>
                <w:szCs w:val="14"/>
                <w:color w:val="auto"/>
              </w:rPr>
              <w:t>135,557</w:t>
            </w:r>
          </w:p>
        </w:tc>
        <w:tc>
          <w:tcPr>
            <w:tcW w:w="72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201,660</w:t>
            </w:r>
          </w:p>
        </w:tc>
      </w:tr>
      <w:tr>
        <w:trPr>
          <w:trHeight w:val="202"/>
        </w:trPr>
        <w:tc>
          <w:tcPr>
            <w:tcW w:w="250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Mark A. Carano</w:t>
            </w:r>
          </w:p>
        </w:tc>
        <w:tc>
          <w:tcPr>
            <w:tcW w:w="100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17,050</w:t>
            </w:r>
          </w:p>
        </w:tc>
        <w:tc>
          <w:tcPr>
            <w:tcW w:w="100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1,842</w:t>
            </w:r>
          </w:p>
        </w:tc>
        <w:tc>
          <w:tcPr>
            <w:tcW w:w="100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3,000</w:t>
            </w:r>
          </w:p>
        </w:tc>
        <w:tc>
          <w:tcPr>
            <w:tcW w:w="100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3,612</w:t>
            </w:r>
          </w:p>
        </w:tc>
        <w:tc>
          <w:tcPr>
            <w:tcW w:w="98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17,250</w:t>
            </w:r>
          </w:p>
        </w:tc>
        <w:tc>
          <w:tcPr>
            <w:tcW w:w="1340" w:type="dxa"/>
            <w:vAlign w:val="bottom"/>
            <w:tcBorders>
              <w:top w:val="single" w:sz="8" w:color="auto"/>
              <w:right w:val="single" w:sz="8" w:color="auto"/>
            </w:tcBorders>
          </w:tcPr>
          <w:p>
            <w:pPr>
              <w:jc w:val="right"/>
              <w:ind w:right="31"/>
              <w:spacing w:after="0"/>
              <w:rPr>
                <w:sz w:val="20"/>
                <w:szCs w:val="20"/>
                <w:color w:val="auto"/>
              </w:rPr>
            </w:pPr>
            <w:r>
              <w:rPr>
                <w:rFonts w:ascii="Arial" w:cs="Arial" w:eastAsia="Arial" w:hAnsi="Arial"/>
                <w:sz w:val="14"/>
                <w:szCs w:val="14"/>
                <w:color w:val="auto"/>
              </w:rPr>
              <w:t>21,288</w:t>
            </w:r>
          </w:p>
        </w:tc>
        <w:tc>
          <w:tcPr>
            <w:tcW w:w="72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64,042</w:t>
            </w:r>
          </w:p>
        </w:tc>
      </w:tr>
      <w:tr>
        <w:trPr>
          <w:trHeight w:val="22"/>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500" w:type="dxa"/>
            <w:vAlign w:val="bottom"/>
            <w:tcBorders>
              <w:left w:val="single" w:sz="8" w:color="auto"/>
              <w:bottom w:val="single" w:sz="8" w:color="E5E5E5"/>
              <w:right w:val="single" w:sz="8" w:color="auto"/>
            </w:tcBorders>
            <w:shd w:val="clear" w:color="auto" w:fill="E5E5E5"/>
          </w:tcPr>
          <w:p>
            <w:pPr>
              <w:ind w:left="180"/>
              <w:spacing w:after="0"/>
              <w:rPr>
                <w:sz w:val="20"/>
                <w:szCs w:val="20"/>
                <w:color w:val="auto"/>
              </w:rPr>
            </w:pPr>
            <w:r>
              <w:rPr>
                <w:rFonts w:ascii="Arial" w:cs="Arial" w:eastAsia="Arial" w:hAnsi="Arial"/>
                <w:sz w:val="14"/>
                <w:szCs w:val="14"/>
                <w:color w:val="auto"/>
              </w:rPr>
              <w:t>J. Randall Data</w:t>
            </w:r>
          </w:p>
        </w:tc>
        <w:tc>
          <w:tcPr>
            <w:tcW w:w="100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14,375</w:t>
            </w:r>
          </w:p>
        </w:tc>
        <w:tc>
          <w:tcPr>
            <w:tcW w:w="100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1,474</w:t>
            </w:r>
          </w:p>
        </w:tc>
        <w:tc>
          <w:tcPr>
            <w:tcW w:w="100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3,958</w:t>
            </w:r>
          </w:p>
        </w:tc>
        <w:tc>
          <w:tcPr>
            <w:tcW w:w="98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17,250</w:t>
            </w:r>
          </w:p>
        </w:tc>
        <w:tc>
          <w:tcPr>
            <w:tcW w:w="1340" w:type="dxa"/>
            <w:vAlign w:val="bottom"/>
            <w:tcBorders>
              <w:bottom w:val="single" w:sz="8" w:color="E5E5E5"/>
              <w:right w:val="single" w:sz="8" w:color="auto"/>
            </w:tcBorders>
            <w:shd w:val="clear" w:color="auto" w:fill="E5E5E5"/>
          </w:tcPr>
          <w:p>
            <w:pPr>
              <w:jc w:val="right"/>
              <w:ind w:right="31"/>
              <w:spacing w:after="0"/>
              <w:rPr>
                <w:sz w:val="20"/>
                <w:szCs w:val="20"/>
                <w:color w:val="auto"/>
              </w:rPr>
            </w:pPr>
            <w:r>
              <w:rPr>
                <w:rFonts w:ascii="Arial" w:cs="Arial" w:eastAsia="Arial" w:hAnsi="Arial"/>
                <w:sz w:val="14"/>
                <w:szCs w:val="14"/>
                <w:color w:val="auto"/>
              </w:rPr>
              <w:t>22,989</w:t>
            </w:r>
          </w:p>
        </w:tc>
        <w:tc>
          <w:tcPr>
            <w:tcW w:w="72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60,046</w:t>
            </w:r>
          </w:p>
        </w:tc>
      </w:tr>
      <w:tr>
        <w:trPr>
          <w:trHeight w:val="202"/>
        </w:trPr>
        <w:tc>
          <w:tcPr>
            <w:tcW w:w="250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John W. Swann, III</w:t>
            </w:r>
          </w:p>
        </w:tc>
        <w:tc>
          <w:tcPr>
            <w:tcW w:w="100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23,015</w:t>
            </w:r>
          </w:p>
        </w:tc>
        <w:tc>
          <w:tcPr>
            <w:tcW w:w="100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3,899</w:t>
            </w:r>
          </w:p>
        </w:tc>
        <w:tc>
          <w:tcPr>
            <w:tcW w:w="100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5,000</w:t>
            </w:r>
          </w:p>
        </w:tc>
        <w:tc>
          <w:tcPr>
            <w:tcW w:w="100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2,252</w:t>
            </w:r>
          </w:p>
        </w:tc>
        <w:tc>
          <w:tcPr>
            <w:tcW w:w="98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17,250</w:t>
            </w:r>
          </w:p>
        </w:tc>
        <w:tc>
          <w:tcPr>
            <w:tcW w:w="1340" w:type="dxa"/>
            <w:vAlign w:val="bottom"/>
            <w:tcBorders>
              <w:top w:val="single" w:sz="8" w:color="auto"/>
              <w:right w:val="single" w:sz="8" w:color="auto"/>
            </w:tcBorders>
          </w:tcPr>
          <w:p>
            <w:pPr>
              <w:jc w:val="right"/>
              <w:ind w:right="31"/>
              <w:spacing w:after="0"/>
              <w:rPr>
                <w:sz w:val="20"/>
                <w:szCs w:val="20"/>
                <w:color w:val="auto"/>
              </w:rPr>
            </w:pPr>
            <w:r>
              <w:rPr>
                <w:rFonts w:ascii="Arial" w:cs="Arial" w:eastAsia="Arial" w:hAnsi="Arial"/>
                <w:sz w:val="14"/>
                <w:szCs w:val="14"/>
                <w:color w:val="auto"/>
              </w:rPr>
              <w:t>45,347</w:t>
            </w:r>
          </w:p>
        </w:tc>
        <w:tc>
          <w:tcPr>
            <w:tcW w:w="72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96,763</w:t>
            </w:r>
          </w:p>
        </w:tc>
      </w:tr>
      <w:tr>
        <w:trPr>
          <w:trHeight w:val="22"/>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r>
      <w:tr>
        <w:trPr>
          <w:trHeight w:val="203"/>
        </w:trPr>
        <w:tc>
          <w:tcPr>
            <w:tcW w:w="2500" w:type="dxa"/>
            <w:vAlign w:val="bottom"/>
            <w:tcBorders>
              <w:left w:val="single" w:sz="8" w:color="auto"/>
              <w:bottom w:val="single" w:sz="8" w:color="E5E5E5"/>
              <w:right w:val="single" w:sz="8" w:color="auto"/>
            </w:tcBorders>
            <w:shd w:val="clear" w:color="auto" w:fill="E5E5E5"/>
          </w:tcPr>
          <w:p>
            <w:pPr>
              <w:ind w:left="180"/>
              <w:spacing w:after="0"/>
              <w:rPr>
                <w:sz w:val="20"/>
                <w:szCs w:val="20"/>
                <w:color w:val="auto"/>
              </w:rPr>
            </w:pPr>
            <w:r>
              <w:rPr>
                <w:rFonts w:ascii="Arial" w:cs="Arial" w:eastAsia="Arial" w:hAnsi="Arial"/>
                <w:sz w:val="14"/>
                <w:szCs w:val="14"/>
                <w:color w:val="auto"/>
              </w:rPr>
              <w:t>Sean McClenaghan</w:t>
            </w:r>
          </w:p>
        </w:tc>
        <w:tc>
          <w:tcPr>
            <w:tcW w:w="100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1,506</w:t>
            </w:r>
          </w:p>
        </w:tc>
        <w:tc>
          <w:tcPr>
            <w:tcW w:w="100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10,000</w:t>
            </w:r>
          </w:p>
        </w:tc>
        <w:tc>
          <w:tcPr>
            <w:tcW w:w="100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4,210</w:t>
            </w:r>
          </w:p>
        </w:tc>
        <w:tc>
          <w:tcPr>
            <w:tcW w:w="98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17,250</w:t>
            </w:r>
          </w:p>
        </w:tc>
        <w:tc>
          <w:tcPr>
            <w:tcW w:w="1340" w:type="dxa"/>
            <w:vAlign w:val="bottom"/>
            <w:tcBorders>
              <w:bottom w:val="single" w:sz="8" w:color="E5E5E5"/>
              <w:right w:val="single" w:sz="8" w:color="auto"/>
            </w:tcBorders>
            <w:shd w:val="clear" w:color="auto" w:fill="E5E5E5"/>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32,966</w:t>
            </w:r>
          </w:p>
        </w:tc>
      </w:tr>
      <w:tr>
        <w:trPr>
          <w:trHeight w:val="20"/>
        </w:trPr>
        <w:tc>
          <w:tcPr>
            <w:tcW w:w="25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r>
    </w:tbl>
    <w:p>
      <w:pPr>
        <w:spacing w:after="0" w:line="185" w:lineRule="exact"/>
        <w:rPr>
          <w:sz w:val="20"/>
          <w:szCs w:val="20"/>
          <w:color w:val="auto"/>
        </w:rPr>
      </w:pPr>
    </w:p>
    <w:p>
      <w:pPr>
        <w:ind w:left="660" w:hanging="328"/>
        <w:spacing w:after="0" w:line="264" w:lineRule="auto"/>
        <w:tabs>
          <w:tab w:leader="none" w:pos="652" w:val="left"/>
        </w:tabs>
        <w:numPr>
          <w:ilvl w:val="0"/>
          <w:numId w:val="39"/>
        </w:numPr>
        <w:rPr>
          <w:rFonts w:ascii="Arial" w:cs="Arial" w:eastAsia="Arial" w:hAnsi="Arial"/>
          <w:sz w:val="13"/>
          <w:szCs w:val="13"/>
          <w:color w:val="auto"/>
        </w:rPr>
      </w:pPr>
      <w:r>
        <w:rPr>
          <w:rFonts w:ascii="Arial" w:cs="Arial" w:eastAsia="Arial" w:hAnsi="Arial"/>
          <w:sz w:val="13"/>
          <w:szCs w:val="13"/>
          <w:color w:val="auto"/>
        </w:rPr>
        <w:t>We will make matching donations for charitable contributions made by employees up to a total of $5,000 per annum. We will make matching donations for executive officers up to a total of $10,000. Amounts represented are the matching contributions for 2024.</w:t>
      </w:r>
    </w:p>
    <w:p>
      <w:pPr>
        <w:spacing w:after="0" w:line="22" w:lineRule="exact"/>
        <w:rPr>
          <w:rFonts w:ascii="Arial" w:cs="Arial" w:eastAsia="Arial" w:hAnsi="Arial"/>
          <w:sz w:val="13"/>
          <w:szCs w:val="13"/>
          <w:color w:val="auto"/>
        </w:rPr>
      </w:pPr>
    </w:p>
    <w:p>
      <w:pPr>
        <w:ind w:left="640" w:hanging="308"/>
        <w:spacing w:after="0"/>
        <w:tabs>
          <w:tab w:leader="none" w:pos="6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Represents guest travel accompanying executive officer on business travel. Values reflect the incremental costs (e.g., food and beverage).</w:t>
      </w:r>
    </w:p>
    <w:p>
      <w:pPr>
        <w:spacing w:after="0" w:line="53" w:lineRule="exact"/>
        <w:rPr>
          <w:rFonts w:ascii="Arial" w:cs="Arial" w:eastAsia="Arial" w:hAnsi="Arial"/>
          <w:sz w:val="13"/>
          <w:szCs w:val="13"/>
          <w:color w:val="auto"/>
        </w:rPr>
      </w:pPr>
    </w:p>
    <w:p>
      <w:pPr>
        <w:ind w:left="660" w:hanging="328"/>
        <w:spacing w:after="0"/>
        <w:tabs>
          <w:tab w:leader="none" w:pos="6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Represents matching contributions made by the employer to the SRSP during the plan year.</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CEO Employment Agreement</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above benefits for Mr. Lowe are provided pursuant to the terms of his employment agreement. His employment agreement provides for annual base salary levels, annual incentive compensation opportunity, severance entitlements, and allowance amounts for annual income tax return preparation and financial planning. The initial term of Mr. Lowe’s employment agreement expired on December 31, 2017, and the agreement automatically renews in additional subsequent one year-long terms unless at least 180 days prior to the expiration of any subsequent extended term one of the parties provides the other party with a written notice of non-renewal.</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See “Compensation Discussion and Analysis,” beginning on page 24, for further discussion and explanation of each element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680720</wp:posOffset>
            </wp:positionV>
            <wp:extent cx="402590"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0259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38</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44" w:name="page45"/>
    <w:bookmarkEnd w:id="44"/>
    <w:p>
      <w:pPr>
        <w:ind w:left="9220"/>
        <w:spacing w:after="0"/>
        <w:rPr>
          <w:sz w:val="20"/>
          <w:szCs w:val="20"/>
          <w:color w:val="auto"/>
        </w:rPr>
      </w:pPr>
      <w:r>
        <w:rPr>
          <w:rFonts w:ascii="Arial" w:cs="Arial" w:eastAsia="Arial" w:hAnsi="Arial"/>
          <w:sz w:val="14"/>
          <w:szCs w:val="14"/>
          <w:color w:val="004C9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GRANTS OF PLAN-BASED AWARDS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regarding equity and non-equity awards granted to the NEOs in 2024.</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93"/>
        </w:trPr>
        <w:tc>
          <w:tcPr>
            <w:tcW w:w="1660" w:type="dxa"/>
            <w:vAlign w:val="bottom"/>
            <w:tcBorders>
              <w:top w:val="single" w:sz="8" w:color="auto"/>
              <w:left w:val="single" w:sz="8" w:color="auto"/>
              <w:right w:val="single" w:sz="8" w:color="auto"/>
            </w:tcBorders>
            <w:shd w:val="clear" w:color="auto" w:fill="004C97"/>
          </w:tcPr>
          <w:p>
            <w:pPr>
              <w:spacing w:after="0"/>
              <w:rPr>
                <w:sz w:val="24"/>
                <w:szCs w:val="24"/>
                <w:color w:val="auto"/>
              </w:rPr>
            </w:pPr>
          </w:p>
        </w:tc>
        <w:tc>
          <w:tcPr>
            <w:tcW w:w="880" w:type="dxa"/>
            <w:vAlign w:val="bottom"/>
            <w:tcBorders>
              <w:top w:val="single" w:sz="8" w:color="auto"/>
              <w:right w:val="single" w:sz="8" w:color="auto"/>
            </w:tcBorders>
            <w:shd w:val="clear" w:color="auto" w:fill="004C97"/>
          </w:tcPr>
          <w:p>
            <w:pPr>
              <w:spacing w:after="0"/>
              <w:rPr>
                <w:sz w:val="24"/>
                <w:szCs w:val="24"/>
                <w:color w:val="auto"/>
              </w:rPr>
            </w:pPr>
          </w:p>
        </w:tc>
        <w:tc>
          <w:tcPr>
            <w:tcW w:w="2700" w:type="dxa"/>
            <w:vAlign w:val="bottom"/>
            <w:tcBorders>
              <w:top w:val="single" w:sz="8" w:color="auto"/>
              <w:right w:val="single" w:sz="8" w:color="auto"/>
            </w:tcBorders>
            <w:gridSpan w:val="3"/>
            <w:shd w:val="clear" w:color="auto" w:fill="004C97"/>
          </w:tcPr>
          <w:p>
            <w:pPr>
              <w:jc w:val="center"/>
              <w:spacing w:after="0"/>
              <w:rPr>
                <w:sz w:val="20"/>
                <w:szCs w:val="20"/>
                <w:color w:val="auto"/>
              </w:rPr>
            </w:pPr>
            <w:r>
              <w:rPr>
                <w:rFonts w:ascii="Arial" w:cs="Arial" w:eastAsia="Arial" w:hAnsi="Arial"/>
                <w:sz w:val="13"/>
                <w:szCs w:val="13"/>
                <w:b w:val="1"/>
                <w:bCs w:val="1"/>
                <w:color w:val="FFFFFF"/>
                <w:w w:val="97"/>
              </w:rPr>
              <w:t>Estimated Future Payouts Under Non-</w:t>
            </w:r>
          </w:p>
        </w:tc>
        <w:tc>
          <w:tcPr>
            <w:tcW w:w="2500" w:type="dxa"/>
            <w:vAlign w:val="bottom"/>
            <w:tcBorders>
              <w:top w:val="single" w:sz="8" w:color="auto"/>
              <w:right w:val="single" w:sz="8" w:color="auto"/>
            </w:tcBorders>
            <w:gridSpan w:val="3"/>
            <w:shd w:val="clear" w:color="auto" w:fill="004C97"/>
          </w:tcPr>
          <w:p>
            <w:pPr>
              <w:jc w:val="right"/>
              <w:spacing w:after="0"/>
              <w:rPr>
                <w:sz w:val="20"/>
                <w:szCs w:val="20"/>
                <w:color w:val="auto"/>
              </w:rPr>
            </w:pPr>
            <w:r>
              <w:rPr>
                <w:rFonts w:ascii="Arial" w:cs="Arial" w:eastAsia="Arial" w:hAnsi="Arial"/>
                <w:sz w:val="13"/>
                <w:szCs w:val="13"/>
                <w:b w:val="1"/>
                <w:bCs w:val="1"/>
                <w:color w:val="FFFFFF"/>
              </w:rPr>
              <w:t>Estimated Future Payouts Under Equity</w:t>
            </w:r>
          </w:p>
        </w:tc>
        <w:tc>
          <w:tcPr>
            <w:tcW w:w="800" w:type="dxa"/>
            <w:vAlign w:val="bottom"/>
            <w:tcBorders>
              <w:top w:val="single" w:sz="8" w:color="auto"/>
              <w:right w:val="single" w:sz="8" w:color="auto"/>
            </w:tcBorders>
            <w:shd w:val="clear" w:color="auto" w:fill="004C97"/>
          </w:tcPr>
          <w:p>
            <w:pPr>
              <w:spacing w:after="0"/>
              <w:rPr>
                <w:sz w:val="24"/>
                <w:szCs w:val="24"/>
                <w:color w:val="auto"/>
              </w:rPr>
            </w:pPr>
          </w:p>
        </w:tc>
        <w:tc>
          <w:tcPr>
            <w:tcW w:w="700" w:type="dxa"/>
            <w:vAlign w:val="bottom"/>
            <w:tcBorders>
              <w:top w:val="single" w:sz="8" w:color="auto"/>
              <w:right w:val="single" w:sz="8" w:color="auto"/>
            </w:tcBorders>
            <w:shd w:val="clear" w:color="auto" w:fill="004C97"/>
          </w:tcPr>
          <w:p>
            <w:pPr>
              <w:spacing w:after="0"/>
              <w:rPr>
                <w:sz w:val="24"/>
                <w:szCs w:val="24"/>
                <w:color w:val="auto"/>
              </w:rPr>
            </w:pPr>
          </w:p>
        </w:tc>
        <w:tc>
          <w:tcPr>
            <w:tcW w:w="860" w:type="dxa"/>
            <w:vAlign w:val="bottom"/>
            <w:tcBorders>
              <w:top w:val="single" w:sz="8" w:color="auto"/>
              <w:right w:val="single" w:sz="8" w:color="auto"/>
            </w:tcBorders>
            <w:shd w:val="clear" w:color="auto" w:fill="004C97"/>
          </w:tcPr>
          <w:p>
            <w:pPr>
              <w:spacing w:after="0"/>
              <w:rPr>
                <w:sz w:val="24"/>
                <w:szCs w:val="24"/>
                <w:color w:val="auto"/>
              </w:rPr>
            </w:pPr>
          </w:p>
        </w:tc>
        <w:tc>
          <w:tcPr>
            <w:tcW w:w="1160" w:type="dxa"/>
            <w:vAlign w:val="bottom"/>
            <w:tcBorders>
              <w:top w:val="single" w:sz="8" w:color="auto"/>
              <w:right w:val="single" w:sz="8" w:color="auto"/>
            </w:tcBorders>
            <w:shd w:val="clear" w:color="auto" w:fill="004C97"/>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660" w:type="dxa"/>
            <w:vAlign w:val="bottom"/>
            <w:tcBorders>
              <w:left w:val="single" w:sz="8" w:color="auto"/>
              <w:bottom w:val="single" w:sz="8" w:color="004C97"/>
              <w:right w:val="single" w:sz="8" w:color="auto"/>
            </w:tcBorders>
            <w:shd w:val="clear" w:color="auto" w:fill="004C97"/>
          </w:tcPr>
          <w:p>
            <w:pPr>
              <w:spacing w:after="0"/>
              <w:rPr>
                <w:sz w:val="16"/>
                <w:szCs w:val="16"/>
                <w:color w:val="auto"/>
              </w:rPr>
            </w:pPr>
          </w:p>
        </w:tc>
        <w:tc>
          <w:tcPr>
            <w:tcW w:w="880" w:type="dxa"/>
            <w:vAlign w:val="bottom"/>
            <w:tcBorders>
              <w:bottom w:val="single" w:sz="8" w:color="004C97"/>
              <w:right w:val="single" w:sz="8" w:color="auto"/>
            </w:tcBorders>
            <w:shd w:val="clear" w:color="auto" w:fill="004C97"/>
          </w:tcPr>
          <w:p>
            <w:pPr>
              <w:spacing w:after="0"/>
              <w:rPr>
                <w:sz w:val="16"/>
                <w:szCs w:val="16"/>
                <w:color w:val="auto"/>
              </w:rPr>
            </w:pPr>
          </w:p>
        </w:tc>
        <w:tc>
          <w:tcPr>
            <w:tcW w:w="2700" w:type="dxa"/>
            <w:vAlign w:val="bottom"/>
            <w:tcBorders>
              <w:bottom w:val="single" w:sz="8" w:color="004C97"/>
              <w:right w:val="single" w:sz="8" w:color="auto"/>
            </w:tcBorders>
            <w:gridSpan w:val="3"/>
            <w:shd w:val="clear" w:color="auto" w:fill="004C97"/>
          </w:tcPr>
          <w:p>
            <w:pPr>
              <w:jc w:val="center"/>
              <w:spacing w:after="0"/>
              <w:rPr>
                <w:sz w:val="20"/>
                <w:szCs w:val="20"/>
                <w:color w:val="auto"/>
              </w:rPr>
            </w:pPr>
            <w:r>
              <w:rPr>
                <w:rFonts w:ascii="Arial" w:cs="Arial" w:eastAsia="Arial" w:hAnsi="Arial"/>
                <w:sz w:val="13"/>
                <w:szCs w:val="13"/>
                <w:b w:val="1"/>
                <w:bCs w:val="1"/>
                <w:color w:val="FFFFFF"/>
                <w:w w:val="97"/>
              </w:rPr>
              <w:t>Equity Incentive Plan Awards</w:t>
            </w:r>
          </w:p>
        </w:tc>
        <w:tc>
          <w:tcPr>
            <w:tcW w:w="860" w:type="dxa"/>
            <w:vAlign w:val="bottom"/>
            <w:tcBorders>
              <w:bottom w:val="single" w:sz="8" w:color="004C97"/>
              <w:right w:val="single" w:sz="8" w:color="004C97"/>
            </w:tcBorders>
            <w:shd w:val="clear" w:color="auto" w:fill="004C97"/>
          </w:tcPr>
          <w:p>
            <w:pPr>
              <w:spacing w:after="0"/>
              <w:rPr>
                <w:sz w:val="16"/>
                <w:szCs w:val="16"/>
                <w:color w:val="auto"/>
              </w:rPr>
            </w:pPr>
          </w:p>
        </w:tc>
        <w:tc>
          <w:tcPr>
            <w:tcW w:w="1640" w:type="dxa"/>
            <w:vAlign w:val="bottom"/>
            <w:tcBorders>
              <w:bottom w:val="single" w:sz="8" w:color="004C97"/>
              <w:right w:val="single" w:sz="8" w:color="auto"/>
            </w:tcBorders>
            <w:gridSpan w:val="2"/>
            <w:shd w:val="clear" w:color="auto" w:fill="004C97"/>
          </w:tcPr>
          <w:p>
            <w:pPr>
              <w:jc w:val="right"/>
              <w:spacing w:after="0"/>
              <w:rPr>
                <w:sz w:val="20"/>
                <w:szCs w:val="20"/>
                <w:color w:val="auto"/>
              </w:rPr>
            </w:pPr>
            <w:r>
              <w:rPr>
                <w:rFonts w:ascii="Arial" w:cs="Arial" w:eastAsia="Arial" w:hAnsi="Arial"/>
                <w:sz w:val="13"/>
                <w:szCs w:val="13"/>
                <w:b w:val="1"/>
                <w:bCs w:val="1"/>
                <w:color w:val="FFFFFF"/>
              </w:rPr>
              <w:t>Incentive Plan Awards</w:t>
            </w:r>
          </w:p>
        </w:tc>
        <w:tc>
          <w:tcPr>
            <w:tcW w:w="800" w:type="dxa"/>
            <w:vAlign w:val="bottom"/>
            <w:tcBorders>
              <w:bottom w:val="single" w:sz="8" w:color="004C97"/>
              <w:right w:val="single" w:sz="8" w:color="auto"/>
            </w:tcBorders>
            <w:shd w:val="clear" w:color="auto" w:fill="004C97"/>
          </w:tcPr>
          <w:p>
            <w:pPr>
              <w:spacing w:after="0"/>
              <w:rPr>
                <w:sz w:val="16"/>
                <w:szCs w:val="16"/>
                <w:color w:val="auto"/>
              </w:rPr>
            </w:pPr>
          </w:p>
        </w:tc>
        <w:tc>
          <w:tcPr>
            <w:tcW w:w="700" w:type="dxa"/>
            <w:vAlign w:val="bottom"/>
            <w:tcBorders>
              <w:bottom w:val="single" w:sz="8" w:color="004C97"/>
              <w:right w:val="single" w:sz="8" w:color="auto"/>
            </w:tcBorders>
            <w:shd w:val="clear" w:color="auto" w:fill="004C97"/>
          </w:tcPr>
          <w:p>
            <w:pPr>
              <w:spacing w:after="0"/>
              <w:rPr>
                <w:sz w:val="16"/>
                <w:szCs w:val="16"/>
                <w:color w:val="auto"/>
              </w:rPr>
            </w:pPr>
          </w:p>
        </w:tc>
        <w:tc>
          <w:tcPr>
            <w:tcW w:w="860" w:type="dxa"/>
            <w:vAlign w:val="bottom"/>
            <w:tcBorders>
              <w:bottom w:val="single" w:sz="8" w:color="004C97"/>
              <w:right w:val="single" w:sz="8" w:color="auto"/>
            </w:tcBorders>
            <w:shd w:val="clear" w:color="auto" w:fill="004C97"/>
          </w:tcPr>
          <w:p>
            <w:pPr>
              <w:spacing w:after="0"/>
              <w:rPr>
                <w:sz w:val="16"/>
                <w:szCs w:val="16"/>
                <w:color w:val="auto"/>
              </w:rPr>
            </w:pPr>
          </w:p>
        </w:tc>
        <w:tc>
          <w:tcPr>
            <w:tcW w:w="1160" w:type="dxa"/>
            <w:vAlign w:val="bottom"/>
            <w:tcBorders>
              <w:bottom w:val="single" w:sz="8" w:color="004C97"/>
              <w:right w:val="single" w:sz="8" w:color="auto"/>
            </w:tcBorders>
            <w:shd w:val="clear" w:color="auto" w:fill="004C97"/>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1660" w:type="dxa"/>
            <w:vAlign w:val="bottom"/>
            <w:tcBorders>
              <w:top w:val="single" w:sz="8" w:color="004C97"/>
              <w:left w:val="single" w:sz="8" w:color="auto"/>
              <w:right w:val="single" w:sz="8" w:color="auto"/>
            </w:tcBorders>
            <w:shd w:val="clear" w:color="auto" w:fill="004C97"/>
          </w:tcPr>
          <w:p>
            <w:pPr>
              <w:spacing w:after="0"/>
              <w:rPr>
                <w:sz w:val="9"/>
                <w:szCs w:val="9"/>
                <w:color w:val="auto"/>
              </w:rPr>
            </w:pPr>
          </w:p>
        </w:tc>
        <w:tc>
          <w:tcPr>
            <w:tcW w:w="880" w:type="dxa"/>
            <w:vAlign w:val="bottom"/>
            <w:tcBorders>
              <w:top w:val="single" w:sz="8" w:color="004C97"/>
              <w:right w:val="single" w:sz="8" w:color="auto"/>
            </w:tcBorders>
            <w:shd w:val="clear" w:color="auto" w:fill="004C97"/>
          </w:tcPr>
          <w:p>
            <w:pPr>
              <w:spacing w:after="0"/>
              <w:rPr>
                <w:sz w:val="9"/>
                <w:szCs w:val="9"/>
                <w:color w:val="auto"/>
              </w:rPr>
            </w:pPr>
          </w:p>
        </w:tc>
        <w:tc>
          <w:tcPr>
            <w:tcW w:w="880" w:type="dxa"/>
            <w:vAlign w:val="bottom"/>
            <w:tcBorders>
              <w:top w:val="single" w:sz="8" w:color="auto"/>
              <w:right w:val="single" w:sz="8" w:color="auto"/>
            </w:tcBorders>
            <w:shd w:val="clear" w:color="auto" w:fill="004C97"/>
          </w:tcPr>
          <w:p>
            <w:pPr>
              <w:spacing w:after="0"/>
              <w:rPr>
                <w:sz w:val="9"/>
                <w:szCs w:val="9"/>
                <w:color w:val="auto"/>
              </w:rPr>
            </w:pPr>
          </w:p>
        </w:tc>
        <w:tc>
          <w:tcPr>
            <w:tcW w:w="960" w:type="dxa"/>
            <w:vAlign w:val="bottom"/>
            <w:tcBorders>
              <w:top w:val="single" w:sz="8" w:color="auto"/>
              <w:right w:val="single" w:sz="8" w:color="auto"/>
            </w:tcBorders>
            <w:shd w:val="clear" w:color="auto" w:fill="004C97"/>
          </w:tcPr>
          <w:p>
            <w:pPr>
              <w:spacing w:after="0"/>
              <w:rPr>
                <w:sz w:val="9"/>
                <w:szCs w:val="9"/>
                <w:color w:val="auto"/>
              </w:rPr>
            </w:pPr>
          </w:p>
        </w:tc>
        <w:tc>
          <w:tcPr>
            <w:tcW w:w="860" w:type="dxa"/>
            <w:vAlign w:val="bottom"/>
            <w:tcBorders>
              <w:top w:val="single" w:sz="8" w:color="auto"/>
              <w:right w:val="single" w:sz="8" w:color="auto"/>
            </w:tcBorders>
            <w:shd w:val="clear" w:color="auto" w:fill="004C97"/>
          </w:tcPr>
          <w:p>
            <w:pPr>
              <w:spacing w:after="0"/>
              <w:rPr>
                <w:sz w:val="9"/>
                <w:szCs w:val="9"/>
                <w:color w:val="auto"/>
              </w:rPr>
            </w:pPr>
          </w:p>
        </w:tc>
        <w:tc>
          <w:tcPr>
            <w:tcW w:w="860" w:type="dxa"/>
            <w:vAlign w:val="bottom"/>
            <w:tcBorders>
              <w:top w:val="single" w:sz="8" w:color="auto"/>
              <w:right w:val="single" w:sz="8" w:color="auto"/>
            </w:tcBorders>
            <w:shd w:val="clear" w:color="auto" w:fill="004C97"/>
          </w:tcPr>
          <w:p>
            <w:pPr>
              <w:spacing w:after="0"/>
              <w:rPr>
                <w:sz w:val="9"/>
                <w:szCs w:val="9"/>
                <w:color w:val="auto"/>
              </w:rPr>
            </w:pPr>
          </w:p>
        </w:tc>
        <w:tc>
          <w:tcPr>
            <w:tcW w:w="780" w:type="dxa"/>
            <w:vAlign w:val="bottom"/>
            <w:tcBorders>
              <w:top w:val="single" w:sz="8" w:color="auto"/>
              <w:right w:val="single" w:sz="8" w:color="auto"/>
            </w:tcBorders>
            <w:shd w:val="clear" w:color="auto" w:fill="004C97"/>
          </w:tcPr>
          <w:p>
            <w:pPr>
              <w:spacing w:after="0"/>
              <w:rPr>
                <w:sz w:val="9"/>
                <w:szCs w:val="9"/>
                <w:color w:val="auto"/>
              </w:rPr>
            </w:pPr>
          </w:p>
        </w:tc>
        <w:tc>
          <w:tcPr>
            <w:tcW w:w="860" w:type="dxa"/>
            <w:vAlign w:val="bottom"/>
            <w:tcBorders>
              <w:top w:val="single" w:sz="8" w:color="auto"/>
              <w:right w:val="single" w:sz="8" w:color="auto"/>
            </w:tcBorders>
            <w:shd w:val="clear" w:color="auto" w:fill="004C97"/>
          </w:tcPr>
          <w:p>
            <w:pPr>
              <w:spacing w:after="0"/>
              <w:rPr>
                <w:sz w:val="9"/>
                <w:szCs w:val="9"/>
                <w:color w:val="auto"/>
              </w:rPr>
            </w:pPr>
          </w:p>
        </w:tc>
        <w:tc>
          <w:tcPr>
            <w:tcW w:w="800" w:type="dxa"/>
            <w:vAlign w:val="bottom"/>
            <w:tcBorders>
              <w:top w:val="single" w:sz="8" w:color="004C97"/>
              <w:right w:val="single" w:sz="8" w:color="auto"/>
            </w:tcBorders>
            <w:shd w:val="clear" w:color="auto" w:fill="004C97"/>
          </w:tcPr>
          <w:p>
            <w:pPr>
              <w:jc w:val="center"/>
              <w:spacing w:after="0" w:line="111" w:lineRule="exact"/>
              <w:rPr>
                <w:sz w:val="20"/>
                <w:szCs w:val="20"/>
                <w:color w:val="auto"/>
              </w:rPr>
            </w:pPr>
            <w:r>
              <w:rPr>
                <w:rFonts w:ascii="Arial" w:cs="Arial" w:eastAsia="Arial" w:hAnsi="Arial"/>
                <w:sz w:val="12"/>
                <w:szCs w:val="12"/>
                <w:b w:val="1"/>
                <w:bCs w:val="1"/>
                <w:color w:val="FFFFFF"/>
              </w:rPr>
              <w:t>All Other</w:t>
            </w:r>
          </w:p>
        </w:tc>
        <w:tc>
          <w:tcPr>
            <w:tcW w:w="700" w:type="dxa"/>
            <w:vAlign w:val="bottom"/>
            <w:tcBorders>
              <w:top w:val="single" w:sz="8" w:color="004C97"/>
              <w:right w:val="single" w:sz="8" w:color="auto"/>
            </w:tcBorders>
            <w:shd w:val="clear" w:color="auto" w:fill="004C97"/>
          </w:tcPr>
          <w:p>
            <w:pPr>
              <w:spacing w:after="0"/>
              <w:rPr>
                <w:sz w:val="9"/>
                <w:szCs w:val="9"/>
                <w:color w:val="auto"/>
              </w:rPr>
            </w:pPr>
          </w:p>
        </w:tc>
        <w:tc>
          <w:tcPr>
            <w:tcW w:w="860" w:type="dxa"/>
            <w:vAlign w:val="bottom"/>
            <w:tcBorders>
              <w:top w:val="single" w:sz="8" w:color="004C97"/>
              <w:right w:val="single" w:sz="8" w:color="auto"/>
            </w:tcBorders>
            <w:shd w:val="clear" w:color="auto" w:fill="004C97"/>
          </w:tcPr>
          <w:p>
            <w:pPr>
              <w:spacing w:after="0"/>
              <w:rPr>
                <w:sz w:val="9"/>
                <w:szCs w:val="9"/>
                <w:color w:val="auto"/>
              </w:rPr>
            </w:pPr>
          </w:p>
        </w:tc>
        <w:tc>
          <w:tcPr>
            <w:tcW w:w="1160" w:type="dxa"/>
            <w:vAlign w:val="bottom"/>
            <w:tcBorders>
              <w:top w:val="single" w:sz="8" w:color="004C97"/>
              <w:right w:val="single" w:sz="8" w:color="auto"/>
            </w:tcBorders>
            <w:shd w:val="clear" w:color="auto" w:fill="004C97"/>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004C97"/>
          </w:tcPr>
          <w:p>
            <w:pPr>
              <w:spacing w:after="0"/>
              <w:rPr>
                <w:sz w:val="12"/>
                <w:szCs w:val="12"/>
                <w:color w:val="auto"/>
              </w:rPr>
            </w:pPr>
          </w:p>
        </w:tc>
        <w:tc>
          <w:tcPr>
            <w:tcW w:w="880" w:type="dxa"/>
            <w:vAlign w:val="bottom"/>
            <w:tcBorders>
              <w:right w:val="single" w:sz="8" w:color="auto"/>
            </w:tcBorders>
            <w:shd w:val="clear" w:color="auto" w:fill="004C97"/>
          </w:tcPr>
          <w:p>
            <w:pPr>
              <w:spacing w:after="0"/>
              <w:rPr>
                <w:sz w:val="12"/>
                <w:szCs w:val="12"/>
                <w:color w:val="auto"/>
              </w:rPr>
            </w:pPr>
          </w:p>
        </w:tc>
        <w:tc>
          <w:tcPr>
            <w:tcW w:w="880" w:type="dxa"/>
            <w:vAlign w:val="bottom"/>
            <w:tcBorders>
              <w:right w:val="single" w:sz="8" w:color="auto"/>
            </w:tcBorders>
            <w:shd w:val="clear" w:color="auto" w:fill="004C97"/>
          </w:tcPr>
          <w:p>
            <w:pPr>
              <w:spacing w:after="0"/>
              <w:rPr>
                <w:sz w:val="12"/>
                <w:szCs w:val="12"/>
                <w:color w:val="auto"/>
              </w:rPr>
            </w:pPr>
          </w:p>
        </w:tc>
        <w:tc>
          <w:tcPr>
            <w:tcW w:w="960" w:type="dxa"/>
            <w:vAlign w:val="bottom"/>
            <w:tcBorders>
              <w:right w:val="single" w:sz="8" w:color="auto"/>
            </w:tcBorders>
            <w:shd w:val="clear" w:color="auto" w:fill="004C97"/>
          </w:tcPr>
          <w:p>
            <w:pPr>
              <w:spacing w:after="0"/>
              <w:rPr>
                <w:sz w:val="12"/>
                <w:szCs w:val="12"/>
                <w:color w:val="auto"/>
              </w:rPr>
            </w:pPr>
          </w:p>
        </w:tc>
        <w:tc>
          <w:tcPr>
            <w:tcW w:w="860" w:type="dxa"/>
            <w:vAlign w:val="bottom"/>
            <w:tcBorders>
              <w:right w:val="single" w:sz="8" w:color="auto"/>
            </w:tcBorders>
            <w:shd w:val="clear" w:color="auto" w:fill="004C97"/>
          </w:tcPr>
          <w:p>
            <w:pPr>
              <w:spacing w:after="0"/>
              <w:rPr>
                <w:sz w:val="12"/>
                <w:szCs w:val="12"/>
                <w:color w:val="auto"/>
              </w:rPr>
            </w:pPr>
          </w:p>
        </w:tc>
        <w:tc>
          <w:tcPr>
            <w:tcW w:w="860" w:type="dxa"/>
            <w:vAlign w:val="bottom"/>
            <w:tcBorders>
              <w:right w:val="single" w:sz="8" w:color="auto"/>
            </w:tcBorders>
            <w:shd w:val="clear" w:color="auto" w:fill="004C97"/>
          </w:tcPr>
          <w:p>
            <w:pPr>
              <w:spacing w:after="0"/>
              <w:rPr>
                <w:sz w:val="12"/>
                <w:szCs w:val="12"/>
                <w:color w:val="auto"/>
              </w:rPr>
            </w:pPr>
          </w:p>
        </w:tc>
        <w:tc>
          <w:tcPr>
            <w:tcW w:w="780" w:type="dxa"/>
            <w:vAlign w:val="bottom"/>
            <w:tcBorders>
              <w:right w:val="single" w:sz="8" w:color="auto"/>
            </w:tcBorders>
            <w:shd w:val="clear" w:color="auto" w:fill="004C97"/>
          </w:tcPr>
          <w:p>
            <w:pPr>
              <w:spacing w:after="0"/>
              <w:rPr>
                <w:sz w:val="12"/>
                <w:szCs w:val="12"/>
                <w:color w:val="auto"/>
              </w:rPr>
            </w:pPr>
          </w:p>
        </w:tc>
        <w:tc>
          <w:tcPr>
            <w:tcW w:w="860" w:type="dxa"/>
            <w:vAlign w:val="bottom"/>
            <w:tcBorders>
              <w:right w:val="single" w:sz="8" w:color="auto"/>
            </w:tcBorders>
            <w:shd w:val="clear" w:color="auto" w:fill="004C97"/>
          </w:tcPr>
          <w:p>
            <w:pPr>
              <w:spacing w:after="0"/>
              <w:rPr>
                <w:sz w:val="12"/>
                <w:szCs w:val="12"/>
                <w:color w:val="auto"/>
              </w:rPr>
            </w:pPr>
          </w:p>
        </w:tc>
        <w:tc>
          <w:tcPr>
            <w:tcW w:w="8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Stock</w:t>
            </w:r>
          </w:p>
        </w:tc>
        <w:tc>
          <w:tcPr>
            <w:tcW w:w="700" w:type="dxa"/>
            <w:vAlign w:val="bottom"/>
            <w:tcBorders>
              <w:right w:val="single" w:sz="8" w:color="auto"/>
            </w:tcBorders>
            <w:shd w:val="clear" w:color="auto" w:fill="004C97"/>
          </w:tcPr>
          <w:p>
            <w:pPr>
              <w:spacing w:after="0"/>
              <w:rPr>
                <w:sz w:val="12"/>
                <w:szCs w:val="12"/>
                <w:color w:val="auto"/>
              </w:rPr>
            </w:pPr>
          </w:p>
        </w:tc>
        <w:tc>
          <w:tcPr>
            <w:tcW w:w="860" w:type="dxa"/>
            <w:vAlign w:val="bottom"/>
            <w:tcBorders>
              <w:right w:val="single" w:sz="8" w:color="auto"/>
            </w:tcBorders>
            <w:shd w:val="clear" w:color="auto" w:fill="004C97"/>
          </w:tcPr>
          <w:p>
            <w:pPr>
              <w:spacing w:after="0"/>
              <w:rPr>
                <w:sz w:val="12"/>
                <w:szCs w:val="12"/>
                <w:color w:val="auto"/>
              </w:rPr>
            </w:pPr>
          </w:p>
        </w:tc>
        <w:tc>
          <w:tcPr>
            <w:tcW w:w="1160" w:type="dxa"/>
            <w:vAlign w:val="bottom"/>
            <w:tcBorders>
              <w:right w:val="single" w:sz="8" w:color="auto"/>
            </w:tcBorders>
            <w:shd w:val="clear" w:color="auto" w:fill="004C97"/>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004C97"/>
          </w:tcPr>
          <w:p>
            <w:pPr>
              <w:spacing w:after="0"/>
              <w:rPr>
                <w:sz w:val="12"/>
                <w:szCs w:val="12"/>
                <w:color w:val="auto"/>
              </w:rPr>
            </w:pPr>
          </w:p>
        </w:tc>
        <w:tc>
          <w:tcPr>
            <w:tcW w:w="880" w:type="dxa"/>
            <w:vAlign w:val="bottom"/>
            <w:tcBorders>
              <w:right w:val="single" w:sz="8" w:color="auto"/>
            </w:tcBorders>
            <w:shd w:val="clear" w:color="auto" w:fill="004C97"/>
          </w:tcPr>
          <w:p>
            <w:pPr>
              <w:spacing w:after="0"/>
              <w:rPr>
                <w:sz w:val="12"/>
                <w:szCs w:val="12"/>
                <w:color w:val="auto"/>
              </w:rPr>
            </w:pPr>
          </w:p>
        </w:tc>
        <w:tc>
          <w:tcPr>
            <w:tcW w:w="880" w:type="dxa"/>
            <w:vAlign w:val="bottom"/>
            <w:tcBorders>
              <w:right w:val="single" w:sz="8" w:color="auto"/>
            </w:tcBorders>
            <w:shd w:val="clear" w:color="auto" w:fill="004C97"/>
          </w:tcPr>
          <w:p>
            <w:pPr>
              <w:spacing w:after="0"/>
              <w:rPr>
                <w:sz w:val="12"/>
                <w:szCs w:val="12"/>
                <w:color w:val="auto"/>
              </w:rPr>
            </w:pPr>
          </w:p>
        </w:tc>
        <w:tc>
          <w:tcPr>
            <w:tcW w:w="960" w:type="dxa"/>
            <w:vAlign w:val="bottom"/>
            <w:tcBorders>
              <w:right w:val="single" w:sz="8" w:color="auto"/>
            </w:tcBorders>
            <w:shd w:val="clear" w:color="auto" w:fill="004C97"/>
          </w:tcPr>
          <w:p>
            <w:pPr>
              <w:spacing w:after="0"/>
              <w:rPr>
                <w:sz w:val="12"/>
                <w:szCs w:val="12"/>
                <w:color w:val="auto"/>
              </w:rPr>
            </w:pPr>
          </w:p>
        </w:tc>
        <w:tc>
          <w:tcPr>
            <w:tcW w:w="860" w:type="dxa"/>
            <w:vAlign w:val="bottom"/>
            <w:tcBorders>
              <w:right w:val="single" w:sz="8" w:color="auto"/>
            </w:tcBorders>
            <w:shd w:val="clear" w:color="auto" w:fill="004C97"/>
          </w:tcPr>
          <w:p>
            <w:pPr>
              <w:spacing w:after="0"/>
              <w:rPr>
                <w:sz w:val="12"/>
                <w:szCs w:val="12"/>
                <w:color w:val="auto"/>
              </w:rPr>
            </w:pPr>
          </w:p>
        </w:tc>
        <w:tc>
          <w:tcPr>
            <w:tcW w:w="860" w:type="dxa"/>
            <w:vAlign w:val="bottom"/>
            <w:tcBorders>
              <w:right w:val="single" w:sz="8" w:color="auto"/>
            </w:tcBorders>
            <w:shd w:val="clear" w:color="auto" w:fill="004C97"/>
          </w:tcPr>
          <w:p>
            <w:pPr>
              <w:spacing w:after="0"/>
              <w:rPr>
                <w:sz w:val="12"/>
                <w:szCs w:val="12"/>
                <w:color w:val="auto"/>
              </w:rPr>
            </w:pPr>
          </w:p>
        </w:tc>
        <w:tc>
          <w:tcPr>
            <w:tcW w:w="780" w:type="dxa"/>
            <w:vAlign w:val="bottom"/>
            <w:tcBorders>
              <w:right w:val="single" w:sz="8" w:color="auto"/>
            </w:tcBorders>
            <w:shd w:val="clear" w:color="auto" w:fill="004C97"/>
          </w:tcPr>
          <w:p>
            <w:pPr>
              <w:spacing w:after="0"/>
              <w:rPr>
                <w:sz w:val="12"/>
                <w:szCs w:val="12"/>
                <w:color w:val="auto"/>
              </w:rPr>
            </w:pPr>
          </w:p>
        </w:tc>
        <w:tc>
          <w:tcPr>
            <w:tcW w:w="860" w:type="dxa"/>
            <w:vAlign w:val="bottom"/>
            <w:tcBorders>
              <w:right w:val="single" w:sz="8" w:color="auto"/>
            </w:tcBorders>
            <w:shd w:val="clear" w:color="auto" w:fill="004C97"/>
          </w:tcPr>
          <w:p>
            <w:pPr>
              <w:spacing w:after="0"/>
              <w:rPr>
                <w:sz w:val="12"/>
                <w:szCs w:val="12"/>
                <w:color w:val="auto"/>
              </w:rPr>
            </w:pPr>
          </w:p>
        </w:tc>
        <w:tc>
          <w:tcPr>
            <w:tcW w:w="8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7"/>
              </w:rPr>
              <w:t>Awards:</w:t>
            </w:r>
          </w:p>
        </w:tc>
        <w:tc>
          <w:tcPr>
            <w:tcW w:w="700" w:type="dxa"/>
            <w:vAlign w:val="bottom"/>
            <w:tcBorders>
              <w:right w:val="single" w:sz="8" w:color="auto"/>
            </w:tcBorders>
            <w:shd w:val="clear" w:color="auto" w:fill="004C97"/>
          </w:tcPr>
          <w:p>
            <w:pPr>
              <w:spacing w:after="0"/>
              <w:rPr>
                <w:sz w:val="12"/>
                <w:szCs w:val="12"/>
                <w:color w:val="auto"/>
              </w:rPr>
            </w:pPr>
          </w:p>
        </w:tc>
        <w:tc>
          <w:tcPr>
            <w:tcW w:w="860" w:type="dxa"/>
            <w:vAlign w:val="bottom"/>
            <w:tcBorders>
              <w:right w:val="single" w:sz="8" w:color="auto"/>
            </w:tcBorders>
            <w:shd w:val="clear" w:color="auto" w:fill="004C97"/>
          </w:tcPr>
          <w:p>
            <w:pPr>
              <w:spacing w:after="0"/>
              <w:rPr>
                <w:sz w:val="12"/>
                <w:szCs w:val="12"/>
                <w:color w:val="auto"/>
              </w:rPr>
            </w:pPr>
          </w:p>
        </w:tc>
        <w:tc>
          <w:tcPr>
            <w:tcW w:w="116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Grant Date Fair</w:t>
            </w:r>
          </w:p>
        </w:tc>
        <w:tc>
          <w:tcPr>
            <w:tcW w:w="0" w:type="dxa"/>
            <w:vAlign w:val="bottom"/>
          </w:tcPr>
          <w:p>
            <w:pPr>
              <w:spacing w:after="0"/>
              <w:rPr>
                <w:sz w:val="1"/>
                <w:szCs w:val="1"/>
                <w:color w:val="auto"/>
              </w:rPr>
            </w:pPr>
          </w:p>
        </w:tc>
      </w:tr>
      <w:tr>
        <w:trPr>
          <w:trHeight w:val="161"/>
        </w:trPr>
        <w:tc>
          <w:tcPr>
            <w:tcW w:w="1660" w:type="dxa"/>
            <w:vAlign w:val="bottom"/>
            <w:tcBorders>
              <w:left w:val="single" w:sz="8" w:color="auto"/>
              <w:right w:val="single" w:sz="8" w:color="auto"/>
            </w:tcBorders>
            <w:shd w:val="clear" w:color="auto" w:fill="004C97"/>
          </w:tcPr>
          <w:p>
            <w:pPr>
              <w:spacing w:after="0"/>
              <w:rPr>
                <w:sz w:val="13"/>
                <w:szCs w:val="13"/>
                <w:color w:val="auto"/>
              </w:rPr>
            </w:pPr>
          </w:p>
        </w:tc>
        <w:tc>
          <w:tcPr>
            <w:tcW w:w="880" w:type="dxa"/>
            <w:vAlign w:val="bottom"/>
            <w:tcBorders>
              <w:right w:val="single" w:sz="8" w:color="auto"/>
            </w:tcBorders>
            <w:shd w:val="clear" w:color="auto" w:fill="004C97"/>
          </w:tcPr>
          <w:p>
            <w:pPr>
              <w:spacing w:after="0"/>
              <w:rPr>
                <w:sz w:val="13"/>
                <w:szCs w:val="13"/>
                <w:color w:val="auto"/>
              </w:rPr>
            </w:pPr>
          </w:p>
        </w:tc>
        <w:tc>
          <w:tcPr>
            <w:tcW w:w="880" w:type="dxa"/>
            <w:vAlign w:val="bottom"/>
            <w:tcBorders>
              <w:right w:val="single" w:sz="8" w:color="auto"/>
            </w:tcBorders>
            <w:shd w:val="clear" w:color="auto" w:fill="004C97"/>
          </w:tcPr>
          <w:p>
            <w:pPr>
              <w:spacing w:after="0"/>
              <w:rPr>
                <w:sz w:val="13"/>
                <w:szCs w:val="13"/>
                <w:color w:val="auto"/>
              </w:rPr>
            </w:pPr>
          </w:p>
        </w:tc>
        <w:tc>
          <w:tcPr>
            <w:tcW w:w="960" w:type="dxa"/>
            <w:vAlign w:val="bottom"/>
            <w:tcBorders>
              <w:right w:val="single" w:sz="8" w:color="auto"/>
            </w:tcBorders>
            <w:shd w:val="clear" w:color="auto" w:fill="004C97"/>
          </w:tcPr>
          <w:p>
            <w:pPr>
              <w:spacing w:after="0"/>
              <w:rPr>
                <w:sz w:val="13"/>
                <w:szCs w:val="13"/>
                <w:color w:val="auto"/>
              </w:rPr>
            </w:pPr>
          </w:p>
        </w:tc>
        <w:tc>
          <w:tcPr>
            <w:tcW w:w="860" w:type="dxa"/>
            <w:vAlign w:val="bottom"/>
            <w:tcBorders>
              <w:right w:val="single" w:sz="8" w:color="auto"/>
            </w:tcBorders>
            <w:shd w:val="clear" w:color="auto" w:fill="004C97"/>
          </w:tcPr>
          <w:p>
            <w:pPr>
              <w:spacing w:after="0"/>
              <w:rPr>
                <w:sz w:val="13"/>
                <w:szCs w:val="13"/>
                <w:color w:val="auto"/>
              </w:rPr>
            </w:pPr>
          </w:p>
        </w:tc>
        <w:tc>
          <w:tcPr>
            <w:tcW w:w="860" w:type="dxa"/>
            <w:vAlign w:val="bottom"/>
            <w:tcBorders>
              <w:right w:val="single" w:sz="8" w:color="auto"/>
            </w:tcBorders>
            <w:shd w:val="clear" w:color="auto" w:fill="004C97"/>
          </w:tcPr>
          <w:p>
            <w:pPr>
              <w:spacing w:after="0"/>
              <w:rPr>
                <w:sz w:val="13"/>
                <w:szCs w:val="13"/>
                <w:color w:val="auto"/>
              </w:rPr>
            </w:pPr>
          </w:p>
        </w:tc>
        <w:tc>
          <w:tcPr>
            <w:tcW w:w="780" w:type="dxa"/>
            <w:vAlign w:val="bottom"/>
            <w:tcBorders>
              <w:right w:val="single" w:sz="8" w:color="auto"/>
            </w:tcBorders>
            <w:shd w:val="clear" w:color="auto" w:fill="004C97"/>
          </w:tcPr>
          <w:p>
            <w:pPr>
              <w:spacing w:after="0"/>
              <w:rPr>
                <w:sz w:val="13"/>
                <w:szCs w:val="13"/>
                <w:color w:val="auto"/>
              </w:rPr>
            </w:pPr>
          </w:p>
        </w:tc>
        <w:tc>
          <w:tcPr>
            <w:tcW w:w="860" w:type="dxa"/>
            <w:vAlign w:val="bottom"/>
            <w:tcBorders>
              <w:right w:val="single" w:sz="8" w:color="auto"/>
            </w:tcBorders>
            <w:shd w:val="clear" w:color="auto" w:fill="004C97"/>
          </w:tcPr>
          <w:p>
            <w:pPr>
              <w:spacing w:after="0"/>
              <w:rPr>
                <w:sz w:val="13"/>
                <w:szCs w:val="13"/>
                <w:color w:val="auto"/>
              </w:rPr>
            </w:pPr>
          </w:p>
        </w:tc>
        <w:tc>
          <w:tcPr>
            <w:tcW w:w="8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7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Stock</w:t>
            </w:r>
          </w:p>
        </w:tc>
        <w:tc>
          <w:tcPr>
            <w:tcW w:w="86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7"/>
              </w:rPr>
              <w:t>Exercise</w:t>
            </w:r>
          </w:p>
        </w:tc>
        <w:tc>
          <w:tcPr>
            <w:tcW w:w="116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4"/>
              </w:rPr>
              <w:t>Value of</w:t>
            </w:r>
          </w:p>
        </w:tc>
        <w:tc>
          <w:tcPr>
            <w:tcW w:w="0" w:type="dxa"/>
            <w:vAlign w:val="bottom"/>
          </w:tcPr>
          <w:p>
            <w:pPr>
              <w:spacing w:after="0"/>
              <w:rPr>
                <w:sz w:val="1"/>
                <w:szCs w:val="1"/>
                <w:color w:val="auto"/>
              </w:rPr>
            </w:pPr>
          </w:p>
        </w:tc>
      </w:tr>
      <w:tr>
        <w:trPr>
          <w:trHeight w:val="168"/>
        </w:trPr>
        <w:tc>
          <w:tcPr>
            <w:tcW w:w="1660" w:type="dxa"/>
            <w:vAlign w:val="bottom"/>
            <w:tcBorders>
              <w:left w:val="single" w:sz="8" w:color="auto"/>
              <w:right w:val="single" w:sz="8" w:color="auto"/>
            </w:tcBorders>
            <w:shd w:val="clear" w:color="auto" w:fill="004C97"/>
          </w:tcPr>
          <w:p>
            <w:pPr>
              <w:spacing w:after="0"/>
              <w:rPr>
                <w:sz w:val="14"/>
                <w:szCs w:val="14"/>
                <w:color w:val="auto"/>
              </w:rPr>
            </w:pPr>
          </w:p>
        </w:tc>
        <w:tc>
          <w:tcPr>
            <w:tcW w:w="880" w:type="dxa"/>
            <w:vAlign w:val="bottom"/>
            <w:tcBorders>
              <w:right w:val="single" w:sz="8" w:color="auto"/>
            </w:tcBorders>
            <w:shd w:val="clear" w:color="auto" w:fill="004C97"/>
          </w:tcPr>
          <w:p>
            <w:pPr>
              <w:spacing w:after="0"/>
              <w:rPr>
                <w:sz w:val="14"/>
                <w:szCs w:val="14"/>
                <w:color w:val="auto"/>
              </w:rPr>
            </w:pPr>
          </w:p>
        </w:tc>
        <w:tc>
          <w:tcPr>
            <w:tcW w:w="880" w:type="dxa"/>
            <w:vAlign w:val="bottom"/>
            <w:tcBorders>
              <w:right w:val="single" w:sz="8" w:color="auto"/>
            </w:tcBorders>
            <w:shd w:val="clear" w:color="auto" w:fill="004C97"/>
          </w:tcPr>
          <w:p>
            <w:pPr>
              <w:spacing w:after="0"/>
              <w:rPr>
                <w:sz w:val="14"/>
                <w:szCs w:val="14"/>
                <w:color w:val="auto"/>
              </w:rPr>
            </w:pPr>
          </w:p>
        </w:tc>
        <w:tc>
          <w:tcPr>
            <w:tcW w:w="960" w:type="dxa"/>
            <w:vAlign w:val="bottom"/>
            <w:tcBorders>
              <w:right w:val="single" w:sz="8" w:color="auto"/>
            </w:tcBorders>
            <w:shd w:val="clear" w:color="auto" w:fill="004C97"/>
          </w:tcPr>
          <w:p>
            <w:pPr>
              <w:spacing w:after="0"/>
              <w:rPr>
                <w:sz w:val="14"/>
                <w:szCs w:val="14"/>
                <w:color w:val="auto"/>
              </w:rPr>
            </w:pPr>
          </w:p>
        </w:tc>
        <w:tc>
          <w:tcPr>
            <w:tcW w:w="860" w:type="dxa"/>
            <w:vAlign w:val="bottom"/>
            <w:tcBorders>
              <w:right w:val="single" w:sz="8" w:color="auto"/>
            </w:tcBorders>
            <w:shd w:val="clear" w:color="auto" w:fill="004C97"/>
          </w:tcPr>
          <w:p>
            <w:pPr>
              <w:spacing w:after="0"/>
              <w:rPr>
                <w:sz w:val="14"/>
                <w:szCs w:val="14"/>
                <w:color w:val="auto"/>
              </w:rPr>
            </w:pPr>
          </w:p>
        </w:tc>
        <w:tc>
          <w:tcPr>
            <w:tcW w:w="860" w:type="dxa"/>
            <w:vAlign w:val="bottom"/>
            <w:tcBorders>
              <w:right w:val="single" w:sz="8" w:color="auto"/>
            </w:tcBorders>
            <w:shd w:val="clear" w:color="auto" w:fill="004C97"/>
          </w:tcPr>
          <w:p>
            <w:pPr>
              <w:spacing w:after="0"/>
              <w:rPr>
                <w:sz w:val="14"/>
                <w:szCs w:val="14"/>
                <w:color w:val="auto"/>
              </w:rPr>
            </w:pPr>
          </w:p>
        </w:tc>
        <w:tc>
          <w:tcPr>
            <w:tcW w:w="780" w:type="dxa"/>
            <w:vAlign w:val="bottom"/>
            <w:tcBorders>
              <w:right w:val="single" w:sz="8" w:color="auto"/>
            </w:tcBorders>
            <w:shd w:val="clear" w:color="auto" w:fill="004C97"/>
          </w:tcPr>
          <w:p>
            <w:pPr>
              <w:spacing w:after="0"/>
              <w:rPr>
                <w:sz w:val="14"/>
                <w:szCs w:val="14"/>
                <w:color w:val="auto"/>
              </w:rPr>
            </w:pPr>
          </w:p>
        </w:tc>
        <w:tc>
          <w:tcPr>
            <w:tcW w:w="860" w:type="dxa"/>
            <w:vAlign w:val="bottom"/>
            <w:tcBorders>
              <w:right w:val="single" w:sz="8" w:color="auto"/>
            </w:tcBorders>
            <w:shd w:val="clear" w:color="auto" w:fill="004C97"/>
          </w:tcPr>
          <w:p>
            <w:pPr>
              <w:spacing w:after="0"/>
              <w:rPr>
                <w:sz w:val="14"/>
                <w:szCs w:val="14"/>
                <w:color w:val="auto"/>
              </w:rPr>
            </w:pPr>
          </w:p>
        </w:tc>
        <w:tc>
          <w:tcPr>
            <w:tcW w:w="8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6"/>
              </w:rPr>
              <w:t>Shares or</w:t>
            </w:r>
          </w:p>
        </w:tc>
        <w:tc>
          <w:tcPr>
            <w:tcW w:w="7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86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rPr>
              <w:t>Price of</w:t>
            </w:r>
          </w:p>
        </w:tc>
        <w:tc>
          <w:tcPr>
            <w:tcW w:w="116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6"/>
              </w:rPr>
              <w:t>Stock and Option</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vMerge w:val="restart"/>
            <w:shd w:val="clear" w:color="auto" w:fill="004C97"/>
          </w:tcPr>
          <w:p>
            <w:pPr>
              <w:ind w:left="660"/>
              <w:spacing w:after="0"/>
              <w:rPr>
                <w:sz w:val="20"/>
                <w:szCs w:val="20"/>
                <w:color w:val="auto"/>
              </w:rPr>
            </w:pPr>
            <w:r>
              <w:rPr>
                <w:rFonts w:ascii="Arial" w:cs="Arial" w:eastAsia="Arial" w:hAnsi="Arial"/>
                <w:sz w:val="13"/>
                <w:szCs w:val="13"/>
                <w:b w:val="1"/>
                <w:bCs w:val="1"/>
                <w:color w:val="FFFFFF"/>
              </w:rPr>
              <w:t>Name</w:t>
            </w:r>
          </w:p>
        </w:tc>
        <w:tc>
          <w:tcPr>
            <w:tcW w:w="88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7"/>
              </w:rPr>
              <w:t>Grant</w:t>
            </w:r>
          </w:p>
        </w:tc>
        <w:tc>
          <w:tcPr>
            <w:tcW w:w="880" w:type="dxa"/>
            <w:vAlign w:val="bottom"/>
            <w:tcBorders>
              <w:right w:val="single" w:sz="8" w:color="auto"/>
            </w:tcBorders>
            <w:shd w:val="clear" w:color="auto" w:fill="004C97"/>
          </w:tcPr>
          <w:p>
            <w:pPr>
              <w:ind w:left="120"/>
              <w:spacing w:after="0"/>
              <w:rPr>
                <w:sz w:val="20"/>
                <w:szCs w:val="20"/>
                <w:color w:val="auto"/>
              </w:rPr>
            </w:pPr>
            <w:r>
              <w:rPr>
                <w:rFonts w:ascii="Arial" w:cs="Arial" w:eastAsia="Arial" w:hAnsi="Arial"/>
                <w:sz w:val="13"/>
                <w:szCs w:val="13"/>
                <w:b w:val="1"/>
                <w:bCs w:val="1"/>
                <w:color w:val="FFFFFF"/>
              </w:rPr>
              <w:t>Threshold</w:t>
            </w:r>
          </w:p>
        </w:tc>
        <w:tc>
          <w:tcPr>
            <w:tcW w:w="960" w:type="dxa"/>
            <w:vAlign w:val="bottom"/>
            <w:tcBorders>
              <w:right w:val="single" w:sz="8" w:color="auto"/>
            </w:tcBorders>
            <w:shd w:val="clear" w:color="auto" w:fill="004C97"/>
          </w:tcPr>
          <w:p>
            <w:pPr>
              <w:ind w:left="280"/>
              <w:spacing w:after="0"/>
              <w:rPr>
                <w:sz w:val="20"/>
                <w:szCs w:val="20"/>
                <w:color w:val="auto"/>
              </w:rPr>
            </w:pPr>
            <w:r>
              <w:rPr>
                <w:rFonts w:ascii="Arial" w:cs="Arial" w:eastAsia="Arial" w:hAnsi="Arial"/>
                <w:sz w:val="13"/>
                <w:szCs w:val="13"/>
                <w:b w:val="1"/>
                <w:bCs w:val="1"/>
                <w:color w:val="FFFFFF"/>
              </w:rPr>
              <w:t>Target</w:t>
            </w:r>
          </w:p>
        </w:tc>
        <w:tc>
          <w:tcPr>
            <w:tcW w:w="860" w:type="dxa"/>
            <w:vAlign w:val="bottom"/>
            <w:tcBorders>
              <w:right w:val="single" w:sz="8" w:color="auto"/>
            </w:tcBorders>
            <w:shd w:val="clear" w:color="auto" w:fill="004C97"/>
          </w:tcPr>
          <w:p>
            <w:pPr>
              <w:ind w:left="140"/>
              <w:spacing w:after="0"/>
              <w:rPr>
                <w:sz w:val="20"/>
                <w:szCs w:val="20"/>
                <w:color w:val="auto"/>
              </w:rPr>
            </w:pPr>
            <w:r>
              <w:rPr>
                <w:rFonts w:ascii="Arial" w:cs="Arial" w:eastAsia="Arial" w:hAnsi="Arial"/>
                <w:sz w:val="13"/>
                <w:szCs w:val="13"/>
                <w:b w:val="1"/>
                <w:bCs w:val="1"/>
                <w:color w:val="FFFFFF"/>
              </w:rPr>
              <w:t>Maximum</w:t>
            </w:r>
          </w:p>
        </w:tc>
        <w:tc>
          <w:tcPr>
            <w:tcW w:w="860" w:type="dxa"/>
            <w:vAlign w:val="bottom"/>
            <w:tcBorders>
              <w:right w:val="single" w:sz="8" w:color="auto"/>
            </w:tcBorders>
            <w:shd w:val="clear" w:color="auto" w:fill="004C97"/>
          </w:tcPr>
          <w:p>
            <w:pPr>
              <w:ind w:left="120"/>
              <w:spacing w:after="0"/>
              <w:rPr>
                <w:sz w:val="20"/>
                <w:szCs w:val="20"/>
                <w:color w:val="auto"/>
              </w:rPr>
            </w:pPr>
            <w:r>
              <w:rPr>
                <w:rFonts w:ascii="Arial" w:cs="Arial" w:eastAsia="Arial" w:hAnsi="Arial"/>
                <w:sz w:val="13"/>
                <w:szCs w:val="13"/>
                <w:b w:val="1"/>
                <w:bCs w:val="1"/>
                <w:color w:val="FFFFFF"/>
              </w:rPr>
              <w:t>Threshold</w:t>
            </w:r>
          </w:p>
        </w:tc>
        <w:tc>
          <w:tcPr>
            <w:tcW w:w="780" w:type="dxa"/>
            <w:vAlign w:val="bottom"/>
            <w:tcBorders>
              <w:right w:val="single" w:sz="8" w:color="auto"/>
            </w:tcBorders>
            <w:shd w:val="clear" w:color="auto" w:fill="004C97"/>
          </w:tcPr>
          <w:p>
            <w:pPr>
              <w:ind w:left="200"/>
              <w:spacing w:after="0"/>
              <w:rPr>
                <w:sz w:val="20"/>
                <w:szCs w:val="20"/>
                <w:color w:val="auto"/>
              </w:rPr>
            </w:pPr>
            <w:r>
              <w:rPr>
                <w:rFonts w:ascii="Arial" w:cs="Arial" w:eastAsia="Arial" w:hAnsi="Arial"/>
                <w:sz w:val="13"/>
                <w:szCs w:val="13"/>
                <w:b w:val="1"/>
                <w:bCs w:val="1"/>
                <w:color w:val="FFFFFF"/>
              </w:rPr>
              <w:t>Target</w:t>
            </w:r>
          </w:p>
        </w:tc>
        <w:tc>
          <w:tcPr>
            <w:tcW w:w="860" w:type="dxa"/>
            <w:vAlign w:val="bottom"/>
            <w:tcBorders>
              <w:right w:val="single" w:sz="8" w:color="auto"/>
            </w:tcBorders>
            <w:shd w:val="clear" w:color="auto" w:fill="004C97"/>
          </w:tcPr>
          <w:p>
            <w:pPr>
              <w:jc w:val="right"/>
              <w:ind w:right="81"/>
              <w:spacing w:after="0"/>
              <w:rPr>
                <w:sz w:val="20"/>
                <w:szCs w:val="20"/>
                <w:color w:val="auto"/>
              </w:rPr>
            </w:pPr>
            <w:r>
              <w:rPr>
                <w:rFonts w:ascii="Arial" w:cs="Arial" w:eastAsia="Arial" w:hAnsi="Arial"/>
                <w:sz w:val="13"/>
                <w:szCs w:val="13"/>
                <w:b w:val="1"/>
                <w:bCs w:val="1"/>
                <w:color w:val="FFFFFF"/>
              </w:rPr>
              <w:t>Maximum</w:t>
            </w:r>
          </w:p>
        </w:tc>
        <w:tc>
          <w:tcPr>
            <w:tcW w:w="8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7"/>
              </w:rPr>
              <w:t>Stock Units</w:t>
            </w:r>
          </w:p>
        </w:tc>
        <w:tc>
          <w:tcPr>
            <w:tcW w:w="7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6"/>
              </w:rPr>
              <w:t>Awards (#)</w:t>
            </w:r>
          </w:p>
        </w:tc>
        <w:tc>
          <w:tcPr>
            <w:tcW w:w="86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8"/>
              </w:rPr>
              <w:t>Stock Option</w:t>
            </w:r>
          </w:p>
        </w:tc>
        <w:tc>
          <w:tcPr>
            <w:tcW w:w="116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7"/>
              </w:rPr>
              <w:t>Awards</w:t>
            </w:r>
          </w:p>
        </w:tc>
        <w:tc>
          <w:tcPr>
            <w:tcW w:w="0" w:type="dxa"/>
            <w:vAlign w:val="bottom"/>
          </w:tcPr>
          <w:p>
            <w:pPr>
              <w:spacing w:after="0"/>
              <w:rPr>
                <w:sz w:val="1"/>
                <w:szCs w:val="1"/>
                <w:color w:val="auto"/>
              </w:rPr>
            </w:pPr>
          </w:p>
        </w:tc>
      </w:tr>
      <w:tr>
        <w:trPr>
          <w:trHeight w:val="175"/>
        </w:trPr>
        <w:tc>
          <w:tcPr>
            <w:tcW w:w="1660" w:type="dxa"/>
            <w:vAlign w:val="bottom"/>
            <w:tcBorders>
              <w:left w:val="single" w:sz="8" w:color="auto"/>
              <w:bottom w:val="single" w:sz="8" w:color="auto"/>
              <w:right w:val="single" w:sz="8" w:color="auto"/>
            </w:tcBorders>
            <w:vMerge w:val="continue"/>
            <w:shd w:val="clear" w:color="auto" w:fill="004C97"/>
          </w:tcPr>
          <w:p>
            <w:pPr>
              <w:spacing w:after="0"/>
              <w:rPr>
                <w:sz w:val="15"/>
                <w:szCs w:val="15"/>
                <w:color w:val="auto"/>
              </w:rPr>
            </w:pPr>
          </w:p>
        </w:tc>
        <w:tc>
          <w:tcPr>
            <w:tcW w:w="880" w:type="dxa"/>
            <w:vAlign w:val="bottom"/>
            <w:tcBorders>
              <w:bottom w:val="single" w:sz="8" w:color="auto"/>
              <w:right w:val="single" w:sz="8" w:color="auto"/>
            </w:tcBorders>
            <w:shd w:val="clear" w:color="auto" w:fill="004C97"/>
          </w:tcPr>
          <w:p>
            <w:pPr>
              <w:jc w:val="center"/>
              <w:spacing w:after="0" w:line="175" w:lineRule="exact"/>
              <w:rPr>
                <w:sz w:val="20"/>
                <w:szCs w:val="20"/>
                <w:color w:val="auto"/>
              </w:rPr>
            </w:pPr>
            <w:r>
              <w:rPr>
                <w:rFonts w:ascii="Arial" w:cs="Arial" w:eastAsia="Arial" w:hAnsi="Arial"/>
                <w:sz w:val="13"/>
                <w:szCs w:val="13"/>
                <w:b w:val="1"/>
                <w:bCs w:val="1"/>
                <w:color w:val="FFFFFF"/>
                <w:w w:val="92"/>
              </w:rPr>
              <w:t>Date</w:t>
            </w:r>
            <w:r>
              <w:rPr>
                <w:rFonts w:ascii="Arial" w:cs="Arial" w:eastAsia="Arial" w:hAnsi="Arial"/>
                <w:sz w:val="16"/>
                <w:szCs w:val="16"/>
                <w:b w:val="1"/>
                <w:bCs w:val="1"/>
                <w:color w:val="FFFFFF"/>
                <w:w w:val="92"/>
                <w:vertAlign w:val="superscript"/>
              </w:rPr>
              <w:t>(1)</w:t>
            </w:r>
          </w:p>
        </w:tc>
        <w:tc>
          <w:tcPr>
            <w:tcW w:w="880" w:type="dxa"/>
            <w:vAlign w:val="bottom"/>
            <w:tcBorders>
              <w:bottom w:val="single" w:sz="8" w:color="auto"/>
              <w:right w:val="single" w:sz="8" w:color="auto"/>
            </w:tcBorders>
            <w:shd w:val="clear" w:color="auto" w:fill="004C97"/>
          </w:tcPr>
          <w:p>
            <w:pPr>
              <w:jc w:val="center"/>
              <w:spacing w:after="0" w:line="176"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7"/>
                <w:szCs w:val="7"/>
                <w:b w:val="1"/>
                <w:bCs w:val="1"/>
                <w:color w:val="FFFFFF"/>
              </w:rPr>
              <w:t>(2)</w:t>
            </w:r>
          </w:p>
        </w:tc>
        <w:tc>
          <w:tcPr>
            <w:tcW w:w="960" w:type="dxa"/>
            <w:vAlign w:val="bottom"/>
            <w:tcBorders>
              <w:bottom w:val="single" w:sz="8" w:color="auto"/>
              <w:right w:val="single" w:sz="8" w:color="auto"/>
            </w:tcBorders>
            <w:shd w:val="clear" w:color="auto" w:fill="004C97"/>
          </w:tcPr>
          <w:p>
            <w:pPr>
              <w:jc w:val="center"/>
              <w:spacing w:after="0" w:line="176"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7"/>
                <w:szCs w:val="7"/>
                <w:b w:val="1"/>
                <w:bCs w:val="1"/>
                <w:color w:val="FFFFFF"/>
              </w:rPr>
              <w:t>(2)</w:t>
            </w:r>
          </w:p>
        </w:tc>
        <w:tc>
          <w:tcPr>
            <w:tcW w:w="860" w:type="dxa"/>
            <w:vAlign w:val="bottom"/>
            <w:tcBorders>
              <w:bottom w:val="single" w:sz="8" w:color="auto"/>
              <w:right w:val="single" w:sz="8" w:color="auto"/>
            </w:tcBorders>
            <w:shd w:val="clear" w:color="auto" w:fill="004C97"/>
          </w:tcPr>
          <w:p>
            <w:pPr>
              <w:jc w:val="center"/>
              <w:spacing w:after="0" w:line="176" w:lineRule="exact"/>
              <w:rPr>
                <w:sz w:val="20"/>
                <w:szCs w:val="20"/>
                <w:color w:val="auto"/>
              </w:rPr>
            </w:pPr>
            <w:r>
              <w:rPr>
                <w:rFonts w:ascii="Arial" w:cs="Arial" w:eastAsia="Arial" w:hAnsi="Arial"/>
                <w:sz w:val="20"/>
                <w:szCs w:val="20"/>
                <w:b w:val="1"/>
                <w:bCs w:val="1"/>
                <w:color w:val="FFFFFF"/>
                <w:w w:val="96"/>
                <w:vertAlign w:val="subscript"/>
              </w:rPr>
              <w:t>($)</w:t>
            </w:r>
            <w:r>
              <w:rPr>
                <w:rFonts w:ascii="Arial" w:cs="Arial" w:eastAsia="Arial" w:hAnsi="Arial"/>
                <w:sz w:val="7"/>
                <w:szCs w:val="7"/>
                <w:b w:val="1"/>
                <w:bCs w:val="1"/>
                <w:color w:val="FFFFFF"/>
                <w:w w:val="96"/>
              </w:rPr>
              <w:t>(2)</w:t>
            </w:r>
          </w:p>
        </w:tc>
        <w:tc>
          <w:tcPr>
            <w:tcW w:w="860" w:type="dxa"/>
            <w:vAlign w:val="bottom"/>
            <w:tcBorders>
              <w:bottom w:val="single" w:sz="8" w:color="auto"/>
              <w:right w:val="single" w:sz="8" w:color="auto"/>
            </w:tcBorders>
            <w:shd w:val="clear" w:color="auto" w:fill="004C97"/>
          </w:tcPr>
          <w:p>
            <w:pPr>
              <w:jc w:val="center"/>
              <w:spacing w:after="0" w:line="176" w:lineRule="exact"/>
              <w:rPr>
                <w:sz w:val="20"/>
                <w:szCs w:val="20"/>
                <w:color w:val="auto"/>
              </w:rPr>
            </w:pPr>
            <w:r>
              <w:rPr>
                <w:rFonts w:ascii="Arial" w:cs="Arial" w:eastAsia="Arial" w:hAnsi="Arial"/>
                <w:sz w:val="20"/>
                <w:szCs w:val="20"/>
                <w:b w:val="1"/>
                <w:bCs w:val="1"/>
                <w:color w:val="FFFFFF"/>
                <w:w w:val="96"/>
                <w:vertAlign w:val="subscript"/>
              </w:rPr>
              <w:t>(#)</w:t>
            </w:r>
            <w:r>
              <w:rPr>
                <w:rFonts w:ascii="Arial" w:cs="Arial" w:eastAsia="Arial" w:hAnsi="Arial"/>
                <w:sz w:val="7"/>
                <w:szCs w:val="7"/>
                <w:b w:val="1"/>
                <w:bCs w:val="1"/>
                <w:color w:val="FFFFFF"/>
                <w:w w:val="96"/>
              </w:rPr>
              <w:t>(3)</w:t>
            </w:r>
          </w:p>
        </w:tc>
        <w:tc>
          <w:tcPr>
            <w:tcW w:w="780" w:type="dxa"/>
            <w:vAlign w:val="bottom"/>
            <w:tcBorders>
              <w:bottom w:val="single" w:sz="8" w:color="auto"/>
              <w:right w:val="single" w:sz="8" w:color="auto"/>
            </w:tcBorders>
            <w:shd w:val="clear" w:color="auto" w:fill="004C97"/>
          </w:tcPr>
          <w:p>
            <w:pPr>
              <w:jc w:val="center"/>
              <w:spacing w:after="0" w:line="176" w:lineRule="exact"/>
              <w:rPr>
                <w:sz w:val="20"/>
                <w:szCs w:val="20"/>
                <w:color w:val="auto"/>
              </w:rPr>
            </w:pPr>
            <w:r>
              <w:rPr>
                <w:rFonts w:ascii="Arial" w:cs="Arial" w:eastAsia="Arial" w:hAnsi="Arial"/>
                <w:sz w:val="20"/>
                <w:szCs w:val="20"/>
                <w:b w:val="1"/>
                <w:bCs w:val="1"/>
                <w:color w:val="FFFFFF"/>
                <w:w w:val="96"/>
                <w:vertAlign w:val="subscript"/>
              </w:rPr>
              <w:t>(#)</w:t>
            </w:r>
            <w:r>
              <w:rPr>
                <w:rFonts w:ascii="Arial" w:cs="Arial" w:eastAsia="Arial" w:hAnsi="Arial"/>
                <w:sz w:val="7"/>
                <w:szCs w:val="7"/>
                <w:b w:val="1"/>
                <w:bCs w:val="1"/>
                <w:color w:val="FFFFFF"/>
                <w:w w:val="96"/>
              </w:rPr>
              <w:t>(3)</w:t>
            </w:r>
          </w:p>
        </w:tc>
        <w:tc>
          <w:tcPr>
            <w:tcW w:w="860" w:type="dxa"/>
            <w:vAlign w:val="bottom"/>
            <w:tcBorders>
              <w:bottom w:val="single" w:sz="8" w:color="auto"/>
              <w:right w:val="single" w:sz="8" w:color="auto"/>
            </w:tcBorders>
            <w:shd w:val="clear" w:color="auto" w:fill="004C97"/>
          </w:tcPr>
          <w:p>
            <w:pPr>
              <w:jc w:val="center"/>
              <w:spacing w:after="0" w:line="176"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7"/>
                <w:szCs w:val="7"/>
                <w:b w:val="1"/>
                <w:bCs w:val="1"/>
                <w:color w:val="FFFFFF"/>
              </w:rPr>
              <w:t>(3)</w:t>
            </w:r>
          </w:p>
        </w:tc>
        <w:tc>
          <w:tcPr>
            <w:tcW w:w="800" w:type="dxa"/>
            <w:vAlign w:val="bottom"/>
            <w:tcBorders>
              <w:bottom w:val="single" w:sz="8" w:color="auto"/>
              <w:right w:val="single" w:sz="8" w:color="auto"/>
            </w:tcBorders>
            <w:shd w:val="clear" w:color="auto" w:fill="004C97"/>
          </w:tcPr>
          <w:p>
            <w:pPr>
              <w:jc w:val="center"/>
              <w:spacing w:after="0" w:line="176"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7"/>
                <w:szCs w:val="7"/>
                <w:b w:val="1"/>
                <w:bCs w:val="1"/>
                <w:color w:val="FFFFFF"/>
              </w:rPr>
              <w:t>(4)</w:t>
            </w:r>
          </w:p>
        </w:tc>
        <w:tc>
          <w:tcPr>
            <w:tcW w:w="7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8"/>
                <w:szCs w:val="8"/>
                <w:b w:val="1"/>
                <w:bCs w:val="1"/>
                <w:color w:val="FFFFFF"/>
              </w:rPr>
              <w:t>(5)</w:t>
            </w:r>
          </w:p>
        </w:tc>
        <w:tc>
          <w:tcPr>
            <w:tcW w:w="86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6"/>
              </w:rPr>
              <w:t>Awards ($)</w:t>
            </w:r>
          </w:p>
        </w:tc>
        <w:tc>
          <w:tcPr>
            <w:tcW w:w="1160" w:type="dxa"/>
            <w:vAlign w:val="bottom"/>
            <w:tcBorders>
              <w:bottom w:val="single" w:sz="8" w:color="auto"/>
              <w:right w:val="single" w:sz="8" w:color="auto"/>
            </w:tcBorders>
            <w:shd w:val="clear" w:color="auto" w:fill="004C97"/>
          </w:tcPr>
          <w:p>
            <w:pPr>
              <w:jc w:val="center"/>
              <w:spacing w:after="0" w:line="176"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7"/>
                <w:szCs w:val="7"/>
                <w:b w:val="1"/>
                <w:bCs w:val="1"/>
                <w:color w:val="FFFFFF"/>
              </w:rPr>
              <w:t>(6)</w:t>
            </w:r>
          </w:p>
        </w:tc>
        <w:tc>
          <w:tcPr>
            <w:tcW w:w="0" w:type="dxa"/>
            <w:vAlign w:val="bottom"/>
          </w:tcPr>
          <w:p>
            <w:pPr>
              <w:spacing w:after="0"/>
              <w:rPr>
                <w:sz w:val="1"/>
                <w:szCs w:val="1"/>
                <w:color w:val="auto"/>
              </w:rPr>
            </w:pPr>
          </w:p>
        </w:tc>
      </w:tr>
      <w:tr>
        <w:trPr>
          <w:trHeight w:val="242"/>
        </w:trPr>
        <w:tc>
          <w:tcPr>
            <w:tcW w:w="1660" w:type="dxa"/>
            <w:vAlign w:val="bottom"/>
            <w:tcBorders>
              <w:left w:val="single" w:sz="8" w:color="auto"/>
              <w:right w:val="single" w:sz="8" w:color="auto"/>
            </w:tcBorders>
          </w:tcPr>
          <w:p>
            <w:pPr>
              <w:spacing w:after="0"/>
              <w:rPr>
                <w:sz w:val="20"/>
                <w:szCs w:val="20"/>
                <w:color w:val="auto"/>
              </w:rPr>
            </w:pPr>
          </w:p>
        </w:tc>
        <w:tc>
          <w:tcPr>
            <w:tcW w:w="88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6"/>
              </w:rPr>
              <w:t>3/13/2025</w:t>
            </w:r>
          </w:p>
        </w:tc>
        <w:tc>
          <w:tcPr>
            <w:tcW w:w="88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7"/>
              </w:rPr>
              <w:t>603,405</w:t>
            </w:r>
          </w:p>
        </w:tc>
        <w:tc>
          <w:tcPr>
            <w:tcW w:w="96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6"/>
              </w:rPr>
              <w:t>1,206,810</w:t>
            </w:r>
          </w:p>
        </w:tc>
        <w:tc>
          <w:tcPr>
            <w:tcW w:w="86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6"/>
              </w:rPr>
              <w:t>2,413,620</w:t>
            </w:r>
          </w:p>
        </w:tc>
        <w:tc>
          <w:tcPr>
            <w:tcW w:w="860" w:type="dxa"/>
            <w:vAlign w:val="bottom"/>
            <w:tcBorders>
              <w:bottom w:val="single" w:sz="8" w:color="E5E5E5"/>
              <w:right w:val="single" w:sz="8" w:color="auto"/>
            </w:tcBorders>
            <w:shd w:val="clear" w:color="auto" w:fill="E5E5E5"/>
          </w:tcPr>
          <w:p>
            <w:pPr>
              <w:spacing w:after="0"/>
              <w:rPr>
                <w:sz w:val="20"/>
                <w:szCs w:val="20"/>
                <w:color w:val="auto"/>
              </w:rPr>
            </w:pPr>
          </w:p>
        </w:tc>
        <w:tc>
          <w:tcPr>
            <w:tcW w:w="780" w:type="dxa"/>
            <w:vAlign w:val="bottom"/>
            <w:tcBorders>
              <w:bottom w:val="single" w:sz="8" w:color="E5E5E5"/>
              <w:right w:val="single" w:sz="8" w:color="auto"/>
            </w:tcBorders>
            <w:shd w:val="clear" w:color="auto" w:fill="E5E5E5"/>
          </w:tcPr>
          <w:p>
            <w:pPr>
              <w:spacing w:after="0"/>
              <w:rPr>
                <w:sz w:val="20"/>
                <w:szCs w:val="20"/>
                <w:color w:val="auto"/>
              </w:rPr>
            </w:pPr>
          </w:p>
        </w:tc>
        <w:tc>
          <w:tcPr>
            <w:tcW w:w="860" w:type="dxa"/>
            <w:vAlign w:val="bottom"/>
            <w:tcBorders>
              <w:bottom w:val="single" w:sz="8" w:color="E5E5E5"/>
              <w:right w:val="single" w:sz="8" w:color="auto"/>
            </w:tcBorders>
            <w:shd w:val="clear" w:color="auto" w:fill="E5E5E5"/>
          </w:tcPr>
          <w:p>
            <w:pPr>
              <w:spacing w:after="0"/>
              <w:rPr>
                <w:sz w:val="20"/>
                <w:szCs w:val="20"/>
                <w:color w:val="auto"/>
              </w:rPr>
            </w:pPr>
          </w:p>
        </w:tc>
        <w:tc>
          <w:tcPr>
            <w:tcW w:w="800" w:type="dxa"/>
            <w:vAlign w:val="bottom"/>
            <w:tcBorders>
              <w:bottom w:val="single" w:sz="8" w:color="E5E5E5"/>
              <w:right w:val="single" w:sz="8" w:color="auto"/>
            </w:tcBorders>
            <w:shd w:val="clear" w:color="auto" w:fill="E5E5E5"/>
          </w:tcPr>
          <w:p>
            <w:pPr>
              <w:spacing w:after="0"/>
              <w:rPr>
                <w:sz w:val="20"/>
                <w:szCs w:val="20"/>
                <w:color w:val="auto"/>
              </w:rPr>
            </w:pPr>
          </w:p>
        </w:tc>
        <w:tc>
          <w:tcPr>
            <w:tcW w:w="700" w:type="dxa"/>
            <w:vAlign w:val="bottom"/>
            <w:tcBorders>
              <w:bottom w:val="single" w:sz="8" w:color="E5E5E5"/>
              <w:right w:val="single" w:sz="8" w:color="auto"/>
            </w:tcBorders>
            <w:shd w:val="clear" w:color="auto" w:fill="E5E5E5"/>
          </w:tcPr>
          <w:p>
            <w:pPr>
              <w:spacing w:after="0"/>
              <w:rPr>
                <w:sz w:val="20"/>
                <w:szCs w:val="20"/>
                <w:color w:val="auto"/>
              </w:rPr>
            </w:pPr>
          </w:p>
        </w:tc>
        <w:tc>
          <w:tcPr>
            <w:tcW w:w="860" w:type="dxa"/>
            <w:vAlign w:val="bottom"/>
            <w:tcBorders>
              <w:bottom w:val="single" w:sz="8" w:color="E5E5E5"/>
              <w:right w:val="single" w:sz="8" w:color="auto"/>
            </w:tcBorders>
            <w:shd w:val="clear" w:color="auto" w:fill="E5E5E5"/>
          </w:tcPr>
          <w:p>
            <w:pPr>
              <w:spacing w:after="0"/>
              <w:rPr>
                <w:sz w:val="20"/>
                <w:szCs w:val="20"/>
                <w:color w:val="auto"/>
              </w:rPr>
            </w:pPr>
          </w:p>
        </w:tc>
        <w:tc>
          <w:tcPr>
            <w:tcW w:w="1160" w:type="dxa"/>
            <w:vAlign w:val="bottom"/>
            <w:tcBorders>
              <w:bottom w:val="single" w:sz="8" w:color="E5E5E5"/>
              <w:right w:val="single" w:sz="8" w:color="auto"/>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6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3"/>
                <w:szCs w:val="13"/>
                <w:color w:val="auto"/>
              </w:rPr>
              <w:t>Eugene J. Lowe, III</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2/28/2024</w:t>
            </w:r>
          </w:p>
        </w:tc>
        <w:tc>
          <w:tcPr>
            <w:tcW w:w="880" w:type="dxa"/>
            <w:vAlign w:val="bottom"/>
            <w:tcBorders>
              <w:top w:val="single" w:sz="8" w:color="auto"/>
              <w:right w:val="single" w:sz="8" w:color="auto"/>
            </w:tcBorders>
          </w:tcPr>
          <w:p>
            <w:pPr>
              <w:spacing w:after="0"/>
              <w:rPr>
                <w:sz w:val="15"/>
                <w:szCs w:val="15"/>
                <w:color w:val="auto"/>
              </w:rPr>
            </w:pPr>
          </w:p>
        </w:tc>
        <w:tc>
          <w:tcPr>
            <w:tcW w:w="96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10,588</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21,175</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42,350</w:t>
            </w:r>
          </w:p>
        </w:tc>
        <w:tc>
          <w:tcPr>
            <w:tcW w:w="800" w:type="dxa"/>
            <w:vAlign w:val="bottom"/>
            <w:tcBorders>
              <w:top w:val="single" w:sz="8" w:color="auto"/>
              <w:right w:val="single" w:sz="8" w:color="auto"/>
            </w:tcBorders>
          </w:tcPr>
          <w:p>
            <w:pPr>
              <w:spacing w:after="0"/>
              <w:rPr>
                <w:sz w:val="15"/>
                <w:szCs w:val="15"/>
                <w:color w:val="auto"/>
              </w:rPr>
            </w:pPr>
          </w:p>
        </w:tc>
        <w:tc>
          <w:tcPr>
            <w:tcW w:w="70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3,364,919</w:t>
            </w:r>
          </w:p>
        </w:tc>
        <w:tc>
          <w:tcPr>
            <w:tcW w:w="0" w:type="dxa"/>
            <w:vAlign w:val="bottom"/>
          </w:tcPr>
          <w:p>
            <w:pPr>
              <w:spacing w:after="0"/>
              <w:rPr>
                <w:sz w:val="1"/>
                <w:szCs w:val="1"/>
                <w:color w:val="auto"/>
              </w:rPr>
            </w:pPr>
          </w:p>
        </w:tc>
      </w:tr>
      <w:tr>
        <w:trPr>
          <w:trHeight w:val="55"/>
        </w:trPr>
        <w:tc>
          <w:tcPr>
            <w:tcW w:w="1660" w:type="dxa"/>
            <w:vAlign w:val="bottom"/>
            <w:tcBorders>
              <w:left w:val="single" w:sz="8" w:color="auto"/>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1660" w:type="dxa"/>
            <w:vAlign w:val="bottom"/>
            <w:tcBorders>
              <w:left w:val="single" w:sz="8" w:color="auto"/>
              <w:right w:val="single" w:sz="8" w:color="auto"/>
            </w:tcBorders>
            <w:vMerge w:val="continue"/>
          </w:tcPr>
          <w:p>
            <w:pPr>
              <w:spacing w:after="0"/>
              <w:rPr>
                <w:sz w:val="5"/>
                <w:szCs w:val="5"/>
                <w:color w:val="auto"/>
              </w:rPr>
            </w:pPr>
          </w:p>
        </w:tc>
        <w:tc>
          <w:tcPr>
            <w:tcW w:w="88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3"/>
                <w:szCs w:val="13"/>
                <w:color w:val="auto"/>
                <w:w w:val="96"/>
              </w:rPr>
              <w:t>2/28/2024</w:t>
            </w:r>
          </w:p>
        </w:tc>
        <w:tc>
          <w:tcPr>
            <w:tcW w:w="880" w:type="dxa"/>
            <w:vAlign w:val="bottom"/>
            <w:tcBorders>
              <w:right w:val="single" w:sz="8" w:color="auto"/>
            </w:tcBorders>
            <w:shd w:val="clear" w:color="auto" w:fill="E5E5E5"/>
          </w:tcPr>
          <w:p>
            <w:pPr>
              <w:spacing w:after="0"/>
              <w:rPr>
                <w:sz w:val="5"/>
                <w:szCs w:val="5"/>
                <w:color w:val="auto"/>
              </w:rPr>
            </w:pPr>
          </w:p>
        </w:tc>
        <w:tc>
          <w:tcPr>
            <w:tcW w:w="960" w:type="dxa"/>
            <w:vAlign w:val="bottom"/>
            <w:tcBorders>
              <w:right w:val="single" w:sz="8" w:color="auto"/>
            </w:tcBorders>
            <w:shd w:val="clear" w:color="auto" w:fill="E5E5E5"/>
          </w:tcPr>
          <w:p>
            <w:pPr>
              <w:spacing w:after="0"/>
              <w:rPr>
                <w:sz w:val="5"/>
                <w:szCs w:val="5"/>
                <w:color w:val="auto"/>
              </w:rPr>
            </w:pPr>
          </w:p>
        </w:tc>
        <w:tc>
          <w:tcPr>
            <w:tcW w:w="860" w:type="dxa"/>
            <w:vAlign w:val="bottom"/>
            <w:tcBorders>
              <w:right w:val="single" w:sz="8" w:color="auto"/>
            </w:tcBorders>
            <w:shd w:val="clear" w:color="auto" w:fill="E5E5E5"/>
          </w:tcPr>
          <w:p>
            <w:pPr>
              <w:spacing w:after="0"/>
              <w:rPr>
                <w:sz w:val="5"/>
                <w:szCs w:val="5"/>
                <w:color w:val="auto"/>
              </w:rPr>
            </w:pPr>
          </w:p>
        </w:tc>
        <w:tc>
          <w:tcPr>
            <w:tcW w:w="860" w:type="dxa"/>
            <w:vAlign w:val="bottom"/>
            <w:tcBorders>
              <w:right w:val="single" w:sz="8" w:color="auto"/>
            </w:tcBorders>
            <w:shd w:val="clear" w:color="auto" w:fill="E5E5E5"/>
          </w:tcPr>
          <w:p>
            <w:pPr>
              <w:spacing w:after="0"/>
              <w:rPr>
                <w:sz w:val="5"/>
                <w:szCs w:val="5"/>
                <w:color w:val="auto"/>
              </w:rPr>
            </w:pPr>
          </w:p>
        </w:tc>
        <w:tc>
          <w:tcPr>
            <w:tcW w:w="780" w:type="dxa"/>
            <w:vAlign w:val="bottom"/>
            <w:tcBorders>
              <w:right w:val="single" w:sz="8" w:color="auto"/>
            </w:tcBorders>
            <w:shd w:val="clear" w:color="auto" w:fill="E5E5E5"/>
          </w:tcPr>
          <w:p>
            <w:pPr>
              <w:spacing w:after="0"/>
              <w:rPr>
                <w:sz w:val="5"/>
                <w:szCs w:val="5"/>
                <w:color w:val="auto"/>
              </w:rPr>
            </w:pPr>
          </w:p>
        </w:tc>
        <w:tc>
          <w:tcPr>
            <w:tcW w:w="860" w:type="dxa"/>
            <w:vAlign w:val="bottom"/>
            <w:tcBorders>
              <w:right w:val="single" w:sz="8" w:color="auto"/>
            </w:tcBorders>
            <w:shd w:val="clear" w:color="auto" w:fill="E5E5E5"/>
          </w:tcPr>
          <w:p>
            <w:pPr>
              <w:spacing w:after="0"/>
              <w:rPr>
                <w:sz w:val="5"/>
                <w:szCs w:val="5"/>
                <w:color w:val="auto"/>
              </w:rPr>
            </w:pPr>
          </w:p>
        </w:tc>
        <w:tc>
          <w:tcPr>
            <w:tcW w:w="80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3"/>
                <w:szCs w:val="13"/>
                <w:color w:val="auto"/>
                <w:w w:val="95"/>
              </w:rPr>
              <w:t>10,587</w:t>
            </w:r>
          </w:p>
        </w:tc>
        <w:tc>
          <w:tcPr>
            <w:tcW w:w="700" w:type="dxa"/>
            <w:vAlign w:val="bottom"/>
            <w:tcBorders>
              <w:right w:val="single" w:sz="8" w:color="auto"/>
            </w:tcBorders>
            <w:shd w:val="clear" w:color="auto" w:fill="E5E5E5"/>
          </w:tcPr>
          <w:p>
            <w:pPr>
              <w:spacing w:after="0"/>
              <w:rPr>
                <w:sz w:val="5"/>
                <w:szCs w:val="5"/>
                <w:color w:val="auto"/>
              </w:rPr>
            </w:pPr>
          </w:p>
        </w:tc>
        <w:tc>
          <w:tcPr>
            <w:tcW w:w="860" w:type="dxa"/>
            <w:vAlign w:val="bottom"/>
            <w:tcBorders>
              <w:right w:val="single" w:sz="8" w:color="auto"/>
            </w:tcBorders>
            <w:shd w:val="clear" w:color="auto" w:fill="E5E5E5"/>
          </w:tcPr>
          <w:p>
            <w:pPr>
              <w:spacing w:after="0"/>
              <w:rPr>
                <w:sz w:val="5"/>
                <w:szCs w:val="5"/>
                <w:color w:val="auto"/>
              </w:rPr>
            </w:pPr>
          </w:p>
        </w:tc>
        <w:tc>
          <w:tcPr>
            <w:tcW w:w="116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3"/>
                <w:szCs w:val="13"/>
                <w:color w:val="auto"/>
                <w:w w:val="96"/>
              </w:rPr>
              <w:t>1,232,327</w:t>
            </w:r>
          </w:p>
        </w:tc>
        <w:tc>
          <w:tcPr>
            <w:tcW w:w="0" w:type="dxa"/>
            <w:vAlign w:val="bottom"/>
          </w:tcPr>
          <w:p>
            <w:pPr>
              <w:spacing w:after="0"/>
              <w:rPr>
                <w:sz w:val="1"/>
                <w:szCs w:val="1"/>
                <w:color w:val="auto"/>
              </w:rPr>
            </w:pPr>
          </w:p>
        </w:tc>
      </w:tr>
      <w:tr>
        <w:trPr>
          <w:trHeight w:val="176"/>
        </w:trPr>
        <w:tc>
          <w:tcPr>
            <w:tcW w:w="1660" w:type="dxa"/>
            <w:vAlign w:val="bottom"/>
            <w:tcBorders>
              <w:left w:val="single" w:sz="8" w:color="auto"/>
              <w:right w:val="single" w:sz="8" w:color="auto"/>
            </w:tcBorders>
          </w:tcPr>
          <w:p>
            <w:pPr>
              <w:spacing w:after="0"/>
              <w:rPr>
                <w:sz w:val="15"/>
                <w:szCs w:val="15"/>
                <w:color w:val="auto"/>
              </w:rPr>
            </w:pPr>
          </w:p>
        </w:tc>
        <w:tc>
          <w:tcPr>
            <w:tcW w:w="880" w:type="dxa"/>
            <w:vAlign w:val="bottom"/>
            <w:tcBorders>
              <w:bottom w:val="single" w:sz="8" w:color="E5E5E5"/>
              <w:right w:val="single" w:sz="8" w:color="auto"/>
            </w:tcBorders>
            <w:vMerge w:val="continue"/>
            <w:shd w:val="clear" w:color="auto" w:fill="E5E5E5"/>
          </w:tcPr>
          <w:p>
            <w:pPr>
              <w:spacing w:after="0"/>
              <w:rPr>
                <w:sz w:val="15"/>
                <w:szCs w:val="15"/>
                <w:color w:val="auto"/>
              </w:rPr>
            </w:pPr>
          </w:p>
        </w:tc>
        <w:tc>
          <w:tcPr>
            <w:tcW w:w="880" w:type="dxa"/>
            <w:vAlign w:val="bottom"/>
            <w:tcBorders>
              <w:bottom w:val="single" w:sz="8" w:color="E5E5E5"/>
              <w:right w:val="single" w:sz="8" w:color="auto"/>
            </w:tcBorders>
            <w:shd w:val="clear" w:color="auto" w:fill="E5E5E5"/>
          </w:tcPr>
          <w:p>
            <w:pPr>
              <w:spacing w:after="0"/>
              <w:rPr>
                <w:sz w:val="15"/>
                <w:szCs w:val="15"/>
                <w:color w:val="auto"/>
              </w:rPr>
            </w:pPr>
          </w:p>
        </w:tc>
        <w:tc>
          <w:tcPr>
            <w:tcW w:w="960" w:type="dxa"/>
            <w:vAlign w:val="bottom"/>
            <w:tcBorders>
              <w:bottom w:val="single" w:sz="8" w:color="E5E5E5"/>
              <w:right w:val="single" w:sz="8" w:color="auto"/>
            </w:tcBorders>
            <w:shd w:val="clear" w:color="auto" w:fill="E5E5E5"/>
          </w:tcPr>
          <w:p>
            <w:pPr>
              <w:spacing w:after="0"/>
              <w:rPr>
                <w:sz w:val="15"/>
                <w:szCs w:val="15"/>
                <w:color w:val="auto"/>
              </w:rPr>
            </w:pPr>
          </w:p>
        </w:tc>
        <w:tc>
          <w:tcPr>
            <w:tcW w:w="860" w:type="dxa"/>
            <w:vAlign w:val="bottom"/>
            <w:tcBorders>
              <w:bottom w:val="single" w:sz="8" w:color="E5E5E5"/>
              <w:right w:val="single" w:sz="8" w:color="auto"/>
            </w:tcBorders>
            <w:shd w:val="clear" w:color="auto" w:fill="E5E5E5"/>
          </w:tcPr>
          <w:p>
            <w:pPr>
              <w:spacing w:after="0"/>
              <w:rPr>
                <w:sz w:val="15"/>
                <w:szCs w:val="15"/>
                <w:color w:val="auto"/>
              </w:rPr>
            </w:pPr>
          </w:p>
        </w:tc>
        <w:tc>
          <w:tcPr>
            <w:tcW w:w="860" w:type="dxa"/>
            <w:vAlign w:val="bottom"/>
            <w:tcBorders>
              <w:bottom w:val="single" w:sz="8" w:color="E5E5E5"/>
              <w:right w:val="single" w:sz="8" w:color="auto"/>
            </w:tcBorders>
            <w:shd w:val="clear" w:color="auto" w:fill="E5E5E5"/>
          </w:tcPr>
          <w:p>
            <w:pPr>
              <w:spacing w:after="0"/>
              <w:rPr>
                <w:sz w:val="15"/>
                <w:szCs w:val="15"/>
                <w:color w:val="auto"/>
              </w:rPr>
            </w:pPr>
          </w:p>
        </w:tc>
        <w:tc>
          <w:tcPr>
            <w:tcW w:w="780" w:type="dxa"/>
            <w:vAlign w:val="bottom"/>
            <w:tcBorders>
              <w:bottom w:val="single" w:sz="8" w:color="E5E5E5"/>
              <w:right w:val="single" w:sz="8" w:color="auto"/>
            </w:tcBorders>
            <w:shd w:val="clear" w:color="auto" w:fill="E5E5E5"/>
          </w:tcPr>
          <w:p>
            <w:pPr>
              <w:spacing w:after="0"/>
              <w:rPr>
                <w:sz w:val="15"/>
                <w:szCs w:val="15"/>
                <w:color w:val="auto"/>
              </w:rPr>
            </w:pPr>
          </w:p>
        </w:tc>
        <w:tc>
          <w:tcPr>
            <w:tcW w:w="860" w:type="dxa"/>
            <w:vAlign w:val="bottom"/>
            <w:tcBorders>
              <w:bottom w:val="single" w:sz="8" w:color="E5E5E5"/>
              <w:right w:val="single" w:sz="8" w:color="auto"/>
            </w:tcBorders>
            <w:shd w:val="clear" w:color="auto" w:fill="E5E5E5"/>
          </w:tcPr>
          <w:p>
            <w:pPr>
              <w:spacing w:after="0"/>
              <w:rPr>
                <w:sz w:val="15"/>
                <w:szCs w:val="15"/>
                <w:color w:val="auto"/>
              </w:rPr>
            </w:pPr>
          </w:p>
        </w:tc>
        <w:tc>
          <w:tcPr>
            <w:tcW w:w="800" w:type="dxa"/>
            <w:vAlign w:val="bottom"/>
            <w:tcBorders>
              <w:bottom w:val="single" w:sz="8" w:color="E5E5E5"/>
              <w:right w:val="single" w:sz="8" w:color="auto"/>
            </w:tcBorders>
            <w:vMerge w:val="continue"/>
            <w:shd w:val="clear" w:color="auto" w:fill="E5E5E5"/>
          </w:tcPr>
          <w:p>
            <w:pPr>
              <w:spacing w:after="0"/>
              <w:rPr>
                <w:sz w:val="15"/>
                <w:szCs w:val="15"/>
                <w:color w:val="auto"/>
              </w:rPr>
            </w:pPr>
          </w:p>
        </w:tc>
        <w:tc>
          <w:tcPr>
            <w:tcW w:w="700" w:type="dxa"/>
            <w:vAlign w:val="bottom"/>
            <w:tcBorders>
              <w:bottom w:val="single" w:sz="8" w:color="E5E5E5"/>
              <w:right w:val="single" w:sz="8" w:color="auto"/>
            </w:tcBorders>
            <w:shd w:val="clear" w:color="auto" w:fill="E5E5E5"/>
          </w:tcPr>
          <w:p>
            <w:pPr>
              <w:spacing w:after="0"/>
              <w:rPr>
                <w:sz w:val="15"/>
                <w:szCs w:val="15"/>
                <w:color w:val="auto"/>
              </w:rPr>
            </w:pPr>
          </w:p>
        </w:tc>
        <w:tc>
          <w:tcPr>
            <w:tcW w:w="860" w:type="dxa"/>
            <w:vAlign w:val="bottom"/>
            <w:tcBorders>
              <w:bottom w:val="single" w:sz="8" w:color="E5E5E5"/>
              <w:right w:val="single" w:sz="8" w:color="auto"/>
            </w:tcBorders>
            <w:shd w:val="clear" w:color="auto" w:fill="E5E5E5"/>
          </w:tcPr>
          <w:p>
            <w:pPr>
              <w:spacing w:after="0"/>
              <w:rPr>
                <w:sz w:val="15"/>
                <w:szCs w:val="15"/>
                <w:color w:val="auto"/>
              </w:rPr>
            </w:pPr>
          </w:p>
        </w:tc>
        <w:tc>
          <w:tcPr>
            <w:tcW w:w="1160" w:type="dxa"/>
            <w:vAlign w:val="bottom"/>
            <w:tcBorders>
              <w:bottom w:val="single" w:sz="8" w:color="E5E5E5"/>
              <w:right w:val="single" w:sz="8" w:color="auto"/>
            </w:tcBorders>
            <w:vMerge w:val="continue"/>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60" w:type="dxa"/>
            <w:vAlign w:val="bottom"/>
            <w:tcBorders>
              <w:left w:val="single" w:sz="8" w:color="auto"/>
              <w:right w:val="single" w:sz="8" w:color="auto"/>
            </w:tcBorders>
          </w:tcPr>
          <w:p>
            <w:pPr>
              <w:spacing w:after="0"/>
              <w:rPr>
                <w:sz w:val="15"/>
                <w:szCs w:val="15"/>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2/28/2024</w:t>
            </w:r>
          </w:p>
        </w:tc>
        <w:tc>
          <w:tcPr>
            <w:tcW w:w="880" w:type="dxa"/>
            <w:vAlign w:val="bottom"/>
            <w:tcBorders>
              <w:top w:val="single" w:sz="8" w:color="auto"/>
              <w:right w:val="single" w:sz="8" w:color="auto"/>
            </w:tcBorders>
          </w:tcPr>
          <w:p>
            <w:pPr>
              <w:spacing w:after="0"/>
              <w:rPr>
                <w:sz w:val="15"/>
                <w:szCs w:val="15"/>
                <w:color w:val="auto"/>
              </w:rPr>
            </w:pPr>
          </w:p>
        </w:tc>
        <w:tc>
          <w:tcPr>
            <w:tcW w:w="96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spacing w:after="0"/>
              <w:rPr>
                <w:sz w:val="15"/>
                <w:szCs w:val="15"/>
                <w:color w:val="auto"/>
              </w:rPr>
            </w:pPr>
          </w:p>
        </w:tc>
        <w:tc>
          <w:tcPr>
            <w:tcW w:w="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24,238</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116.40</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1,232,260</w:t>
            </w:r>
          </w:p>
        </w:tc>
        <w:tc>
          <w:tcPr>
            <w:tcW w:w="0" w:type="dxa"/>
            <w:vAlign w:val="bottom"/>
          </w:tcPr>
          <w:p>
            <w:pPr>
              <w:spacing w:after="0"/>
              <w:rPr>
                <w:sz w:val="1"/>
                <w:szCs w:val="1"/>
                <w:color w:val="auto"/>
              </w:rPr>
            </w:pPr>
          </w:p>
        </w:tc>
      </w:tr>
      <w:tr>
        <w:trPr>
          <w:trHeight w:val="54"/>
        </w:trPr>
        <w:tc>
          <w:tcPr>
            <w:tcW w:w="1660" w:type="dxa"/>
            <w:vAlign w:val="bottom"/>
            <w:tcBorders>
              <w:left w:val="single" w:sz="8" w:color="auto"/>
              <w:bottom w:val="single" w:sz="8" w:color="929292"/>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660" w:type="dxa"/>
            <w:vAlign w:val="bottom"/>
            <w:tcBorders>
              <w:left w:val="single" w:sz="8" w:color="auto"/>
              <w:right w:val="single" w:sz="8" w:color="auto"/>
            </w:tcBorders>
          </w:tcPr>
          <w:p>
            <w:pPr>
              <w:spacing w:after="0"/>
              <w:rPr>
                <w:sz w:val="20"/>
                <w:szCs w:val="20"/>
                <w:color w:val="auto"/>
              </w:rPr>
            </w:pPr>
          </w:p>
        </w:tc>
        <w:tc>
          <w:tcPr>
            <w:tcW w:w="88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6"/>
              </w:rPr>
              <w:t>3/13/2025</w:t>
            </w:r>
          </w:p>
        </w:tc>
        <w:tc>
          <w:tcPr>
            <w:tcW w:w="88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7"/>
              </w:rPr>
              <w:t>185,500</w:t>
            </w:r>
          </w:p>
        </w:tc>
        <w:tc>
          <w:tcPr>
            <w:tcW w:w="96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7"/>
              </w:rPr>
              <w:t>371,000</w:t>
            </w:r>
          </w:p>
        </w:tc>
        <w:tc>
          <w:tcPr>
            <w:tcW w:w="86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3"/>
              </w:rPr>
              <w:t>742,000</w:t>
            </w:r>
          </w:p>
        </w:tc>
        <w:tc>
          <w:tcPr>
            <w:tcW w:w="860" w:type="dxa"/>
            <w:vAlign w:val="bottom"/>
            <w:tcBorders>
              <w:bottom w:val="single" w:sz="8" w:color="E5E5E5"/>
              <w:right w:val="single" w:sz="8" w:color="auto"/>
            </w:tcBorders>
            <w:shd w:val="clear" w:color="auto" w:fill="E5E5E5"/>
          </w:tcPr>
          <w:p>
            <w:pPr>
              <w:spacing w:after="0"/>
              <w:rPr>
                <w:sz w:val="20"/>
                <w:szCs w:val="20"/>
                <w:color w:val="auto"/>
              </w:rPr>
            </w:pPr>
          </w:p>
        </w:tc>
        <w:tc>
          <w:tcPr>
            <w:tcW w:w="780" w:type="dxa"/>
            <w:vAlign w:val="bottom"/>
            <w:tcBorders>
              <w:bottom w:val="single" w:sz="8" w:color="E5E5E5"/>
              <w:right w:val="single" w:sz="8" w:color="auto"/>
            </w:tcBorders>
            <w:shd w:val="clear" w:color="auto" w:fill="E5E5E5"/>
          </w:tcPr>
          <w:p>
            <w:pPr>
              <w:spacing w:after="0"/>
              <w:rPr>
                <w:sz w:val="20"/>
                <w:szCs w:val="20"/>
                <w:color w:val="auto"/>
              </w:rPr>
            </w:pPr>
          </w:p>
        </w:tc>
        <w:tc>
          <w:tcPr>
            <w:tcW w:w="860" w:type="dxa"/>
            <w:vAlign w:val="bottom"/>
            <w:tcBorders>
              <w:bottom w:val="single" w:sz="8" w:color="E5E5E5"/>
              <w:right w:val="single" w:sz="8" w:color="auto"/>
            </w:tcBorders>
            <w:shd w:val="clear" w:color="auto" w:fill="E5E5E5"/>
          </w:tcPr>
          <w:p>
            <w:pPr>
              <w:spacing w:after="0"/>
              <w:rPr>
                <w:sz w:val="20"/>
                <w:szCs w:val="20"/>
                <w:color w:val="auto"/>
              </w:rPr>
            </w:pPr>
          </w:p>
        </w:tc>
        <w:tc>
          <w:tcPr>
            <w:tcW w:w="800" w:type="dxa"/>
            <w:vAlign w:val="bottom"/>
            <w:tcBorders>
              <w:bottom w:val="single" w:sz="8" w:color="E5E5E5"/>
              <w:right w:val="single" w:sz="8" w:color="auto"/>
            </w:tcBorders>
            <w:shd w:val="clear" w:color="auto" w:fill="E5E5E5"/>
          </w:tcPr>
          <w:p>
            <w:pPr>
              <w:spacing w:after="0"/>
              <w:rPr>
                <w:sz w:val="20"/>
                <w:szCs w:val="20"/>
                <w:color w:val="auto"/>
              </w:rPr>
            </w:pPr>
          </w:p>
        </w:tc>
        <w:tc>
          <w:tcPr>
            <w:tcW w:w="700" w:type="dxa"/>
            <w:vAlign w:val="bottom"/>
            <w:tcBorders>
              <w:bottom w:val="single" w:sz="8" w:color="E5E5E5"/>
              <w:right w:val="single" w:sz="8" w:color="auto"/>
            </w:tcBorders>
            <w:shd w:val="clear" w:color="auto" w:fill="E5E5E5"/>
          </w:tcPr>
          <w:p>
            <w:pPr>
              <w:spacing w:after="0"/>
              <w:rPr>
                <w:sz w:val="20"/>
                <w:szCs w:val="20"/>
                <w:color w:val="auto"/>
              </w:rPr>
            </w:pPr>
          </w:p>
        </w:tc>
        <w:tc>
          <w:tcPr>
            <w:tcW w:w="860" w:type="dxa"/>
            <w:vAlign w:val="bottom"/>
            <w:tcBorders>
              <w:bottom w:val="single" w:sz="8" w:color="E5E5E5"/>
              <w:right w:val="single" w:sz="8" w:color="auto"/>
            </w:tcBorders>
            <w:shd w:val="clear" w:color="auto" w:fill="E5E5E5"/>
          </w:tcPr>
          <w:p>
            <w:pPr>
              <w:spacing w:after="0"/>
              <w:rPr>
                <w:sz w:val="20"/>
                <w:szCs w:val="20"/>
                <w:color w:val="auto"/>
              </w:rPr>
            </w:pPr>
          </w:p>
        </w:tc>
        <w:tc>
          <w:tcPr>
            <w:tcW w:w="1160" w:type="dxa"/>
            <w:vAlign w:val="bottom"/>
            <w:tcBorders>
              <w:bottom w:val="single" w:sz="8" w:color="E5E5E5"/>
              <w:right w:val="single" w:sz="8" w:color="auto"/>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6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3"/>
                <w:szCs w:val="13"/>
                <w:color w:val="auto"/>
              </w:rPr>
              <w:t>Mark A. Carano</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2/28/2024</w:t>
            </w:r>
          </w:p>
        </w:tc>
        <w:tc>
          <w:tcPr>
            <w:tcW w:w="880" w:type="dxa"/>
            <w:vAlign w:val="bottom"/>
            <w:tcBorders>
              <w:top w:val="single" w:sz="8" w:color="auto"/>
              <w:right w:val="single" w:sz="8" w:color="auto"/>
            </w:tcBorders>
          </w:tcPr>
          <w:p>
            <w:pPr>
              <w:spacing w:after="0"/>
              <w:rPr>
                <w:sz w:val="15"/>
                <w:szCs w:val="15"/>
                <w:color w:val="auto"/>
              </w:rPr>
            </w:pPr>
          </w:p>
        </w:tc>
        <w:tc>
          <w:tcPr>
            <w:tcW w:w="96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1,772</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3,544</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7,088</w:t>
            </w:r>
          </w:p>
        </w:tc>
        <w:tc>
          <w:tcPr>
            <w:tcW w:w="800" w:type="dxa"/>
            <w:vAlign w:val="bottom"/>
            <w:tcBorders>
              <w:top w:val="single" w:sz="8" w:color="auto"/>
              <w:right w:val="single" w:sz="8" w:color="auto"/>
            </w:tcBorders>
          </w:tcPr>
          <w:p>
            <w:pPr>
              <w:spacing w:after="0"/>
              <w:rPr>
                <w:sz w:val="15"/>
                <w:szCs w:val="15"/>
                <w:color w:val="auto"/>
              </w:rPr>
            </w:pPr>
          </w:p>
        </w:tc>
        <w:tc>
          <w:tcPr>
            <w:tcW w:w="70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563,177</w:t>
            </w:r>
          </w:p>
        </w:tc>
        <w:tc>
          <w:tcPr>
            <w:tcW w:w="0" w:type="dxa"/>
            <w:vAlign w:val="bottom"/>
          </w:tcPr>
          <w:p>
            <w:pPr>
              <w:spacing w:after="0"/>
              <w:rPr>
                <w:sz w:val="1"/>
                <w:szCs w:val="1"/>
                <w:color w:val="auto"/>
              </w:rPr>
            </w:pPr>
          </w:p>
        </w:tc>
      </w:tr>
      <w:tr>
        <w:trPr>
          <w:trHeight w:val="55"/>
        </w:trPr>
        <w:tc>
          <w:tcPr>
            <w:tcW w:w="1660" w:type="dxa"/>
            <w:vAlign w:val="bottom"/>
            <w:tcBorders>
              <w:left w:val="single" w:sz="8" w:color="auto"/>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1660" w:type="dxa"/>
            <w:vAlign w:val="bottom"/>
            <w:tcBorders>
              <w:left w:val="single" w:sz="8" w:color="auto"/>
              <w:right w:val="single" w:sz="8" w:color="auto"/>
            </w:tcBorders>
            <w:vMerge w:val="continue"/>
          </w:tcPr>
          <w:p>
            <w:pPr>
              <w:spacing w:after="0"/>
              <w:rPr>
                <w:sz w:val="5"/>
                <w:szCs w:val="5"/>
                <w:color w:val="auto"/>
              </w:rPr>
            </w:pPr>
          </w:p>
        </w:tc>
        <w:tc>
          <w:tcPr>
            <w:tcW w:w="88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3"/>
                <w:szCs w:val="13"/>
                <w:color w:val="auto"/>
                <w:w w:val="96"/>
              </w:rPr>
              <w:t>2/28/2024</w:t>
            </w:r>
          </w:p>
        </w:tc>
        <w:tc>
          <w:tcPr>
            <w:tcW w:w="880" w:type="dxa"/>
            <w:vAlign w:val="bottom"/>
            <w:tcBorders>
              <w:right w:val="single" w:sz="8" w:color="auto"/>
            </w:tcBorders>
            <w:shd w:val="clear" w:color="auto" w:fill="E5E5E5"/>
          </w:tcPr>
          <w:p>
            <w:pPr>
              <w:spacing w:after="0"/>
              <w:rPr>
                <w:sz w:val="5"/>
                <w:szCs w:val="5"/>
                <w:color w:val="auto"/>
              </w:rPr>
            </w:pPr>
          </w:p>
        </w:tc>
        <w:tc>
          <w:tcPr>
            <w:tcW w:w="960" w:type="dxa"/>
            <w:vAlign w:val="bottom"/>
            <w:tcBorders>
              <w:right w:val="single" w:sz="8" w:color="auto"/>
            </w:tcBorders>
            <w:shd w:val="clear" w:color="auto" w:fill="E5E5E5"/>
          </w:tcPr>
          <w:p>
            <w:pPr>
              <w:spacing w:after="0"/>
              <w:rPr>
                <w:sz w:val="5"/>
                <w:szCs w:val="5"/>
                <w:color w:val="auto"/>
              </w:rPr>
            </w:pPr>
          </w:p>
        </w:tc>
        <w:tc>
          <w:tcPr>
            <w:tcW w:w="860" w:type="dxa"/>
            <w:vAlign w:val="bottom"/>
            <w:tcBorders>
              <w:right w:val="single" w:sz="8" w:color="auto"/>
            </w:tcBorders>
            <w:shd w:val="clear" w:color="auto" w:fill="E5E5E5"/>
          </w:tcPr>
          <w:p>
            <w:pPr>
              <w:spacing w:after="0"/>
              <w:rPr>
                <w:sz w:val="5"/>
                <w:szCs w:val="5"/>
                <w:color w:val="auto"/>
              </w:rPr>
            </w:pPr>
          </w:p>
        </w:tc>
        <w:tc>
          <w:tcPr>
            <w:tcW w:w="860" w:type="dxa"/>
            <w:vAlign w:val="bottom"/>
            <w:tcBorders>
              <w:right w:val="single" w:sz="8" w:color="auto"/>
            </w:tcBorders>
            <w:shd w:val="clear" w:color="auto" w:fill="E5E5E5"/>
          </w:tcPr>
          <w:p>
            <w:pPr>
              <w:spacing w:after="0"/>
              <w:rPr>
                <w:sz w:val="5"/>
                <w:szCs w:val="5"/>
                <w:color w:val="auto"/>
              </w:rPr>
            </w:pPr>
          </w:p>
        </w:tc>
        <w:tc>
          <w:tcPr>
            <w:tcW w:w="780" w:type="dxa"/>
            <w:vAlign w:val="bottom"/>
            <w:tcBorders>
              <w:right w:val="single" w:sz="8" w:color="auto"/>
            </w:tcBorders>
            <w:shd w:val="clear" w:color="auto" w:fill="E5E5E5"/>
          </w:tcPr>
          <w:p>
            <w:pPr>
              <w:spacing w:after="0"/>
              <w:rPr>
                <w:sz w:val="5"/>
                <w:szCs w:val="5"/>
                <w:color w:val="auto"/>
              </w:rPr>
            </w:pPr>
          </w:p>
        </w:tc>
        <w:tc>
          <w:tcPr>
            <w:tcW w:w="860" w:type="dxa"/>
            <w:vAlign w:val="bottom"/>
            <w:tcBorders>
              <w:right w:val="single" w:sz="8" w:color="auto"/>
            </w:tcBorders>
            <w:shd w:val="clear" w:color="auto" w:fill="E5E5E5"/>
          </w:tcPr>
          <w:p>
            <w:pPr>
              <w:spacing w:after="0"/>
              <w:rPr>
                <w:sz w:val="5"/>
                <w:szCs w:val="5"/>
                <w:color w:val="auto"/>
              </w:rPr>
            </w:pPr>
          </w:p>
        </w:tc>
        <w:tc>
          <w:tcPr>
            <w:tcW w:w="80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3"/>
                <w:szCs w:val="13"/>
                <w:color w:val="auto"/>
                <w:w w:val="92"/>
              </w:rPr>
              <w:t>1,772</w:t>
            </w:r>
          </w:p>
        </w:tc>
        <w:tc>
          <w:tcPr>
            <w:tcW w:w="700" w:type="dxa"/>
            <w:vAlign w:val="bottom"/>
            <w:tcBorders>
              <w:right w:val="single" w:sz="8" w:color="auto"/>
            </w:tcBorders>
            <w:shd w:val="clear" w:color="auto" w:fill="E5E5E5"/>
          </w:tcPr>
          <w:p>
            <w:pPr>
              <w:spacing w:after="0"/>
              <w:rPr>
                <w:sz w:val="5"/>
                <w:szCs w:val="5"/>
                <w:color w:val="auto"/>
              </w:rPr>
            </w:pPr>
          </w:p>
        </w:tc>
        <w:tc>
          <w:tcPr>
            <w:tcW w:w="860" w:type="dxa"/>
            <w:vAlign w:val="bottom"/>
            <w:tcBorders>
              <w:right w:val="single" w:sz="8" w:color="auto"/>
            </w:tcBorders>
            <w:shd w:val="clear" w:color="auto" w:fill="E5E5E5"/>
          </w:tcPr>
          <w:p>
            <w:pPr>
              <w:spacing w:after="0"/>
              <w:rPr>
                <w:sz w:val="5"/>
                <w:szCs w:val="5"/>
                <w:color w:val="auto"/>
              </w:rPr>
            </w:pPr>
          </w:p>
        </w:tc>
        <w:tc>
          <w:tcPr>
            <w:tcW w:w="116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3"/>
                <w:szCs w:val="13"/>
                <w:color w:val="auto"/>
                <w:w w:val="97"/>
              </w:rPr>
              <w:t>206,261</w:t>
            </w:r>
          </w:p>
        </w:tc>
        <w:tc>
          <w:tcPr>
            <w:tcW w:w="0" w:type="dxa"/>
            <w:vAlign w:val="bottom"/>
          </w:tcPr>
          <w:p>
            <w:pPr>
              <w:spacing w:after="0"/>
              <w:rPr>
                <w:sz w:val="1"/>
                <w:szCs w:val="1"/>
                <w:color w:val="auto"/>
              </w:rPr>
            </w:pPr>
          </w:p>
        </w:tc>
      </w:tr>
      <w:tr>
        <w:trPr>
          <w:trHeight w:val="176"/>
        </w:trPr>
        <w:tc>
          <w:tcPr>
            <w:tcW w:w="1660" w:type="dxa"/>
            <w:vAlign w:val="bottom"/>
            <w:tcBorders>
              <w:left w:val="single" w:sz="8" w:color="auto"/>
              <w:right w:val="single" w:sz="8" w:color="auto"/>
            </w:tcBorders>
          </w:tcPr>
          <w:p>
            <w:pPr>
              <w:spacing w:after="0"/>
              <w:rPr>
                <w:sz w:val="15"/>
                <w:szCs w:val="15"/>
                <w:color w:val="auto"/>
              </w:rPr>
            </w:pPr>
          </w:p>
        </w:tc>
        <w:tc>
          <w:tcPr>
            <w:tcW w:w="880" w:type="dxa"/>
            <w:vAlign w:val="bottom"/>
            <w:tcBorders>
              <w:bottom w:val="single" w:sz="8" w:color="E5E5E5"/>
              <w:right w:val="single" w:sz="8" w:color="auto"/>
            </w:tcBorders>
            <w:vMerge w:val="continue"/>
            <w:shd w:val="clear" w:color="auto" w:fill="E5E5E5"/>
          </w:tcPr>
          <w:p>
            <w:pPr>
              <w:spacing w:after="0"/>
              <w:rPr>
                <w:sz w:val="15"/>
                <w:szCs w:val="15"/>
                <w:color w:val="auto"/>
              </w:rPr>
            </w:pPr>
          </w:p>
        </w:tc>
        <w:tc>
          <w:tcPr>
            <w:tcW w:w="880" w:type="dxa"/>
            <w:vAlign w:val="bottom"/>
            <w:tcBorders>
              <w:bottom w:val="single" w:sz="8" w:color="E5E5E5"/>
              <w:right w:val="single" w:sz="8" w:color="auto"/>
            </w:tcBorders>
            <w:shd w:val="clear" w:color="auto" w:fill="E5E5E5"/>
          </w:tcPr>
          <w:p>
            <w:pPr>
              <w:spacing w:after="0"/>
              <w:rPr>
                <w:sz w:val="15"/>
                <w:szCs w:val="15"/>
                <w:color w:val="auto"/>
              </w:rPr>
            </w:pPr>
          </w:p>
        </w:tc>
        <w:tc>
          <w:tcPr>
            <w:tcW w:w="960" w:type="dxa"/>
            <w:vAlign w:val="bottom"/>
            <w:tcBorders>
              <w:bottom w:val="single" w:sz="8" w:color="E5E5E5"/>
              <w:right w:val="single" w:sz="8" w:color="auto"/>
            </w:tcBorders>
            <w:shd w:val="clear" w:color="auto" w:fill="E5E5E5"/>
          </w:tcPr>
          <w:p>
            <w:pPr>
              <w:spacing w:after="0"/>
              <w:rPr>
                <w:sz w:val="15"/>
                <w:szCs w:val="15"/>
                <w:color w:val="auto"/>
              </w:rPr>
            </w:pPr>
          </w:p>
        </w:tc>
        <w:tc>
          <w:tcPr>
            <w:tcW w:w="860" w:type="dxa"/>
            <w:vAlign w:val="bottom"/>
            <w:tcBorders>
              <w:bottom w:val="single" w:sz="8" w:color="E5E5E5"/>
              <w:right w:val="single" w:sz="8" w:color="auto"/>
            </w:tcBorders>
            <w:shd w:val="clear" w:color="auto" w:fill="E5E5E5"/>
          </w:tcPr>
          <w:p>
            <w:pPr>
              <w:spacing w:after="0"/>
              <w:rPr>
                <w:sz w:val="15"/>
                <w:szCs w:val="15"/>
                <w:color w:val="auto"/>
              </w:rPr>
            </w:pPr>
          </w:p>
        </w:tc>
        <w:tc>
          <w:tcPr>
            <w:tcW w:w="860" w:type="dxa"/>
            <w:vAlign w:val="bottom"/>
            <w:tcBorders>
              <w:bottom w:val="single" w:sz="8" w:color="E5E5E5"/>
              <w:right w:val="single" w:sz="8" w:color="auto"/>
            </w:tcBorders>
            <w:shd w:val="clear" w:color="auto" w:fill="E5E5E5"/>
          </w:tcPr>
          <w:p>
            <w:pPr>
              <w:spacing w:after="0"/>
              <w:rPr>
                <w:sz w:val="15"/>
                <w:szCs w:val="15"/>
                <w:color w:val="auto"/>
              </w:rPr>
            </w:pPr>
          </w:p>
        </w:tc>
        <w:tc>
          <w:tcPr>
            <w:tcW w:w="780" w:type="dxa"/>
            <w:vAlign w:val="bottom"/>
            <w:tcBorders>
              <w:bottom w:val="single" w:sz="8" w:color="E5E5E5"/>
              <w:right w:val="single" w:sz="8" w:color="auto"/>
            </w:tcBorders>
            <w:shd w:val="clear" w:color="auto" w:fill="E5E5E5"/>
          </w:tcPr>
          <w:p>
            <w:pPr>
              <w:spacing w:after="0"/>
              <w:rPr>
                <w:sz w:val="15"/>
                <w:szCs w:val="15"/>
                <w:color w:val="auto"/>
              </w:rPr>
            </w:pPr>
          </w:p>
        </w:tc>
        <w:tc>
          <w:tcPr>
            <w:tcW w:w="860" w:type="dxa"/>
            <w:vAlign w:val="bottom"/>
            <w:tcBorders>
              <w:bottom w:val="single" w:sz="8" w:color="E5E5E5"/>
              <w:right w:val="single" w:sz="8" w:color="auto"/>
            </w:tcBorders>
            <w:shd w:val="clear" w:color="auto" w:fill="E5E5E5"/>
          </w:tcPr>
          <w:p>
            <w:pPr>
              <w:spacing w:after="0"/>
              <w:rPr>
                <w:sz w:val="15"/>
                <w:szCs w:val="15"/>
                <w:color w:val="auto"/>
              </w:rPr>
            </w:pPr>
          </w:p>
        </w:tc>
        <w:tc>
          <w:tcPr>
            <w:tcW w:w="800" w:type="dxa"/>
            <w:vAlign w:val="bottom"/>
            <w:tcBorders>
              <w:bottom w:val="single" w:sz="8" w:color="E5E5E5"/>
              <w:right w:val="single" w:sz="8" w:color="auto"/>
            </w:tcBorders>
            <w:vMerge w:val="continue"/>
            <w:shd w:val="clear" w:color="auto" w:fill="E5E5E5"/>
          </w:tcPr>
          <w:p>
            <w:pPr>
              <w:spacing w:after="0"/>
              <w:rPr>
                <w:sz w:val="15"/>
                <w:szCs w:val="15"/>
                <w:color w:val="auto"/>
              </w:rPr>
            </w:pPr>
          </w:p>
        </w:tc>
        <w:tc>
          <w:tcPr>
            <w:tcW w:w="700" w:type="dxa"/>
            <w:vAlign w:val="bottom"/>
            <w:tcBorders>
              <w:bottom w:val="single" w:sz="8" w:color="E5E5E5"/>
              <w:right w:val="single" w:sz="8" w:color="auto"/>
            </w:tcBorders>
            <w:shd w:val="clear" w:color="auto" w:fill="E5E5E5"/>
          </w:tcPr>
          <w:p>
            <w:pPr>
              <w:spacing w:after="0"/>
              <w:rPr>
                <w:sz w:val="15"/>
                <w:szCs w:val="15"/>
                <w:color w:val="auto"/>
              </w:rPr>
            </w:pPr>
          </w:p>
        </w:tc>
        <w:tc>
          <w:tcPr>
            <w:tcW w:w="860" w:type="dxa"/>
            <w:vAlign w:val="bottom"/>
            <w:tcBorders>
              <w:bottom w:val="single" w:sz="8" w:color="E5E5E5"/>
              <w:right w:val="single" w:sz="8" w:color="auto"/>
            </w:tcBorders>
            <w:shd w:val="clear" w:color="auto" w:fill="E5E5E5"/>
          </w:tcPr>
          <w:p>
            <w:pPr>
              <w:spacing w:after="0"/>
              <w:rPr>
                <w:sz w:val="15"/>
                <w:szCs w:val="15"/>
                <w:color w:val="auto"/>
              </w:rPr>
            </w:pPr>
          </w:p>
        </w:tc>
        <w:tc>
          <w:tcPr>
            <w:tcW w:w="1160" w:type="dxa"/>
            <w:vAlign w:val="bottom"/>
            <w:tcBorders>
              <w:bottom w:val="single" w:sz="8" w:color="E5E5E5"/>
              <w:right w:val="single" w:sz="8" w:color="auto"/>
            </w:tcBorders>
            <w:vMerge w:val="continue"/>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60" w:type="dxa"/>
            <w:vAlign w:val="bottom"/>
            <w:tcBorders>
              <w:left w:val="single" w:sz="8" w:color="auto"/>
              <w:right w:val="single" w:sz="8" w:color="auto"/>
            </w:tcBorders>
          </w:tcPr>
          <w:p>
            <w:pPr>
              <w:spacing w:after="0"/>
              <w:rPr>
                <w:sz w:val="15"/>
                <w:szCs w:val="15"/>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2/28/2024</w:t>
            </w:r>
          </w:p>
        </w:tc>
        <w:tc>
          <w:tcPr>
            <w:tcW w:w="880" w:type="dxa"/>
            <w:vAlign w:val="bottom"/>
            <w:tcBorders>
              <w:top w:val="single" w:sz="8" w:color="auto"/>
              <w:right w:val="single" w:sz="8" w:color="auto"/>
            </w:tcBorders>
          </w:tcPr>
          <w:p>
            <w:pPr>
              <w:spacing w:after="0"/>
              <w:rPr>
                <w:sz w:val="15"/>
                <w:szCs w:val="15"/>
                <w:color w:val="auto"/>
              </w:rPr>
            </w:pPr>
          </w:p>
        </w:tc>
        <w:tc>
          <w:tcPr>
            <w:tcW w:w="96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spacing w:after="0"/>
              <w:rPr>
                <w:sz w:val="15"/>
                <w:szCs w:val="15"/>
                <w:color w:val="auto"/>
              </w:rPr>
            </w:pPr>
          </w:p>
        </w:tc>
        <w:tc>
          <w:tcPr>
            <w:tcW w:w="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4,057</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116.40</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206,258</w:t>
            </w:r>
          </w:p>
        </w:tc>
        <w:tc>
          <w:tcPr>
            <w:tcW w:w="0" w:type="dxa"/>
            <w:vAlign w:val="bottom"/>
          </w:tcPr>
          <w:p>
            <w:pPr>
              <w:spacing w:after="0"/>
              <w:rPr>
                <w:sz w:val="1"/>
                <w:szCs w:val="1"/>
                <w:color w:val="auto"/>
              </w:rPr>
            </w:pPr>
          </w:p>
        </w:tc>
      </w:tr>
      <w:tr>
        <w:trPr>
          <w:trHeight w:val="54"/>
        </w:trPr>
        <w:tc>
          <w:tcPr>
            <w:tcW w:w="1660" w:type="dxa"/>
            <w:vAlign w:val="bottom"/>
            <w:tcBorders>
              <w:left w:val="single" w:sz="8" w:color="auto"/>
              <w:bottom w:val="single" w:sz="8" w:color="929292"/>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660" w:type="dxa"/>
            <w:vAlign w:val="bottom"/>
            <w:tcBorders>
              <w:left w:val="single" w:sz="8" w:color="auto"/>
              <w:right w:val="single" w:sz="8" w:color="auto"/>
            </w:tcBorders>
          </w:tcPr>
          <w:p>
            <w:pPr>
              <w:spacing w:after="0"/>
              <w:rPr>
                <w:sz w:val="20"/>
                <w:szCs w:val="20"/>
                <w:color w:val="auto"/>
              </w:rPr>
            </w:pPr>
          </w:p>
        </w:tc>
        <w:tc>
          <w:tcPr>
            <w:tcW w:w="88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6"/>
              </w:rPr>
              <w:t>3/13/2025</w:t>
            </w:r>
          </w:p>
        </w:tc>
        <w:tc>
          <w:tcPr>
            <w:tcW w:w="88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7"/>
              </w:rPr>
              <w:t>200,147</w:t>
            </w:r>
          </w:p>
        </w:tc>
        <w:tc>
          <w:tcPr>
            <w:tcW w:w="96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7"/>
              </w:rPr>
              <w:t>400,295</w:t>
            </w:r>
          </w:p>
        </w:tc>
        <w:tc>
          <w:tcPr>
            <w:tcW w:w="86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3"/>
              </w:rPr>
              <w:t>800,590</w:t>
            </w:r>
          </w:p>
        </w:tc>
        <w:tc>
          <w:tcPr>
            <w:tcW w:w="860" w:type="dxa"/>
            <w:vAlign w:val="bottom"/>
            <w:tcBorders>
              <w:bottom w:val="single" w:sz="8" w:color="E5E5E5"/>
              <w:right w:val="single" w:sz="8" w:color="auto"/>
            </w:tcBorders>
            <w:shd w:val="clear" w:color="auto" w:fill="E5E5E5"/>
          </w:tcPr>
          <w:p>
            <w:pPr>
              <w:spacing w:after="0"/>
              <w:rPr>
                <w:sz w:val="20"/>
                <w:szCs w:val="20"/>
                <w:color w:val="auto"/>
              </w:rPr>
            </w:pPr>
          </w:p>
        </w:tc>
        <w:tc>
          <w:tcPr>
            <w:tcW w:w="780" w:type="dxa"/>
            <w:vAlign w:val="bottom"/>
            <w:tcBorders>
              <w:bottom w:val="single" w:sz="8" w:color="E5E5E5"/>
              <w:right w:val="single" w:sz="8" w:color="auto"/>
            </w:tcBorders>
            <w:shd w:val="clear" w:color="auto" w:fill="E5E5E5"/>
          </w:tcPr>
          <w:p>
            <w:pPr>
              <w:spacing w:after="0"/>
              <w:rPr>
                <w:sz w:val="20"/>
                <w:szCs w:val="20"/>
                <w:color w:val="auto"/>
              </w:rPr>
            </w:pPr>
          </w:p>
        </w:tc>
        <w:tc>
          <w:tcPr>
            <w:tcW w:w="860" w:type="dxa"/>
            <w:vAlign w:val="bottom"/>
            <w:tcBorders>
              <w:bottom w:val="single" w:sz="8" w:color="E5E5E5"/>
              <w:right w:val="single" w:sz="8" w:color="auto"/>
            </w:tcBorders>
            <w:shd w:val="clear" w:color="auto" w:fill="E5E5E5"/>
          </w:tcPr>
          <w:p>
            <w:pPr>
              <w:spacing w:after="0"/>
              <w:rPr>
                <w:sz w:val="20"/>
                <w:szCs w:val="20"/>
                <w:color w:val="auto"/>
              </w:rPr>
            </w:pPr>
          </w:p>
        </w:tc>
        <w:tc>
          <w:tcPr>
            <w:tcW w:w="800" w:type="dxa"/>
            <w:vAlign w:val="bottom"/>
            <w:tcBorders>
              <w:bottom w:val="single" w:sz="8" w:color="E5E5E5"/>
              <w:right w:val="single" w:sz="8" w:color="auto"/>
            </w:tcBorders>
            <w:shd w:val="clear" w:color="auto" w:fill="E5E5E5"/>
          </w:tcPr>
          <w:p>
            <w:pPr>
              <w:spacing w:after="0"/>
              <w:rPr>
                <w:sz w:val="20"/>
                <w:szCs w:val="20"/>
                <w:color w:val="auto"/>
              </w:rPr>
            </w:pPr>
          </w:p>
        </w:tc>
        <w:tc>
          <w:tcPr>
            <w:tcW w:w="700" w:type="dxa"/>
            <w:vAlign w:val="bottom"/>
            <w:tcBorders>
              <w:bottom w:val="single" w:sz="8" w:color="E5E5E5"/>
              <w:right w:val="single" w:sz="8" w:color="auto"/>
            </w:tcBorders>
            <w:shd w:val="clear" w:color="auto" w:fill="E5E5E5"/>
          </w:tcPr>
          <w:p>
            <w:pPr>
              <w:spacing w:after="0"/>
              <w:rPr>
                <w:sz w:val="20"/>
                <w:szCs w:val="20"/>
                <w:color w:val="auto"/>
              </w:rPr>
            </w:pPr>
          </w:p>
        </w:tc>
        <w:tc>
          <w:tcPr>
            <w:tcW w:w="860" w:type="dxa"/>
            <w:vAlign w:val="bottom"/>
            <w:tcBorders>
              <w:bottom w:val="single" w:sz="8" w:color="E5E5E5"/>
              <w:right w:val="single" w:sz="8" w:color="auto"/>
            </w:tcBorders>
            <w:shd w:val="clear" w:color="auto" w:fill="E5E5E5"/>
          </w:tcPr>
          <w:p>
            <w:pPr>
              <w:spacing w:after="0"/>
              <w:rPr>
                <w:sz w:val="20"/>
                <w:szCs w:val="20"/>
                <w:color w:val="auto"/>
              </w:rPr>
            </w:pPr>
          </w:p>
        </w:tc>
        <w:tc>
          <w:tcPr>
            <w:tcW w:w="1160" w:type="dxa"/>
            <w:vAlign w:val="bottom"/>
            <w:tcBorders>
              <w:bottom w:val="single" w:sz="8" w:color="E5E5E5"/>
              <w:right w:val="single" w:sz="8" w:color="auto"/>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6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3"/>
                <w:szCs w:val="13"/>
                <w:color w:val="auto"/>
              </w:rPr>
              <w:t>J. Randall Data</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2/28/2024</w:t>
            </w:r>
          </w:p>
        </w:tc>
        <w:tc>
          <w:tcPr>
            <w:tcW w:w="880" w:type="dxa"/>
            <w:vAlign w:val="bottom"/>
            <w:tcBorders>
              <w:top w:val="single" w:sz="8" w:color="auto"/>
              <w:right w:val="single" w:sz="8" w:color="auto"/>
            </w:tcBorders>
          </w:tcPr>
          <w:p>
            <w:pPr>
              <w:spacing w:after="0"/>
              <w:rPr>
                <w:sz w:val="15"/>
                <w:szCs w:val="15"/>
                <w:color w:val="auto"/>
              </w:rPr>
            </w:pPr>
          </w:p>
        </w:tc>
        <w:tc>
          <w:tcPr>
            <w:tcW w:w="96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2,992</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5,984</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11,968</w:t>
            </w:r>
          </w:p>
        </w:tc>
        <w:tc>
          <w:tcPr>
            <w:tcW w:w="800" w:type="dxa"/>
            <w:vAlign w:val="bottom"/>
            <w:tcBorders>
              <w:top w:val="single" w:sz="8" w:color="auto"/>
              <w:right w:val="single" w:sz="8" w:color="auto"/>
            </w:tcBorders>
          </w:tcPr>
          <w:p>
            <w:pPr>
              <w:spacing w:after="0"/>
              <w:rPr>
                <w:sz w:val="15"/>
                <w:szCs w:val="15"/>
                <w:color w:val="auto"/>
              </w:rPr>
            </w:pPr>
          </w:p>
        </w:tc>
        <w:tc>
          <w:tcPr>
            <w:tcW w:w="70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950,917</w:t>
            </w:r>
          </w:p>
        </w:tc>
        <w:tc>
          <w:tcPr>
            <w:tcW w:w="0" w:type="dxa"/>
            <w:vAlign w:val="bottom"/>
          </w:tcPr>
          <w:p>
            <w:pPr>
              <w:spacing w:after="0"/>
              <w:rPr>
                <w:sz w:val="1"/>
                <w:szCs w:val="1"/>
                <w:color w:val="auto"/>
              </w:rPr>
            </w:pPr>
          </w:p>
        </w:tc>
      </w:tr>
      <w:tr>
        <w:trPr>
          <w:trHeight w:val="54"/>
        </w:trPr>
        <w:tc>
          <w:tcPr>
            <w:tcW w:w="1660" w:type="dxa"/>
            <w:vAlign w:val="bottom"/>
            <w:tcBorders>
              <w:left w:val="single" w:sz="8" w:color="auto"/>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660" w:type="dxa"/>
            <w:vAlign w:val="bottom"/>
            <w:tcBorders>
              <w:left w:val="single" w:sz="8" w:color="auto"/>
              <w:right w:val="single" w:sz="8" w:color="auto"/>
            </w:tcBorders>
            <w:vMerge w:val="continue"/>
          </w:tcPr>
          <w:p>
            <w:pPr>
              <w:spacing w:after="0"/>
              <w:rPr>
                <w:sz w:val="5"/>
                <w:szCs w:val="5"/>
                <w:color w:val="auto"/>
              </w:rPr>
            </w:pPr>
          </w:p>
        </w:tc>
        <w:tc>
          <w:tcPr>
            <w:tcW w:w="88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3"/>
                <w:szCs w:val="13"/>
                <w:color w:val="auto"/>
                <w:w w:val="96"/>
              </w:rPr>
              <w:t>2/28/2024</w:t>
            </w:r>
          </w:p>
        </w:tc>
        <w:tc>
          <w:tcPr>
            <w:tcW w:w="880" w:type="dxa"/>
            <w:vAlign w:val="bottom"/>
            <w:tcBorders>
              <w:right w:val="single" w:sz="8" w:color="auto"/>
            </w:tcBorders>
            <w:shd w:val="clear" w:color="auto" w:fill="E5E5E5"/>
          </w:tcPr>
          <w:p>
            <w:pPr>
              <w:spacing w:after="0"/>
              <w:rPr>
                <w:sz w:val="5"/>
                <w:szCs w:val="5"/>
                <w:color w:val="auto"/>
              </w:rPr>
            </w:pPr>
          </w:p>
        </w:tc>
        <w:tc>
          <w:tcPr>
            <w:tcW w:w="960" w:type="dxa"/>
            <w:vAlign w:val="bottom"/>
            <w:tcBorders>
              <w:right w:val="single" w:sz="8" w:color="auto"/>
            </w:tcBorders>
            <w:shd w:val="clear" w:color="auto" w:fill="E5E5E5"/>
          </w:tcPr>
          <w:p>
            <w:pPr>
              <w:spacing w:after="0"/>
              <w:rPr>
                <w:sz w:val="5"/>
                <w:szCs w:val="5"/>
                <w:color w:val="auto"/>
              </w:rPr>
            </w:pPr>
          </w:p>
        </w:tc>
        <w:tc>
          <w:tcPr>
            <w:tcW w:w="860" w:type="dxa"/>
            <w:vAlign w:val="bottom"/>
            <w:tcBorders>
              <w:right w:val="single" w:sz="8" w:color="auto"/>
            </w:tcBorders>
            <w:shd w:val="clear" w:color="auto" w:fill="E5E5E5"/>
          </w:tcPr>
          <w:p>
            <w:pPr>
              <w:spacing w:after="0"/>
              <w:rPr>
                <w:sz w:val="5"/>
                <w:szCs w:val="5"/>
                <w:color w:val="auto"/>
              </w:rPr>
            </w:pPr>
          </w:p>
        </w:tc>
        <w:tc>
          <w:tcPr>
            <w:tcW w:w="860" w:type="dxa"/>
            <w:vAlign w:val="bottom"/>
            <w:tcBorders>
              <w:right w:val="single" w:sz="8" w:color="auto"/>
            </w:tcBorders>
            <w:shd w:val="clear" w:color="auto" w:fill="E5E5E5"/>
          </w:tcPr>
          <w:p>
            <w:pPr>
              <w:spacing w:after="0"/>
              <w:rPr>
                <w:sz w:val="5"/>
                <w:szCs w:val="5"/>
                <w:color w:val="auto"/>
              </w:rPr>
            </w:pPr>
          </w:p>
        </w:tc>
        <w:tc>
          <w:tcPr>
            <w:tcW w:w="780" w:type="dxa"/>
            <w:vAlign w:val="bottom"/>
            <w:tcBorders>
              <w:right w:val="single" w:sz="8" w:color="auto"/>
            </w:tcBorders>
            <w:shd w:val="clear" w:color="auto" w:fill="E5E5E5"/>
          </w:tcPr>
          <w:p>
            <w:pPr>
              <w:spacing w:after="0"/>
              <w:rPr>
                <w:sz w:val="5"/>
                <w:szCs w:val="5"/>
                <w:color w:val="auto"/>
              </w:rPr>
            </w:pPr>
          </w:p>
        </w:tc>
        <w:tc>
          <w:tcPr>
            <w:tcW w:w="860" w:type="dxa"/>
            <w:vAlign w:val="bottom"/>
            <w:tcBorders>
              <w:right w:val="single" w:sz="8" w:color="auto"/>
            </w:tcBorders>
            <w:shd w:val="clear" w:color="auto" w:fill="E5E5E5"/>
          </w:tcPr>
          <w:p>
            <w:pPr>
              <w:spacing w:after="0"/>
              <w:rPr>
                <w:sz w:val="5"/>
                <w:szCs w:val="5"/>
                <w:color w:val="auto"/>
              </w:rPr>
            </w:pPr>
          </w:p>
        </w:tc>
        <w:tc>
          <w:tcPr>
            <w:tcW w:w="80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3"/>
                <w:szCs w:val="13"/>
                <w:color w:val="auto"/>
                <w:w w:val="92"/>
              </w:rPr>
              <w:t>2,992</w:t>
            </w:r>
          </w:p>
        </w:tc>
        <w:tc>
          <w:tcPr>
            <w:tcW w:w="700" w:type="dxa"/>
            <w:vAlign w:val="bottom"/>
            <w:tcBorders>
              <w:right w:val="single" w:sz="8" w:color="auto"/>
            </w:tcBorders>
            <w:shd w:val="clear" w:color="auto" w:fill="E5E5E5"/>
          </w:tcPr>
          <w:p>
            <w:pPr>
              <w:spacing w:after="0"/>
              <w:rPr>
                <w:sz w:val="5"/>
                <w:szCs w:val="5"/>
                <w:color w:val="auto"/>
              </w:rPr>
            </w:pPr>
          </w:p>
        </w:tc>
        <w:tc>
          <w:tcPr>
            <w:tcW w:w="860" w:type="dxa"/>
            <w:vAlign w:val="bottom"/>
            <w:tcBorders>
              <w:right w:val="single" w:sz="8" w:color="auto"/>
            </w:tcBorders>
            <w:shd w:val="clear" w:color="auto" w:fill="E5E5E5"/>
          </w:tcPr>
          <w:p>
            <w:pPr>
              <w:spacing w:after="0"/>
              <w:rPr>
                <w:sz w:val="5"/>
                <w:szCs w:val="5"/>
                <w:color w:val="auto"/>
              </w:rPr>
            </w:pPr>
          </w:p>
        </w:tc>
        <w:tc>
          <w:tcPr>
            <w:tcW w:w="116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3"/>
                <w:szCs w:val="13"/>
                <w:color w:val="auto"/>
                <w:w w:val="97"/>
              </w:rPr>
              <w:t>348,269</w:t>
            </w:r>
          </w:p>
        </w:tc>
        <w:tc>
          <w:tcPr>
            <w:tcW w:w="0" w:type="dxa"/>
            <w:vAlign w:val="bottom"/>
          </w:tcPr>
          <w:p>
            <w:pPr>
              <w:spacing w:after="0"/>
              <w:rPr>
                <w:sz w:val="1"/>
                <w:szCs w:val="1"/>
                <w:color w:val="auto"/>
              </w:rPr>
            </w:pPr>
          </w:p>
        </w:tc>
      </w:tr>
      <w:tr>
        <w:trPr>
          <w:trHeight w:val="176"/>
        </w:trPr>
        <w:tc>
          <w:tcPr>
            <w:tcW w:w="1660" w:type="dxa"/>
            <w:vAlign w:val="bottom"/>
            <w:tcBorders>
              <w:left w:val="single" w:sz="8" w:color="auto"/>
              <w:right w:val="single" w:sz="8" w:color="auto"/>
            </w:tcBorders>
          </w:tcPr>
          <w:p>
            <w:pPr>
              <w:spacing w:after="0"/>
              <w:rPr>
                <w:sz w:val="15"/>
                <w:szCs w:val="15"/>
                <w:color w:val="auto"/>
              </w:rPr>
            </w:pPr>
          </w:p>
        </w:tc>
        <w:tc>
          <w:tcPr>
            <w:tcW w:w="880" w:type="dxa"/>
            <w:vAlign w:val="bottom"/>
            <w:tcBorders>
              <w:bottom w:val="single" w:sz="8" w:color="E5E5E5"/>
              <w:right w:val="single" w:sz="8" w:color="auto"/>
            </w:tcBorders>
            <w:vMerge w:val="continue"/>
            <w:shd w:val="clear" w:color="auto" w:fill="E5E5E5"/>
          </w:tcPr>
          <w:p>
            <w:pPr>
              <w:spacing w:after="0"/>
              <w:rPr>
                <w:sz w:val="15"/>
                <w:szCs w:val="15"/>
                <w:color w:val="auto"/>
              </w:rPr>
            </w:pPr>
          </w:p>
        </w:tc>
        <w:tc>
          <w:tcPr>
            <w:tcW w:w="880" w:type="dxa"/>
            <w:vAlign w:val="bottom"/>
            <w:tcBorders>
              <w:bottom w:val="single" w:sz="8" w:color="E5E5E5"/>
              <w:right w:val="single" w:sz="8" w:color="auto"/>
            </w:tcBorders>
            <w:shd w:val="clear" w:color="auto" w:fill="E5E5E5"/>
          </w:tcPr>
          <w:p>
            <w:pPr>
              <w:spacing w:after="0"/>
              <w:rPr>
                <w:sz w:val="15"/>
                <w:szCs w:val="15"/>
                <w:color w:val="auto"/>
              </w:rPr>
            </w:pPr>
          </w:p>
        </w:tc>
        <w:tc>
          <w:tcPr>
            <w:tcW w:w="960" w:type="dxa"/>
            <w:vAlign w:val="bottom"/>
            <w:tcBorders>
              <w:bottom w:val="single" w:sz="8" w:color="E5E5E5"/>
              <w:right w:val="single" w:sz="8" w:color="auto"/>
            </w:tcBorders>
            <w:shd w:val="clear" w:color="auto" w:fill="E5E5E5"/>
          </w:tcPr>
          <w:p>
            <w:pPr>
              <w:spacing w:after="0"/>
              <w:rPr>
                <w:sz w:val="15"/>
                <w:szCs w:val="15"/>
                <w:color w:val="auto"/>
              </w:rPr>
            </w:pPr>
          </w:p>
        </w:tc>
        <w:tc>
          <w:tcPr>
            <w:tcW w:w="860" w:type="dxa"/>
            <w:vAlign w:val="bottom"/>
            <w:tcBorders>
              <w:bottom w:val="single" w:sz="8" w:color="E5E5E5"/>
              <w:right w:val="single" w:sz="8" w:color="auto"/>
            </w:tcBorders>
            <w:shd w:val="clear" w:color="auto" w:fill="E5E5E5"/>
          </w:tcPr>
          <w:p>
            <w:pPr>
              <w:spacing w:after="0"/>
              <w:rPr>
                <w:sz w:val="15"/>
                <w:szCs w:val="15"/>
                <w:color w:val="auto"/>
              </w:rPr>
            </w:pPr>
          </w:p>
        </w:tc>
        <w:tc>
          <w:tcPr>
            <w:tcW w:w="860" w:type="dxa"/>
            <w:vAlign w:val="bottom"/>
            <w:tcBorders>
              <w:bottom w:val="single" w:sz="8" w:color="E5E5E5"/>
              <w:right w:val="single" w:sz="8" w:color="auto"/>
            </w:tcBorders>
            <w:shd w:val="clear" w:color="auto" w:fill="E5E5E5"/>
          </w:tcPr>
          <w:p>
            <w:pPr>
              <w:spacing w:after="0"/>
              <w:rPr>
                <w:sz w:val="15"/>
                <w:szCs w:val="15"/>
                <w:color w:val="auto"/>
              </w:rPr>
            </w:pPr>
          </w:p>
        </w:tc>
        <w:tc>
          <w:tcPr>
            <w:tcW w:w="780" w:type="dxa"/>
            <w:vAlign w:val="bottom"/>
            <w:tcBorders>
              <w:bottom w:val="single" w:sz="8" w:color="E5E5E5"/>
              <w:right w:val="single" w:sz="8" w:color="auto"/>
            </w:tcBorders>
            <w:shd w:val="clear" w:color="auto" w:fill="E5E5E5"/>
          </w:tcPr>
          <w:p>
            <w:pPr>
              <w:spacing w:after="0"/>
              <w:rPr>
                <w:sz w:val="15"/>
                <w:szCs w:val="15"/>
                <w:color w:val="auto"/>
              </w:rPr>
            </w:pPr>
          </w:p>
        </w:tc>
        <w:tc>
          <w:tcPr>
            <w:tcW w:w="860" w:type="dxa"/>
            <w:vAlign w:val="bottom"/>
            <w:tcBorders>
              <w:bottom w:val="single" w:sz="8" w:color="E5E5E5"/>
              <w:right w:val="single" w:sz="8" w:color="auto"/>
            </w:tcBorders>
            <w:shd w:val="clear" w:color="auto" w:fill="E5E5E5"/>
          </w:tcPr>
          <w:p>
            <w:pPr>
              <w:spacing w:after="0"/>
              <w:rPr>
                <w:sz w:val="15"/>
                <w:szCs w:val="15"/>
                <w:color w:val="auto"/>
              </w:rPr>
            </w:pPr>
          </w:p>
        </w:tc>
        <w:tc>
          <w:tcPr>
            <w:tcW w:w="800" w:type="dxa"/>
            <w:vAlign w:val="bottom"/>
            <w:tcBorders>
              <w:bottom w:val="single" w:sz="8" w:color="E5E5E5"/>
              <w:right w:val="single" w:sz="8" w:color="auto"/>
            </w:tcBorders>
            <w:vMerge w:val="continue"/>
            <w:shd w:val="clear" w:color="auto" w:fill="E5E5E5"/>
          </w:tcPr>
          <w:p>
            <w:pPr>
              <w:spacing w:after="0"/>
              <w:rPr>
                <w:sz w:val="15"/>
                <w:szCs w:val="15"/>
                <w:color w:val="auto"/>
              </w:rPr>
            </w:pPr>
          </w:p>
        </w:tc>
        <w:tc>
          <w:tcPr>
            <w:tcW w:w="700" w:type="dxa"/>
            <w:vAlign w:val="bottom"/>
            <w:tcBorders>
              <w:bottom w:val="single" w:sz="8" w:color="E5E5E5"/>
              <w:right w:val="single" w:sz="8" w:color="auto"/>
            </w:tcBorders>
            <w:shd w:val="clear" w:color="auto" w:fill="E5E5E5"/>
          </w:tcPr>
          <w:p>
            <w:pPr>
              <w:spacing w:after="0"/>
              <w:rPr>
                <w:sz w:val="15"/>
                <w:szCs w:val="15"/>
                <w:color w:val="auto"/>
              </w:rPr>
            </w:pPr>
          </w:p>
        </w:tc>
        <w:tc>
          <w:tcPr>
            <w:tcW w:w="860" w:type="dxa"/>
            <w:vAlign w:val="bottom"/>
            <w:tcBorders>
              <w:bottom w:val="single" w:sz="8" w:color="E5E5E5"/>
              <w:right w:val="single" w:sz="8" w:color="auto"/>
            </w:tcBorders>
            <w:shd w:val="clear" w:color="auto" w:fill="E5E5E5"/>
          </w:tcPr>
          <w:p>
            <w:pPr>
              <w:spacing w:after="0"/>
              <w:rPr>
                <w:sz w:val="15"/>
                <w:szCs w:val="15"/>
                <w:color w:val="auto"/>
              </w:rPr>
            </w:pPr>
          </w:p>
        </w:tc>
        <w:tc>
          <w:tcPr>
            <w:tcW w:w="1160" w:type="dxa"/>
            <w:vAlign w:val="bottom"/>
            <w:tcBorders>
              <w:bottom w:val="single" w:sz="8" w:color="E5E5E5"/>
              <w:right w:val="single" w:sz="8" w:color="auto"/>
            </w:tcBorders>
            <w:vMerge w:val="continue"/>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60" w:type="dxa"/>
            <w:vAlign w:val="bottom"/>
            <w:tcBorders>
              <w:left w:val="single" w:sz="8" w:color="auto"/>
              <w:right w:val="single" w:sz="8" w:color="auto"/>
            </w:tcBorders>
          </w:tcPr>
          <w:p>
            <w:pPr>
              <w:spacing w:after="0"/>
              <w:rPr>
                <w:sz w:val="15"/>
                <w:szCs w:val="15"/>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2/28/2024</w:t>
            </w:r>
          </w:p>
        </w:tc>
        <w:tc>
          <w:tcPr>
            <w:tcW w:w="880" w:type="dxa"/>
            <w:vAlign w:val="bottom"/>
            <w:tcBorders>
              <w:top w:val="single" w:sz="8" w:color="auto"/>
              <w:right w:val="single" w:sz="8" w:color="auto"/>
            </w:tcBorders>
          </w:tcPr>
          <w:p>
            <w:pPr>
              <w:spacing w:after="0"/>
              <w:rPr>
                <w:sz w:val="15"/>
                <w:szCs w:val="15"/>
                <w:color w:val="auto"/>
              </w:rPr>
            </w:pPr>
          </w:p>
        </w:tc>
        <w:tc>
          <w:tcPr>
            <w:tcW w:w="96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spacing w:after="0"/>
              <w:rPr>
                <w:sz w:val="15"/>
                <w:szCs w:val="15"/>
                <w:color w:val="auto"/>
              </w:rPr>
            </w:pPr>
          </w:p>
        </w:tc>
        <w:tc>
          <w:tcPr>
            <w:tcW w:w="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6,850</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116.40</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348,254</w:t>
            </w:r>
          </w:p>
        </w:tc>
        <w:tc>
          <w:tcPr>
            <w:tcW w:w="0" w:type="dxa"/>
            <w:vAlign w:val="bottom"/>
          </w:tcPr>
          <w:p>
            <w:pPr>
              <w:spacing w:after="0"/>
              <w:rPr>
                <w:sz w:val="1"/>
                <w:szCs w:val="1"/>
                <w:color w:val="auto"/>
              </w:rPr>
            </w:pPr>
          </w:p>
        </w:tc>
      </w:tr>
      <w:tr>
        <w:trPr>
          <w:trHeight w:val="55"/>
        </w:trPr>
        <w:tc>
          <w:tcPr>
            <w:tcW w:w="1660" w:type="dxa"/>
            <w:vAlign w:val="bottom"/>
            <w:tcBorders>
              <w:left w:val="single" w:sz="8" w:color="auto"/>
              <w:bottom w:val="single" w:sz="8" w:color="929292"/>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660" w:type="dxa"/>
            <w:vAlign w:val="bottom"/>
            <w:tcBorders>
              <w:left w:val="single" w:sz="8" w:color="auto"/>
              <w:right w:val="single" w:sz="8" w:color="auto"/>
            </w:tcBorders>
          </w:tcPr>
          <w:p>
            <w:pPr>
              <w:spacing w:after="0"/>
              <w:rPr>
                <w:sz w:val="20"/>
                <w:szCs w:val="20"/>
                <w:color w:val="auto"/>
              </w:rPr>
            </w:pPr>
          </w:p>
        </w:tc>
        <w:tc>
          <w:tcPr>
            <w:tcW w:w="88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6"/>
              </w:rPr>
              <w:t>3/13/2025</w:t>
            </w:r>
          </w:p>
        </w:tc>
        <w:tc>
          <w:tcPr>
            <w:tcW w:w="88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7"/>
              </w:rPr>
              <w:t>211,974</w:t>
            </w:r>
          </w:p>
        </w:tc>
        <w:tc>
          <w:tcPr>
            <w:tcW w:w="96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7"/>
              </w:rPr>
              <w:t>423,948</w:t>
            </w:r>
          </w:p>
        </w:tc>
        <w:tc>
          <w:tcPr>
            <w:tcW w:w="86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3"/>
              </w:rPr>
              <w:t>847,896</w:t>
            </w:r>
          </w:p>
        </w:tc>
        <w:tc>
          <w:tcPr>
            <w:tcW w:w="860" w:type="dxa"/>
            <w:vAlign w:val="bottom"/>
            <w:tcBorders>
              <w:bottom w:val="single" w:sz="8" w:color="E5E5E5"/>
              <w:right w:val="single" w:sz="8" w:color="auto"/>
            </w:tcBorders>
            <w:shd w:val="clear" w:color="auto" w:fill="E5E5E5"/>
          </w:tcPr>
          <w:p>
            <w:pPr>
              <w:spacing w:after="0"/>
              <w:rPr>
                <w:sz w:val="20"/>
                <w:szCs w:val="20"/>
                <w:color w:val="auto"/>
              </w:rPr>
            </w:pPr>
          </w:p>
        </w:tc>
        <w:tc>
          <w:tcPr>
            <w:tcW w:w="780" w:type="dxa"/>
            <w:vAlign w:val="bottom"/>
            <w:tcBorders>
              <w:bottom w:val="single" w:sz="8" w:color="E5E5E5"/>
              <w:right w:val="single" w:sz="8" w:color="auto"/>
            </w:tcBorders>
            <w:shd w:val="clear" w:color="auto" w:fill="E5E5E5"/>
          </w:tcPr>
          <w:p>
            <w:pPr>
              <w:spacing w:after="0"/>
              <w:rPr>
                <w:sz w:val="20"/>
                <w:szCs w:val="20"/>
                <w:color w:val="auto"/>
              </w:rPr>
            </w:pPr>
          </w:p>
        </w:tc>
        <w:tc>
          <w:tcPr>
            <w:tcW w:w="860" w:type="dxa"/>
            <w:vAlign w:val="bottom"/>
            <w:tcBorders>
              <w:bottom w:val="single" w:sz="8" w:color="E5E5E5"/>
              <w:right w:val="single" w:sz="8" w:color="auto"/>
            </w:tcBorders>
            <w:shd w:val="clear" w:color="auto" w:fill="E5E5E5"/>
          </w:tcPr>
          <w:p>
            <w:pPr>
              <w:spacing w:after="0"/>
              <w:rPr>
                <w:sz w:val="20"/>
                <w:szCs w:val="20"/>
                <w:color w:val="auto"/>
              </w:rPr>
            </w:pPr>
          </w:p>
        </w:tc>
        <w:tc>
          <w:tcPr>
            <w:tcW w:w="800" w:type="dxa"/>
            <w:vAlign w:val="bottom"/>
            <w:tcBorders>
              <w:bottom w:val="single" w:sz="8" w:color="E5E5E5"/>
              <w:right w:val="single" w:sz="8" w:color="auto"/>
            </w:tcBorders>
            <w:shd w:val="clear" w:color="auto" w:fill="E5E5E5"/>
          </w:tcPr>
          <w:p>
            <w:pPr>
              <w:spacing w:after="0"/>
              <w:rPr>
                <w:sz w:val="20"/>
                <w:szCs w:val="20"/>
                <w:color w:val="auto"/>
              </w:rPr>
            </w:pPr>
          </w:p>
        </w:tc>
        <w:tc>
          <w:tcPr>
            <w:tcW w:w="700" w:type="dxa"/>
            <w:vAlign w:val="bottom"/>
            <w:tcBorders>
              <w:bottom w:val="single" w:sz="8" w:color="E5E5E5"/>
              <w:right w:val="single" w:sz="8" w:color="auto"/>
            </w:tcBorders>
            <w:shd w:val="clear" w:color="auto" w:fill="E5E5E5"/>
          </w:tcPr>
          <w:p>
            <w:pPr>
              <w:spacing w:after="0"/>
              <w:rPr>
                <w:sz w:val="20"/>
                <w:szCs w:val="20"/>
                <w:color w:val="auto"/>
              </w:rPr>
            </w:pPr>
          </w:p>
        </w:tc>
        <w:tc>
          <w:tcPr>
            <w:tcW w:w="860" w:type="dxa"/>
            <w:vAlign w:val="bottom"/>
            <w:tcBorders>
              <w:bottom w:val="single" w:sz="8" w:color="E5E5E5"/>
              <w:right w:val="single" w:sz="8" w:color="auto"/>
            </w:tcBorders>
            <w:shd w:val="clear" w:color="auto" w:fill="E5E5E5"/>
          </w:tcPr>
          <w:p>
            <w:pPr>
              <w:spacing w:after="0"/>
              <w:rPr>
                <w:sz w:val="20"/>
                <w:szCs w:val="20"/>
                <w:color w:val="auto"/>
              </w:rPr>
            </w:pPr>
          </w:p>
        </w:tc>
        <w:tc>
          <w:tcPr>
            <w:tcW w:w="1160" w:type="dxa"/>
            <w:vAlign w:val="bottom"/>
            <w:tcBorders>
              <w:bottom w:val="single" w:sz="8" w:color="E5E5E5"/>
              <w:right w:val="single" w:sz="8" w:color="auto"/>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6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3"/>
                <w:szCs w:val="13"/>
                <w:color w:val="auto"/>
              </w:rPr>
              <w:t>John W. Swann, III</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2/28/2024</w:t>
            </w:r>
          </w:p>
        </w:tc>
        <w:tc>
          <w:tcPr>
            <w:tcW w:w="880" w:type="dxa"/>
            <w:vAlign w:val="bottom"/>
            <w:tcBorders>
              <w:top w:val="single" w:sz="8" w:color="auto"/>
              <w:right w:val="single" w:sz="8" w:color="auto"/>
            </w:tcBorders>
          </w:tcPr>
          <w:p>
            <w:pPr>
              <w:spacing w:after="0"/>
              <w:rPr>
                <w:sz w:val="15"/>
                <w:szCs w:val="15"/>
                <w:color w:val="auto"/>
              </w:rPr>
            </w:pPr>
          </w:p>
        </w:tc>
        <w:tc>
          <w:tcPr>
            <w:tcW w:w="96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1,842</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3,683</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7,366</w:t>
            </w:r>
          </w:p>
        </w:tc>
        <w:tc>
          <w:tcPr>
            <w:tcW w:w="800" w:type="dxa"/>
            <w:vAlign w:val="bottom"/>
            <w:tcBorders>
              <w:top w:val="single" w:sz="8" w:color="auto"/>
              <w:right w:val="single" w:sz="8" w:color="auto"/>
            </w:tcBorders>
          </w:tcPr>
          <w:p>
            <w:pPr>
              <w:spacing w:after="0"/>
              <w:rPr>
                <w:sz w:val="15"/>
                <w:szCs w:val="15"/>
                <w:color w:val="auto"/>
              </w:rPr>
            </w:pPr>
          </w:p>
        </w:tc>
        <w:tc>
          <w:tcPr>
            <w:tcW w:w="70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585,266</w:t>
            </w:r>
          </w:p>
        </w:tc>
        <w:tc>
          <w:tcPr>
            <w:tcW w:w="0" w:type="dxa"/>
            <w:vAlign w:val="bottom"/>
          </w:tcPr>
          <w:p>
            <w:pPr>
              <w:spacing w:after="0"/>
              <w:rPr>
                <w:sz w:val="1"/>
                <w:szCs w:val="1"/>
                <w:color w:val="auto"/>
              </w:rPr>
            </w:pPr>
          </w:p>
        </w:tc>
      </w:tr>
      <w:tr>
        <w:trPr>
          <w:trHeight w:val="55"/>
        </w:trPr>
        <w:tc>
          <w:tcPr>
            <w:tcW w:w="1660" w:type="dxa"/>
            <w:vAlign w:val="bottom"/>
            <w:tcBorders>
              <w:left w:val="single" w:sz="8" w:color="auto"/>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1660" w:type="dxa"/>
            <w:vAlign w:val="bottom"/>
            <w:tcBorders>
              <w:left w:val="single" w:sz="8" w:color="auto"/>
              <w:right w:val="single" w:sz="8" w:color="auto"/>
            </w:tcBorders>
            <w:vMerge w:val="continue"/>
          </w:tcPr>
          <w:p>
            <w:pPr>
              <w:spacing w:after="0"/>
              <w:rPr>
                <w:sz w:val="5"/>
                <w:szCs w:val="5"/>
                <w:color w:val="auto"/>
              </w:rPr>
            </w:pPr>
          </w:p>
        </w:tc>
        <w:tc>
          <w:tcPr>
            <w:tcW w:w="88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3"/>
                <w:szCs w:val="13"/>
                <w:color w:val="auto"/>
                <w:w w:val="96"/>
              </w:rPr>
              <w:t>2/28/2024</w:t>
            </w:r>
          </w:p>
        </w:tc>
        <w:tc>
          <w:tcPr>
            <w:tcW w:w="880" w:type="dxa"/>
            <w:vAlign w:val="bottom"/>
            <w:tcBorders>
              <w:right w:val="single" w:sz="8" w:color="auto"/>
            </w:tcBorders>
            <w:shd w:val="clear" w:color="auto" w:fill="E5E5E5"/>
          </w:tcPr>
          <w:p>
            <w:pPr>
              <w:spacing w:after="0"/>
              <w:rPr>
                <w:sz w:val="5"/>
                <w:szCs w:val="5"/>
                <w:color w:val="auto"/>
              </w:rPr>
            </w:pPr>
          </w:p>
        </w:tc>
        <w:tc>
          <w:tcPr>
            <w:tcW w:w="960" w:type="dxa"/>
            <w:vAlign w:val="bottom"/>
            <w:tcBorders>
              <w:right w:val="single" w:sz="8" w:color="auto"/>
            </w:tcBorders>
            <w:shd w:val="clear" w:color="auto" w:fill="E5E5E5"/>
          </w:tcPr>
          <w:p>
            <w:pPr>
              <w:spacing w:after="0"/>
              <w:rPr>
                <w:sz w:val="5"/>
                <w:szCs w:val="5"/>
                <w:color w:val="auto"/>
              </w:rPr>
            </w:pPr>
          </w:p>
        </w:tc>
        <w:tc>
          <w:tcPr>
            <w:tcW w:w="860" w:type="dxa"/>
            <w:vAlign w:val="bottom"/>
            <w:tcBorders>
              <w:right w:val="single" w:sz="8" w:color="auto"/>
            </w:tcBorders>
            <w:shd w:val="clear" w:color="auto" w:fill="E5E5E5"/>
          </w:tcPr>
          <w:p>
            <w:pPr>
              <w:spacing w:after="0"/>
              <w:rPr>
                <w:sz w:val="5"/>
                <w:szCs w:val="5"/>
                <w:color w:val="auto"/>
              </w:rPr>
            </w:pPr>
          </w:p>
        </w:tc>
        <w:tc>
          <w:tcPr>
            <w:tcW w:w="860" w:type="dxa"/>
            <w:vAlign w:val="bottom"/>
            <w:tcBorders>
              <w:right w:val="single" w:sz="8" w:color="auto"/>
            </w:tcBorders>
            <w:shd w:val="clear" w:color="auto" w:fill="E5E5E5"/>
          </w:tcPr>
          <w:p>
            <w:pPr>
              <w:spacing w:after="0"/>
              <w:rPr>
                <w:sz w:val="5"/>
                <w:szCs w:val="5"/>
                <w:color w:val="auto"/>
              </w:rPr>
            </w:pPr>
          </w:p>
        </w:tc>
        <w:tc>
          <w:tcPr>
            <w:tcW w:w="780" w:type="dxa"/>
            <w:vAlign w:val="bottom"/>
            <w:tcBorders>
              <w:right w:val="single" w:sz="8" w:color="auto"/>
            </w:tcBorders>
            <w:shd w:val="clear" w:color="auto" w:fill="E5E5E5"/>
          </w:tcPr>
          <w:p>
            <w:pPr>
              <w:spacing w:after="0"/>
              <w:rPr>
                <w:sz w:val="5"/>
                <w:szCs w:val="5"/>
                <w:color w:val="auto"/>
              </w:rPr>
            </w:pPr>
          </w:p>
        </w:tc>
        <w:tc>
          <w:tcPr>
            <w:tcW w:w="860" w:type="dxa"/>
            <w:vAlign w:val="bottom"/>
            <w:tcBorders>
              <w:right w:val="single" w:sz="8" w:color="auto"/>
            </w:tcBorders>
            <w:shd w:val="clear" w:color="auto" w:fill="E5E5E5"/>
          </w:tcPr>
          <w:p>
            <w:pPr>
              <w:spacing w:after="0"/>
              <w:rPr>
                <w:sz w:val="5"/>
                <w:szCs w:val="5"/>
                <w:color w:val="auto"/>
              </w:rPr>
            </w:pPr>
          </w:p>
        </w:tc>
        <w:tc>
          <w:tcPr>
            <w:tcW w:w="80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3"/>
                <w:szCs w:val="13"/>
                <w:color w:val="auto"/>
                <w:w w:val="92"/>
              </w:rPr>
              <w:t>1,841</w:t>
            </w:r>
          </w:p>
        </w:tc>
        <w:tc>
          <w:tcPr>
            <w:tcW w:w="700" w:type="dxa"/>
            <w:vAlign w:val="bottom"/>
            <w:tcBorders>
              <w:right w:val="single" w:sz="8" w:color="auto"/>
            </w:tcBorders>
            <w:shd w:val="clear" w:color="auto" w:fill="E5E5E5"/>
          </w:tcPr>
          <w:p>
            <w:pPr>
              <w:spacing w:after="0"/>
              <w:rPr>
                <w:sz w:val="5"/>
                <w:szCs w:val="5"/>
                <w:color w:val="auto"/>
              </w:rPr>
            </w:pPr>
          </w:p>
        </w:tc>
        <w:tc>
          <w:tcPr>
            <w:tcW w:w="860" w:type="dxa"/>
            <w:vAlign w:val="bottom"/>
            <w:tcBorders>
              <w:right w:val="single" w:sz="8" w:color="auto"/>
            </w:tcBorders>
            <w:shd w:val="clear" w:color="auto" w:fill="E5E5E5"/>
          </w:tcPr>
          <w:p>
            <w:pPr>
              <w:spacing w:after="0"/>
              <w:rPr>
                <w:sz w:val="5"/>
                <w:szCs w:val="5"/>
                <w:color w:val="auto"/>
              </w:rPr>
            </w:pPr>
          </w:p>
        </w:tc>
        <w:tc>
          <w:tcPr>
            <w:tcW w:w="116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3"/>
                <w:szCs w:val="13"/>
                <w:color w:val="auto"/>
                <w:w w:val="97"/>
              </w:rPr>
              <w:t>214,292</w:t>
            </w:r>
          </w:p>
        </w:tc>
        <w:tc>
          <w:tcPr>
            <w:tcW w:w="0" w:type="dxa"/>
            <w:vAlign w:val="bottom"/>
          </w:tcPr>
          <w:p>
            <w:pPr>
              <w:spacing w:after="0"/>
              <w:rPr>
                <w:sz w:val="1"/>
                <w:szCs w:val="1"/>
                <w:color w:val="auto"/>
              </w:rPr>
            </w:pPr>
          </w:p>
        </w:tc>
      </w:tr>
      <w:tr>
        <w:trPr>
          <w:trHeight w:val="176"/>
        </w:trPr>
        <w:tc>
          <w:tcPr>
            <w:tcW w:w="1660" w:type="dxa"/>
            <w:vAlign w:val="bottom"/>
            <w:tcBorders>
              <w:left w:val="single" w:sz="8" w:color="auto"/>
              <w:right w:val="single" w:sz="8" w:color="auto"/>
            </w:tcBorders>
          </w:tcPr>
          <w:p>
            <w:pPr>
              <w:spacing w:after="0"/>
              <w:rPr>
                <w:sz w:val="15"/>
                <w:szCs w:val="15"/>
                <w:color w:val="auto"/>
              </w:rPr>
            </w:pPr>
          </w:p>
        </w:tc>
        <w:tc>
          <w:tcPr>
            <w:tcW w:w="880" w:type="dxa"/>
            <w:vAlign w:val="bottom"/>
            <w:tcBorders>
              <w:bottom w:val="single" w:sz="8" w:color="E5E5E5"/>
              <w:right w:val="single" w:sz="8" w:color="auto"/>
            </w:tcBorders>
            <w:vMerge w:val="continue"/>
            <w:shd w:val="clear" w:color="auto" w:fill="E5E5E5"/>
          </w:tcPr>
          <w:p>
            <w:pPr>
              <w:spacing w:after="0"/>
              <w:rPr>
                <w:sz w:val="15"/>
                <w:szCs w:val="15"/>
                <w:color w:val="auto"/>
              </w:rPr>
            </w:pPr>
          </w:p>
        </w:tc>
        <w:tc>
          <w:tcPr>
            <w:tcW w:w="880" w:type="dxa"/>
            <w:vAlign w:val="bottom"/>
            <w:tcBorders>
              <w:bottom w:val="single" w:sz="8" w:color="E5E5E5"/>
              <w:right w:val="single" w:sz="8" w:color="auto"/>
            </w:tcBorders>
            <w:shd w:val="clear" w:color="auto" w:fill="E5E5E5"/>
          </w:tcPr>
          <w:p>
            <w:pPr>
              <w:spacing w:after="0"/>
              <w:rPr>
                <w:sz w:val="15"/>
                <w:szCs w:val="15"/>
                <w:color w:val="auto"/>
              </w:rPr>
            </w:pPr>
          </w:p>
        </w:tc>
        <w:tc>
          <w:tcPr>
            <w:tcW w:w="960" w:type="dxa"/>
            <w:vAlign w:val="bottom"/>
            <w:tcBorders>
              <w:bottom w:val="single" w:sz="8" w:color="E5E5E5"/>
              <w:right w:val="single" w:sz="8" w:color="auto"/>
            </w:tcBorders>
            <w:shd w:val="clear" w:color="auto" w:fill="E5E5E5"/>
          </w:tcPr>
          <w:p>
            <w:pPr>
              <w:spacing w:after="0"/>
              <w:rPr>
                <w:sz w:val="15"/>
                <w:szCs w:val="15"/>
                <w:color w:val="auto"/>
              </w:rPr>
            </w:pPr>
          </w:p>
        </w:tc>
        <w:tc>
          <w:tcPr>
            <w:tcW w:w="860" w:type="dxa"/>
            <w:vAlign w:val="bottom"/>
            <w:tcBorders>
              <w:bottom w:val="single" w:sz="8" w:color="E5E5E5"/>
              <w:right w:val="single" w:sz="8" w:color="auto"/>
            </w:tcBorders>
            <w:shd w:val="clear" w:color="auto" w:fill="E5E5E5"/>
          </w:tcPr>
          <w:p>
            <w:pPr>
              <w:spacing w:after="0"/>
              <w:rPr>
                <w:sz w:val="15"/>
                <w:szCs w:val="15"/>
                <w:color w:val="auto"/>
              </w:rPr>
            </w:pPr>
          </w:p>
        </w:tc>
        <w:tc>
          <w:tcPr>
            <w:tcW w:w="860" w:type="dxa"/>
            <w:vAlign w:val="bottom"/>
            <w:tcBorders>
              <w:bottom w:val="single" w:sz="8" w:color="E5E5E5"/>
              <w:right w:val="single" w:sz="8" w:color="auto"/>
            </w:tcBorders>
            <w:shd w:val="clear" w:color="auto" w:fill="E5E5E5"/>
          </w:tcPr>
          <w:p>
            <w:pPr>
              <w:spacing w:after="0"/>
              <w:rPr>
                <w:sz w:val="15"/>
                <w:szCs w:val="15"/>
                <w:color w:val="auto"/>
              </w:rPr>
            </w:pPr>
          </w:p>
        </w:tc>
        <w:tc>
          <w:tcPr>
            <w:tcW w:w="780" w:type="dxa"/>
            <w:vAlign w:val="bottom"/>
            <w:tcBorders>
              <w:bottom w:val="single" w:sz="8" w:color="E5E5E5"/>
              <w:right w:val="single" w:sz="8" w:color="auto"/>
            </w:tcBorders>
            <w:shd w:val="clear" w:color="auto" w:fill="E5E5E5"/>
          </w:tcPr>
          <w:p>
            <w:pPr>
              <w:spacing w:after="0"/>
              <w:rPr>
                <w:sz w:val="15"/>
                <w:szCs w:val="15"/>
                <w:color w:val="auto"/>
              </w:rPr>
            </w:pPr>
          </w:p>
        </w:tc>
        <w:tc>
          <w:tcPr>
            <w:tcW w:w="860" w:type="dxa"/>
            <w:vAlign w:val="bottom"/>
            <w:tcBorders>
              <w:bottom w:val="single" w:sz="8" w:color="E5E5E5"/>
              <w:right w:val="single" w:sz="8" w:color="auto"/>
            </w:tcBorders>
            <w:shd w:val="clear" w:color="auto" w:fill="E5E5E5"/>
          </w:tcPr>
          <w:p>
            <w:pPr>
              <w:spacing w:after="0"/>
              <w:rPr>
                <w:sz w:val="15"/>
                <w:szCs w:val="15"/>
                <w:color w:val="auto"/>
              </w:rPr>
            </w:pPr>
          </w:p>
        </w:tc>
        <w:tc>
          <w:tcPr>
            <w:tcW w:w="800" w:type="dxa"/>
            <w:vAlign w:val="bottom"/>
            <w:tcBorders>
              <w:bottom w:val="single" w:sz="8" w:color="E5E5E5"/>
              <w:right w:val="single" w:sz="8" w:color="auto"/>
            </w:tcBorders>
            <w:vMerge w:val="continue"/>
            <w:shd w:val="clear" w:color="auto" w:fill="E5E5E5"/>
          </w:tcPr>
          <w:p>
            <w:pPr>
              <w:spacing w:after="0"/>
              <w:rPr>
                <w:sz w:val="15"/>
                <w:szCs w:val="15"/>
                <w:color w:val="auto"/>
              </w:rPr>
            </w:pPr>
          </w:p>
        </w:tc>
        <w:tc>
          <w:tcPr>
            <w:tcW w:w="700" w:type="dxa"/>
            <w:vAlign w:val="bottom"/>
            <w:tcBorders>
              <w:bottom w:val="single" w:sz="8" w:color="E5E5E5"/>
              <w:right w:val="single" w:sz="8" w:color="auto"/>
            </w:tcBorders>
            <w:shd w:val="clear" w:color="auto" w:fill="E5E5E5"/>
          </w:tcPr>
          <w:p>
            <w:pPr>
              <w:spacing w:after="0"/>
              <w:rPr>
                <w:sz w:val="15"/>
                <w:szCs w:val="15"/>
                <w:color w:val="auto"/>
              </w:rPr>
            </w:pPr>
          </w:p>
        </w:tc>
        <w:tc>
          <w:tcPr>
            <w:tcW w:w="860" w:type="dxa"/>
            <w:vAlign w:val="bottom"/>
            <w:tcBorders>
              <w:bottom w:val="single" w:sz="8" w:color="E5E5E5"/>
              <w:right w:val="single" w:sz="8" w:color="auto"/>
            </w:tcBorders>
            <w:shd w:val="clear" w:color="auto" w:fill="E5E5E5"/>
          </w:tcPr>
          <w:p>
            <w:pPr>
              <w:spacing w:after="0"/>
              <w:rPr>
                <w:sz w:val="15"/>
                <w:szCs w:val="15"/>
                <w:color w:val="auto"/>
              </w:rPr>
            </w:pPr>
          </w:p>
        </w:tc>
        <w:tc>
          <w:tcPr>
            <w:tcW w:w="1160" w:type="dxa"/>
            <w:vAlign w:val="bottom"/>
            <w:tcBorders>
              <w:bottom w:val="single" w:sz="8" w:color="E5E5E5"/>
              <w:right w:val="single" w:sz="8" w:color="auto"/>
            </w:tcBorders>
            <w:vMerge w:val="continue"/>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60" w:type="dxa"/>
            <w:vAlign w:val="bottom"/>
            <w:tcBorders>
              <w:left w:val="single" w:sz="8" w:color="auto"/>
              <w:right w:val="single" w:sz="8" w:color="auto"/>
            </w:tcBorders>
          </w:tcPr>
          <w:p>
            <w:pPr>
              <w:spacing w:after="0"/>
              <w:rPr>
                <w:sz w:val="15"/>
                <w:szCs w:val="15"/>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2/28/2024</w:t>
            </w:r>
          </w:p>
        </w:tc>
        <w:tc>
          <w:tcPr>
            <w:tcW w:w="880" w:type="dxa"/>
            <w:vAlign w:val="bottom"/>
            <w:tcBorders>
              <w:top w:val="single" w:sz="8" w:color="auto"/>
              <w:right w:val="single" w:sz="8" w:color="auto"/>
            </w:tcBorders>
          </w:tcPr>
          <w:p>
            <w:pPr>
              <w:spacing w:after="0"/>
              <w:rPr>
                <w:sz w:val="15"/>
                <w:szCs w:val="15"/>
                <w:color w:val="auto"/>
              </w:rPr>
            </w:pPr>
          </w:p>
        </w:tc>
        <w:tc>
          <w:tcPr>
            <w:tcW w:w="96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spacing w:after="0"/>
              <w:rPr>
                <w:sz w:val="15"/>
                <w:szCs w:val="15"/>
                <w:color w:val="auto"/>
              </w:rPr>
            </w:pPr>
          </w:p>
        </w:tc>
        <w:tc>
          <w:tcPr>
            <w:tcW w:w="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4,215</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116.40</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214,291</w:t>
            </w:r>
          </w:p>
        </w:tc>
        <w:tc>
          <w:tcPr>
            <w:tcW w:w="0" w:type="dxa"/>
            <w:vAlign w:val="bottom"/>
          </w:tcPr>
          <w:p>
            <w:pPr>
              <w:spacing w:after="0"/>
              <w:rPr>
                <w:sz w:val="1"/>
                <w:szCs w:val="1"/>
                <w:color w:val="auto"/>
              </w:rPr>
            </w:pPr>
          </w:p>
        </w:tc>
      </w:tr>
      <w:tr>
        <w:trPr>
          <w:trHeight w:val="55"/>
        </w:trPr>
        <w:tc>
          <w:tcPr>
            <w:tcW w:w="1660" w:type="dxa"/>
            <w:vAlign w:val="bottom"/>
            <w:tcBorders>
              <w:left w:val="single" w:sz="8" w:color="auto"/>
              <w:bottom w:val="single" w:sz="8" w:color="929292"/>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660" w:type="dxa"/>
            <w:vAlign w:val="bottom"/>
            <w:tcBorders>
              <w:left w:val="single" w:sz="8" w:color="auto"/>
              <w:right w:val="single" w:sz="8" w:color="auto"/>
            </w:tcBorders>
          </w:tcPr>
          <w:p>
            <w:pPr>
              <w:spacing w:after="0"/>
              <w:rPr>
                <w:sz w:val="20"/>
                <w:szCs w:val="20"/>
                <w:color w:val="auto"/>
              </w:rPr>
            </w:pPr>
          </w:p>
        </w:tc>
        <w:tc>
          <w:tcPr>
            <w:tcW w:w="88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6"/>
              </w:rPr>
              <w:t>3/13/2025</w:t>
            </w:r>
          </w:p>
        </w:tc>
        <w:tc>
          <w:tcPr>
            <w:tcW w:w="88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7"/>
              </w:rPr>
              <w:t>211,974</w:t>
            </w:r>
          </w:p>
        </w:tc>
        <w:tc>
          <w:tcPr>
            <w:tcW w:w="96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7"/>
              </w:rPr>
              <w:t>423,948</w:t>
            </w:r>
          </w:p>
        </w:tc>
        <w:tc>
          <w:tcPr>
            <w:tcW w:w="86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3"/>
              </w:rPr>
              <w:t>847,896</w:t>
            </w:r>
          </w:p>
        </w:tc>
        <w:tc>
          <w:tcPr>
            <w:tcW w:w="860" w:type="dxa"/>
            <w:vAlign w:val="bottom"/>
            <w:tcBorders>
              <w:bottom w:val="single" w:sz="8" w:color="E5E5E5"/>
              <w:right w:val="single" w:sz="8" w:color="auto"/>
            </w:tcBorders>
            <w:shd w:val="clear" w:color="auto" w:fill="E5E5E5"/>
          </w:tcPr>
          <w:p>
            <w:pPr>
              <w:spacing w:after="0"/>
              <w:rPr>
                <w:sz w:val="20"/>
                <w:szCs w:val="20"/>
                <w:color w:val="auto"/>
              </w:rPr>
            </w:pPr>
          </w:p>
        </w:tc>
        <w:tc>
          <w:tcPr>
            <w:tcW w:w="780" w:type="dxa"/>
            <w:vAlign w:val="bottom"/>
            <w:tcBorders>
              <w:bottom w:val="single" w:sz="8" w:color="E5E5E5"/>
              <w:right w:val="single" w:sz="8" w:color="auto"/>
            </w:tcBorders>
            <w:shd w:val="clear" w:color="auto" w:fill="E5E5E5"/>
          </w:tcPr>
          <w:p>
            <w:pPr>
              <w:spacing w:after="0"/>
              <w:rPr>
                <w:sz w:val="20"/>
                <w:szCs w:val="20"/>
                <w:color w:val="auto"/>
              </w:rPr>
            </w:pPr>
          </w:p>
        </w:tc>
        <w:tc>
          <w:tcPr>
            <w:tcW w:w="860" w:type="dxa"/>
            <w:vAlign w:val="bottom"/>
            <w:tcBorders>
              <w:bottom w:val="single" w:sz="8" w:color="E5E5E5"/>
              <w:right w:val="single" w:sz="8" w:color="auto"/>
            </w:tcBorders>
            <w:shd w:val="clear" w:color="auto" w:fill="E5E5E5"/>
          </w:tcPr>
          <w:p>
            <w:pPr>
              <w:spacing w:after="0"/>
              <w:rPr>
                <w:sz w:val="20"/>
                <w:szCs w:val="20"/>
                <w:color w:val="auto"/>
              </w:rPr>
            </w:pPr>
          </w:p>
        </w:tc>
        <w:tc>
          <w:tcPr>
            <w:tcW w:w="800" w:type="dxa"/>
            <w:vAlign w:val="bottom"/>
            <w:tcBorders>
              <w:bottom w:val="single" w:sz="8" w:color="E5E5E5"/>
              <w:right w:val="single" w:sz="8" w:color="auto"/>
            </w:tcBorders>
            <w:shd w:val="clear" w:color="auto" w:fill="E5E5E5"/>
          </w:tcPr>
          <w:p>
            <w:pPr>
              <w:spacing w:after="0"/>
              <w:rPr>
                <w:sz w:val="20"/>
                <w:szCs w:val="20"/>
                <w:color w:val="auto"/>
              </w:rPr>
            </w:pPr>
          </w:p>
        </w:tc>
        <w:tc>
          <w:tcPr>
            <w:tcW w:w="700" w:type="dxa"/>
            <w:vAlign w:val="bottom"/>
            <w:tcBorders>
              <w:bottom w:val="single" w:sz="8" w:color="E5E5E5"/>
              <w:right w:val="single" w:sz="8" w:color="auto"/>
            </w:tcBorders>
            <w:shd w:val="clear" w:color="auto" w:fill="E5E5E5"/>
          </w:tcPr>
          <w:p>
            <w:pPr>
              <w:spacing w:after="0"/>
              <w:rPr>
                <w:sz w:val="20"/>
                <w:szCs w:val="20"/>
                <w:color w:val="auto"/>
              </w:rPr>
            </w:pPr>
          </w:p>
        </w:tc>
        <w:tc>
          <w:tcPr>
            <w:tcW w:w="860" w:type="dxa"/>
            <w:vAlign w:val="bottom"/>
            <w:tcBorders>
              <w:bottom w:val="single" w:sz="8" w:color="E5E5E5"/>
              <w:right w:val="single" w:sz="8" w:color="auto"/>
            </w:tcBorders>
            <w:shd w:val="clear" w:color="auto" w:fill="E5E5E5"/>
          </w:tcPr>
          <w:p>
            <w:pPr>
              <w:spacing w:after="0"/>
              <w:rPr>
                <w:sz w:val="20"/>
                <w:szCs w:val="20"/>
                <w:color w:val="auto"/>
              </w:rPr>
            </w:pPr>
          </w:p>
        </w:tc>
        <w:tc>
          <w:tcPr>
            <w:tcW w:w="1160" w:type="dxa"/>
            <w:vAlign w:val="bottom"/>
            <w:tcBorders>
              <w:bottom w:val="single" w:sz="8" w:color="E5E5E5"/>
              <w:right w:val="single" w:sz="8" w:color="auto"/>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6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3"/>
                <w:szCs w:val="13"/>
                <w:color w:val="auto"/>
              </w:rPr>
              <w:t>Sean McClenaghan</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2/28/2024</w:t>
            </w:r>
          </w:p>
        </w:tc>
        <w:tc>
          <w:tcPr>
            <w:tcW w:w="880" w:type="dxa"/>
            <w:vAlign w:val="bottom"/>
            <w:tcBorders>
              <w:top w:val="single" w:sz="8" w:color="auto"/>
              <w:right w:val="single" w:sz="8" w:color="auto"/>
            </w:tcBorders>
          </w:tcPr>
          <w:p>
            <w:pPr>
              <w:spacing w:after="0"/>
              <w:rPr>
                <w:sz w:val="15"/>
                <w:szCs w:val="15"/>
                <w:color w:val="auto"/>
              </w:rPr>
            </w:pPr>
          </w:p>
        </w:tc>
        <w:tc>
          <w:tcPr>
            <w:tcW w:w="96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2,302</w:t>
            </w: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4,603</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9,206</w:t>
            </w:r>
          </w:p>
        </w:tc>
        <w:tc>
          <w:tcPr>
            <w:tcW w:w="800" w:type="dxa"/>
            <w:vAlign w:val="bottom"/>
            <w:tcBorders>
              <w:top w:val="single" w:sz="8" w:color="auto"/>
              <w:right w:val="single" w:sz="8" w:color="auto"/>
            </w:tcBorders>
          </w:tcPr>
          <w:p>
            <w:pPr>
              <w:spacing w:after="0"/>
              <w:rPr>
                <w:sz w:val="15"/>
                <w:szCs w:val="15"/>
                <w:color w:val="auto"/>
              </w:rPr>
            </w:pPr>
          </w:p>
        </w:tc>
        <w:tc>
          <w:tcPr>
            <w:tcW w:w="70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731,463</w:t>
            </w:r>
          </w:p>
        </w:tc>
        <w:tc>
          <w:tcPr>
            <w:tcW w:w="0" w:type="dxa"/>
            <w:vAlign w:val="bottom"/>
          </w:tcPr>
          <w:p>
            <w:pPr>
              <w:spacing w:after="0"/>
              <w:rPr>
                <w:sz w:val="1"/>
                <w:szCs w:val="1"/>
                <w:color w:val="auto"/>
              </w:rPr>
            </w:pPr>
          </w:p>
        </w:tc>
      </w:tr>
      <w:tr>
        <w:trPr>
          <w:trHeight w:val="55"/>
        </w:trPr>
        <w:tc>
          <w:tcPr>
            <w:tcW w:w="1660" w:type="dxa"/>
            <w:vAlign w:val="bottom"/>
            <w:tcBorders>
              <w:left w:val="single" w:sz="8" w:color="auto"/>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1660" w:type="dxa"/>
            <w:vAlign w:val="bottom"/>
            <w:tcBorders>
              <w:left w:val="single" w:sz="8" w:color="auto"/>
              <w:right w:val="single" w:sz="8" w:color="auto"/>
            </w:tcBorders>
            <w:vMerge w:val="continue"/>
          </w:tcPr>
          <w:p>
            <w:pPr>
              <w:spacing w:after="0"/>
              <w:rPr>
                <w:sz w:val="5"/>
                <w:szCs w:val="5"/>
                <w:color w:val="auto"/>
              </w:rPr>
            </w:pPr>
          </w:p>
        </w:tc>
        <w:tc>
          <w:tcPr>
            <w:tcW w:w="88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3"/>
                <w:szCs w:val="13"/>
                <w:color w:val="auto"/>
                <w:w w:val="96"/>
              </w:rPr>
              <w:t>2/28/2024</w:t>
            </w:r>
          </w:p>
        </w:tc>
        <w:tc>
          <w:tcPr>
            <w:tcW w:w="880" w:type="dxa"/>
            <w:vAlign w:val="bottom"/>
            <w:tcBorders>
              <w:right w:val="single" w:sz="8" w:color="auto"/>
            </w:tcBorders>
            <w:shd w:val="clear" w:color="auto" w:fill="E5E5E5"/>
          </w:tcPr>
          <w:p>
            <w:pPr>
              <w:spacing w:after="0"/>
              <w:rPr>
                <w:sz w:val="5"/>
                <w:szCs w:val="5"/>
                <w:color w:val="auto"/>
              </w:rPr>
            </w:pPr>
          </w:p>
        </w:tc>
        <w:tc>
          <w:tcPr>
            <w:tcW w:w="960" w:type="dxa"/>
            <w:vAlign w:val="bottom"/>
            <w:tcBorders>
              <w:right w:val="single" w:sz="8" w:color="auto"/>
            </w:tcBorders>
            <w:shd w:val="clear" w:color="auto" w:fill="E5E5E5"/>
          </w:tcPr>
          <w:p>
            <w:pPr>
              <w:spacing w:after="0"/>
              <w:rPr>
                <w:sz w:val="5"/>
                <w:szCs w:val="5"/>
                <w:color w:val="auto"/>
              </w:rPr>
            </w:pPr>
          </w:p>
        </w:tc>
        <w:tc>
          <w:tcPr>
            <w:tcW w:w="860" w:type="dxa"/>
            <w:vAlign w:val="bottom"/>
            <w:tcBorders>
              <w:right w:val="single" w:sz="8" w:color="auto"/>
            </w:tcBorders>
            <w:shd w:val="clear" w:color="auto" w:fill="E5E5E5"/>
          </w:tcPr>
          <w:p>
            <w:pPr>
              <w:spacing w:after="0"/>
              <w:rPr>
                <w:sz w:val="5"/>
                <w:szCs w:val="5"/>
                <w:color w:val="auto"/>
              </w:rPr>
            </w:pPr>
          </w:p>
        </w:tc>
        <w:tc>
          <w:tcPr>
            <w:tcW w:w="860" w:type="dxa"/>
            <w:vAlign w:val="bottom"/>
            <w:tcBorders>
              <w:right w:val="single" w:sz="8" w:color="auto"/>
            </w:tcBorders>
            <w:shd w:val="clear" w:color="auto" w:fill="E5E5E5"/>
          </w:tcPr>
          <w:p>
            <w:pPr>
              <w:spacing w:after="0"/>
              <w:rPr>
                <w:sz w:val="5"/>
                <w:szCs w:val="5"/>
                <w:color w:val="auto"/>
              </w:rPr>
            </w:pPr>
          </w:p>
        </w:tc>
        <w:tc>
          <w:tcPr>
            <w:tcW w:w="780" w:type="dxa"/>
            <w:vAlign w:val="bottom"/>
            <w:tcBorders>
              <w:right w:val="single" w:sz="8" w:color="auto"/>
            </w:tcBorders>
            <w:shd w:val="clear" w:color="auto" w:fill="E5E5E5"/>
          </w:tcPr>
          <w:p>
            <w:pPr>
              <w:spacing w:after="0"/>
              <w:rPr>
                <w:sz w:val="5"/>
                <w:szCs w:val="5"/>
                <w:color w:val="auto"/>
              </w:rPr>
            </w:pPr>
          </w:p>
        </w:tc>
        <w:tc>
          <w:tcPr>
            <w:tcW w:w="860" w:type="dxa"/>
            <w:vAlign w:val="bottom"/>
            <w:tcBorders>
              <w:right w:val="single" w:sz="8" w:color="auto"/>
            </w:tcBorders>
            <w:shd w:val="clear" w:color="auto" w:fill="E5E5E5"/>
          </w:tcPr>
          <w:p>
            <w:pPr>
              <w:spacing w:after="0"/>
              <w:rPr>
                <w:sz w:val="5"/>
                <w:szCs w:val="5"/>
                <w:color w:val="auto"/>
              </w:rPr>
            </w:pPr>
          </w:p>
        </w:tc>
        <w:tc>
          <w:tcPr>
            <w:tcW w:w="80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3"/>
                <w:szCs w:val="13"/>
                <w:color w:val="auto"/>
                <w:w w:val="92"/>
              </w:rPr>
              <w:t>2,302</w:t>
            </w:r>
          </w:p>
        </w:tc>
        <w:tc>
          <w:tcPr>
            <w:tcW w:w="700" w:type="dxa"/>
            <w:vAlign w:val="bottom"/>
            <w:tcBorders>
              <w:right w:val="single" w:sz="8" w:color="auto"/>
            </w:tcBorders>
            <w:shd w:val="clear" w:color="auto" w:fill="E5E5E5"/>
          </w:tcPr>
          <w:p>
            <w:pPr>
              <w:spacing w:after="0"/>
              <w:rPr>
                <w:sz w:val="5"/>
                <w:szCs w:val="5"/>
                <w:color w:val="auto"/>
              </w:rPr>
            </w:pPr>
          </w:p>
        </w:tc>
        <w:tc>
          <w:tcPr>
            <w:tcW w:w="860" w:type="dxa"/>
            <w:vAlign w:val="bottom"/>
            <w:tcBorders>
              <w:right w:val="single" w:sz="8" w:color="auto"/>
            </w:tcBorders>
            <w:shd w:val="clear" w:color="auto" w:fill="E5E5E5"/>
          </w:tcPr>
          <w:p>
            <w:pPr>
              <w:spacing w:after="0"/>
              <w:rPr>
                <w:sz w:val="5"/>
                <w:szCs w:val="5"/>
                <w:color w:val="auto"/>
              </w:rPr>
            </w:pPr>
          </w:p>
        </w:tc>
        <w:tc>
          <w:tcPr>
            <w:tcW w:w="116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3"/>
                <w:szCs w:val="13"/>
                <w:color w:val="auto"/>
                <w:w w:val="97"/>
              </w:rPr>
              <w:t>267,953</w:t>
            </w:r>
          </w:p>
        </w:tc>
        <w:tc>
          <w:tcPr>
            <w:tcW w:w="0" w:type="dxa"/>
            <w:vAlign w:val="bottom"/>
          </w:tcPr>
          <w:p>
            <w:pPr>
              <w:spacing w:after="0"/>
              <w:rPr>
                <w:sz w:val="1"/>
                <w:szCs w:val="1"/>
                <w:color w:val="auto"/>
              </w:rPr>
            </w:pPr>
          </w:p>
        </w:tc>
      </w:tr>
      <w:tr>
        <w:trPr>
          <w:trHeight w:val="176"/>
        </w:trPr>
        <w:tc>
          <w:tcPr>
            <w:tcW w:w="1660" w:type="dxa"/>
            <w:vAlign w:val="bottom"/>
            <w:tcBorders>
              <w:left w:val="single" w:sz="8" w:color="auto"/>
              <w:right w:val="single" w:sz="8" w:color="auto"/>
            </w:tcBorders>
          </w:tcPr>
          <w:p>
            <w:pPr>
              <w:spacing w:after="0"/>
              <w:rPr>
                <w:sz w:val="15"/>
                <w:szCs w:val="15"/>
                <w:color w:val="auto"/>
              </w:rPr>
            </w:pPr>
          </w:p>
        </w:tc>
        <w:tc>
          <w:tcPr>
            <w:tcW w:w="880" w:type="dxa"/>
            <w:vAlign w:val="bottom"/>
            <w:tcBorders>
              <w:bottom w:val="single" w:sz="8" w:color="E5E5E5"/>
              <w:right w:val="single" w:sz="8" w:color="auto"/>
            </w:tcBorders>
            <w:vMerge w:val="continue"/>
            <w:shd w:val="clear" w:color="auto" w:fill="E5E5E5"/>
          </w:tcPr>
          <w:p>
            <w:pPr>
              <w:spacing w:after="0"/>
              <w:rPr>
                <w:sz w:val="15"/>
                <w:szCs w:val="15"/>
                <w:color w:val="auto"/>
              </w:rPr>
            </w:pPr>
          </w:p>
        </w:tc>
        <w:tc>
          <w:tcPr>
            <w:tcW w:w="880" w:type="dxa"/>
            <w:vAlign w:val="bottom"/>
            <w:tcBorders>
              <w:bottom w:val="single" w:sz="8" w:color="E5E5E5"/>
              <w:right w:val="single" w:sz="8" w:color="auto"/>
            </w:tcBorders>
            <w:shd w:val="clear" w:color="auto" w:fill="E5E5E5"/>
          </w:tcPr>
          <w:p>
            <w:pPr>
              <w:spacing w:after="0"/>
              <w:rPr>
                <w:sz w:val="15"/>
                <w:szCs w:val="15"/>
                <w:color w:val="auto"/>
              </w:rPr>
            </w:pPr>
          </w:p>
        </w:tc>
        <w:tc>
          <w:tcPr>
            <w:tcW w:w="960" w:type="dxa"/>
            <w:vAlign w:val="bottom"/>
            <w:tcBorders>
              <w:bottom w:val="single" w:sz="8" w:color="E5E5E5"/>
              <w:right w:val="single" w:sz="8" w:color="auto"/>
            </w:tcBorders>
            <w:shd w:val="clear" w:color="auto" w:fill="E5E5E5"/>
          </w:tcPr>
          <w:p>
            <w:pPr>
              <w:spacing w:after="0"/>
              <w:rPr>
                <w:sz w:val="15"/>
                <w:szCs w:val="15"/>
                <w:color w:val="auto"/>
              </w:rPr>
            </w:pPr>
          </w:p>
        </w:tc>
        <w:tc>
          <w:tcPr>
            <w:tcW w:w="860" w:type="dxa"/>
            <w:vAlign w:val="bottom"/>
            <w:tcBorders>
              <w:bottom w:val="single" w:sz="8" w:color="E5E5E5"/>
              <w:right w:val="single" w:sz="8" w:color="auto"/>
            </w:tcBorders>
            <w:shd w:val="clear" w:color="auto" w:fill="E5E5E5"/>
          </w:tcPr>
          <w:p>
            <w:pPr>
              <w:spacing w:after="0"/>
              <w:rPr>
                <w:sz w:val="15"/>
                <w:szCs w:val="15"/>
                <w:color w:val="auto"/>
              </w:rPr>
            </w:pPr>
          </w:p>
        </w:tc>
        <w:tc>
          <w:tcPr>
            <w:tcW w:w="860" w:type="dxa"/>
            <w:vAlign w:val="bottom"/>
            <w:tcBorders>
              <w:bottom w:val="single" w:sz="8" w:color="E5E5E5"/>
              <w:right w:val="single" w:sz="8" w:color="auto"/>
            </w:tcBorders>
            <w:shd w:val="clear" w:color="auto" w:fill="E5E5E5"/>
          </w:tcPr>
          <w:p>
            <w:pPr>
              <w:spacing w:after="0"/>
              <w:rPr>
                <w:sz w:val="15"/>
                <w:szCs w:val="15"/>
                <w:color w:val="auto"/>
              </w:rPr>
            </w:pPr>
          </w:p>
        </w:tc>
        <w:tc>
          <w:tcPr>
            <w:tcW w:w="780" w:type="dxa"/>
            <w:vAlign w:val="bottom"/>
            <w:tcBorders>
              <w:bottom w:val="single" w:sz="8" w:color="E5E5E5"/>
              <w:right w:val="single" w:sz="8" w:color="auto"/>
            </w:tcBorders>
            <w:shd w:val="clear" w:color="auto" w:fill="E5E5E5"/>
          </w:tcPr>
          <w:p>
            <w:pPr>
              <w:spacing w:after="0"/>
              <w:rPr>
                <w:sz w:val="15"/>
                <w:szCs w:val="15"/>
                <w:color w:val="auto"/>
              </w:rPr>
            </w:pPr>
          </w:p>
        </w:tc>
        <w:tc>
          <w:tcPr>
            <w:tcW w:w="860" w:type="dxa"/>
            <w:vAlign w:val="bottom"/>
            <w:tcBorders>
              <w:bottom w:val="single" w:sz="8" w:color="E5E5E5"/>
              <w:right w:val="single" w:sz="8" w:color="auto"/>
            </w:tcBorders>
            <w:shd w:val="clear" w:color="auto" w:fill="E5E5E5"/>
          </w:tcPr>
          <w:p>
            <w:pPr>
              <w:spacing w:after="0"/>
              <w:rPr>
                <w:sz w:val="15"/>
                <w:szCs w:val="15"/>
                <w:color w:val="auto"/>
              </w:rPr>
            </w:pPr>
          </w:p>
        </w:tc>
        <w:tc>
          <w:tcPr>
            <w:tcW w:w="800" w:type="dxa"/>
            <w:vAlign w:val="bottom"/>
            <w:tcBorders>
              <w:bottom w:val="single" w:sz="8" w:color="E5E5E5"/>
              <w:right w:val="single" w:sz="8" w:color="auto"/>
            </w:tcBorders>
            <w:vMerge w:val="continue"/>
            <w:shd w:val="clear" w:color="auto" w:fill="E5E5E5"/>
          </w:tcPr>
          <w:p>
            <w:pPr>
              <w:spacing w:after="0"/>
              <w:rPr>
                <w:sz w:val="15"/>
                <w:szCs w:val="15"/>
                <w:color w:val="auto"/>
              </w:rPr>
            </w:pPr>
          </w:p>
        </w:tc>
        <w:tc>
          <w:tcPr>
            <w:tcW w:w="700" w:type="dxa"/>
            <w:vAlign w:val="bottom"/>
            <w:tcBorders>
              <w:bottom w:val="single" w:sz="8" w:color="E5E5E5"/>
              <w:right w:val="single" w:sz="8" w:color="auto"/>
            </w:tcBorders>
            <w:shd w:val="clear" w:color="auto" w:fill="E5E5E5"/>
          </w:tcPr>
          <w:p>
            <w:pPr>
              <w:spacing w:after="0"/>
              <w:rPr>
                <w:sz w:val="15"/>
                <w:szCs w:val="15"/>
                <w:color w:val="auto"/>
              </w:rPr>
            </w:pPr>
          </w:p>
        </w:tc>
        <w:tc>
          <w:tcPr>
            <w:tcW w:w="860" w:type="dxa"/>
            <w:vAlign w:val="bottom"/>
            <w:tcBorders>
              <w:bottom w:val="single" w:sz="8" w:color="E5E5E5"/>
              <w:right w:val="single" w:sz="8" w:color="auto"/>
            </w:tcBorders>
            <w:shd w:val="clear" w:color="auto" w:fill="E5E5E5"/>
          </w:tcPr>
          <w:p>
            <w:pPr>
              <w:spacing w:after="0"/>
              <w:rPr>
                <w:sz w:val="15"/>
                <w:szCs w:val="15"/>
                <w:color w:val="auto"/>
              </w:rPr>
            </w:pPr>
          </w:p>
        </w:tc>
        <w:tc>
          <w:tcPr>
            <w:tcW w:w="1160" w:type="dxa"/>
            <w:vAlign w:val="bottom"/>
            <w:tcBorders>
              <w:bottom w:val="single" w:sz="8" w:color="E5E5E5"/>
              <w:right w:val="single" w:sz="8" w:color="auto"/>
            </w:tcBorders>
            <w:vMerge w:val="continue"/>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60" w:type="dxa"/>
            <w:vAlign w:val="bottom"/>
            <w:tcBorders>
              <w:left w:val="single" w:sz="8" w:color="auto"/>
              <w:right w:val="single" w:sz="8" w:color="auto"/>
            </w:tcBorders>
          </w:tcPr>
          <w:p>
            <w:pPr>
              <w:spacing w:after="0"/>
              <w:rPr>
                <w:sz w:val="15"/>
                <w:szCs w:val="15"/>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2/28/2024</w:t>
            </w:r>
          </w:p>
        </w:tc>
        <w:tc>
          <w:tcPr>
            <w:tcW w:w="880" w:type="dxa"/>
            <w:vAlign w:val="bottom"/>
            <w:tcBorders>
              <w:top w:val="single" w:sz="8" w:color="auto"/>
              <w:right w:val="single" w:sz="8" w:color="auto"/>
            </w:tcBorders>
          </w:tcPr>
          <w:p>
            <w:pPr>
              <w:spacing w:after="0"/>
              <w:rPr>
                <w:sz w:val="15"/>
                <w:szCs w:val="15"/>
                <w:color w:val="auto"/>
              </w:rPr>
            </w:pPr>
          </w:p>
        </w:tc>
        <w:tc>
          <w:tcPr>
            <w:tcW w:w="96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spacing w:after="0"/>
              <w:rPr>
                <w:sz w:val="15"/>
                <w:szCs w:val="15"/>
                <w:color w:val="auto"/>
              </w:rPr>
            </w:pPr>
          </w:p>
        </w:tc>
        <w:tc>
          <w:tcPr>
            <w:tcW w:w="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5,269</w:t>
            </w: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116.40</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267,876</w:t>
            </w:r>
          </w:p>
        </w:tc>
        <w:tc>
          <w:tcPr>
            <w:tcW w:w="0" w:type="dxa"/>
            <w:vAlign w:val="bottom"/>
          </w:tcPr>
          <w:p>
            <w:pPr>
              <w:spacing w:after="0"/>
              <w:rPr>
                <w:sz w:val="1"/>
                <w:szCs w:val="1"/>
                <w:color w:val="auto"/>
              </w:rPr>
            </w:pPr>
          </w:p>
        </w:tc>
      </w:tr>
      <w:tr>
        <w:trPr>
          <w:trHeight w:val="54"/>
        </w:trPr>
        <w:tc>
          <w:tcPr>
            <w:tcW w:w="1660" w:type="dxa"/>
            <w:vAlign w:val="bottom"/>
            <w:tcBorders>
              <w:left w:val="single" w:sz="8" w:color="auto"/>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40" w:right="40" w:hanging="332"/>
        <w:spacing w:after="0" w:line="264" w:lineRule="auto"/>
        <w:tabs>
          <w:tab w:leader="none" w:pos="332"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Committee approved the 2024 bonuses to each of the NEOs on February 17, 2025 and the 2024 LTI awards to each of such NEOs on February 28, 2024. The 2024 LTI awards are generally subject to continued service through the applicable performance or vesting period.</w:t>
      </w:r>
    </w:p>
    <w:p>
      <w:pPr>
        <w:spacing w:after="0" w:line="22" w:lineRule="exact"/>
        <w:rPr>
          <w:rFonts w:ascii="Arial" w:cs="Arial" w:eastAsia="Arial" w:hAnsi="Arial"/>
          <w:sz w:val="13"/>
          <w:szCs w:val="13"/>
          <w:color w:val="auto"/>
        </w:rPr>
      </w:pPr>
    </w:p>
    <w:p>
      <w:pPr>
        <w:ind w:left="340" w:right="40" w:hanging="332"/>
        <w:spacing w:after="0" w:line="264" w:lineRule="auto"/>
        <w:tabs>
          <w:tab w:leader="none" w:pos="332"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the potential payout for 2024 bonuses. Threshold payout is 50% of target and maximum payout is 200% of target. Actual bonus earned for 2024 are included in the “Non-Equity Incentive Plan Compensation” column of the Summary Compensation Table.</w:t>
      </w:r>
    </w:p>
    <w:p>
      <w:pPr>
        <w:spacing w:after="0" w:line="22" w:lineRule="exact"/>
        <w:rPr>
          <w:rFonts w:ascii="Arial" w:cs="Arial" w:eastAsia="Arial" w:hAnsi="Arial"/>
          <w:sz w:val="13"/>
          <w:szCs w:val="13"/>
          <w:color w:val="auto"/>
        </w:rPr>
      </w:pPr>
    </w:p>
    <w:p>
      <w:pPr>
        <w:jc w:val="both"/>
        <w:ind w:left="340" w:right="20" w:hanging="332"/>
        <w:spacing w:after="0" w:line="262" w:lineRule="auto"/>
        <w:tabs>
          <w:tab w:leader="none" w:pos="332"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the potential payout for the PSUs granted on February 28, 2024. Threshold payout is 50% of target and maximum payout is 200% of target, and is based on the three-year r-TSR versus a peer group within the aggregated S&amp;P 600 Small Cap and S&amp;P 400 Mid Cap Capital Goods Indices for 2024-2026. Payout is capped at target if the Company TSR is negative. A description of our PSUs is included in the “Long-Term Incentives” section of the CD&amp;A.</w:t>
      </w:r>
    </w:p>
    <w:p>
      <w:pPr>
        <w:spacing w:after="0" w:line="23" w:lineRule="exact"/>
        <w:rPr>
          <w:rFonts w:ascii="Arial" w:cs="Arial" w:eastAsia="Arial" w:hAnsi="Arial"/>
          <w:sz w:val="13"/>
          <w:szCs w:val="13"/>
          <w:color w:val="auto"/>
        </w:rPr>
      </w:pPr>
    </w:p>
    <w:p>
      <w:pPr>
        <w:ind w:left="340" w:right="20" w:hanging="332"/>
        <w:spacing w:after="0" w:line="264" w:lineRule="auto"/>
        <w:tabs>
          <w:tab w:leader="none" w:pos="332"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the RSU awards for 2024. RSUs are time-based and do not have a performance requirement for vesting. The time-based awards vest 33 1/3 percent per year over three years on February 28, 2025, February 28, 2026, and February 28, 2027. A description of our RSUs is included in the “Long-Term Incentives” section of the CD&amp;A.</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the number of Options awarded on the grant date, and vest 33 1/3 percent per year over three years on February 28, 2025, February 28, 2026, and February 28, 2027.</w:t>
      </w:r>
    </w:p>
    <w:p>
      <w:pPr>
        <w:spacing w:after="0" w:line="66" w:lineRule="exact"/>
        <w:rPr>
          <w:rFonts w:ascii="Arial" w:cs="Arial" w:eastAsia="Arial" w:hAnsi="Arial"/>
          <w:sz w:val="13"/>
          <w:szCs w:val="13"/>
          <w:color w:val="auto"/>
        </w:rPr>
      </w:pPr>
    </w:p>
    <w:p>
      <w:pPr>
        <w:jc w:val="both"/>
        <w:ind w:left="340" w:right="20" w:hanging="332"/>
        <w:spacing w:after="0" w:line="251" w:lineRule="auto"/>
        <w:tabs>
          <w:tab w:leader="none" w:pos="332"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the grant date fair value of each equity-based award based on the Monte-Carlo simulation model valuation technique for PSUs, the closing stock price on the date of grant for RSUs, and a Black-Scholes option-pricing model for stock options. Fair Value is based on Topic 718. See Note 16 to the consolidated financial statements contained in our Annual Report on Form 10-K for the year ended December 31, 2024 for the assumptions used in the valuation of these awards. The values reported in this column for the PSUs were calculated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776605</wp:posOffset>
            </wp:positionV>
            <wp:extent cx="403225" cy="145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0322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2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39</w:t>
            </w:r>
          </w:p>
        </w:tc>
      </w:tr>
      <w:tr>
        <w:trPr>
          <w:trHeight w:val="27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92" w:right="319" w:bottom="1440" w:gutter="0" w:footer="0" w:header="0"/>
        </w:sectPr>
      </w:pPr>
    </w:p>
    <w:bookmarkStart w:id="45" w:name="page46"/>
    <w:bookmarkEnd w:id="45"/>
    <w:p>
      <w:pPr>
        <w:ind w:left="20"/>
        <w:spacing w:after="0"/>
        <w:rPr>
          <w:sz w:val="20"/>
          <w:szCs w:val="20"/>
          <w:color w:val="auto"/>
        </w:rPr>
      </w:pPr>
      <w:r>
        <w:rPr>
          <w:rFonts w:ascii="Arial" w:cs="Arial" w:eastAsia="Arial" w:hAnsi="Arial"/>
          <w:sz w:val="14"/>
          <w:szCs w:val="14"/>
          <w:color w:val="004C9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OUTSTANDING EQUITY AWARDS AT FISCAL YEAR-END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the outstanding equity awards held by each of our NEOs at December 31, 2024.</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1520" w:type="dxa"/>
            <w:vAlign w:val="bottom"/>
            <w:tcBorders>
              <w:top w:val="single" w:sz="8" w:color="auto"/>
              <w:left w:val="single" w:sz="8" w:color="auto"/>
              <w:bottom w:val="single" w:sz="8" w:color="004C97"/>
              <w:right w:val="single" w:sz="8" w:color="auto"/>
            </w:tcBorders>
            <w:shd w:val="clear" w:color="auto" w:fill="004C97"/>
          </w:tcPr>
          <w:p>
            <w:pPr>
              <w:spacing w:after="0"/>
              <w:rPr>
                <w:sz w:val="23"/>
                <w:szCs w:val="23"/>
                <w:color w:val="auto"/>
              </w:rPr>
            </w:pPr>
          </w:p>
        </w:tc>
        <w:tc>
          <w:tcPr>
            <w:tcW w:w="920" w:type="dxa"/>
            <w:vAlign w:val="bottom"/>
            <w:tcBorders>
              <w:top w:val="single" w:sz="8" w:color="auto"/>
              <w:bottom w:val="single" w:sz="8" w:color="004C97"/>
              <w:right w:val="single" w:sz="8" w:color="auto"/>
            </w:tcBorders>
            <w:shd w:val="clear" w:color="auto" w:fill="004C97"/>
          </w:tcPr>
          <w:p>
            <w:pPr>
              <w:spacing w:after="0"/>
              <w:rPr>
                <w:sz w:val="23"/>
                <w:szCs w:val="23"/>
                <w:color w:val="auto"/>
              </w:rPr>
            </w:pPr>
          </w:p>
        </w:tc>
        <w:tc>
          <w:tcPr>
            <w:tcW w:w="1200" w:type="dxa"/>
            <w:vAlign w:val="bottom"/>
            <w:tcBorders>
              <w:top w:val="single" w:sz="8" w:color="auto"/>
              <w:bottom w:val="single" w:sz="8" w:color="004C97"/>
              <w:right w:val="single" w:sz="8" w:color="004C97"/>
            </w:tcBorders>
            <w:shd w:val="clear" w:color="auto" w:fill="004C97"/>
          </w:tcPr>
          <w:p>
            <w:pPr>
              <w:spacing w:after="0"/>
              <w:rPr>
                <w:sz w:val="23"/>
                <w:szCs w:val="23"/>
                <w:color w:val="auto"/>
              </w:rPr>
            </w:pPr>
          </w:p>
        </w:tc>
        <w:tc>
          <w:tcPr>
            <w:tcW w:w="1940" w:type="dxa"/>
            <w:vAlign w:val="bottom"/>
            <w:tcBorders>
              <w:top w:val="single" w:sz="8" w:color="auto"/>
              <w:bottom w:val="single" w:sz="8" w:color="004C97"/>
              <w:right w:val="single" w:sz="8" w:color="004C97"/>
            </w:tcBorders>
            <w:gridSpan w:val="2"/>
            <w:shd w:val="clear" w:color="auto" w:fill="004C97"/>
          </w:tcPr>
          <w:p>
            <w:pPr>
              <w:jc w:val="right"/>
              <w:ind w:right="577"/>
              <w:spacing w:after="0"/>
              <w:rPr>
                <w:sz w:val="20"/>
                <w:szCs w:val="20"/>
                <w:color w:val="auto"/>
              </w:rPr>
            </w:pPr>
            <w:r>
              <w:rPr>
                <w:rFonts w:ascii="Arial" w:cs="Arial" w:eastAsia="Arial" w:hAnsi="Arial"/>
                <w:sz w:val="13"/>
                <w:szCs w:val="13"/>
                <w:b w:val="1"/>
                <w:bCs w:val="1"/>
                <w:color w:val="FFFFFF"/>
              </w:rPr>
              <w:t>Option Awards</w:t>
            </w:r>
          </w:p>
        </w:tc>
        <w:tc>
          <w:tcPr>
            <w:tcW w:w="980" w:type="dxa"/>
            <w:vAlign w:val="bottom"/>
            <w:tcBorders>
              <w:top w:val="single" w:sz="8" w:color="auto"/>
              <w:bottom w:val="single" w:sz="8" w:color="004C97"/>
              <w:right w:val="single" w:sz="8" w:color="auto"/>
            </w:tcBorders>
            <w:shd w:val="clear" w:color="auto" w:fill="004C97"/>
          </w:tcPr>
          <w:p>
            <w:pPr>
              <w:spacing w:after="0"/>
              <w:rPr>
                <w:sz w:val="23"/>
                <w:szCs w:val="23"/>
                <w:color w:val="auto"/>
              </w:rPr>
            </w:pPr>
          </w:p>
        </w:tc>
        <w:tc>
          <w:tcPr>
            <w:tcW w:w="780" w:type="dxa"/>
            <w:vAlign w:val="bottom"/>
            <w:tcBorders>
              <w:top w:val="single" w:sz="8" w:color="auto"/>
              <w:bottom w:val="single" w:sz="8" w:color="004C97"/>
            </w:tcBorders>
            <w:shd w:val="clear" w:color="auto" w:fill="004C97"/>
          </w:tcPr>
          <w:p>
            <w:pPr>
              <w:spacing w:after="0"/>
              <w:rPr>
                <w:sz w:val="23"/>
                <w:szCs w:val="23"/>
                <w:color w:val="auto"/>
              </w:rPr>
            </w:pPr>
          </w:p>
        </w:tc>
        <w:tc>
          <w:tcPr>
            <w:tcW w:w="420" w:type="dxa"/>
            <w:vAlign w:val="bottom"/>
            <w:tcBorders>
              <w:top w:val="single" w:sz="8" w:color="auto"/>
              <w:bottom w:val="single" w:sz="8" w:color="004C97"/>
              <w:right w:val="single" w:sz="8" w:color="004C97"/>
            </w:tcBorders>
            <w:shd w:val="clear" w:color="auto" w:fill="004C97"/>
          </w:tcPr>
          <w:p>
            <w:pPr>
              <w:spacing w:after="0"/>
              <w:rPr>
                <w:sz w:val="23"/>
                <w:szCs w:val="23"/>
                <w:color w:val="auto"/>
              </w:rPr>
            </w:pPr>
          </w:p>
        </w:tc>
        <w:tc>
          <w:tcPr>
            <w:tcW w:w="1860" w:type="dxa"/>
            <w:vAlign w:val="bottom"/>
            <w:tcBorders>
              <w:top w:val="single" w:sz="8" w:color="auto"/>
              <w:bottom w:val="single" w:sz="8" w:color="004C97"/>
            </w:tcBorders>
            <w:gridSpan w:val="2"/>
            <w:shd w:val="clear" w:color="auto" w:fill="004C97"/>
          </w:tcPr>
          <w:p>
            <w:pPr>
              <w:jc w:val="right"/>
              <w:ind w:right="237"/>
              <w:spacing w:after="0"/>
              <w:rPr>
                <w:sz w:val="20"/>
                <w:szCs w:val="20"/>
                <w:color w:val="auto"/>
              </w:rPr>
            </w:pPr>
            <w:r>
              <w:rPr>
                <w:rFonts w:ascii="Arial" w:cs="Arial" w:eastAsia="Arial" w:hAnsi="Arial"/>
                <w:sz w:val="13"/>
                <w:szCs w:val="13"/>
                <w:b w:val="1"/>
                <w:bCs w:val="1"/>
                <w:color w:val="FFFFFF"/>
              </w:rPr>
              <w:t>Stock Awards</w:t>
            </w:r>
          </w:p>
        </w:tc>
        <w:tc>
          <w:tcPr>
            <w:tcW w:w="420" w:type="dxa"/>
            <w:vAlign w:val="bottom"/>
            <w:tcBorders>
              <w:top w:val="single" w:sz="8" w:color="auto"/>
              <w:bottom w:val="single" w:sz="8" w:color="004C97"/>
              <w:right w:val="single" w:sz="8" w:color="004C97"/>
            </w:tcBorders>
            <w:shd w:val="clear" w:color="auto" w:fill="004C97"/>
          </w:tcPr>
          <w:p>
            <w:pPr>
              <w:spacing w:after="0"/>
              <w:rPr>
                <w:sz w:val="23"/>
                <w:szCs w:val="23"/>
                <w:color w:val="auto"/>
              </w:rPr>
            </w:pPr>
          </w:p>
        </w:tc>
        <w:tc>
          <w:tcPr>
            <w:tcW w:w="1220" w:type="dxa"/>
            <w:vAlign w:val="bottom"/>
            <w:tcBorders>
              <w:top w:val="single" w:sz="8" w:color="auto"/>
              <w:bottom w:val="single" w:sz="8" w:color="004C97"/>
              <w:right w:val="single" w:sz="8" w:color="auto"/>
            </w:tcBorders>
            <w:shd w:val="clear" w:color="auto" w:fill="004C97"/>
          </w:tcPr>
          <w:p>
            <w:pPr>
              <w:spacing w:after="0"/>
              <w:rPr>
                <w:sz w:val="23"/>
                <w:szCs w:val="23"/>
                <w:color w:val="auto"/>
              </w:rPr>
            </w:pPr>
          </w:p>
        </w:tc>
        <w:tc>
          <w:tcPr>
            <w:tcW w:w="0" w:type="dxa"/>
            <w:vAlign w:val="bottom"/>
          </w:tcPr>
          <w:p>
            <w:pPr>
              <w:spacing w:after="0"/>
              <w:rPr>
                <w:sz w:val="1"/>
                <w:szCs w:val="1"/>
                <w:color w:val="auto"/>
              </w:rPr>
            </w:pPr>
          </w:p>
        </w:tc>
      </w:tr>
      <w:tr>
        <w:trPr>
          <w:trHeight w:val="597"/>
        </w:trPr>
        <w:tc>
          <w:tcPr>
            <w:tcW w:w="1520" w:type="dxa"/>
            <w:vAlign w:val="bottom"/>
            <w:tcBorders>
              <w:top w:val="single" w:sz="8" w:color="004C97"/>
              <w:left w:val="single" w:sz="8" w:color="auto"/>
              <w:right w:val="single" w:sz="8" w:color="auto"/>
            </w:tcBorders>
            <w:shd w:val="clear" w:color="auto" w:fill="004C97"/>
          </w:tcPr>
          <w:p>
            <w:pPr>
              <w:spacing w:after="0"/>
              <w:rPr>
                <w:sz w:val="24"/>
                <w:szCs w:val="24"/>
                <w:color w:val="auto"/>
              </w:rPr>
            </w:pPr>
          </w:p>
        </w:tc>
        <w:tc>
          <w:tcPr>
            <w:tcW w:w="920" w:type="dxa"/>
            <w:vAlign w:val="bottom"/>
            <w:tcBorders>
              <w:top w:val="single" w:sz="8" w:color="004C97"/>
              <w:right w:val="single" w:sz="8" w:color="auto"/>
            </w:tcBorders>
            <w:shd w:val="clear" w:color="auto" w:fill="004C97"/>
          </w:tcPr>
          <w:p>
            <w:pPr>
              <w:spacing w:after="0"/>
              <w:rPr>
                <w:sz w:val="24"/>
                <w:szCs w:val="24"/>
                <w:color w:val="auto"/>
              </w:rPr>
            </w:pPr>
          </w:p>
        </w:tc>
        <w:tc>
          <w:tcPr>
            <w:tcW w:w="1200" w:type="dxa"/>
            <w:vAlign w:val="bottom"/>
            <w:tcBorders>
              <w:top w:val="single" w:sz="8" w:color="auto"/>
              <w:right w:val="single" w:sz="8" w:color="auto"/>
            </w:tcBorders>
            <w:shd w:val="clear" w:color="auto" w:fill="004C97"/>
          </w:tcPr>
          <w:p>
            <w:pPr>
              <w:spacing w:after="0"/>
              <w:rPr>
                <w:sz w:val="24"/>
                <w:szCs w:val="24"/>
                <w:color w:val="auto"/>
              </w:rPr>
            </w:pPr>
          </w:p>
        </w:tc>
        <w:tc>
          <w:tcPr>
            <w:tcW w:w="1040" w:type="dxa"/>
            <w:vAlign w:val="bottom"/>
            <w:tcBorders>
              <w:top w:val="single" w:sz="8" w:color="auto"/>
              <w:right w:val="single" w:sz="8" w:color="auto"/>
            </w:tcBorders>
            <w:shd w:val="clear" w:color="auto" w:fill="004C97"/>
          </w:tcPr>
          <w:p>
            <w:pPr>
              <w:spacing w:after="0"/>
              <w:rPr>
                <w:sz w:val="24"/>
                <w:szCs w:val="24"/>
                <w:color w:val="auto"/>
              </w:rPr>
            </w:pPr>
          </w:p>
        </w:tc>
        <w:tc>
          <w:tcPr>
            <w:tcW w:w="900" w:type="dxa"/>
            <w:vAlign w:val="bottom"/>
            <w:tcBorders>
              <w:top w:val="single" w:sz="8" w:color="auto"/>
              <w:right w:val="single" w:sz="8" w:color="auto"/>
            </w:tcBorders>
            <w:shd w:val="clear" w:color="auto" w:fill="004C97"/>
          </w:tcPr>
          <w:p>
            <w:pPr>
              <w:spacing w:after="0"/>
              <w:rPr>
                <w:sz w:val="24"/>
                <w:szCs w:val="24"/>
                <w:color w:val="auto"/>
              </w:rPr>
            </w:pPr>
          </w:p>
        </w:tc>
        <w:tc>
          <w:tcPr>
            <w:tcW w:w="980" w:type="dxa"/>
            <w:vAlign w:val="bottom"/>
            <w:tcBorders>
              <w:top w:val="single" w:sz="8" w:color="auto"/>
              <w:right w:val="single" w:sz="8" w:color="auto"/>
            </w:tcBorders>
            <w:shd w:val="clear" w:color="auto" w:fill="004C97"/>
          </w:tcPr>
          <w:p>
            <w:pPr>
              <w:spacing w:after="0"/>
              <w:rPr>
                <w:sz w:val="24"/>
                <w:szCs w:val="24"/>
                <w:color w:val="auto"/>
              </w:rPr>
            </w:pPr>
          </w:p>
        </w:tc>
        <w:tc>
          <w:tcPr>
            <w:tcW w:w="780" w:type="dxa"/>
            <w:vAlign w:val="bottom"/>
            <w:tcBorders>
              <w:top w:val="single" w:sz="8" w:color="auto"/>
            </w:tcBorders>
            <w:shd w:val="clear" w:color="auto" w:fill="004C97"/>
          </w:tcPr>
          <w:p>
            <w:pPr>
              <w:spacing w:after="0"/>
              <w:rPr>
                <w:sz w:val="24"/>
                <w:szCs w:val="24"/>
                <w:color w:val="auto"/>
              </w:rPr>
            </w:pPr>
          </w:p>
        </w:tc>
        <w:tc>
          <w:tcPr>
            <w:tcW w:w="420" w:type="dxa"/>
            <w:vAlign w:val="bottom"/>
            <w:tcBorders>
              <w:top w:val="single" w:sz="8" w:color="auto"/>
              <w:right w:val="single" w:sz="8" w:color="auto"/>
            </w:tcBorders>
            <w:shd w:val="clear" w:color="auto" w:fill="004C97"/>
          </w:tcPr>
          <w:p>
            <w:pPr>
              <w:spacing w:after="0"/>
              <w:rPr>
                <w:sz w:val="24"/>
                <w:szCs w:val="24"/>
                <w:color w:val="auto"/>
              </w:rPr>
            </w:pPr>
          </w:p>
        </w:tc>
        <w:tc>
          <w:tcPr>
            <w:tcW w:w="1200" w:type="dxa"/>
            <w:vAlign w:val="bottom"/>
            <w:tcBorders>
              <w:top w:val="single" w:sz="8" w:color="auto"/>
              <w:right w:val="single" w:sz="8" w:color="auto"/>
            </w:tcBorders>
            <w:shd w:val="clear" w:color="auto" w:fill="004C97"/>
          </w:tcPr>
          <w:p>
            <w:pPr>
              <w:spacing w:after="0"/>
              <w:rPr>
                <w:sz w:val="24"/>
                <w:szCs w:val="24"/>
                <w:color w:val="auto"/>
              </w:rPr>
            </w:pPr>
          </w:p>
        </w:tc>
        <w:tc>
          <w:tcPr>
            <w:tcW w:w="660" w:type="dxa"/>
            <w:vAlign w:val="bottom"/>
            <w:tcBorders>
              <w:top w:val="single" w:sz="8" w:color="auto"/>
            </w:tcBorders>
            <w:shd w:val="clear" w:color="auto" w:fill="004C97"/>
          </w:tcPr>
          <w:p>
            <w:pPr>
              <w:spacing w:after="0"/>
              <w:rPr>
                <w:sz w:val="24"/>
                <w:szCs w:val="24"/>
                <w:color w:val="auto"/>
              </w:rPr>
            </w:pPr>
          </w:p>
        </w:tc>
        <w:tc>
          <w:tcPr>
            <w:tcW w:w="420" w:type="dxa"/>
            <w:vAlign w:val="bottom"/>
            <w:tcBorders>
              <w:top w:val="single" w:sz="8" w:color="auto"/>
              <w:right w:val="single" w:sz="8" w:color="auto"/>
            </w:tcBorders>
            <w:shd w:val="clear" w:color="auto" w:fill="004C97"/>
          </w:tcPr>
          <w:p>
            <w:pPr>
              <w:spacing w:after="0"/>
              <w:rPr>
                <w:sz w:val="24"/>
                <w:szCs w:val="24"/>
                <w:color w:val="auto"/>
              </w:rPr>
            </w:pPr>
          </w:p>
        </w:tc>
        <w:tc>
          <w:tcPr>
            <w:tcW w:w="122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shd w:val="clear" w:color="auto" w:fill="004C97"/>
          </w:tcPr>
          <w:p>
            <w:pPr>
              <w:spacing w:after="0"/>
              <w:rPr>
                <w:sz w:val="12"/>
                <w:szCs w:val="12"/>
                <w:color w:val="auto"/>
              </w:rPr>
            </w:pPr>
          </w:p>
        </w:tc>
        <w:tc>
          <w:tcPr>
            <w:tcW w:w="920" w:type="dxa"/>
            <w:vAlign w:val="bottom"/>
            <w:tcBorders>
              <w:right w:val="single" w:sz="8" w:color="auto"/>
            </w:tcBorders>
            <w:shd w:val="clear" w:color="auto" w:fill="004C97"/>
          </w:tcPr>
          <w:p>
            <w:pPr>
              <w:spacing w:after="0"/>
              <w:rPr>
                <w:sz w:val="12"/>
                <w:szCs w:val="12"/>
                <w:color w:val="auto"/>
              </w:rPr>
            </w:pPr>
          </w:p>
        </w:tc>
        <w:tc>
          <w:tcPr>
            <w:tcW w:w="1200" w:type="dxa"/>
            <w:vAlign w:val="bottom"/>
            <w:tcBorders>
              <w:right w:val="single" w:sz="8" w:color="auto"/>
            </w:tcBorders>
            <w:shd w:val="clear" w:color="auto" w:fill="004C97"/>
          </w:tcPr>
          <w:p>
            <w:pPr>
              <w:spacing w:after="0"/>
              <w:rPr>
                <w:sz w:val="12"/>
                <w:szCs w:val="12"/>
                <w:color w:val="auto"/>
              </w:rPr>
            </w:pPr>
          </w:p>
        </w:tc>
        <w:tc>
          <w:tcPr>
            <w:tcW w:w="1040" w:type="dxa"/>
            <w:vAlign w:val="bottom"/>
            <w:tcBorders>
              <w:right w:val="single" w:sz="8" w:color="auto"/>
            </w:tcBorders>
            <w:shd w:val="clear" w:color="auto" w:fill="004C97"/>
          </w:tcPr>
          <w:p>
            <w:pPr>
              <w:spacing w:after="0"/>
              <w:rPr>
                <w:sz w:val="12"/>
                <w:szCs w:val="12"/>
                <w:color w:val="auto"/>
              </w:rPr>
            </w:pPr>
          </w:p>
        </w:tc>
        <w:tc>
          <w:tcPr>
            <w:tcW w:w="900" w:type="dxa"/>
            <w:vAlign w:val="bottom"/>
            <w:tcBorders>
              <w:right w:val="single" w:sz="8" w:color="auto"/>
            </w:tcBorders>
            <w:shd w:val="clear" w:color="auto" w:fill="004C97"/>
          </w:tcPr>
          <w:p>
            <w:pPr>
              <w:spacing w:after="0"/>
              <w:rPr>
                <w:sz w:val="12"/>
                <w:szCs w:val="12"/>
                <w:color w:val="auto"/>
              </w:rPr>
            </w:pPr>
          </w:p>
        </w:tc>
        <w:tc>
          <w:tcPr>
            <w:tcW w:w="980" w:type="dxa"/>
            <w:vAlign w:val="bottom"/>
            <w:tcBorders>
              <w:right w:val="single" w:sz="8" w:color="auto"/>
            </w:tcBorders>
            <w:shd w:val="clear" w:color="auto" w:fill="004C97"/>
          </w:tcPr>
          <w:p>
            <w:pPr>
              <w:spacing w:after="0"/>
              <w:rPr>
                <w:sz w:val="12"/>
                <w:szCs w:val="12"/>
                <w:color w:val="auto"/>
              </w:rPr>
            </w:pPr>
          </w:p>
        </w:tc>
        <w:tc>
          <w:tcPr>
            <w:tcW w:w="780" w:type="dxa"/>
            <w:vAlign w:val="bottom"/>
            <w:shd w:val="clear" w:color="auto" w:fill="004C97"/>
          </w:tcPr>
          <w:p>
            <w:pPr>
              <w:spacing w:after="0"/>
              <w:rPr>
                <w:sz w:val="12"/>
                <w:szCs w:val="12"/>
                <w:color w:val="auto"/>
              </w:rPr>
            </w:pPr>
          </w:p>
        </w:tc>
        <w:tc>
          <w:tcPr>
            <w:tcW w:w="420" w:type="dxa"/>
            <w:vAlign w:val="bottom"/>
            <w:tcBorders>
              <w:right w:val="single" w:sz="8" w:color="auto"/>
            </w:tcBorders>
            <w:shd w:val="clear" w:color="auto" w:fill="004C97"/>
          </w:tcPr>
          <w:p>
            <w:pPr>
              <w:spacing w:after="0"/>
              <w:rPr>
                <w:sz w:val="12"/>
                <w:szCs w:val="12"/>
                <w:color w:val="auto"/>
              </w:rPr>
            </w:pPr>
          </w:p>
        </w:tc>
        <w:tc>
          <w:tcPr>
            <w:tcW w:w="1200" w:type="dxa"/>
            <w:vAlign w:val="bottom"/>
            <w:tcBorders>
              <w:right w:val="single" w:sz="8" w:color="auto"/>
            </w:tcBorders>
            <w:shd w:val="clear" w:color="auto" w:fill="004C97"/>
          </w:tcPr>
          <w:p>
            <w:pPr>
              <w:spacing w:after="0"/>
              <w:rPr>
                <w:sz w:val="12"/>
                <w:szCs w:val="12"/>
                <w:color w:val="auto"/>
              </w:rPr>
            </w:pPr>
          </w:p>
        </w:tc>
        <w:tc>
          <w:tcPr>
            <w:tcW w:w="1080" w:type="dxa"/>
            <w:vAlign w:val="bottom"/>
            <w:tcBorders>
              <w:right w:val="single" w:sz="8" w:color="auto"/>
            </w:tcBorders>
            <w:gridSpan w:val="2"/>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Equity</w:t>
            </w:r>
          </w:p>
        </w:tc>
        <w:tc>
          <w:tcPr>
            <w:tcW w:w="122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6"/>
              </w:rPr>
              <w:t>Incentive Plan</w:t>
            </w: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shd w:val="clear" w:color="auto" w:fill="004C97"/>
          </w:tcPr>
          <w:p>
            <w:pPr>
              <w:spacing w:after="0"/>
              <w:rPr>
                <w:sz w:val="12"/>
                <w:szCs w:val="12"/>
                <w:color w:val="auto"/>
              </w:rPr>
            </w:pPr>
          </w:p>
        </w:tc>
        <w:tc>
          <w:tcPr>
            <w:tcW w:w="920" w:type="dxa"/>
            <w:vAlign w:val="bottom"/>
            <w:tcBorders>
              <w:right w:val="single" w:sz="8" w:color="auto"/>
            </w:tcBorders>
            <w:shd w:val="clear" w:color="auto" w:fill="004C97"/>
          </w:tcPr>
          <w:p>
            <w:pPr>
              <w:spacing w:after="0"/>
              <w:rPr>
                <w:sz w:val="12"/>
                <w:szCs w:val="12"/>
                <w:color w:val="auto"/>
              </w:rPr>
            </w:pPr>
          </w:p>
        </w:tc>
        <w:tc>
          <w:tcPr>
            <w:tcW w:w="1200" w:type="dxa"/>
            <w:vAlign w:val="bottom"/>
            <w:tcBorders>
              <w:right w:val="single" w:sz="8" w:color="auto"/>
            </w:tcBorders>
            <w:shd w:val="clear" w:color="auto" w:fill="004C97"/>
          </w:tcPr>
          <w:p>
            <w:pPr>
              <w:spacing w:after="0"/>
              <w:rPr>
                <w:sz w:val="12"/>
                <w:szCs w:val="12"/>
                <w:color w:val="auto"/>
              </w:rPr>
            </w:pPr>
          </w:p>
        </w:tc>
        <w:tc>
          <w:tcPr>
            <w:tcW w:w="1040" w:type="dxa"/>
            <w:vAlign w:val="bottom"/>
            <w:tcBorders>
              <w:right w:val="single" w:sz="8" w:color="auto"/>
            </w:tcBorders>
            <w:shd w:val="clear" w:color="auto" w:fill="004C97"/>
          </w:tcPr>
          <w:p>
            <w:pPr>
              <w:spacing w:after="0"/>
              <w:rPr>
                <w:sz w:val="12"/>
                <w:szCs w:val="12"/>
                <w:color w:val="auto"/>
              </w:rPr>
            </w:pPr>
          </w:p>
        </w:tc>
        <w:tc>
          <w:tcPr>
            <w:tcW w:w="900" w:type="dxa"/>
            <w:vAlign w:val="bottom"/>
            <w:tcBorders>
              <w:right w:val="single" w:sz="8" w:color="auto"/>
            </w:tcBorders>
            <w:shd w:val="clear" w:color="auto" w:fill="004C97"/>
          </w:tcPr>
          <w:p>
            <w:pPr>
              <w:spacing w:after="0"/>
              <w:rPr>
                <w:sz w:val="12"/>
                <w:szCs w:val="12"/>
                <w:color w:val="auto"/>
              </w:rPr>
            </w:pPr>
          </w:p>
        </w:tc>
        <w:tc>
          <w:tcPr>
            <w:tcW w:w="980" w:type="dxa"/>
            <w:vAlign w:val="bottom"/>
            <w:tcBorders>
              <w:right w:val="single" w:sz="8" w:color="auto"/>
            </w:tcBorders>
            <w:shd w:val="clear" w:color="auto" w:fill="004C97"/>
          </w:tcPr>
          <w:p>
            <w:pPr>
              <w:spacing w:after="0"/>
              <w:rPr>
                <w:sz w:val="12"/>
                <w:szCs w:val="12"/>
                <w:color w:val="auto"/>
              </w:rPr>
            </w:pPr>
          </w:p>
        </w:tc>
        <w:tc>
          <w:tcPr>
            <w:tcW w:w="780" w:type="dxa"/>
            <w:vAlign w:val="bottom"/>
            <w:shd w:val="clear" w:color="auto" w:fill="004C97"/>
          </w:tcPr>
          <w:p>
            <w:pPr>
              <w:spacing w:after="0"/>
              <w:rPr>
                <w:sz w:val="12"/>
                <w:szCs w:val="12"/>
                <w:color w:val="auto"/>
              </w:rPr>
            </w:pPr>
          </w:p>
        </w:tc>
        <w:tc>
          <w:tcPr>
            <w:tcW w:w="420" w:type="dxa"/>
            <w:vAlign w:val="bottom"/>
            <w:tcBorders>
              <w:right w:val="single" w:sz="8" w:color="auto"/>
            </w:tcBorders>
            <w:shd w:val="clear" w:color="auto" w:fill="004C97"/>
          </w:tcPr>
          <w:p>
            <w:pPr>
              <w:spacing w:after="0"/>
              <w:rPr>
                <w:sz w:val="12"/>
                <w:szCs w:val="12"/>
                <w:color w:val="auto"/>
              </w:rPr>
            </w:pPr>
          </w:p>
        </w:tc>
        <w:tc>
          <w:tcPr>
            <w:tcW w:w="1200" w:type="dxa"/>
            <w:vAlign w:val="bottom"/>
            <w:tcBorders>
              <w:right w:val="single" w:sz="8" w:color="auto"/>
            </w:tcBorders>
            <w:shd w:val="clear" w:color="auto" w:fill="004C97"/>
          </w:tcPr>
          <w:p>
            <w:pPr>
              <w:spacing w:after="0"/>
              <w:rPr>
                <w:sz w:val="12"/>
                <w:szCs w:val="12"/>
                <w:color w:val="auto"/>
              </w:rPr>
            </w:pPr>
          </w:p>
        </w:tc>
        <w:tc>
          <w:tcPr>
            <w:tcW w:w="1080" w:type="dxa"/>
            <w:vAlign w:val="bottom"/>
            <w:tcBorders>
              <w:right w:val="single" w:sz="8" w:color="auto"/>
            </w:tcBorders>
            <w:gridSpan w:val="2"/>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Incentive</w:t>
            </w:r>
          </w:p>
        </w:tc>
        <w:tc>
          <w:tcPr>
            <w:tcW w:w="122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3"/>
              </w:rPr>
              <w:t>Awards:</w:t>
            </w:r>
          </w:p>
        </w:tc>
        <w:tc>
          <w:tcPr>
            <w:tcW w:w="0" w:type="dxa"/>
            <w:vAlign w:val="bottom"/>
          </w:tcPr>
          <w:p>
            <w:pPr>
              <w:spacing w:after="0"/>
              <w:rPr>
                <w:sz w:val="1"/>
                <w:szCs w:val="1"/>
                <w:color w:val="auto"/>
              </w:rPr>
            </w:pPr>
          </w:p>
        </w:tc>
      </w:tr>
      <w:tr>
        <w:trPr>
          <w:trHeight w:val="149"/>
        </w:trPr>
        <w:tc>
          <w:tcPr>
            <w:tcW w:w="1520" w:type="dxa"/>
            <w:vAlign w:val="bottom"/>
            <w:tcBorders>
              <w:left w:val="single" w:sz="8" w:color="auto"/>
              <w:right w:val="single" w:sz="8" w:color="auto"/>
            </w:tcBorders>
            <w:shd w:val="clear" w:color="auto" w:fill="004C97"/>
          </w:tcPr>
          <w:p>
            <w:pPr>
              <w:spacing w:after="0"/>
              <w:rPr>
                <w:sz w:val="12"/>
                <w:szCs w:val="12"/>
                <w:color w:val="auto"/>
              </w:rPr>
            </w:pPr>
          </w:p>
        </w:tc>
        <w:tc>
          <w:tcPr>
            <w:tcW w:w="920" w:type="dxa"/>
            <w:vAlign w:val="bottom"/>
            <w:tcBorders>
              <w:right w:val="single" w:sz="8" w:color="auto"/>
            </w:tcBorders>
            <w:shd w:val="clear" w:color="auto" w:fill="004C97"/>
          </w:tcPr>
          <w:p>
            <w:pPr>
              <w:spacing w:after="0"/>
              <w:rPr>
                <w:sz w:val="12"/>
                <w:szCs w:val="12"/>
                <w:color w:val="auto"/>
              </w:rPr>
            </w:pPr>
          </w:p>
        </w:tc>
        <w:tc>
          <w:tcPr>
            <w:tcW w:w="1200" w:type="dxa"/>
            <w:vAlign w:val="bottom"/>
            <w:tcBorders>
              <w:right w:val="single" w:sz="8" w:color="auto"/>
            </w:tcBorders>
            <w:shd w:val="clear" w:color="auto" w:fill="004C97"/>
          </w:tcPr>
          <w:p>
            <w:pPr>
              <w:spacing w:after="0"/>
              <w:rPr>
                <w:sz w:val="12"/>
                <w:szCs w:val="12"/>
                <w:color w:val="auto"/>
              </w:rPr>
            </w:pPr>
          </w:p>
        </w:tc>
        <w:tc>
          <w:tcPr>
            <w:tcW w:w="1040" w:type="dxa"/>
            <w:vAlign w:val="bottom"/>
            <w:tcBorders>
              <w:right w:val="single" w:sz="8" w:color="auto"/>
            </w:tcBorders>
            <w:shd w:val="clear" w:color="auto" w:fill="004C97"/>
          </w:tcPr>
          <w:p>
            <w:pPr>
              <w:spacing w:after="0"/>
              <w:rPr>
                <w:sz w:val="12"/>
                <w:szCs w:val="12"/>
                <w:color w:val="auto"/>
              </w:rPr>
            </w:pPr>
          </w:p>
        </w:tc>
        <w:tc>
          <w:tcPr>
            <w:tcW w:w="900" w:type="dxa"/>
            <w:vAlign w:val="bottom"/>
            <w:tcBorders>
              <w:right w:val="single" w:sz="8" w:color="auto"/>
            </w:tcBorders>
            <w:shd w:val="clear" w:color="auto" w:fill="004C97"/>
          </w:tcPr>
          <w:p>
            <w:pPr>
              <w:spacing w:after="0"/>
              <w:rPr>
                <w:sz w:val="12"/>
                <w:szCs w:val="12"/>
                <w:color w:val="auto"/>
              </w:rPr>
            </w:pPr>
          </w:p>
        </w:tc>
        <w:tc>
          <w:tcPr>
            <w:tcW w:w="980" w:type="dxa"/>
            <w:vAlign w:val="bottom"/>
            <w:tcBorders>
              <w:right w:val="single" w:sz="8" w:color="auto"/>
            </w:tcBorders>
            <w:shd w:val="clear" w:color="auto" w:fill="004C97"/>
          </w:tcPr>
          <w:p>
            <w:pPr>
              <w:spacing w:after="0"/>
              <w:rPr>
                <w:sz w:val="12"/>
                <w:szCs w:val="12"/>
                <w:color w:val="auto"/>
              </w:rPr>
            </w:pPr>
          </w:p>
        </w:tc>
        <w:tc>
          <w:tcPr>
            <w:tcW w:w="780" w:type="dxa"/>
            <w:vAlign w:val="bottom"/>
            <w:shd w:val="clear" w:color="auto" w:fill="004C97"/>
          </w:tcPr>
          <w:p>
            <w:pPr>
              <w:spacing w:after="0"/>
              <w:rPr>
                <w:sz w:val="12"/>
                <w:szCs w:val="12"/>
                <w:color w:val="auto"/>
              </w:rPr>
            </w:pPr>
          </w:p>
        </w:tc>
        <w:tc>
          <w:tcPr>
            <w:tcW w:w="420" w:type="dxa"/>
            <w:vAlign w:val="bottom"/>
            <w:tcBorders>
              <w:right w:val="single" w:sz="8" w:color="auto"/>
            </w:tcBorders>
            <w:shd w:val="clear" w:color="auto" w:fill="004C97"/>
          </w:tcPr>
          <w:p>
            <w:pPr>
              <w:spacing w:after="0"/>
              <w:rPr>
                <w:sz w:val="12"/>
                <w:szCs w:val="12"/>
                <w:color w:val="auto"/>
              </w:rPr>
            </w:pPr>
          </w:p>
        </w:tc>
        <w:tc>
          <w:tcPr>
            <w:tcW w:w="12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Market or</w:t>
            </w:r>
          </w:p>
        </w:tc>
        <w:tc>
          <w:tcPr>
            <w:tcW w:w="1080" w:type="dxa"/>
            <w:vAlign w:val="bottom"/>
            <w:tcBorders>
              <w:right w:val="single" w:sz="8" w:color="auto"/>
            </w:tcBorders>
            <w:gridSpan w:val="2"/>
            <w:shd w:val="clear" w:color="auto" w:fill="004C97"/>
          </w:tcPr>
          <w:p>
            <w:pPr>
              <w:jc w:val="center"/>
              <w:spacing w:after="0"/>
              <w:rPr>
                <w:sz w:val="20"/>
                <w:szCs w:val="20"/>
                <w:color w:val="auto"/>
              </w:rPr>
            </w:pPr>
            <w:r>
              <w:rPr>
                <w:rFonts w:ascii="Arial" w:cs="Arial" w:eastAsia="Arial" w:hAnsi="Arial"/>
                <w:sz w:val="13"/>
                <w:szCs w:val="13"/>
                <w:b w:val="1"/>
                <w:bCs w:val="1"/>
                <w:color w:val="FFFFFF"/>
                <w:w w:val="97"/>
              </w:rPr>
              <w:t>Plan Awards:</w:t>
            </w:r>
          </w:p>
        </w:tc>
        <w:tc>
          <w:tcPr>
            <w:tcW w:w="122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Market or</w:t>
            </w: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shd w:val="clear" w:color="auto" w:fill="004C97"/>
          </w:tcPr>
          <w:p>
            <w:pPr>
              <w:spacing w:after="0"/>
              <w:rPr>
                <w:sz w:val="12"/>
                <w:szCs w:val="12"/>
                <w:color w:val="auto"/>
              </w:rPr>
            </w:pPr>
          </w:p>
        </w:tc>
        <w:tc>
          <w:tcPr>
            <w:tcW w:w="920" w:type="dxa"/>
            <w:vAlign w:val="bottom"/>
            <w:tcBorders>
              <w:right w:val="single" w:sz="8" w:color="auto"/>
            </w:tcBorders>
            <w:shd w:val="clear" w:color="auto" w:fill="004C97"/>
          </w:tcPr>
          <w:p>
            <w:pPr>
              <w:spacing w:after="0"/>
              <w:rPr>
                <w:sz w:val="12"/>
                <w:szCs w:val="12"/>
                <w:color w:val="auto"/>
              </w:rPr>
            </w:pPr>
          </w:p>
        </w:tc>
        <w:tc>
          <w:tcPr>
            <w:tcW w:w="1200" w:type="dxa"/>
            <w:vAlign w:val="bottom"/>
            <w:tcBorders>
              <w:right w:val="single" w:sz="8" w:color="auto"/>
            </w:tcBorders>
            <w:shd w:val="clear" w:color="auto" w:fill="004C97"/>
          </w:tcPr>
          <w:p>
            <w:pPr>
              <w:spacing w:after="0"/>
              <w:rPr>
                <w:sz w:val="12"/>
                <w:szCs w:val="12"/>
                <w:color w:val="auto"/>
              </w:rPr>
            </w:pPr>
          </w:p>
        </w:tc>
        <w:tc>
          <w:tcPr>
            <w:tcW w:w="1040" w:type="dxa"/>
            <w:vAlign w:val="bottom"/>
            <w:tcBorders>
              <w:right w:val="single" w:sz="8" w:color="auto"/>
            </w:tcBorders>
            <w:shd w:val="clear" w:color="auto" w:fill="004C97"/>
          </w:tcPr>
          <w:p>
            <w:pPr>
              <w:spacing w:after="0"/>
              <w:rPr>
                <w:sz w:val="12"/>
                <w:szCs w:val="12"/>
                <w:color w:val="auto"/>
              </w:rPr>
            </w:pPr>
          </w:p>
        </w:tc>
        <w:tc>
          <w:tcPr>
            <w:tcW w:w="900" w:type="dxa"/>
            <w:vAlign w:val="bottom"/>
            <w:tcBorders>
              <w:right w:val="single" w:sz="8" w:color="auto"/>
            </w:tcBorders>
            <w:shd w:val="clear" w:color="auto" w:fill="004C97"/>
          </w:tcPr>
          <w:p>
            <w:pPr>
              <w:spacing w:after="0"/>
              <w:rPr>
                <w:sz w:val="12"/>
                <w:szCs w:val="12"/>
                <w:color w:val="auto"/>
              </w:rPr>
            </w:pPr>
          </w:p>
        </w:tc>
        <w:tc>
          <w:tcPr>
            <w:tcW w:w="980" w:type="dxa"/>
            <w:vAlign w:val="bottom"/>
            <w:tcBorders>
              <w:right w:val="single" w:sz="8" w:color="auto"/>
            </w:tcBorders>
            <w:shd w:val="clear" w:color="auto" w:fill="004C97"/>
          </w:tcPr>
          <w:p>
            <w:pPr>
              <w:spacing w:after="0"/>
              <w:rPr>
                <w:sz w:val="12"/>
                <w:szCs w:val="12"/>
                <w:color w:val="auto"/>
              </w:rPr>
            </w:pPr>
          </w:p>
        </w:tc>
        <w:tc>
          <w:tcPr>
            <w:tcW w:w="780" w:type="dxa"/>
            <w:vAlign w:val="bottom"/>
            <w:shd w:val="clear" w:color="auto" w:fill="004C97"/>
          </w:tcPr>
          <w:p>
            <w:pPr>
              <w:spacing w:after="0"/>
              <w:rPr>
                <w:sz w:val="12"/>
                <w:szCs w:val="12"/>
                <w:color w:val="auto"/>
              </w:rPr>
            </w:pPr>
          </w:p>
        </w:tc>
        <w:tc>
          <w:tcPr>
            <w:tcW w:w="420" w:type="dxa"/>
            <w:vAlign w:val="bottom"/>
            <w:tcBorders>
              <w:right w:val="single" w:sz="8" w:color="auto"/>
            </w:tcBorders>
            <w:shd w:val="clear" w:color="auto" w:fill="004C97"/>
          </w:tcPr>
          <w:p>
            <w:pPr>
              <w:spacing w:after="0"/>
              <w:rPr>
                <w:sz w:val="12"/>
                <w:szCs w:val="12"/>
                <w:color w:val="auto"/>
              </w:rPr>
            </w:pPr>
          </w:p>
        </w:tc>
        <w:tc>
          <w:tcPr>
            <w:tcW w:w="12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Payout Value</w:t>
            </w:r>
          </w:p>
        </w:tc>
        <w:tc>
          <w:tcPr>
            <w:tcW w:w="1080" w:type="dxa"/>
            <w:vAlign w:val="bottom"/>
            <w:tcBorders>
              <w:right w:val="single" w:sz="8" w:color="auto"/>
            </w:tcBorders>
            <w:gridSpan w:val="2"/>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22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7"/>
              </w:rPr>
              <w:t>Payout Value</w:t>
            </w: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right w:val="single" w:sz="8" w:color="auto"/>
            </w:tcBorders>
            <w:shd w:val="clear" w:color="auto" w:fill="004C97"/>
          </w:tcPr>
          <w:p>
            <w:pPr>
              <w:spacing w:after="0"/>
              <w:rPr>
                <w:sz w:val="14"/>
                <w:szCs w:val="14"/>
                <w:color w:val="auto"/>
              </w:rPr>
            </w:pPr>
          </w:p>
        </w:tc>
        <w:tc>
          <w:tcPr>
            <w:tcW w:w="920" w:type="dxa"/>
            <w:vAlign w:val="bottom"/>
            <w:tcBorders>
              <w:right w:val="single" w:sz="8" w:color="auto"/>
            </w:tcBorders>
            <w:shd w:val="clear" w:color="auto" w:fill="004C97"/>
          </w:tcPr>
          <w:p>
            <w:pPr>
              <w:spacing w:after="0"/>
              <w:rPr>
                <w:sz w:val="14"/>
                <w:szCs w:val="14"/>
                <w:color w:val="auto"/>
              </w:rPr>
            </w:pPr>
          </w:p>
        </w:tc>
        <w:tc>
          <w:tcPr>
            <w:tcW w:w="1200" w:type="dxa"/>
            <w:vAlign w:val="bottom"/>
            <w:tcBorders>
              <w:right w:val="single" w:sz="8" w:color="auto"/>
            </w:tcBorders>
            <w:shd w:val="clear" w:color="auto" w:fill="004C97"/>
          </w:tcPr>
          <w:p>
            <w:pPr>
              <w:spacing w:after="0"/>
              <w:rPr>
                <w:sz w:val="14"/>
                <w:szCs w:val="14"/>
                <w:color w:val="auto"/>
              </w:rPr>
            </w:pPr>
          </w:p>
        </w:tc>
        <w:tc>
          <w:tcPr>
            <w:tcW w:w="104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900" w:type="dxa"/>
            <w:vAlign w:val="bottom"/>
            <w:tcBorders>
              <w:right w:val="single" w:sz="8" w:color="auto"/>
            </w:tcBorders>
            <w:shd w:val="clear" w:color="auto" w:fill="004C97"/>
          </w:tcPr>
          <w:p>
            <w:pPr>
              <w:spacing w:after="0"/>
              <w:rPr>
                <w:sz w:val="14"/>
                <w:szCs w:val="14"/>
                <w:color w:val="auto"/>
              </w:rPr>
            </w:pPr>
          </w:p>
        </w:tc>
        <w:tc>
          <w:tcPr>
            <w:tcW w:w="980" w:type="dxa"/>
            <w:vAlign w:val="bottom"/>
            <w:tcBorders>
              <w:right w:val="single" w:sz="8" w:color="auto"/>
            </w:tcBorders>
            <w:shd w:val="clear" w:color="auto" w:fill="004C97"/>
          </w:tcPr>
          <w:p>
            <w:pPr>
              <w:spacing w:after="0"/>
              <w:rPr>
                <w:sz w:val="14"/>
                <w:szCs w:val="14"/>
                <w:color w:val="auto"/>
              </w:rPr>
            </w:pPr>
          </w:p>
        </w:tc>
        <w:tc>
          <w:tcPr>
            <w:tcW w:w="780" w:type="dxa"/>
            <w:vAlign w:val="bottom"/>
            <w:shd w:val="clear" w:color="auto" w:fill="004C97"/>
          </w:tcPr>
          <w:p>
            <w:pPr>
              <w:spacing w:after="0"/>
              <w:rPr>
                <w:sz w:val="14"/>
                <w:szCs w:val="14"/>
                <w:color w:val="auto"/>
              </w:rPr>
            </w:pPr>
          </w:p>
        </w:tc>
        <w:tc>
          <w:tcPr>
            <w:tcW w:w="420" w:type="dxa"/>
            <w:vAlign w:val="bottom"/>
            <w:tcBorders>
              <w:right w:val="single" w:sz="8" w:color="auto"/>
            </w:tcBorders>
            <w:shd w:val="clear" w:color="auto" w:fill="004C97"/>
          </w:tcPr>
          <w:p>
            <w:pPr>
              <w:spacing w:after="0"/>
              <w:rPr>
                <w:sz w:val="14"/>
                <w:szCs w:val="14"/>
                <w:color w:val="auto"/>
              </w:rPr>
            </w:pPr>
          </w:p>
        </w:tc>
        <w:tc>
          <w:tcPr>
            <w:tcW w:w="12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7"/>
              </w:rPr>
              <w:t>of Unearned</w:t>
            </w:r>
          </w:p>
        </w:tc>
        <w:tc>
          <w:tcPr>
            <w:tcW w:w="1080" w:type="dxa"/>
            <w:vAlign w:val="bottom"/>
            <w:tcBorders>
              <w:right w:val="single" w:sz="8" w:color="auto"/>
            </w:tcBorders>
            <w:gridSpan w:val="2"/>
            <w:shd w:val="clear" w:color="auto" w:fill="004C97"/>
          </w:tcPr>
          <w:p>
            <w:pPr>
              <w:jc w:val="center"/>
              <w:spacing w:after="0"/>
              <w:rPr>
                <w:sz w:val="20"/>
                <w:szCs w:val="20"/>
                <w:color w:val="auto"/>
              </w:rPr>
            </w:pPr>
            <w:r>
              <w:rPr>
                <w:rFonts w:ascii="Arial" w:cs="Arial" w:eastAsia="Arial" w:hAnsi="Arial"/>
                <w:sz w:val="13"/>
                <w:szCs w:val="13"/>
                <w:b w:val="1"/>
                <w:bCs w:val="1"/>
                <w:color w:val="FFFFFF"/>
                <w:w w:val="96"/>
              </w:rPr>
              <w:t>Unearned</w:t>
            </w:r>
          </w:p>
        </w:tc>
        <w:tc>
          <w:tcPr>
            <w:tcW w:w="122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4"/>
              </w:rPr>
              <w:t>of Unearned</w:t>
            </w: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shd w:val="clear" w:color="auto" w:fill="004C97"/>
          </w:tcPr>
          <w:p>
            <w:pPr>
              <w:spacing w:after="0"/>
              <w:rPr>
                <w:sz w:val="4"/>
                <w:szCs w:val="4"/>
                <w:color w:val="auto"/>
              </w:rPr>
            </w:pPr>
          </w:p>
        </w:tc>
        <w:tc>
          <w:tcPr>
            <w:tcW w:w="920" w:type="dxa"/>
            <w:vAlign w:val="bottom"/>
            <w:tcBorders>
              <w:right w:val="single" w:sz="8" w:color="auto"/>
            </w:tcBorders>
            <w:shd w:val="clear" w:color="auto" w:fill="004C97"/>
          </w:tcPr>
          <w:p>
            <w:pPr>
              <w:spacing w:after="0"/>
              <w:rPr>
                <w:sz w:val="4"/>
                <w:szCs w:val="4"/>
                <w:color w:val="auto"/>
              </w:rPr>
            </w:pPr>
          </w:p>
        </w:tc>
        <w:tc>
          <w:tcPr>
            <w:tcW w:w="120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040" w:type="dxa"/>
            <w:vAlign w:val="bottom"/>
            <w:tcBorders>
              <w:right w:val="single" w:sz="8" w:color="auto"/>
            </w:tcBorders>
            <w:vMerge w:val="continue"/>
            <w:shd w:val="clear" w:color="auto" w:fill="004C97"/>
          </w:tcPr>
          <w:p>
            <w:pPr>
              <w:spacing w:after="0"/>
              <w:rPr>
                <w:sz w:val="4"/>
                <w:szCs w:val="4"/>
                <w:color w:val="auto"/>
              </w:rPr>
            </w:pPr>
          </w:p>
        </w:tc>
        <w:tc>
          <w:tcPr>
            <w:tcW w:w="900" w:type="dxa"/>
            <w:vAlign w:val="bottom"/>
            <w:tcBorders>
              <w:right w:val="single" w:sz="8" w:color="auto"/>
            </w:tcBorders>
            <w:shd w:val="clear" w:color="auto" w:fill="004C97"/>
          </w:tcPr>
          <w:p>
            <w:pPr>
              <w:spacing w:after="0"/>
              <w:rPr>
                <w:sz w:val="4"/>
                <w:szCs w:val="4"/>
                <w:color w:val="auto"/>
              </w:rPr>
            </w:pPr>
          </w:p>
        </w:tc>
        <w:tc>
          <w:tcPr>
            <w:tcW w:w="980" w:type="dxa"/>
            <w:vAlign w:val="bottom"/>
            <w:tcBorders>
              <w:right w:val="single" w:sz="8" w:color="auto"/>
            </w:tcBorders>
            <w:shd w:val="clear" w:color="auto" w:fill="004C97"/>
          </w:tcPr>
          <w:p>
            <w:pPr>
              <w:spacing w:after="0"/>
              <w:rPr>
                <w:sz w:val="4"/>
                <w:szCs w:val="4"/>
                <w:color w:val="auto"/>
              </w:rPr>
            </w:pPr>
          </w:p>
        </w:tc>
        <w:tc>
          <w:tcPr>
            <w:tcW w:w="780" w:type="dxa"/>
            <w:vAlign w:val="bottom"/>
            <w:shd w:val="clear" w:color="auto" w:fill="004C97"/>
          </w:tcPr>
          <w:p>
            <w:pPr>
              <w:spacing w:after="0"/>
              <w:rPr>
                <w:sz w:val="4"/>
                <w:szCs w:val="4"/>
                <w:color w:val="auto"/>
              </w:rPr>
            </w:pPr>
          </w:p>
        </w:tc>
        <w:tc>
          <w:tcPr>
            <w:tcW w:w="420" w:type="dxa"/>
            <w:vAlign w:val="bottom"/>
            <w:tcBorders>
              <w:right w:val="single" w:sz="8" w:color="auto"/>
            </w:tcBorders>
            <w:shd w:val="clear" w:color="auto" w:fill="004C97"/>
          </w:tcPr>
          <w:p>
            <w:pPr>
              <w:spacing w:after="0"/>
              <w:rPr>
                <w:sz w:val="4"/>
                <w:szCs w:val="4"/>
                <w:color w:val="auto"/>
              </w:rPr>
            </w:pPr>
          </w:p>
        </w:tc>
        <w:tc>
          <w:tcPr>
            <w:tcW w:w="120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6"/>
              </w:rPr>
              <w:t>Shares, Units,</w:t>
            </w:r>
          </w:p>
        </w:tc>
        <w:tc>
          <w:tcPr>
            <w:tcW w:w="1080" w:type="dxa"/>
            <w:vAlign w:val="bottom"/>
            <w:tcBorders>
              <w:right w:val="single" w:sz="8" w:color="auto"/>
            </w:tcBorders>
            <w:gridSpan w:val="2"/>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7"/>
              </w:rPr>
              <w:t>Shares,</w:t>
            </w:r>
          </w:p>
        </w:tc>
        <w:tc>
          <w:tcPr>
            <w:tcW w:w="122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6"/>
              </w:rPr>
              <w:t>Shares, Units,</w:t>
            </w:r>
          </w:p>
        </w:tc>
        <w:tc>
          <w:tcPr>
            <w:tcW w:w="0" w:type="dxa"/>
            <w:vAlign w:val="bottom"/>
          </w:tcPr>
          <w:p>
            <w:pPr>
              <w:spacing w:after="0"/>
              <w:rPr>
                <w:sz w:val="1"/>
                <w:szCs w:val="1"/>
                <w:color w:val="auto"/>
              </w:rPr>
            </w:pPr>
          </w:p>
        </w:tc>
      </w:tr>
      <w:tr>
        <w:trPr>
          <w:trHeight w:val="94"/>
        </w:trPr>
        <w:tc>
          <w:tcPr>
            <w:tcW w:w="1520" w:type="dxa"/>
            <w:vAlign w:val="bottom"/>
            <w:tcBorders>
              <w:left w:val="single" w:sz="8" w:color="auto"/>
              <w:right w:val="single" w:sz="8" w:color="auto"/>
            </w:tcBorders>
            <w:shd w:val="clear" w:color="auto" w:fill="004C97"/>
          </w:tcPr>
          <w:p>
            <w:pPr>
              <w:spacing w:after="0"/>
              <w:rPr>
                <w:sz w:val="8"/>
                <w:szCs w:val="8"/>
                <w:color w:val="auto"/>
              </w:rPr>
            </w:pPr>
          </w:p>
        </w:tc>
        <w:tc>
          <w:tcPr>
            <w:tcW w:w="920" w:type="dxa"/>
            <w:vAlign w:val="bottom"/>
            <w:tcBorders>
              <w:right w:val="single" w:sz="8" w:color="auto"/>
            </w:tcBorders>
            <w:shd w:val="clear" w:color="auto" w:fill="004C97"/>
          </w:tcPr>
          <w:p>
            <w:pPr>
              <w:spacing w:after="0"/>
              <w:rPr>
                <w:sz w:val="8"/>
                <w:szCs w:val="8"/>
                <w:color w:val="auto"/>
              </w:rPr>
            </w:pPr>
          </w:p>
        </w:tc>
        <w:tc>
          <w:tcPr>
            <w:tcW w:w="1200" w:type="dxa"/>
            <w:vAlign w:val="bottom"/>
            <w:tcBorders>
              <w:right w:val="single" w:sz="8" w:color="auto"/>
            </w:tcBorders>
            <w:vMerge w:val="continue"/>
            <w:shd w:val="clear" w:color="auto" w:fill="004C97"/>
          </w:tcPr>
          <w:p>
            <w:pPr>
              <w:spacing w:after="0"/>
              <w:rPr>
                <w:sz w:val="8"/>
                <w:szCs w:val="8"/>
                <w:color w:val="auto"/>
              </w:rPr>
            </w:pPr>
          </w:p>
        </w:tc>
        <w:tc>
          <w:tcPr>
            <w:tcW w:w="104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6"/>
              </w:rPr>
              <w:t>Securities</w:t>
            </w:r>
          </w:p>
        </w:tc>
        <w:tc>
          <w:tcPr>
            <w:tcW w:w="900" w:type="dxa"/>
            <w:vAlign w:val="bottom"/>
            <w:tcBorders>
              <w:right w:val="single" w:sz="8" w:color="auto"/>
            </w:tcBorders>
            <w:shd w:val="clear" w:color="auto" w:fill="004C97"/>
          </w:tcPr>
          <w:p>
            <w:pPr>
              <w:spacing w:after="0"/>
              <w:rPr>
                <w:sz w:val="8"/>
                <w:szCs w:val="8"/>
                <w:color w:val="auto"/>
              </w:rPr>
            </w:pPr>
          </w:p>
        </w:tc>
        <w:tc>
          <w:tcPr>
            <w:tcW w:w="980" w:type="dxa"/>
            <w:vAlign w:val="bottom"/>
            <w:tcBorders>
              <w:right w:val="single" w:sz="8" w:color="auto"/>
            </w:tcBorders>
            <w:shd w:val="clear" w:color="auto" w:fill="004C97"/>
          </w:tcPr>
          <w:p>
            <w:pPr>
              <w:spacing w:after="0"/>
              <w:rPr>
                <w:sz w:val="8"/>
                <w:szCs w:val="8"/>
                <w:color w:val="auto"/>
              </w:rPr>
            </w:pPr>
          </w:p>
        </w:tc>
        <w:tc>
          <w:tcPr>
            <w:tcW w:w="780" w:type="dxa"/>
            <w:vAlign w:val="bottom"/>
            <w:shd w:val="clear" w:color="auto" w:fill="004C97"/>
          </w:tcPr>
          <w:p>
            <w:pPr>
              <w:spacing w:after="0"/>
              <w:rPr>
                <w:sz w:val="8"/>
                <w:szCs w:val="8"/>
                <w:color w:val="auto"/>
              </w:rPr>
            </w:pPr>
          </w:p>
        </w:tc>
        <w:tc>
          <w:tcPr>
            <w:tcW w:w="420" w:type="dxa"/>
            <w:vAlign w:val="bottom"/>
            <w:tcBorders>
              <w:right w:val="single" w:sz="8" w:color="auto"/>
            </w:tcBorders>
            <w:shd w:val="clear" w:color="auto" w:fill="004C97"/>
          </w:tcPr>
          <w:p>
            <w:pPr>
              <w:spacing w:after="0"/>
              <w:rPr>
                <w:sz w:val="8"/>
                <w:szCs w:val="8"/>
                <w:color w:val="auto"/>
              </w:rPr>
            </w:pPr>
          </w:p>
        </w:tc>
        <w:tc>
          <w:tcPr>
            <w:tcW w:w="1200" w:type="dxa"/>
            <w:vAlign w:val="bottom"/>
            <w:tcBorders>
              <w:right w:val="single" w:sz="8" w:color="auto"/>
            </w:tcBorders>
            <w:vMerge w:val="continue"/>
            <w:shd w:val="clear" w:color="auto" w:fill="004C97"/>
          </w:tcPr>
          <w:p>
            <w:pPr>
              <w:spacing w:after="0"/>
              <w:rPr>
                <w:sz w:val="8"/>
                <w:szCs w:val="8"/>
                <w:color w:val="auto"/>
              </w:rPr>
            </w:pPr>
          </w:p>
        </w:tc>
        <w:tc>
          <w:tcPr>
            <w:tcW w:w="1080" w:type="dxa"/>
            <w:vAlign w:val="bottom"/>
            <w:tcBorders>
              <w:right w:val="single" w:sz="8" w:color="auto"/>
            </w:tcBorders>
            <w:gridSpan w:val="2"/>
            <w:vMerge w:val="continue"/>
            <w:shd w:val="clear" w:color="auto" w:fill="004C97"/>
          </w:tcPr>
          <w:p>
            <w:pPr>
              <w:spacing w:after="0"/>
              <w:rPr>
                <w:sz w:val="8"/>
                <w:szCs w:val="8"/>
                <w:color w:val="auto"/>
              </w:rPr>
            </w:pPr>
          </w:p>
        </w:tc>
        <w:tc>
          <w:tcPr>
            <w:tcW w:w="1220" w:type="dxa"/>
            <w:vAlign w:val="bottom"/>
            <w:tcBorders>
              <w:right w:val="single" w:sz="8" w:color="auto"/>
            </w:tcBorders>
            <w:vMerge w:val="continue"/>
            <w:shd w:val="clear" w:color="auto" w:fill="004C97"/>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shd w:val="clear" w:color="auto" w:fill="004C97"/>
          </w:tcPr>
          <w:p>
            <w:pPr>
              <w:spacing w:after="0"/>
              <w:rPr>
                <w:sz w:val="4"/>
                <w:szCs w:val="4"/>
                <w:color w:val="auto"/>
              </w:rPr>
            </w:pPr>
          </w:p>
        </w:tc>
        <w:tc>
          <w:tcPr>
            <w:tcW w:w="920" w:type="dxa"/>
            <w:vAlign w:val="bottom"/>
            <w:tcBorders>
              <w:right w:val="single" w:sz="8" w:color="auto"/>
            </w:tcBorders>
            <w:shd w:val="clear" w:color="auto" w:fill="004C97"/>
          </w:tcPr>
          <w:p>
            <w:pPr>
              <w:spacing w:after="0"/>
              <w:rPr>
                <w:sz w:val="4"/>
                <w:szCs w:val="4"/>
                <w:color w:val="auto"/>
              </w:rPr>
            </w:pPr>
          </w:p>
        </w:tc>
        <w:tc>
          <w:tcPr>
            <w:tcW w:w="120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6"/>
              </w:rPr>
              <w:t>Securities</w:t>
            </w:r>
          </w:p>
        </w:tc>
        <w:tc>
          <w:tcPr>
            <w:tcW w:w="1040" w:type="dxa"/>
            <w:vAlign w:val="bottom"/>
            <w:tcBorders>
              <w:right w:val="single" w:sz="8" w:color="auto"/>
            </w:tcBorders>
            <w:vMerge w:val="continue"/>
            <w:shd w:val="clear" w:color="auto" w:fill="004C97"/>
          </w:tcPr>
          <w:p>
            <w:pPr>
              <w:spacing w:after="0"/>
              <w:rPr>
                <w:sz w:val="4"/>
                <w:szCs w:val="4"/>
                <w:color w:val="auto"/>
              </w:rPr>
            </w:pPr>
          </w:p>
        </w:tc>
        <w:tc>
          <w:tcPr>
            <w:tcW w:w="900" w:type="dxa"/>
            <w:vAlign w:val="bottom"/>
            <w:tcBorders>
              <w:right w:val="single" w:sz="8" w:color="auto"/>
            </w:tcBorders>
            <w:shd w:val="clear" w:color="auto" w:fill="004C97"/>
          </w:tcPr>
          <w:p>
            <w:pPr>
              <w:spacing w:after="0"/>
              <w:rPr>
                <w:sz w:val="4"/>
                <w:szCs w:val="4"/>
                <w:color w:val="auto"/>
              </w:rPr>
            </w:pPr>
          </w:p>
        </w:tc>
        <w:tc>
          <w:tcPr>
            <w:tcW w:w="980" w:type="dxa"/>
            <w:vAlign w:val="bottom"/>
            <w:tcBorders>
              <w:right w:val="single" w:sz="8" w:color="auto"/>
            </w:tcBorders>
            <w:shd w:val="clear" w:color="auto" w:fill="004C97"/>
          </w:tcPr>
          <w:p>
            <w:pPr>
              <w:spacing w:after="0"/>
              <w:rPr>
                <w:sz w:val="4"/>
                <w:szCs w:val="4"/>
                <w:color w:val="auto"/>
              </w:rPr>
            </w:pPr>
          </w:p>
        </w:tc>
        <w:tc>
          <w:tcPr>
            <w:tcW w:w="1200" w:type="dxa"/>
            <w:vAlign w:val="bottom"/>
            <w:tcBorders>
              <w:right w:val="single" w:sz="8" w:color="auto"/>
            </w:tcBorders>
            <w:gridSpan w:val="2"/>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20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7"/>
              </w:rPr>
              <w:t>or Other</w:t>
            </w:r>
          </w:p>
        </w:tc>
        <w:tc>
          <w:tcPr>
            <w:tcW w:w="1080" w:type="dxa"/>
            <w:vAlign w:val="bottom"/>
            <w:tcBorders>
              <w:right w:val="single" w:sz="8" w:color="auto"/>
            </w:tcBorders>
            <w:gridSpan w:val="2"/>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8"/>
              </w:rPr>
              <w:t>Units, or</w:t>
            </w:r>
          </w:p>
        </w:tc>
        <w:tc>
          <w:tcPr>
            <w:tcW w:w="122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3"/>
              </w:rPr>
              <w:t>or Other</w:t>
            </w:r>
          </w:p>
        </w:tc>
        <w:tc>
          <w:tcPr>
            <w:tcW w:w="0" w:type="dxa"/>
            <w:vAlign w:val="bottom"/>
          </w:tcPr>
          <w:p>
            <w:pPr>
              <w:spacing w:after="0"/>
              <w:rPr>
                <w:sz w:val="1"/>
                <w:szCs w:val="1"/>
                <w:color w:val="auto"/>
              </w:rPr>
            </w:pPr>
          </w:p>
        </w:tc>
      </w:tr>
      <w:tr>
        <w:trPr>
          <w:trHeight w:val="95"/>
        </w:trPr>
        <w:tc>
          <w:tcPr>
            <w:tcW w:w="1520" w:type="dxa"/>
            <w:vAlign w:val="bottom"/>
            <w:tcBorders>
              <w:left w:val="single" w:sz="8" w:color="auto"/>
              <w:right w:val="single" w:sz="8" w:color="auto"/>
            </w:tcBorders>
            <w:shd w:val="clear" w:color="auto" w:fill="004C97"/>
          </w:tcPr>
          <w:p>
            <w:pPr>
              <w:spacing w:after="0"/>
              <w:rPr>
                <w:sz w:val="8"/>
                <w:szCs w:val="8"/>
                <w:color w:val="auto"/>
              </w:rPr>
            </w:pPr>
          </w:p>
        </w:tc>
        <w:tc>
          <w:tcPr>
            <w:tcW w:w="920" w:type="dxa"/>
            <w:vAlign w:val="bottom"/>
            <w:tcBorders>
              <w:right w:val="single" w:sz="8" w:color="auto"/>
            </w:tcBorders>
            <w:shd w:val="clear" w:color="auto" w:fill="004C97"/>
          </w:tcPr>
          <w:p>
            <w:pPr>
              <w:spacing w:after="0"/>
              <w:rPr>
                <w:sz w:val="8"/>
                <w:szCs w:val="8"/>
                <w:color w:val="auto"/>
              </w:rPr>
            </w:pPr>
          </w:p>
        </w:tc>
        <w:tc>
          <w:tcPr>
            <w:tcW w:w="1200" w:type="dxa"/>
            <w:vAlign w:val="bottom"/>
            <w:tcBorders>
              <w:right w:val="single" w:sz="8" w:color="auto"/>
            </w:tcBorders>
            <w:vMerge w:val="continue"/>
            <w:shd w:val="clear" w:color="auto" w:fill="004C97"/>
          </w:tcPr>
          <w:p>
            <w:pPr>
              <w:spacing w:after="0"/>
              <w:rPr>
                <w:sz w:val="8"/>
                <w:szCs w:val="8"/>
                <w:color w:val="auto"/>
              </w:rPr>
            </w:pPr>
          </w:p>
        </w:tc>
        <w:tc>
          <w:tcPr>
            <w:tcW w:w="104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7"/>
              </w:rPr>
              <w:t>Underlying</w:t>
            </w:r>
          </w:p>
        </w:tc>
        <w:tc>
          <w:tcPr>
            <w:tcW w:w="900" w:type="dxa"/>
            <w:vAlign w:val="bottom"/>
            <w:tcBorders>
              <w:right w:val="single" w:sz="8" w:color="auto"/>
            </w:tcBorders>
            <w:shd w:val="clear" w:color="auto" w:fill="004C97"/>
          </w:tcPr>
          <w:p>
            <w:pPr>
              <w:spacing w:after="0"/>
              <w:rPr>
                <w:sz w:val="8"/>
                <w:szCs w:val="8"/>
                <w:color w:val="auto"/>
              </w:rPr>
            </w:pPr>
          </w:p>
        </w:tc>
        <w:tc>
          <w:tcPr>
            <w:tcW w:w="980" w:type="dxa"/>
            <w:vAlign w:val="bottom"/>
            <w:tcBorders>
              <w:right w:val="single" w:sz="8" w:color="auto"/>
            </w:tcBorders>
            <w:shd w:val="clear" w:color="auto" w:fill="004C97"/>
          </w:tcPr>
          <w:p>
            <w:pPr>
              <w:spacing w:after="0"/>
              <w:rPr>
                <w:sz w:val="8"/>
                <w:szCs w:val="8"/>
                <w:color w:val="auto"/>
              </w:rPr>
            </w:pPr>
          </w:p>
        </w:tc>
        <w:tc>
          <w:tcPr>
            <w:tcW w:w="1200" w:type="dxa"/>
            <w:vAlign w:val="bottom"/>
            <w:tcBorders>
              <w:right w:val="single" w:sz="8" w:color="auto"/>
            </w:tcBorders>
            <w:gridSpan w:val="2"/>
            <w:vMerge w:val="continue"/>
            <w:shd w:val="clear" w:color="auto" w:fill="004C97"/>
          </w:tcPr>
          <w:p>
            <w:pPr>
              <w:spacing w:after="0"/>
              <w:rPr>
                <w:sz w:val="8"/>
                <w:szCs w:val="8"/>
                <w:color w:val="auto"/>
              </w:rPr>
            </w:pPr>
          </w:p>
        </w:tc>
        <w:tc>
          <w:tcPr>
            <w:tcW w:w="1200" w:type="dxa"/>
            <w:vAlign w:val="bottom"/>
            <w:tcBorders>
              <w:right w:val="single" w:sz="8" w:color="auto"/>
            </w:tcBorders>
            <w:vMerge w:val="continue"/>
            <w:shd w:val="clear" w:color="auto" w:fill="004C97"/>
          </w:tcPr>
          <w:p>
            <w:pPr>
              <w:spacing w:after="0"/>
              <w:rPr>
                <w:sz w:val="8"/>
                <w:szCs w:val="8"/>
                <w:color w:val="auto"/>
              </w:rPr>
            </w:pPr>
          </w:p>
        </w:tc>
        <w:tc>
          <w:tcPr>
            <w:tcW w:w="1080" w:type="dxa"/>
            <w:vAlign w:val="bottom"/>
            <w:tcBorders>
              <w:right w:val="single" w:sz="8" w:color="auto"/>
            </w:tcBorders>
            <w:gridSpan w:val="2"/>
            <w:vMerge w:val="continue"/>
            <w:shd w:val="clear" w:color="auto" w:fill="004C97"/>
          </w:tcPr>
          <w:p>
            <w:pPr>
              <w:spacing w:after="0"/>
              <w:rPr>
                <w:sz w:val="8"/>
                <w:szCs w:val="8"/>
                <w:color w:val="auto"/>
              </w:rPr>
            </w:pPr>
          </w:p>
        </w:tc>
        <w:tc>
          <w:tcPr>
            <w:tcW w:w="1220" w:type="dxa"/>
            <w:vAlign w:val="bottom"/>
            <w:tcBorders>
              <w:right w:val="single" w:sz="8" w:color="auto"/>
            </w:tcBorders>
            <w:vMerge w:val="continue"/>
            <w:shd w:val="clear" w:color="auto" w:fill="004C97"/>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520" w:type="dxa"/>
            <w:vAlign w:val="bottom"/>
            <w:tcBorders>
              <w:left w:val="single" w:sz="8" w:color="auto"/>
              <w:right w:val="single" w:sz="8" w:color="auto"/>
            </w:tcBorders>
            <w:shd w:val="clear" w:color="auto" w:fill="004C97"/>
          </w:tcPr>
          <w:p>
            <w:pPr>
              <w:spacing w:after="0"/>
              <w:rPr>
                <w:sz w:val="5"/>
                <w:szCs w:val="5"/>
                <w:color w:val="auto"/>
              </w:rPr>
            </w:pPr>
          </w:p>
        </w:tc>
        <w:tc>
          <w:tcPr>
            <w:tcW w:w="920" w:type="dxa"/>
            <w:vAlign w:val="bottom"/>
            <w:tcBorders>
              <w:right w:val="single" w:sz="8" w:color="auto"/>
            </w:tcBorders>
            <w:shd w:val="clear" w:color="auto" w:fill="004C97"/>
          </w:tcPr>
          <w:p>
            <w:pPr>
              <w:spacing w:after="0"/>
              <w:rPr>
                <w:sz w:val="5"/>
                <w:szCs w:val="5"/>
                <w:color w:val="auto"/>
              </w:rPr>
            </w:pPr>
          </w:p>
        </w:tc>
        <w:tc>
          <w:tcPr>
            <w:tcW w:w="120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7"/>
              </w:rPr>
              <w:t>Underlying</w:t>
            </w:r>
          </w:p>
        </w:tc>
        <w:tc>
          <w:tcPr>
            <w:tcW w:w="1040" w:type="dxa"/>
            <w:vAlign w:val="bottom"/>
            <w:tcBorders>
              <w:right w:val="single" w:sz="8" w:color="auto"/>
            </w:tcBorders>
            <w:vMerge w:val="continue"/>
            <w:shd w:val="clear" w:color="auto" w:fill="004C97"/>
          </w:tcPr>
          <w:p>
            <w:pPr>
              <w:spacing w:after="0"/>
              <w:rPr>
                <w:sz w:val="5"/>
                <w:szCs w:val="5"/>
                <w:color w:val="auto"/>
              </w:rPr>
            </w:pPr>
          </w:p>
        </w:tc>
        <w:tc>
          <w:tcPr>
            <w:tcW w:w="900" w:type="dxa"/>
            <w:vAlign w:val="bottom"/>
            <w:tcBorders>
              <w:right w:val="single" w:sz="8" w:color="auto"/>
            </w:tcBorders>
            <w:shd w:val="clear" w:color="auto" w:fill="004C97"/>
          </w:tcPr>
          <w:p>
            <w:pPr>
              <w:spacing w:after="0"/>
              <w:rPr>
                <w:sz w:val="5"/>
                <w:szCs w:val="5"/>
                <w:color w:val="auto"/>
              </w:rPr>
            </w:pPr>
          </w:p>
        </w:tc>
        <w:tc>
          <w:tcPr>
            <w:tcW w:w="980" w:type="dxa"/>
            <w:vAlign w:val="bottom"/>
            <w:tcBorders>
              <w:right w:val="single" w:sz="8" w:color="auto"/>
            </w:tcBorders>
            <w:shd w:val="clear" w:color="auto" w:fill="004C97"/>
          </w:tcPr>
          <w:p>
            <w:pPr>
              <w:spacing w:after="0"/>
              <w:rPr>
                <w:sz w:val="5"/>
                <w:szCs w:val="5"/>
                <w:color w:val="auto"/>
              </w:rPr>
            </w:pPr>
          </w:p>
        </w:tc>
        <w:tc>
          <w:tcPr>
            <w:tcW w:w="1200" w:type="dxa"/>
            <w:vAlign w:val="bottom"/>
            <w:tcBorders>
              <w:right w:val="single" w:sz="8" w:color="auto"/>
            </w:tcBorders>
            <w:gridSpan w:val="2"/>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6"/>
              </w:rPr>
              <w:t>Shares or</w:t>
            </w:r>
          </w:p>
        </w:tc>
        <w:tc>
          <w:tcPr>
            <w:tcW w:w="120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7"/>
              </w:rPr>
              <w:t>Rights That</w:t>
            </w:r>
          </w:p>
        </w:tc>
        <w:tc>
          <w:tcPr>
            <w:tcW w:w="1080" w:type="dxa"/>
            <w:vAlign w:val="bottom"/>
            <w:tcBorders>
              <w:right w:val="single" w:sz="8" w:color="auto"/>
            </w:tcBorders>
            <w:gridSpan w:val="2"/>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6"/>
              </w:rPr>
              <w:t>Other Rights</w:t>
            </w:r>
          </w:p>
        </w:tc>
        <w:tc>
          <w:tcPr>
            <w:tcW w:w="122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Rights That</w:t>
            </w:r>
          </w:p>
        </w:tc>
        <w:tc>
          <w:tcPr>
            <w:tcW w:w="0" w:type="dxa"/>
            <w:vAlign w:val="bottom"/>
          </w:tcPr>
          <w:p>
            <w:pPr>
              <w:spacing w:after="0"/>
              <w:rPr>
                <w:sz w:val="1"/>
                <w:szCs w:val="1"/>
                <w:color w:val="auto"/>
              </w:rPr>
            </w:pPr>
          </w:p>
        </w:tc>
      </w:tr>
      <w:tr>
        <w:trPr>
          <w:trHeight w:val="81"/>
        </w:trPr>
        <w:tc>
          <w:tcPr>
            <w:tcW w:w="1520" w:type="dxa"/>
            <w:vAlign w:val="bottom"/>
            <w:tcBorders>
              <w:left w:val="single" w:sz="8" w:color="auto"/>
              <w:right w:val="single" w:sz="8" w:color="auto"/>
            </w:tcBorders>
            <w:shd w:val="clear" w:color="auto" w:fill="004C97"/>
          </w:tcPr>
          <w:p>
            <w:pPr>
              <w:spacing w:after="0"/>
              <w:rPr>
                <w:sz w:val="7"/>
                <w:szCs w:val="7"/>
                <w:color w:val="auto"/>
              </w:rPr>
            </w:pPr>
          </w:p>
        </w:tc>
        <w:tc>
          <w:tcPr>
            <w:tcW w:w="920" w:type="dxa"/>
            <w:vAlign w:val="bottom"/>
            <w:tcBorders>
              <w:right w:val="single" w:sz="8" w:color="auto"/>
            </w:tcBorders>
            <w:shd w:val="clear" w:color="auto" w:fill="004C97"/>
          </w:tcPr>
          <w:p>
            <w:pPr>
              <w:spacing w:after="0"/>
              <w:rPr>
                <w:sz w:val="7"/>
                <w:szCs w:val="7"/>
                <w:color w:val="auto"/>
              </w:rPr>
            </w:pPr>
          </w:p>
        </w:tc>
        <w:tc>
          <w:tcPr>
            <w:tcW w:w="1200" w:type="dxa"/>
            <w:vAlign w:val="bottom"/>
            <w:tcBorders>
              <w:right w:val="single" w:sz="8" w:color="auto"/>
            </w:tcBorders>
            <w:vMerge w:val="continue"/>
            <w:shd w:val="clear" w:color="auto" w:fill="004C97"/>
          </w:tcPr>
          <w:p>
            <w:pPr>
              <w:spacing w:after="0"/>
              <w:rPr>
                <w:sz w:val="7"/>
                <w:szCs w:val="7"/>
                <w:color w:val="auto"/>
              </w:rPr>
            </w:pPr>
          </w:p>
        </w:tc>
        <w:tc>
          <w:tcPr>
            <w:tcW w:w="104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Unexercised</w:t>
            </w:r>
          </w:p>
        </w:tc>
        <w:tc>
          <w:tcPr>
            <w:tcW w:w="900" w:type="dxa"/>
            <w:vAlign w:val="bottom"/>
            <w:tcBorders>
              <w:right w:val="single" w:sz="8" w:color="auto"/>
            </w:tcBorders>
            <w:shd w:val="clear" w:color="auto" w:fill="004C97"/>
          </w:tcPr>
          <w:p>
            <w:pPr>
              <w:spacing w:after="0"/>
              <w:rPr>
                <w:sz w:val="7"/>
                <w:szCs w:val="7"/>
                <w:color w:val="auto"/>
              </w:rPr>
            </w:pPr>
          </w:p>
        </w:tc>
        <w:tc>
          <w:tcPr>
            <w:tcW w:w="980" w:type="dxa"/>
            <w:vAlign w:val="bottom"/>
            <w:tcBorders>
              <w:right w:val="single" w:sz="8" w:color="auto"/>
            </w:tcBorders>
            <w:shd w:val="clear" w:color="auto" w:fill="004C97"/>
          </w:tcPr>
          <w:p>
            <w:pPr>
              <w:spacing w:after="0"/>
              <w:rPr>
                <w:sz w:val="7"/>
                <w:szCs w:val="7"/>
                <w:color w:val="auto"/>
              </w:rPr>
            </w:pPr>
          </w:p>
        </w:tc>
        <w:tc>
          <w:tcPr>
            <w:tcW w:w="1200" w:type="dxa"/>
            <w:vAlign w:val="bottom"/>
            <w:tcBorders>
              <w:right w:val="single" w:sz="8" w:color="auto"/>
            </w:tcBorders>
            <w:gridSpan w:val="2"/>
            <w:vMerge w:val="continue"/>
            <w:shd w:val="clear" w:color="auto" w:fill="004C97"/>
          </w:tcPr>
          <w:p>
            <w:pPr>
              <w:spacing w:after="0"/>
              <w:rPr>
                <w:sz w:val="7"/>
                <w:szCs w:val="7"/>
                <w:color w:val="auto"/>
              </w:rPr>
            </w:pPr>
          </w:p>
        </w:tc>
        <w:tc>
          <w:tcPr>
            <w:tcW w:w="1200" w:type="dxa"/>
            <w:vAlign w:val="bottom"/>
            <w:tcBorders>
              <w:right w:val="single" w:sz="8" w:color="auto"/>
            </w:tcBorders>
            <w:vMerge w:val="continue"/>
            <w:shd w:val="clear" w:color="auto" w:fill="004C97"/>
          </w:tcPr>
          <w:p>
            <w:pPr>
              <w:spacing w:after="0"/>
              <w:rPr>
                <w:sz w:val="7"/>
                <w:szCs w:val="7"/>
                <w:color w:val="auto"/>
              </w:rPr>
            </w:pPr>
          </w:p>
        </w:tc>
        <w:tc>
          <w:tcPr>
            <w:tcW w:w="1080" w:type="dxa"/>
            <w:vAlign w:val="bottom"/>
            <w:tcBorders>
              <w:right w:val="single" w:sz="8" w:color="auto"/>
            </w:tcBorders>
            <w:gridSpan w:val="2"/>
            <w:vMerge w:val="continue"/>
            <w:shd w:val="clear" w:color="auto" w:fill="004C97"/>
          </w:tcPr>
          <w:p>
            <w:pPr>
              <w:spacing w:after="0"/>
              <w:rPr>
                <w:sz w:val="7"/>
                <w:szCs w:val="7"/>
                <w:color w:val="auto"/>
              </w:rPr>
            </w:pPr>
          </w:p>
        </w:tc>
        <w:tc>
          <w:tcPr>
            <w:tcW w:w="1220" w:type="dxa"/>
            <w:vAlign w:val="bottom"/>
            <w:tcBorders>
              <w:right w:val="single" w:sz="8" w:color="auto"/>
            </w:tcBorders>
            <w:vMerge w:val="continue"/>
            <w:shd w:val="clear" w:color="auto" w:fill="004C97"/>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20" w:type="dxa"/>
            <w:vAlign w:val="bottom"/>
            <w:tcBorders>
              <w:left w:val="single" w:sz="8" w:color="auto"/>
              <w:right w:val="single" w:sz="8" w:color="auto"/>
            </w:tcBorders>
            <w:shd w:val="clear" w:color="auto" w:fill="004C97"/>
          </w:tcPr>
          <w:p>
            <w:pPr>
              <w:spacing w:after="0"/>
              <w:rPr>
                <w:sz w:val="5"/>
                <w:szCs w:val="5"/>
                <w:color w:val="auto"/>
              </w:rPr>
            </w:pPr>
          </w:p>
        </w:tc>
        <w:tc>
          <w:tcPr>
            <w:tcW w:w="920" w:type="dxa"/>
            <w:vAlign w:val="bottom"/>
            <w:tcBorders>
              <w:right w:val="single" w:sz="8" w:color="auto"/>
            </w:tcBorders>
            <w:shd w:val="clear" w:color="auto" w:fill="004C97"/>
          </w:tcPr>
          <w:p>
            <w:pPr>
              <w:spacing w:after="0"/>
              <w:rPr>
                <w:sz w:val="5"/>
                <w:szCs w:val="5"/>
                <w:color w:val="auto"/>
              </w:rPr>
            </w:pPr>
          </w:p>
        </w:tc>
        <w:tc>
          <w:tcPr>
            <w:tcW w:w="120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Unexercised</w:t>
            </w:r>
          </w:p>
        </w:tc>
        <w:tc>
          <w:tcPr>
            <w:tcW w:w="1040" w:type="dxa"/>
            <w:vAlign w:val="bottom"/>
            <w:tcBorders>
              <w:right w:val="single" w:sz="8" w:color="auto"/>
            </w:tcBorders>
            <w:vMerge w:val="continue"/>
            <w:shd w:val="clear" w:color="auto" w:fill="004C97"/>
          </w:tcPr>
          <w:p>
            <w:pPr>
              <w:spacing w:after="0"/>
              <w:rPr>
                <w:sz w:val="5"/>
                <w:szCs w:val="5"/>
                <w:color w:val="auto"/>
              </w:rPr>
            </w:pPr>
          </w:p>
        </w:tc>
        <w:tc>
          <w:tcPr>
            <w:tcW w:w="90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98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1200" w:type="dxa"/>
            <w:vAlign w:val="bottom"/>
            <w:tcBorders>
              <w:right w:val="single" w:sz="8" w:color="auto"/>
            </w:tcBorders>
            <w:gridSpan w:val="2"/>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8"/>
              </w:rPr>
              <w:t>Units of Stock</w:t>
            </w:r>
          </w:p>
        </w:tc>
        <w:tc>
          <w:tcPr>
            <w:tcW w:w="120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Have Not</w:t>
            </w:r>
          </w:p>
        </w:tc>
        <w:tc>
          <w:tcPr>
            <w:tcW w:w="1080" w:type="dxa"/>
            <w:vAlign w:val="bottom"/>
            <w:tcBorders>
              <w:right w:val="single" w:sz="8" w:color="auto"/>
            </w:tcBorders>
            <w:gridSpan w:val="2"/>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6"/>
              </w:rPr>
              <w:t>That Have</w:t>
            </w:r>
          </w:p>
        </w:tc>
        <w:tc>
          <w:tcPr>
            <w:tcW w:w="122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9"/>
              </w:rPr>
              <w:t>Have Not</w:t>
            </w:r>
          </w:p>
        </w:tc>
        <w:tc>
          <w:tcPr>
            <w:tcW w:w="0" w:type="dxa"/>
            <w:vAlign w:val="bottom"/>
          </w:tcPr>
          <w:p>
            <w:pPr>
              <w:spacing w:after="0"/>
              <w:rPr>
                <w:sz w:val="1"/>
                <w:szCs w:val="1"/>
                <w:color w:val="auto"/>
              </w:rPr>
            </w:pPr>
          </w:p>
        </w:tc>
      </w:tr>
      <w:tr>
        <w:trPr>
          <w:trHeight w:val="81"/>
        </w:trPr>
        <w:tc>
          <w:tcPr>
            <w:tcW w:w="1520" w:type="dxa"/>
            <w:vAlign w:val="bottom"/>
            <w:tcBorders>
              <w:left w:val="single" w:sz="8" w:color="auto"/>
              <w:right w:val="single" w:sz="8" w:color="auto"/>
            </w:tcBorders>
            <w:shd w:val="clear" w:color="auto" w:fill="004C97"/>
          </w:tcPr>
          <w:p>
            <w:pPr>
              <w:spacing w:after="0"/>
              <w:rPr>
                <w:sz w:val="7"/>
                <w:szCs w:val="7"/>
                <w:color w:val="auto"/>
              </w:rPr>
            </w:pPr>
          </w:p>
        </w:tc>
        <w:tc>
          <w:tcPr>
            <w:tcW w:w="920" w:type="dxa"/>
            <w:vAlign w:val="bottom"/>
            <w:tcBorders>
              <w:right w:val="single" w:sz="8" w:color="auto"/>
            </w:tcBorders>
            <w:shd w:val="clear" w:color="auto" w:fill="004C97"/>
          </w:tcPr>
          <w:p>
            <w:pPr>
              <w:spacing w:after="0"/>
              <w:rPr>
                <w:sz w:val="7"/>
                <w:szCs w:val="7"/>
                <w:color w:val="auto"/>
              </w:rPr>
            </w:pPr>
          </w:p>
        </w:tc>
        <w:tc>
          <w:tcPr>
            <w:tcW w:w="1200" w:type="dxa"/>
            <w:vAlign w:val="bottom"/>
            <w:tcBorders>
              <w:right w:val="single" w:sz="8" w:color="auto"/>
            </w:tcBorders>
            <w:vMerge w:val="continue"/>
            <w:shd w:val="clear" w:color="auto" w:fill="004C97"/>
          </w:tcPr>
          <w:p>
            <w:pPr>
              <w:spacing w:after="0"/>
              <w:rPr>
                <w:sz w:val="7"/>
                <w:szCs w:val="7"/>
                <w:color w:val="auto"/>
              </w:rPr>
            </w:pPr>
          </w:p>
        </w:tc>
        <w:tc>
          <w:tcPr>
            <w:tcW w:w="104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900" w:type="dxa"/>
            <w:vAlign w:val="bottom"/>
            <w:tcBorders>
              <w:right w:val="single" w:sz="8" w:color="auto"/>
            </w:tcBorders>
            <w:vMerge w:val="continue"/>
            <w:shd w:val="clear" w:color="auto" w:fill="004C97"/>
          </w:tcPr>
          <w:p>
            <w:pPr>
              <w:spacing w:after="0"/>
              <w:rPr>
                <w:sz w:val="7"/>
                <w:szCs w:val="7"/>
                <w:color w:val="auto"/>
              </w:rPr>
            </w:pPr>
          </w:p>
        </w:tc>
        <w:tc>
          <w:tcPr>
            <w:tcW w:w="980" w:type="dxa"/>
            <w:vAlign w:val="bottom"/>
            <w:tcBorders>
              <w:right w:val="single" w:sz="8" w:color="auto"/>
            </w:tcBorders>
            <w:vMerge w:val="continue"/>
            <w:shd w:val="clear" w:color="auto" w:fill="004C97"/>
          </w:tcPr>
          <w:p>
            <w:pPr>
              <w:spacing w:after="0"/>
              <w:rPr>
                <w:sz w:val="7"/>
                <w:szCs w:val="7"/>
                <w:color w:val="auto"/>
              </w:rPr>
            </w:pPr>
          </w:p>
        </w:tc>
        <w:tc>
          <w:tcPr>
            <w:tcW w:w="1200" w:type="dxa"/>
            <w:vAlign w:val="bottom"/>
            <w:tcBorders>
              <w:right w:val="single" w:sz="8" w:color="auto"/>
            </w:tcBorders>
            <w:gridSpan w:val="2"/>
            <w:vMerge w:val="continue"/>
            <w:shd w:val="clear" w:color="auto" w:fill="004C97"/>
          </w:tcPr>
          <w:p>
            <w:pPr>
              <w:spacing w:after="0"/>
              <w:rPr>
                <w:sz w:val="7"/>
                <w:szCs w:val="7"/>
                <w:color w:val="auto"/>
              </w:rPr>
            </w:pPr>
          </w:p>
        </w:tc>
        <w:tc>
          <w:tcPr>
            <w:tcW w:w="1200" w:type="dxa"/>
            <w:vAlign w:val="bottom"/>
            <w:tcBorders>
              <w:right w:val="single" w:sz="8" w:color="auto"/>
            </w:tcBorders>
            <w:vMerge w:val="continue"/>
            <w:shd w:val="clear" w:color="auto" w:fill="004C97"/>
          </w:tcPr>
          <w:p>
            <w:pPr>
              <w:spacing w:after="0"/>
              <w:rPr>
                <w:sz w:val="7"/>
                <w:szCs w:val="7"/>
                <w:color w:val="auto"/>
              </w:rPr>
            </w:pPr>
          </w:p>
        </w:tc>
        <w:tc>
          <w:tcPr>
            <w:tcW w:w="1080" w:type="dxa"/>
            <w:vAlign w:val="bottom"/>
            <w:tcBorders>
              <w:right w:val="single" w:sz="8" w:color="auto"/>
            </w:tcBorders>
            <w:gridSpan w:val="2"/>
            <w:vMerge w:val="continue"/>
            <w:shd w:val="clear" w:color="auto" w:fill="004C97"/>
          </w:tcPr>
          <w:p>
            <w:pPr>
              <w:spacing w:after="0"/>
              <w:rPr>
                <w:sz w:val="7"/>
                <w:szCs w:val="7"/>
                <w:color w:val="auto"/>
              </w:rPr>
            </w:pPr>
          </w:p>
        </w:tc>
        <w:tc>
          <w:tcPr>
            <w:tcW w:w="1220" w:type="dxa"/>
            <w:vAlign w:val="bottom"/>
            <w:tcBorders>
              <w:right w:val="single" w:sz="8" w:color="auto"/>
            </w:tcBorders>
            <w:vMerge w:val="continue"/>
            <w:shd w:val="clear" w:color="auto" w:fill="004C97"/>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20" w:type="dxa"/>
            <w:vAlign w:val="bottom"/>
            <w:tcBorders>
              <w:left w:val="single" w:sz="8" w:color="auto"/>
              <w:right w:val="single" w:sz="8" w:color="auto"/>
            </w:tcBorders>
            <w:shd w:val="clear" w:color="auto" w:fill="004C97"/>
          </w:tcPr>
          <w:p>
            <w:pPr>
              <w:spacing w:after="0"/>
              <w:rPr>
                <w:sz w:val="5"/>
                <w:szCs w:val="5"/>
                <w:color w:val="auto"/>
              </w:rPr>
            </w:pPr>
          </w:p>
        </w:tc>
        <w:tc>
          <w:tcPr>
            <w:tcW w:w="92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Award</w:t>
            </w:r>
          </w:p>
        </w:tc>
        <w:tc>
          <w:tcPr>
            <w:tcW w:w="120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rPr>
              <w:t>Option</w:t>
            </w:r>
          </w:p>
        </w:tc>
        <w:tc>
          <w:tcPr>
            <w:tcW w:w="1040" w:type="dxa"/>
            <w:vAlign w:val="bottom"/>
            <w:tcBorders>
              <w:right w:val="single" w:sz="8" w:color="auto"/>
            </w:tcBorders>
            <w:vMerge w:val="continue"/>
            <w:shd w:val="clear" w:color="auto" w:fill="004C97"/>
          </w:tcPr>
          <w:p>
            <w:pPr>
              <w:spacing w:after="0"/>
              <w:rPr>
                <w:sz w:val="5"/>
                <w:szCs w:val="5"/>
                <w:color w:val="auto"/>
              </w:rPr>
            </w:pPr>
          </w:p>
        </w:tc>
        <w:tc>
          <w:tcPr>
            <w:tcW w:w="90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6"/>
              </w:rPr>
              <w:t>Exercise Price</w:t>
            </w:r>
          </w:p>
        </w:tc>
        <w:tc>
          <w:tcPr>
            <w:tcW w:w="98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7"/>
              </w:rPr>
              <w:t>Expiration</w:t>
            </w:r>
          </w:p>
        </w:tc>
        <w:tc>
          <w:tcPr>
            <w:tcW w:w="1200" w:type="dxa"/>
            <w:vAlign w:val="bottom"/>
            <w:tcBorders>
              <w:right w:val="single" w:sz="8" w:color="auto"/>
            </w:tcBorders>
            <w:gridSpan w:val="2"/>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8"/>
              </w:rPr>
              <w:t>That Have Not</w:t>
            </w:r>
          </w:p>
        </w:tc>
        <w:tc>
          <w:tcPr>
            <w:tcW w:w="120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3"/>
              </w:rPr>
              <w:t>Vested</w:t>
            </w:r>
          </w:p>
        </w:tc>
        <w:tc>
          <w:tcPr>
            <w:tcW w:w="1080" w:type="dxa"/>
            <w:vAlign w:val="bottom"/>
            <w:tcBorders>
              <w:right w:val="single" w:sz="8" w:color="auto"/>
            </w:tcBorders>
            <w:gridSpan w:val="2"/>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7"/>
              </w:rPr>
              <w:t>Not Vested</w:t>
            </w:r>
          </w:p>
        </w:tc>
        <w:tc>
          <w:tcPr>
            <w:tcW w:w="122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3"/>
              </w:rPr>
              <w:t>Vested</w:t>
            </w:r>
          </w:p>
        </w:tc>
        <w:tc>
          <w:tcPr>
            <w:tcW w:w="0" w:type="dxa"/>
            <w:vAlign w:val="bottom"/>
          </w:tcPr>
          <w:p>
            <w:pPr>
              <w:spacing w:after="0"/>
              <w:rPr>
                <w:sz w:val="1"/>
                <w:szCs w:val="1"/>
                <w:color w:val="auto"/>
              </w:rPr>
            </w:pPr>
          </w:p>
        </w:tc>
      </w:tr>
      <w:tr>
        <w:trPr>
          <w:trHeight w:val="126"/>
        </w:trPr>
        <w:tc>
          <w:tcPr>
            <w:tcW w:w="1520" w:type="dxa"/>
            <w:vAlign w:val="bottom"/>
            <w:tcBorders>
              <w:left w:val="single" w:sz="8" w:color="auto"/>
              <w:right w:val="single" w:sz="8" w:color="auto"/>
            </w:tcBorders>
            <w:vMerge w:val="restart"/>
            <w:shd w:val="clear" w:color="auto" w:fill="004C97"/>
          </w:tcPr>
          <w:p>
            <w:pPr>
              <w:ind w:left="600"/>
              <w:spacing w:after="0"/>
              <w:rPr>
                <w:sz w:val="20"/>
                <w:szCs w:val="20"/>
                <w:color w:val="auto"/>
              </w:rPr>
            </w:pPr>
            <w:r>
              <w:rPr>
                <w:rFonts w:ascii="Arial" w:cs="Arial" w:eastAsia="Arial" w:hAnsi="Arial"/>
                <w:sz w:val="13"/>
                <w:szCs w:val="13"/>
                <w:b w:val="1"/>
                <w:bCs w:val="1"/>
                <w:color w:val="FFFFFF"/>
              </w:rPr>
              <w:t>Name</w:t>
            </w:r>
          </w:p>
        </w:tc>
        <w:tc>
          <w:tcPr>
            <w:tcW w:w="920" w:type="dxa"/>
            <w:vAlign w:val="bottom"/>
            <w:tcBorders>
              <w:right w:val="single" w:sz="8" w:color="auto"/>
            </w:tcBorders>
            <w:vMerge w:val="continue"/>
            <w:shd w:val="clear" w:color="auto" w:fill="004C97"/>
          </w:tcPr>
          <w:p>
            <w:pPr>
              <w:spacing w:after="0"/>
              <w:rPr>
                <w:sz w:val="10"/>
                <w:szCs w:val="10"/>
                <w:color w:val="auto"/>
              </w:rPr>
            </w:pPr>
          </w:p>
        </w:tc>
        <w:tc>
          <w:tcPr>
            <w:tcW w:w="1200" w:type="dxa"/>
            <w:vAlign w:val="bottom"/>
            <w:tcBorders>
              <w:right w:val="single" w:sz="8" w:color="auto"/>
            </w:tcBorders>
            <w:vMerge w:val="continue"/>
            <w:shd w:val="clear" w:color="auto" w:fill="004C97"/>
          </w:tcPr>
          <w:p>
            <w:pPr>
              <w:spacing w:after="0"/>
              <w:rPr>
                <w:sz w:val="10"/>
                <w:szCs w:val="10"/>
                <w:color w:val="auto"/>
              </w:rPr>
            </w:pPr>
          </w:p>
        </w:tc>
        <w:tc>
          <w:tcPr>
            <w:tcW w:w="1040" w:type="dxa"/>
            <w:vAlign w:val="bottom"/>
            <w:tcBorders>
              <w:right w:val="single" w:sz="8" w:color="auto"/>
            </w:tcBorders>
            <w:shd w:val="clear" w:color="auto" w:fill="004C97"/>
          </w:tcPr>
          <w:p>
            <w:pPr>
              <w:jc w:val="center"/>
              <w:spacing w:after="0" w:line="126" w:lineRule="exact"/>
              <w:rPr>
                <w:sz w:val="20"/>
                <w:szCs w:val="20"/>
                <w:color w:val="auto"/>
              </w:rPr>
            </w:pPr>
            <w:r>
              <w:rPr>
                <w:rFonts w:ascii="Arial" w:cs="Arial" w:eastAsia="Arial" w:hAnsi="Arial"/>
                <w:sz w:val="13"/>
                <w:szCs w:val="13"/>
                <w:b w:val="1"/>
                <w:bCs w:val="1"/>
                <w:color w:val="FFFFFF"/>
                <w:w w:val="98"/>
              </w:rPr>
              <w:t>Exercisable (#)</w:t>
            </w:r>
          </w:p>
        </w:tc>
        <w:tc>
          <w:tcPr>
            <w:tcW w:w="900" w:type="dxa"/>
            <w:vAlign w:val="bottom"/>
            <w:tcBorders>
              <w:right w:val="single" w:sz="8" w:color="auto"/>
            </w:tcBorders>
            <w:vMerge w:val="continue"/>
            <w:shd w:val="clear" w:color="auto" w:fill="004C97"/>
          </w:tcPr>
          <w:p>
            <w:pPr>
              <w:spacing w:after="0"/>
              <w:rPr>
                <w:sz w:val="10"/>
                <w:szCs w:val="10"/>
                <w:color w:val="auto"/>
              </w:rPr>
            </w:pPr>
          </w:p>
        </w:tc>
        <w:tc>
          <w:tcPr>
            <w:tcW w:w="980" w:type="dxa"/>
            <w:vAlign w:val="bottom"/>
            <w:tcBorders>
              <w:right w:val="single" w:sz="8" w:color="auto"/>
            </w:tcBorders>
            <w:vMerge w:val="continue"/>
            <w:shd w:val="clear" w:color="auto" w:fill="004C97"/>
          </w:tcPr>
          <w:p>
            <w:pPr>
              <w:spacing w:after="0"/>
              <w:rPr>
                <w:sz w:val="10"/>
                <w:szCs w:val="10"/>
                <w:color w:val="auto"/>
              </w:rPr>
            </w:pPr>
          </w:p>
        </w:tc>
        <w:tc>
          <w:tcPr>
            <w:tcW w:w="1200" w:type="dxa"/>
            <w:vAlign w:val="bottom"/>
            <w:tcBorders>
              <w:right w:val="single" w:sz="8" w:color="auto"/>
            </w:tcBorders>
            <w:gridSpan w:val="2"/>
            <w:vMerge w:val="continue"/>
            <w:shd w:val="clear" w:color="auto" w:fill="004C97"/>
          </w:tcPr>
          <w:p>
            <w:pPr>
              <w:spacing w:after="0"/>
              <w:rPr>
                <w:sz w:val="10"/>
                <w:szCs w:val="10"/>
                <w:color w:val="auto"/>
              </w:rPr>
            </w:pPr>
          </w:p>
        </w:tc>
        <w:tc>
          <w:tcPr>
            <w:tcW w:w="1200" w:type="dxa"/>
            <w:vAlign w:val="bottom"/>
            <w:tcBorders>
              <w:right w:val="single" w:sz="8" w:color="auto"/>
            </w:tcBorders>
            <w:vMerge w:val="continue"/>
            <w:shd w:val="clear" w:color="auto" w:fill="004C97"/>
          </w:tcPr>
          <w:p>
            <w:pPr>
              <w:spacing w:after="0"/>
              <w:rPr>
                <w:sz w:val="10"/>
                <w:szCs w:val="10"/>
                <w:color w:val="auto"/>
              </w:rPr>
            </w:pPr>
          </w:p>
        </w:tc>
        <w:tc>
          <w:tcPr>
            <w:tcW w:w="1080" w:type="dxa"/>
            <w:vAlign w:val="bottom"/>
            <w:tcBorders>
              <w:right w:val="single" w:sz="8" w:color="auto"/>
            </w:tcBorders>
            <w:gridSpan w:val="2"/>
            <w:vMerge w:val="continue"/>
            <w:shd w:val="clear" w:color="auto" w:fill="004C97"/>
          </w:tcPr>
          <w:p>
            <w:pPr>
              <w:spacing w:after="0"/>
              <w:rPr>
                <w:sz w:val="10"/>
                <w:szCs w:val="10"/>
                <w:color w:val="auto"/>
              </w:rPr>
            </w:pPr>
          </w:p>
        </w:tc>
        <w:tc>
          <w:tcPr>
            <w:tcW w:w="1220" w:type="dxa"/>
            <w:vAlign w:val="bottom"/>
            <w:tcBorders>
              <w:right w:val="single" w:sz="8" w:color="auto"/>
            </w:tcBorders>
            <w:vMerge w:val="continue"/>
            <w:shd w:val="clear" w:color="auto" w:fill="004C97"/>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bottom w:val="single" w:sz="8" w:color="auto"/>
              <w:right w:val="single" w:sz="8" w:color="auto"/>
            </w:tcBorders>
            <w:vMerge w:val="continue"/>
            <w:shd w:val="clear" w:color="auto" w:fill="004C97"/>
          </w:tcPr>
          <w:p>
            <w:pPr>
              <w:spacing w:after="0"/>
              <w:rPr>
                <w:sz w:val="14"/>
                <w:szCs w:val="14"/>
                <w:color w:val="auto"/>
              </w:rPr>
            </w:pPr>
          </w:p>
        </w:tc>
        <w:tc>
          <w:tcPr>
            <w:tcW w:w="92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2"/>
              </w:rPr>
              <w:t>Date</w:t>
            </w:r>
          </w:p>
        </w:tc>
        <w:tc>
          <w:tcPr>
            <w:tcW w:w="1200" w:type="dxa"/>
            <w:vAlign w:val="bottom"/>
            <w:tcBorders>
              <w:bottom w:val="single" w:sz="8" w:color="auto"/>
              <w:right w:val="single" w:sz="8" w:color="auto"/>
            </w:tcBorders>
            <w:shd w:val="clear" w:color="auto" w:fill="004C97"/>
          </w:tcPr>
          <w:p>
            <w:pPr>
              <w:jc w:val="center"/>
              <w:spacing w:after="0" w:line="162" w:lineRule="exact"/>
              <w:rPr>
                <w:sz w:val="20"/>
                <w:szCs w:val="20"/>
                <w:color w:val="auto"/>
              </w:rPr>
            </w:pPr>
            <w:r>
              <w:rPr>
                <w:rFonts w:ascii="Arial" w:cs="Arial" w:eastAsia="Arial" w:hAnsi="Arial"/>
                <w:sz w:val="13"/>
                <w:szCs w:val="13"/>
                <w:b w:val="1"/>
                <w:bCs w:val="1"/>
                <w:color w:val="FFFFFF"/>
                <w:w w:val="94"/>
              </w:rPr>
              <w:t>Unexercisable (#)</w:t>
            </w:r>
            <w:r>
              <w:rPr>
                <w:rFonts w:ascii="Arial" w:cs="Arial" w:eastAsia="Arial" w:hAnsi="Arial"/>
                <w:sz w:val="16"/>
                <w:szCs w:val="16"/>
                <w:b w:val="1"/>
                <w:bCs w:val="1"/>
                <w:color w:val="FFFFFF"/>
                <w:w w:val="94"/>
                <w:vertAlign w:val="superscript"/>
              </w:rPr>
              <w:t>(1)</w:t>
            </w:r>
          </w:p>
        </w:tc>
        <w:tc>
          <w:tcPr>
            <w:tcW w:w="104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8"/>
                <w:szCs w:val="8"/>
                <w:b w:val="1"/>
                <w:bCs w:val="1"/>
                <w:color w:val="FFFFFF"/>
              </w:rPr>
              <w:t>(1)</w:t>
            </w:r>
          </w:p>
        </w:tc>
        <w:tc>
          <w:tcPr>
            <w:tcW w:w="9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rPr>
              <w:t>($)</w:t>
            </w:r>
          </w:p>
        </w:tc>
        <w:tc>
          <w:tcPr>
            <w:tcW w:w="98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9"/>
              </w:rPr>
              <w:t>Date</w:t>
            </w:r>
          </w:p>
        </w:tc>
        <w:tc>
          <w:tcPr>
            <w:tcW w:w="1200" w:type="dxa"/>
            <w:vAlign w:val="bottom"/>
            <w:tcBorders>
              <w:bottom w:val="single" w:sz="8" w:color="auto"/>
              <w:right w:val="single" w:sz="8" w:color="auto"/>
            </w:tcBorders>
            <w:gridSpan w:val="2"/>
            <w:shd w:val="clear" w:color="auto" w:fill="004C97"/>
          </w:tcPr>
          <w:p>
            <w:pPr>
              <w:jc w:val="center"/>
              <w:spacing w:after="0"/>
              <w:rPr>
                <w:sz w:val="20"/>
                <w:szCs w:val="20"/>
                <w:color w:val="auto"/>
              </w:rPr>
            </w:pPr>
            <w:r>
              <w:rPr>
                <w:rFonts w:ascii="Arial" w:cs="Arial" w:eastAsia="Arial" w:hAnsi="Arial"/>
                <w:sz w:val="13"/>
                <w:szCs w:val="13"/>
                <w:b w:val="1"/>
                <w:bCs w:val="1"/>
                <w:color w:val="FFFFFF"/>
                <w:w w:val="93"/>
              </w:rPr>
              <w:t>Vested (#)</w:t>
            </w:r>
          </w:p>
        </w:tc>
        <w:tc>
          <w:tcPr>
            <w:tcW w:w="1200" w:type="dxa"/>
            <w:vAlign w:val="bottom"/>
            <w:tcBorders>
              <w:bottom w:val="single" w:sz="8" w:color="auto"/>
              <w:right w:val="single" w:sz="8" w:color="auto"/>
            </w:tcBorders>
            <w:shd w:val="clear" w:color="auto" w:fill="004C97"/>
          </w:tcPr>
          <w:p>
            <w:pPr>
              <w:jc w:val="center"/>
              <w:spacing w:after="0" w:line="162" w:lineRule="exact"/>
              <w:rPr>
                <w:sz w:val="20"/>
                <w:szCs w:val="20"/>
                <w:color w:val="auto"/>
              </w:rPr>
            </w:pPr>
            <w:r>
              <w:rPr>
                <w:rFonts w:ascii="Arial" w:cs="Arial" w:eastAsia="Arial" w:hAnsi="Arial"/>
                <w:sz w:val="13"/>
                <w:szCs w:val="13"/>
                <w:b w:val="1"/>
                <w:bCs w:val="1"/>
                <w:color w:val="FFFFFF"/>
                <w:w w:val="89"/>
              </w:rPr>
              <w:t>($)</w:t>
            </w:r>
            <w:r>
              <w:rPr>
                <w:rFonts w:ascii="Arial" w:cs="Arial" w:eastAsia="Arial" w:hAnsi="Arial"/>
                <w:sz w:val="16"/>
                <w:szCs w:val="16"/>
                <w:b w:val="1"/>
                <w:bCs w:val="1"/>
                <w:color w:val="FFFFFF"/>
                <w:w w:val="89"/>
                <w:vertAlign w:val="superscript"/>
              </w:rPr>
              <w:t>(2)</w:t>
            </w:r>
          </w:p>
        </w:tc>
        <w:tc>
          <w:tcPr>
            <w:tcW w:w="660" w:type="dxa"/>
            <w:vAlign w:val="bottom"/>
            <w:tcBorders>
              <w:bottom w:val="single" w:sz="8" w:color="auto"/>
            </w:tcBorders>
            <w:shd w:val="clear" w:color="auto" w:fill="004C97"/>
          </w:tcPr>
          <w:p>
            <w:pPr>
              <w:jc w:val="center"/>
              <w:ind w:left="317"/>
              <w:spacing w:after="0"/>
              <w:rPr>
                <w:sz w:val="20"/>
                <w:szCs w:val="20"/>
                <w:color w:val="auto"/>
              </w:rPr>
            </w:pPr>
            <w:r>
              <w:rPr>
                <w:rFonts w:ascii="Arial" w:cs="Arial" w:eastAsia="Arial" w:hAnsi="Arial"/>
                <w:sz w:val="13"/>
                <w:szCs w:val="13"/>
                <w:b w:val="1"/>
                <w:bCs w:val="1"/>
                <w:color w:val="FFFFFF"/>
              </w:rPr>
              <w:t>(#)</w:t>
            </w:r>
          </w:p>
        </w:tc>
        <w:tc>
          <w:tcPr>
            <w:tcW w:w="420" w:type="dxa"/>
            <w:vAlign w:val="bottom"/>
            <w:tcBorders>
              <w:bottom w:val="single" w:sz="8" w:color="auto"/>
              <w:right w:val="single" w:sz="8" w:color="auto"/>
            </w:tcBorders>
            <w:shd w:val="clear" w:color="auto" w:fill="004C97"/>
          </w:tcPr>
          <w:p>
            <w:pPr>
              <w:spacing w:after="0"/>
              <w:rPr>
                <w:sz w:val="14"/>
                <w:szCs w:val="14"/>
                <w:color w:val="auto"/>
              </w:rPr>
            </w:pPr>
          </w:p>
        </w:tc>
        <w:tc>
          <w:tcPr>
            <w:tcW w:w="1220" w:type="dxa"/>
            <w:vAlign w:val="bottom"/>
            <w:tcBorders>
              <w:bottom w:val="single" w:sz="8" w:color="auto"/>
              <w:right w:val="single" w:sz="8" w:color="auto"/>
            </w:tcBorders>
            <w:shd w:val="clear" w:color="auto" w:fill="004C97"/>
          </w:tcPr>
          <w:p>
            <w:pPr>
              <w:jc w:val="center"/>
              <w:spacing w:after="0" w:line="162"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7"/>
                <w:szCs w:val="7"/>
                <w:b w:val="1"/>
                <w:bCs w:val="1"/>
                <w:color w:val="FFFFFF"/>
              </w:rPr>
              <w:t>(2)</w:t>
            </w:r>
          </w:p>
        </w:tc>
        <w:tc>
          <w:tcPr>
            <w:tcW w:w="0" w:type="dxa"/>
            <w:vAlign w:val="bottom"/>
          </w:tcPr>
          <w:p>
            <w:pPr>
              <w:spacing w:after="0"/>
              <w:rPr>
                <w:sz w:val="1"/>
                <w:szCs w:val="1"/>
                <w:color w:val="auto"/>
              </w:rPr>
            </w:pPr>
          </w:p>
        </w:tc>
      </w:tr>
      <w:tr>
        <w:trPr>
          <w:trHeight w:val="242"/>
        </w:trPr>
        <w:tc>
          <w:tcPr>
            <w:tcW w:w="1520" w:type="dxa"/>
            <w:vAlign w:val="bottom"/>
            <w:tcBorders>
              <w:left w:val="single" w:sz="8" w:color="auto"/>
              <w:right w:val="single" w:sz="8" w:color="auto"/>
            </w:tcBorders>
          </w:tcPr>
          <w:p>
            <w:pPr>
              <w:spacing w:after="0"/>
              <w:rPr>
                <w:sz w:val="20"/>
                <w:szCs w:val="20"/>
                <w:color w:val="auto"/>
              </w:rPr>
            </w:pPr>
          </w:p>
        </w:tc>
        <w:tc>
          <w:tcPr>
            <w:tcW w:w="9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03/02/2016</w:t>
            </w:r>
          </w:p>
        </w:tc>
        <w:tc>
          <w:tcPr>
            <w:tcW w:w="1200" w:type="dxa"/>
            <w:vAlign w:val="bottom"/>
            <w:tcBorders>
              <w:bottom w:val="single" w:sz="8" w:color="E5E5E5"/>
              <w:right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E5E5E5"/>
              <w:right w:val="single" w:sz="8" w:color="auto"/>
            </w:tcBorders>
            <w:shd w:val="clear" w:color="auto" w:fill="E5E5E5"/>
          </w:tcPr>
          <w:p>
            <w:pPr>
              <w:jc w:val="right"/>
              <w:ind w:right="18"/>
              <w:spacing w:after="0"/>
              <w:rPr>
                <w:sz w:val="20"/>
                <w:szCs w:val="20"/>
                <w:color w:val="auto"/>
              </w:rPr>
            </w:pPr>
            <w:r>
              <w:rPr>
                <w:rFonts w:ascii="Arial" w:cs="Arial" w:eastAsia="Arial" w:hAnsi="Arial"/>
                <w:sz w:val="13"/>
                <w:szCs w:val="13"/>
                <w:color w:val="auto"/>
              </w:rPr>
              <w:t>186,919</w:t>
            </w:r>
          </w:p>
        </w:tc>
        <w:tc>
          <w:tcPr>
            <w:tcW w:w="900" w:type="dxa"/>
            <w:vAlign w:val="bottom"/>
            <w:tcBorders>
              <w:bottom w:val="single" w:sz="8" w:color="E5E5E5"/>
              <w:right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12.85</w:t>
            </w:r>
          </w:p>
        </w:tc>
        <w:tc>
          <w:tcPr>
            <w:tcW w:w="98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03/02/2026</w:t>
            </w:r>
          </w:p>
        </w:tc>
        <w:tc>
          <w:tcPr>
            <w:tcW w:w="780" w:type="dxa"/>
            <w:vAlign w:val="bottom"/>
            <w:tcBorders>
              <w:bottom w:val="single" w:sz="8" w:color="E5E5E5"/>
            </w:tcBorders>
            <w:shd w:val="clear" w:color="auto" w:fill="E5E5E5"/>
          </w:tcPr>
          <w:p>
            <w:pPr>
              <w:spacing w:after="0"/>
              <w:rPr>
                <w:sz w:val="20"/>
                <w:szCs w:val="20"/>
                <w:color w:val="auto"/>
              </w:rPr>
            </w:pPr>
          </w:p>
        </w:tc>
        <w:tc>
          <w:tcPr>
            <w:tcW w:w="420" w:type="dxa"/>
            <w:vAlign w:val="bottom"/>
            <w:tcBorders>
              <w:bottom w:val="single" w:sz="8" w:color="E5E5E5"/>
              <w:right w:val="single" w:sz="8" w:color="auto"/>
            </w:tcBorders>
            <w:shd w:val="clear" w:color="auto" w:fill="E5E5E5"/>
          </w:tcPr>
          <w:p>
            <w:pPr>
              <w:spacing w:after="0"/>
              <w:rPr>
                <w:sz w:val="20"/>
                <w:szCs w:val="20"/>
                <w:color w:val="auto"/>
              </w:rPr>
            </w:pPr>
          </w:p>
        </w:tc>
        <w:tc>
          <w:tcPr>
            <w:tcW w:w="1200" w:type="dxa"/>
            <w:vAlign w:val="bottom"/>
            <w:tcBorders>
              <w:bottom w:val="single" w:sz="8" w:color="E5E5E5"/>
              <w:right w:val="single" w:sz="8" w:color="auto"/>
            </w:tcBorders>
            <w:shd w:val="clear" w:color="auto" w:fill="E5E5E5"/>
          </w:tcPr>
          <w:p>
            <w:pPr>
              <w:spacing w:after="0"/>
              <w:rPr>
                <w:sz w:val="20"/>
                <w:szCs w:val="20"/>
                <w:color w:val="auto"/>
              </w:rPr>
            </w:pPr>
          </w:p>
        </w:tc>
        <w:tc>
          <w:tcPr>
            <w:tcW w:w="660" w:type="dxa"/>
            <w:vAlign w:val="bottom"/>
            <w:tcBorders>
              <w:bottom w:val="single" w:sz="8" w:color="E5E5E5"/>
            </w:tcBorders>
            <w:shd w:val="clear" w:color="auto" w:fill="E5E5E5"/>
          </w:tcPr>
          <w:p>
            <w:pPr>
              <w:spacing w:after="0"/>
              <w:rPr>
                <w:sz w:val="20"/>
                <w:szCs w:val="20"/>
                <w:color w:val="auto"/>
              </w:rPr>
            </w:pPr>
          </w:p>
        </w:tc>
        <w:tc>
          <w:tcPr>
            <w:tcW w:w="420" w:type="dxa"/>
            <w:vAlign w:val="bottom"/>
            <w:tcBorders>
              <w:bottom w:val="single" w:sz="8" w:color="E5E5E5"/>
              <w:right w:val="single" w:sz="8" w:color="auto"/>
            </w:tcBorders>
            <w:shd w:val="clear" w:color="auto" w:fill="E5E5E5"/>
          </w:tcPr>
          <w:p>
            <w:pPr>
              <w:spacing w:after="0"/>
              <w:rPr>
                <w:sz w:val="20"/>
                <w:szCs w:val="20"/>
                <w:color w:val="auto"/>
              </w:rPr>
            </w:pPr>
          </w:p>
        </w:tc>
        <w:tc>
          <w:tcPr>
            <w:tcW w:w="1220" w:type="dxa"/>
            <w:vAlign w:val="bottom"/>
            <w:tcBorders>
              <w:bottom w:val="single" w:sz="8" w:color="E5E5E5"/>
              <w:right w:val="single" w:sz="8" w:color="auto"/>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20" w:type="dxa"/>
            <w:vAlign w:val="bottom"/>
            <w:tcBorders>
              <w:left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03/01/2017</w:t>
            </w:r>
          </w:p>
        </w:tc>
        <w:tc>
          <w:tcPr>
            <w:tcW w:w="120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right w:val="single" w:sz="8" w:color="auto"/>
            </w:tcBorders>
          </w:tcPr>
          <w:p>
            <w:pPr>
              <w:jc w:val="right"/>
              <w:ind w:right="18"/>
              <w:spacing w:after="0"/>
              <w:rPr>
                <w:sz w:val="20"/>
                <w:szCs w:val="20"/>
                <w:color w:val="auto"/>
              </w:rPr>
            </w:pPr>
            <w:r>
              <w:rPr>
                <w:rFonts w:ascii="Arial" w:cs="Arial" w:eastAsia="Arial" w:hAnsi="Arial"/>
                <w:sz w:val="13"/>
                <w:szCs w:val="13"/>
                <w:color w:val="auto"/>
              </w:rPr>
              <w:t>82,405</w:t>
            </w:r>
          </w:p>
        </w:tc>
        <w:tc>
          <w:tcPr>
            <w:tcW w:w="90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27.40</w:t>
            </w: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03/01/2027</w:t>
            </w:r>
          </w:p>
        </w:tc>
        <w:tc>
          <w:tcPr>
            <w:tcW w:w="780" w:type="dxa"/>
            <w:vAlign w:val="bottom"/>
            <w:tcBorders>
              <w:top w:val="single" w:sz="8" w:color="auto"/>
            </w:tcBorders>
          </w:tcPr>
          <w:p>
            <w:pPr>
              <w:spacing w:after="0"/>
              <w:rPr>
                <w:sz w:val="15"/>
                <w:szCs w:val="15"/>
                <w:color w:val="auto"/>
              </w:rPr>
            </w:pPr>
          </w:p>
        </w:tc>
        <w:tc>
          <w:tcPr>
            <w:tcW w:w="420" w:type="dxa"/>
            <w:vAlign w:val="bottom"/>
            <w:tcBorders>
              <w:top w:val="single" w:sz="8" w:color="auto"/>
              <w:right w:val="single" w:sz="8" w:color="auto"/>
            </w:tcBorders>
          </w:tcPr>
          <w:p>
            <w:pPr>
              <w:spacing w:after="0"/>
              <w:rPr>
                <w:sz w:val="15"/>
                <w:szCs w:val="15"/>
                <w:color w:val="auto"/>
              </w:rPr>
            </w:pPr>
          </w:p>
        </w:tc>
        <w:tc>
          <w:tcPr>
            <w:tcW w:w="1200" w:type="dxa"/>
            <w:vAlign w:val="bottom"/>
            <w:tcBorders>
              <w:top w:val="single" w:sz="8" w:color="auto"/>
              <w:right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20" w:type="dxa"/>
            <w:vAlign w:val="bottom"/>
            <w:tcBorders>
              <w:top w:val="single" w:sz="8" w:color="auto"/>
              <w:right w:val="single" w:sz="8" w:color="auto"/>
            </w:tcBorders>
          </w:tcPr>
          <w:p>
            <w:pPr>
              <w:spacing w:after="0"/>
              <w:rPr>
                <w:sz w:val="15"/>
                <w:szCs w:val="15"/>
                <w:color w:val="auto"/>
              </w:rPr>
            </w:pPr>
          </w:p>
        </w:tc>
        <w:tc>
          <w:tcPr>
            <w:tcW w:w="122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1520" w:type="dxa"/>
            <w:vAlign w:val="bottom"/>
            <w:tcBorders>
              <w:left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520" w:type="dxa"/>
            <w:vAlign w:val="bottom"/>
            <w:tcBorders>
              <w:left w:val="single" w:sz="8" w:color="auto"/>
              <w:right w:val="single" w:sz="8" w:color="auto"/>
            </w:tcBorders>
          </w:tcPr>
          <w:p>
            <w:pPr>
              <w:spacing w:after="0"/>
              <w:rPr>
                <w:sz w:val="20"/>
                <w:szCs w:val="20"/>
                <w:color w:val="auto"/>
              </w:rPr>
            </w:pPr>
          </w:p>
        </w:tc>
        <w:tc>
          <w:tcPr>
            <w:tcW w:w="9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02/22/2018</w:t>
            </w:r>
          </w:p>
        </w:tc>
        <w:tc>
          <w:tcPr>
            <w:tcW w:w="1200" w:type="dxa"/>
            <w:vAlign w:val="bottom"/>
            <w:tcBorders>
              <w:bottom w:val="single" w:sz="8" w:color="E5E5E5"/>
              <w:right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E5E5E5"/>
              <w:right w:val="single" w:sz="8" w:color="auto"/>
            </w:tcBorders>
            <w:shd w:val="clear" w:color="auto" w:fill="E5E5E5"/>
          </w:tcPr>
          <w:p>
            <w:pPr>
              <w:jc w:val="right"/>
              <w:ind w:right="18"/>
              <w:spacing w:after="0"/>
              <w:rPr>
                <w:sz w:val="20"/>
                <w:szCs w:val="20"/>
                <w:color w:val="auto"/>
              </w:rPr>
            </w:pPr>
            <w:r>
              <w:rPr>
                <w:rFonts w:ascii="Arial" w:cs="Arial" w:eastAsia="Arial" w:hAnsi="Arial"/>
                <w:sz w:val="13"/>
                <w:szCs w:val="13"/>
                <w:color w:val="auto"/>
              </w:rPr>
              <w:t>72,298</w:t>
            </w:r>
          </w:p>
        </w:tc>
        <w:tc>
          <w:tcPr>
            <w:tcW w:w="900" w:type="dxa"/>
            <w:vAlign w:val="bottom"/>
            <w:tcBorders>
              <w:bottom w:val="single" w:sz="8" w:color="E5E5E5"/>
              <w:right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32.69</w:t>
            </w:r>
          </w:p>
        </w:tc>
        <w:tc>
          <w:tcPr>
            <w:tcW w:w="98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02/22/2028</w:t>
            </w:r>
          </w:p>
        </w:tc>
        <w:tc>
          <w:tcPr>
            <w:tcW w:w="780" w:type="dxa"/>
            <w:vAlign w:val="bottom"/>
            <w:tcBorders>
              <w:bottom w:val="single" w:sz="8" w:color="E5E5E5"/>
            </w:tcBorders>
            <w:shd w:val="clear" w:color="auto" w:fill="E5E5E5"/>
          </w:tcPr>
          <w:p>
            <w:pPr>
              <w:spacing w:after="0"/>
              <w:rPr>
                <w:sz w:val="20"/>
                <w:szCs w:val="20"/>
                <w:color w:val="auto"/>
              </w:rPr>
            </w:pPr>
          </w:p>
        </w:tc>
        <w:tc>
          <w:tcPr>
            <w:tcW w:w="420" w:type="dxa"/>
            <w:vAlign w:val="bottom"/>
            <w:tcBorders>
              <w:bottom w:val="single" w:sz="8" w:color="E5E5E5"/>
              <w:right w:val="single" w:sz="8" w:color="auto"/>
            </w:tcBorders>
            <w:shd w:val="clear" w:color="auto" w:fill="E5E5E5"/>
          </w:tcPr>
          <w:p>
            <w:pPr>
              <w:spacing w:after="0"/>
              <w:rPr>
                <w:sz w:val="20"/>
                <w:szCs w:val="20"/>
                <w:color w:val="auto"/>
              </w:rPr>
            </w:pPr>
          </w:p>
        </w:tc>
        <w:tc>
          <w:tcPr>
            <w:tcW w:w="1200" w:type="dxa"/>
            <w:vAlign w:val="bottom"/>
            <w:tcBorders>
              <w:bottom w:val="single" w:sz="8" w:color="E5E5E5"/>
              <w:right w:val="single" w:sz="8" w:color="auto"/>
            </w:tcBorders>
            <w:shd w:val="clear" w:color="auto" w:fill="E5E5E5"/>
          </w:tcPr>
          <w:p>
            <w:pPr>
              <w:spacing w:after="0"/>
              <w:rPr>
                <w:sz w:val="20"/>
                <w:szCs w:val="20"/>
                <w:color w:val="auto"/>
              </w:rPr>
            </w:pPr>
          </w:p>
        </w:tc>
        <w:tc>
          <w:tcPr>
            <w:tcW w:w="660" w:type="dxa"/>
            <w:vAlign w:val="bottom"/>
            <w:tcBorders>
              <w:bottom w:val="single" w:sz="8" w:color="E5E5E5"/>
            </w:tcBorders>
            <w:shd w:val="clear" w:color="auto" w:fill="E5E5E5"/>
          </w:tcPr>
          <w:p>
            <w:pPr>
              <w:spacing w:after="0"/>
              <w:rPr>
                <w:sz w:val="20"/>
                <w:szCs w:val="20"/>
                <w:color w:val="auto"/>
              </w:rPr>
            </w:pPr>
          </w:p>
        </w:tc>
        <w:tc>
          <w:tcPr>
            <w:tcW w:w="420" w:type="dxa"/>
            <w:vAlign w:val="bottom"/>
            <w:tcBorders>
              <w:bottom w:val="single" w:sz="8" w:color="E5E5E5"/>
              <w:right w:val="single" w:sz="8" w:color="auto"/>
            </w:tcBorders>
            <w:shd w:val="clear" w:color="auto" w:fill="E5E5E5"/>
          </w:tcPr>
          <w:p>
            <w:pPr>
              <w:spacing w:after="0"/>
              <w:rPr>
                <w:sz w:val="20"/>
                <w:szCs w:val="20"/>
                <w:color w:val="auto"/>
              </w:rPr>
            </w:pPr>
          </w:p>
        </w:tc>
        <w:tc>
          <w:tcPr>
            <w:tcW w:w="1220" w:type="dxa"/>
            <w:vAlign w:val="bottom"/>
            <w:tcBorders>
              <w:bottom w:val="single" w:sz="8" w:color="E5E5E5"/>
              <w:right w:val="single" w:sz="8" w:color="auto"/>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20" w:type="dxa"/>
            <w:vAlign w:val="bottom"/>
            <w:tcBorders>
              <w:left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02/21/2019</w:t>
            </w:r>
          </w:p>
        </w:tc>
        <w:tc>
          <w:tcPr>
            <w:tcW w:w="120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right w:val="single" w:sz="8" w:color="auto"/>
            </w:tcBorders>
          </w:tcPr>
          <w:p>
            <w:pPr>
              <w:jc w:val="right"/>
              <w:ind w:right="18"/>
              <w:spacing w:after="0"/>
              <w:rPr>
                <w:sz w:val="20"/>
                <w:szCs w:val="20"/>
                <w:color w:val="auto"/>
              </w:rPr>
            </w:pPr>
            <w:r>
              <w:rPr>
                <w:rFonts w:ascii="Arial" w:cs="Arial" w:eastAsia="Arial" w:hAnsi="Arial"/>
                <w:sz w:val="13"/>
                <w:szCs w:val="13"/>
                <w:color w:val="auto"/>
              </w:rPr>
              <w:t>77,463</w:t>
            </w:r>
          </w:p>
        </w:tc>
        <w:tc>
          <w:tcPr>
            <w:tcW w:w="90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36.51</w:t>
            </w: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02/21/2029</w:t>
            </w:r>
          </w:p>
        </w:tc>
        <w:tc>
          <w:tcPr>
            <w:tcW w:w="780" w:type="dxa"/>
            <w:vAlign w:val="bottom"/>
            <w:tcBorders>
              <w:top w:val="single" w:sz="8" w:color="auto"/>
            </w:tcBorders>
          </w:tcPr>
          <w:p>
            <w:pPr>
              <w:spacing w:after="0"/>
              <w:rPr>
                <w:sz w:val="15"/>
                <w:szCs w:val="15"/>
                <w:color w:val="auto"/>
              </w:rPr>
            </w:pPr>
          </w:p>
        </w:tc>
        <w:tc>
          <w:tcPr>
            <w:tcW w:w="420" w:type="dxa"/>
            <w:vAlign w:val="bottom"/>
            <w:tcBorders>
              <w:top w:val="single" w:sz="8" w:color="auto"/>
              <w:right w:val="single" w:sz="8" w:color="auto"/>
            </w:tcBorders>
          </w:tcPr>
          <w:p>
            <w:pPr>
              <w:spacing w:after="0"/>
              <w:rPr>
                <w:sz w:val="15"/>
                <w:szCs w:val="15"/>
                <w:color w:val="auto"/>
              </w:rPr>
            </w:pPr>
          </w:p>
        </w:tc>
        <w:tc>
          <w:tcPr>
            <w:tcW w:w="1200" w:type="dxa"/>
            <w:vAlign w:val="bottom"/>
            <w:tcBorders>
              <w:top w:val="single" w:sz="8" w:color="auto"/>
              <w:right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20" w:type="dxa"/>
            <w:vAlign w:val="bottom"/>
            <w:tcBorders>
              <w:top w:val="single" w:sz="8" w:color="auto"/>
              <w:right w:val="single" w:sz="8" w:color="auto"/>
            </w:tcBorders>
          </w:tcPr>
          <w:p>
            <w:pPr>
              <w:spacing w:after="0"/>
              <w:rPr>
                <w:sz w:val="15"/>
                <w:szCs w:val="15"/>
                <w:color w:val="auto"/>
              </w:rPr>
            </w:pPr>
          </w:p>
        </w:tc>
        <w:tc>
          <w:tcPr>
            <w:tcW w:w="122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520" w:type="dxa"/>
            <w:vAlign w:val="bottom"/>
            <w:tcBorders>
              <w:left w:val="single" w:sz="8" w:color="auto"/>
              <w:right w:val="single" w:sz="8" w:color="auto"/>
            </w:tcBorders>
          </w:tcPr>
          <w:p>
            <w:pPr>
              <w:spacing w:after="0"/>
              <w:rPr>
                <w:sz w:val="20"/>
                <w:szCs w:val="20"/>
                <w:color w:val="auto"/>
              </w:rPr>
            </w:pPr>
          </w:p>
        </w:tc>
        <w:tc>
          <w:tcPr>
            <w:tcW w:w="9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02/20/2020</w:t>
            </w:r>
          </w:p>
        </w:tc>
        <w:tc>
          <w:tcPr>
            <w:tcW w:w="1200" w:type="dxa"/>
            <w:vAlign w:val="bottom"/>
            <w:tcBorders>
              <w:bottom w:val="single" w:sz="8" w:color="E5E5E5"/>
              <w:right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E5E5E5"/>
              <w:right w:val="single" w:sz="8" w:color="auto"/>
            </w:tcBorders>
            <w:shd w:val="clear" w:color="auto" w:fill="E5E5E5"/>
          </w:tcPr>
          <w:p>
            <w:pPr>
              <w:jc w:val="right"/>
              <w:ind w:right="18"/>
              <w:spacing w:after="0"/>
              <w:rPr>
                <w:sz w:val="20"/>
                <w:szCs w:val="20"/>
                <w:color w:val="auto"/>
              </w:rPr>
            </w:pPr>
            <w:r>
              <w:rPr>
                <w:rFonts w:ascii="Arial" w:cs="Arial" w:eastAsia="Arial" w:hAnsi="Arial"/>
                <w:sz w:val="13"/>
                <w:szCs w:val="13"/>
                <w:color w:val="auto"/>
              </w:rPr>
              <w:t>53,465</w:t>
            </w:r>
          </w:p>
        </w:tc>
        <w:tc>
          <w:tcPr>
            <w:tcW w:w="900" w:type="dxa"/>
            <w:vAlign w:val="bottom"/>
            <w:tcBorders>
              <w:bottom w:val="single" w:sz="8" w:color="E5E5E5"/>
              <w:right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50.09</w:t>
            </w:r>
          </w:p>
        </w:tc>
        <w:tc>
          <w:tcPr>
            <w:tcW w:w="98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02/20/2030</w:t>
            </w:r>
          </w:p>
        </w:tc>
        <w:tc>
          <w:tcPr>
            <w:tcW w:w="780" w:type="dxa"/>
            <w:vAlign w:val="bottom"/>
            <w:tcBorders>
              <w:bottom w:val="single" w:sz="8" w:color="E5E5E5"/>
            </w:tcBorders>
            <w:shd w:val="clear" w:color="auto" w:fill="E5E5E5"/>
          </w:tcPr>
          <w:p>
            <w:pPr>
              <w:spacing w:after="0"/>
              <w:rPr>
                <w:sz w:val="20"/>
                <w:szCs w:val="20"/>
                <w:color w:val="auto"/>
              </w:rPr>
            </w:pPr>
          </w:p>
        </w:tc>
        <w:tc>
          <w:tcPr>
            <w:tcW w:w="420" w:type="dxa"/>
            <w:vAlign w:val="bottom"/>
            <w:tcBorders>
              <w:bottom w:val="single" w:sz="8" w:color="E5E5E5"/>
              <w:right w:val="single" w:sz="8" w:color="auto"/>
            </w:tcBorders>
            <w:shd w:val="clear" w:color="auto" w:fill="E5E5E5"/>
          </w:tcPr>
          <w:p>
            <w:pPr>
              <w:spacing w:after="0"/>
              <w:rPr>
                <w:sz w:val="20"/>
                <w:szCs w:val="20"/>
                <w:color w:val="auto"/>
              </w:rPr>
            </w:pPr>
          </w:p>
        </w:tc>
        <w:tc>
          <w:tcPr>
            <w:tcW w:w="1200" w:type="dxa"/>
            <w:vAlign w:val="bottom"/>
            <w:tcBorders>
              <w:bottom w:val="single" w:sz="8" w:color="E5E5E5"/>
              <w:right w:val="single" w:sz="8" w:color="auto"/>
            </w:tcBorders>
            <w:shd w:val="clear" w:color="auto" w:fill="E5E5E5"/>
          </w:tcPr>
          <w:p>
            <w:pPr>
              <w:spacing w:after="0"/>
              <w:rPr>
                <w:sz w:val="20"/>
                <w:szCs w:val="20"/>
                <w:color w:val="auto"/>
              </w:rPr>
            </w:pPr>
          </w:p>
        </w:tc>
        <w:tc>
          <w:tcPr>
            <w:tcW w:w="660" w:type="dxa"/>
            <w:vAlign w:val="bottom"/>
            <w:tcBorders>
              <w:bottom w:val="single" w:sz="8" w:color="E5E5E5"/>
            </w:tcBorders>
            <w:shd w:val="clear" w:color="auto" w:fill="E5E5E5"/>
          </w:tcPr>
          <w:p>
            <w:pPr>
              <w:spacing w:after="0"/>
              <w:rPr>
                <w:sz w:val="20"/>
                <w:szCs w:val="20"/>
                <w:color w:val="auto"/>
              </w:rPr>
            </w:pPr>
          </w:p>
        </w:tc>
        <w:tc>
          <w:tcPr>
            <w:tcW w:w="420" w:type="dxa"/>
            <w:vAlign w:val="bottom"/>
            <w:tcBorders>
              <w:bottom w:val="single" w:sz="8" w:color="E5E5E5"/>
              <w:right w:val="single" w:sz="8" w:color="auto"/>
            </w:tcBorders>
            <w:shd w:val="clear" w:color="auto" w:fill="E5E5E5"/>
          </w:tcPr>
          <w:p>
            <w:pPr>
              <w:spacing w:after="0"/>
              <w:rPr>
                <w:sz w:val="20"/>
                <w:szCs w:val="20"/>
                <w:color w:val="auto"/>
              </w:rPr>
            </w:pPr>
          </w:p>
        </w:tc>
        <w:tc>
          <w:tcPr>
            <w:tcW w:w="1220" w:type="dxa"/>
            <w:vAlign w:val="bottom"/>
            <w:tcBorders>
              <w:bottom w:val="single" w:sz="8" w:color="E5E5E5"/>
              <w:right w:val="single" w:sz="8" w:color="auto"/>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20" w:type="dxa"/>
            <w:vAlign w:val="bottom"/>
            <w:tcBorders>
              <w:left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03/01/2021</w:t>
            </w:r>
          </w:p>
        </w:tc>
        <w:tc>
          <w:tcPr>
            <w:tcW w:w="120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right w:val="single" w:sz="8" w:color="auto"/>
            </w:tcBorders>
          </w:tcPr>
          <w:p>
            <w:pPr>
              <w:jc w:val="right"/>
              <w:ind w:right="18"/>
              <w:spacing w:after="0"/>
              <w:rPr>
                <w:sz w:val="20"/>
                <w:szCs w:val="20"/>
                <w:color w:val="auto"/>
              </w:rPr>
            </w:pPr>
            <w:r>
              <w:rPr>
                <w:rFonts w:ascii="Arial" w:cs="Arial" w:eastAsia="Arial" w:hAnsi="Arial"/>
                <w:sz w:val="13"/>
                <w:szCs w:val="13"/>
                <w:color w:val="auto"/>
              </w:rPr>
              <w:t>46,291</w:t>
            </w:r>
          </w:p>
        </w:tc>
        <w:tc>
          <w:tcPr>
            <w:tcW w:w="90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58.34</w:t>
            </w: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03/01/2031</w:t>
            </w:r>
          </w:p>
        </w:tc>
        <w:tc>
          <w:tcPr>
            <w:tcW w:w="780" w:type="dxa"/>
            <w:vAlign w:val="bottom"/>
            <w:tcBorders>
              <w:top w:val="single" w:sz="8" w:color="auto"/>
            </w:tcBorders>
          </w:tcPr>
          <w:p>
            <w:pPr>
              <w:spacing w:after="0"/>
              <w:rPr>
                <w:sz w:val="15"/>
                <w:szCs w:val="15"/>
                <w:color w:val="auto"/>
              </w:rPr>
            </w:pPr>
          </w:p>
        </w:tc>
        <w:tc>
          <w:tcPr>
            <w:tcW w:w="420" w:type="dxa"/>
            <w:vAlign w:val="bottom"/>
            <w:tcBorders>
              <w:top w:val="single" w:sz="8" w:color="auto"/>
              <w:right w:val="single" w:sz="8" w:color="auto"/>
            </w:tcBorders>
          </w:tcPr>
          <w:p>
            <w:pPr>
              <w:spacing w:after="0"/>
              <w:rPr>
                <w:sz w:val="15"/>
                <w:szCs w:val="15"/>
                <w:color w:val="auto"/>
              </w:rPr>
            </w:pPr>
          </w:p>
        </w:tc>
        <w:tc>
          <w:tcPr>
            <w:tcW w:w="1200" w:type="dxa"/>
            <w:vAlign w:val="bottom"/>
            <w:tcBorders>
              <w:top w:val="single" w:sz="8" w:color="auto"/>
              <w:right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20" w:type="dxa"/>
            <w:vAlign w:val="bottom"/>
            <w:tcBorders>
              <w:top w:val="single" w:sz="8" w:color="auto"/>
              <w:right w:val="single" w:sz="8" w:color="auto"/>
            </w:tcBorders>
          </w:tcPr>
          <w:p>
            <w:pPr>
              <w:spacing w:after="0"/>
              <w:rPr>
                <w:sz w:val="15"/>
                <w:szCs w:val="15"/>
                <w:color w:val="auto"/>
              </w:rPr>
            </w:pPr>
          </w:p>
        </w:tc>
        <w:tc>
          <w:tcPr>
            <w:tcW w:w="122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520" w:type="dxa"/>
            <w:vAlign w:val="bottom"/>
            <w:tcBorders>
              <w:left w:val="single" w:sz="8" w:color="auto"/>
              <w:right w:val="single" w:sz="8" w:color="auto"/>
            </w:tcBorders>
          </w:tcPr>
          <w:p>
            <w:pPr>
              <w:spacing w:after="0"/>
              <w:rPr>
                <w:sz w:val="20"/>
                <w:szCs w:val="20"/>
                <w:color w:val="auto"/>
              </w:rPr>
            </w:pPr>
          </w:p>
        </w:tc>
        <w:tc>
          <w:tcPr>
            <w:tcW w:w="9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03/01/2022</w:t>
            </w:r>
          </w:p>
        </w:tc>
        <w:tc>
          <w:tcPr>
            <w:tcW w:w="1200" w:type="dxa"/>
            <w:vAlign w:val="bottom"/>
            <w:tcBorders>
              <w:bottom w:val="single" w:sz="8" w:color="E5E5E5"/>
              <w:right w:val="single" w:sz="8" w:color="auto"/>
            </w:tcBorders>
            <w:shd w:val="clear" w:color="auto" w:fill="E5E5E5"/>
          </w:tcPr>
          <w:p>
            <w:pPr>
              <w:spacing w:after="0"/>
              <w:rPr>
                <w:sz w:val="20"/>
                <w:szCs w:val="20"/>
                <w:color w:val="auto"/>
              </w:rPr>
            </w:pPr>
          </w:p>
        </w:tc>
        <w:tc>
          <w:tcPr>
            <w:tcW w:w="1040" w:type="dxa"/>
            <w:vAlign w:val="bottom"/>
            <w:tcBorders>
              <w:bottom w:val="single" w:sz="8" w:color="E5E5E5"/>
              <w:right w:val="single" w:sz="8" w:color="auto"/>
            </w:tcBorders>
            <w:shd w:val="clear" w:color="auto" w:fill="E5E5E5"/>
          </w:tcPr>
          <w:p>
            <w:pPr>
              <w:spacing w:after="0"/>
              <w:rPr>
                <w:sz w:val="20"/>
                <w:szCs w:val="20"/>
                <w:color w:val="auto"/>
              </w:rPr>
            </w:pPr>
          </w:p>
        </w:tc>
        <w:tc>
          <w:tcPr>
            <w:tcW w:w="900" w:type="dxa"/>
            <w:vAlign w:val="bottom"/>
            <w:tcBorders>
              <w:bottom w:val="single" w:sz="8" w:color="E5E5E5"/>
              <w:right w:val="single" w:sz="8" w:color="auto"/>
            </w:tcBorders>
            <w:shd w:val="clear" w:color="auto" w:fill="E5E5E5"/>
          </w:tcPr>
          <w:p>
            <w:pPr>
              <w:spacing w:after="0"/>
              <w:rPr>
                <w:sz w:val="20"/>
                <w:szCs w:val="20"/>
                <w:color w:val="auto"/>
              </w:rPr>
            </w:pPr>
          </w:p>
        </w:tc>
        <w:tc>
          <w:tcPr>
            <w:tcW w:w="980" w:type="dxa"/>
            <w:vAlign w:val="bottom"/>
            <w:tcBorders>
              <w:bottom w:val="single" w:sz="8" w:color="E5E5E5"/>
              <w:right w:val="single" w:sz="8" w:color="auto"/>
            </w:tcBorders>
            <w:shd w:val="clear" w:color="auto" w:fill="E5E5E5"/>
          </w:tcPr>
          <w:p>
            <w:pPr>
              <w:spacing w:after="0"/>
              <w:rPr>
                <w:sz w:val="20"/>
                <w:szCs w:val="20"/>
                <w:color w:val="auto"/>
              </w:rPr>
            </w:pPr>
          </w:p>
        </w:tc>
        <w:tc>
          <w:tcPr>
            <w:tcW w:w="7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38,979</w:t>
            </w:r>
          </w:p>
        </w:tc>
        <w:tc>
          <w:tcPr>
            <w:tcW w:w="420" w:type="dxa"/>
            <w:vAlign w:val="bottom"/>
            <w:tcBorders>
              <w:bottom w:val="single" w:sz="8" w:color="E5E5E5"/>
              <w:right w:val="single" w:sz="8" w:color="auto"/>
            </w:tcBorders>
            <w:shd w:val="clear" w:color="auto" w:fill="E5E5E5"/>
          </w:tcPr>
          <w:p>
            <w:pPr>
              <w:spacing w:after="0"/>
              <w:rPr>
                <w:sz w:val="20"/>
                <w:szCs w:val="20"/>
                <w:color w:val="auto"/>
              </w:rPr>
            </w:pPr>
          </w:p>
        </w:tc>
        <w:tc>
          <w:tcPr>
            <w:tcW w:w="1200" w:type="dxa"/>
            <w:vAlign w:val="bottom"/>
            <w:tcBorders>
              <w:bottom w:val="single" w:sz="8" w:color="E5E5E5"/>
              <w:right w:val="single" w:sz="8" w:color="auto"/>
            </w:tcBorders>
            <w:shd w:val="clear" w:color="auto" w:fill="E5E5E5"/>
          </w:tcPr>
          <w:p>
            <w:pPr>
              <w:jc w:val="right"/>
              <w:ind w:right="37"/>
              <w:spacing w:after="0"/>
              <w:rPr>
                <w:sz w:val="20"/>
                <w:szCs w:val="20"/>
                <w:color w:val="auto"/>
              </w:rPr>
            </w:pPr>
            <w:r>
              <w:rPr>
                <w:rFonts w:ascii="Arial" w:cs="Arial" w:eastAsia="Arial" w:hAnsi="Arial"/>
                <w:sz w:val="13"/>
                <w:szCs w:val="13"/>
                <w:color w:val="auto"/>
              </w:rPr>
              <w:t>5,672,224</w:t>
            </w: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58,469</w:t>
            </w:r>
          </w:p>
        </w:tc>
        <w:tc>
          <w:tcPr>
            <w:tcW w:w="420" w:type="dxa"/>
            <w:vAlign w:val="bottom"/>
            <w:tcBorders>
              <w:bottom w:val="single" w:sz="8" w:color="E5E5E5"/>
              <w:right w:val="single" w:sz="8" w:color="auto"/>
            </w:tcBorders>
            <w:shd w:val="clear" w:color="auto" w:fill="E5E5E5"/>
          </w:tcPr>
          <w:p>
            <w:pPr>
              <w:ind w:left="40"/>
              <w:spacing w:after="0"/>
              <w:rPr>
                <w:sz w:val="20"/>
                <w:szCs w:val="20"/>
                <w:color w:val="auto"/>
              </w:rPr>
            </w:pPr>
            <w:r>
              <w:rPr>
                <w:rFonts w:ascii="Arial" w:cs="Arial" w:eastAsia="Arial" w:hAnsi="Arial"/>
                <w:sz w:val="9"/>
                <w:szCs w:val="9"/>
                <w:color w:val="auto"/>
              </w:rPr>
              <w:t>(3b)</w:t>
            </w:r>
          </w:p>
        </w:tc>
        <w:tc>
          <w:tcPr>
            <w:tcW w:w="1220" w:type="dxa"/>
            <w:vAlign w:val="bottom"/>
            <w:tcBorders>
              <w:bottom w:val="single" w:sz="8" w:color="E5E5E5"/>
              <w:right w:val="single" w:sz="8" w:color="auto"/>
            </w:tcBorders>
            <w:shd w:val="clear" w:color="auto" w:fill="E5E5E5"/>
          </w:tcPr>
          <w:p>
            <w:pPr>
              <w:jc w:val="right"/>
              <w:ind w:right="18"/>
              <w:spacing w:after="0"/>
              <w:rPr>
                <w:sz w:val="20"/>
                <w:szCs w:val="20"/>
                <w:color w:val="auto"/>
              </w:rPr>
            </w:pPr>
            <w:r>
              <w:rPr>
                <w:rFonts w:ascii="Arial" w:cs="Arial" w:eastAsia="Arial" w:hAnsi="Arial"/>
                <w:sz w:val="13"/>
                <w:szCs w:val="13"/>
                <w:color w:val="auto"/>
              </w:rPr>
              <w:t>8,508,336</w:t>
            </w:r>
          </w:p>
        </w:tc>
        <w:tc>
          <w:tcPr>
            <w:tcW w:w="0" w:type="dxa"/>
            <w:vAlign w:val="bottom"/>
          </w:tcPr>
          <w:p>
            <w:pPr>
              <w:spacing w:after="0"/>
              <w:rPr>
                <w:sz w:val="1"/>
                <w:szCs w:val="1"/>
                <w:color w:val="auto"/>
              </w:rPr>
            </w:pPr>
          </w:p>
        </w:tc>
      </w:tr>
      <w:tr>
        <w:trPr>
          <w:trHeight w:val="182"/>
        </w:trPr>
        <w:tc>
          <w:tcPr>
            <w:tcW w:w="1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Eugene J. Lowe, III</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03/01/2022</w:t>
            </w:r>
          </w:p>
        </w:tc>
        <w:tc>
          <w:tcPr>
            <w:tcW w:w="1200" w:type="dxa"/>
            <w:vAlign w:val="bottom"/>
            <w:tcBorders>
              <w:top w:val="single" w:sz="8" w:color="auto"/>
              <w:right w:val="single" w:sz="8" w:color="auto"/>
            </w:tcBorders>
          </w:tcPr>
          <w:p>
            <w:pPr>
              <w:spacing w:after="0"/>
              <w:rPr>
                <w:sz w:val="15"/>
                <w:szCs w:val="15"/>
                <w:color w:val="auto"/>
              </w:rPr>
            </w:pPr>
          </w:p>
        </w:tc>
        <w:tc>
          <w:tcPr>
            <w:tcW w:w="104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spacing w:after="0"/>
              <w:rPr>
                <w:sz w:val="15"/>
                <w:szCs w:val="15"/>
                <w:color w:val="auto"/>
              </w:rPr>
            </w:pPr>
          </w:p>
        </w:tc>
        <w:tc>
          <w:tcPr>
            <w:tcW w:w="98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6,497</w:t>
            </w:r>
          </w:p>
        </w:tc>
        <w:tc>
          <w:tcPr>
            <w:tcW w:w="4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(3a)</w:t>
            </w:r>
          </w:p>
        </w:tc>
        <w:tc>
          <w:tcPr>
            <w:tcW w:w="1200" w:type="dxa"/>
            <w:vAlign w:val="bottom"/>
            <w:tcBorders>
              <w:top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945,443</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right w:val="single" w:sz="8" w:color="auto"/>
            </w:tcBorders>
          </w:tcPr>
          <w:p>
            <w:pPr>
              <w:spacing w:after="0"/>
              <w:rPr>
                <w:sz w:val="15"/>
                <w:szCs w:val="15"/>
                <w:color w:val="auto"/>
              </w:rPr>
            </w:pPr>
          </w:p>
        </w:tc>
        <w:tc>
          <w:tcPr>
            <w:tcW w:w="1220" w:type="dxa"/>
            <w:vAlign w:val="bottom"/>
            <w:tcBorders>
              <w:top w:val="single" w:sz="8" w:color="auto"/>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5"/>
        </w:trPr>
        <w:tc>
          <w:tcPr>
            <w:tcW w:w="1520" w:type="dxa"/>
            <w:vAlign w:val="bottom"/>
            <w:tcBorders>
              <w:left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520" w:type="dxa"/>
            <w:vAlign w:val="bottom"/>
            <w:tcBorders>
              <w:left w:val="single" w:sz="8" w:color="auto"/>
              <w:right w:val="single" w:sz="8" w:color="auto"/>
            </w:tcBorders>
          </w:tcPr>
          <w:p>
            <w:pPr>
              <w:spacing w:after="0"/>
              <w:rPr>
                <w:sz w:val="20"/>
                <w:szCs w:val="20"/>
                <w:color w:val="auto"/>
              </w:rPr>
            </w:pPr>
          </w:p>
        </w:tc>
        <w:tc>
          <w:tcPr>
            <w:tcW w:w="9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03/01/2022</w:t>
            </w:r>
          </w:p>
        </w:tc>
        <w:tc>
          <w:tcPr>
            <w:tcW w:w="1200" w:type="dxa"/>
            <w:vAlign w:val="bottom"/>
            <w:tcBorders>
              <w:bottom w:val="single" w:sz="8" w:color="E5E5E5"/>
              <w:right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16,460</w:t>
            </w:r>
          </w:p>
        </w:tc>
        <w:tc>
          <w:tcPr>
            <w:tcW w:w="1040" w:type="dxa"/>
            <w:vAlign w:val="bottom"/>
            <w:tcBorders>
              <w:bottom w:val="single" w:sz="8" w:color="E5E5E5"/>
              <w:right w:val="single" w:sz="8" w:color="auto"/>
            </w:tcBorders>
            <w:shd w:val="clear" w:color="auto" w:fill="E5E5E5"/>
          </w:tcPr>
          <w:p>
            <w:pPr>
              <w:jc w:val="right"/>
              <w:ind w:right="18"/>
              <w:spacing w:after="0"/>
              <w:rPr>
                <w:sz w:val="20"/>
                <w:szCs w:val="20"/>
                <w:color w:val="auto"/>
              </w:rPr>
            </w:pPr>
            <w:r>
              <w:rPr>
                <w:rFonts w:ascii="Arial" w:cs="Arial" w:eastAsia="Arial" w:hAnsi="Arial"/>
                <w:sz w:val="13"/>
                <w:szCs w:val="13"/>
                <w:color w:val="auto"/>
              </w:rPr>
              <w:t>32,918</w:t>
            </w:r>
          </w:p>
        </w:tc>
        <w:tc>
          <w:tcPr>
            <w:tcW w:w="900" w:type="dxa"/>
            <w:vAlign w:val="bottom"/>
            <w:tcBorders>
              <w:bottom w:val="single" w:sz="8" w:color="E5E5E5"/>
              <w:right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48.97</w:t>
            </w:r>
          </w:p>
        </w:tc>
        <w:tc>
          <w:tcPr>
            <w:tcW w:w="98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03/01/2032</w:t>
            </w:r>
          </w:p>
        </w:tc>
        <w:tc>
          <w:tcPr>
            <w:tcW w:w="780" w:type="dxa"/>
            <w:vAlign w:val="bottom"/>
            <w:tcBorders>
              <w:bottom w:val="single" w:sz="8" w:color="E5E5E5"/>
            </w:tcBorders>
            <w:shd w:val="clear" w:color="auto" w:fill="E5E5E5"/>
          </w:tcPr>
          <w:p>
            <w:pPr>
              <w:spacing w:after="0"/>
              <w:rPr>
                <w:sz w:val="20"/>
                <w:szCs w:val="20"/>
                <w:color w:val="auto"/>
              </w:rPr>
            </w:pPr>
          </w:p>
        </w:tc>
        <w:tc>
          <w:tcPr>
            <w:tcW w:w="420" w:type="dxa"/>
            <w:vAlign w:val="bottom"/>
            <w:tcBorders>
              <w:bottom w:val="single" w:sz="8" w:color="E5E5E5"/>
              <w:right w:val="single" w:sz="8" w:color="auto"/>
            </w:tcBorders>
            <w:shd w:val="clear" w:color="auto" w:fill="E5E5E5"/>
          </w:tcPr>
          <w:p>
            <w:pPr>
              <w:spacing w:after="0"/>
              <w:rPr>
                <w:sz w:val="20"/>
                <w:szCs w:val="20"/>
                <w:color w:val="auto"/>
              </w:rPr>
            </w:pPr>
          </w:p>
        </w:tc>
        <w:tc>
          <w:tcPr>
            <w:tcW w:w="1200" w:type="dxa"/>
            <w:vAlign w:val="bottom"/>
            <w:tcBorders>
              <w:bottom w:val="single" w:sz="8" w:color="E5E5E5"/>
              <w:right w:val="single" w:sz="8" w:color="auto"/>
            </w:tcBorders>
            <w:shd w:val="clear" w:color="auto" w:fill="E5E5E5"/>
          </w:tcPr>
          <w:p>
            <w:pPr>
              <w:spacing w:after="0"/>
              <w:rPr>
                <w:sz w:val="20"/>
                <w:szCs w:val="20"/>
                <w:color w:val="auto"/>
              </w:rPr>
            </w:pPr>
          </w:p>
        </w:tc>
        <w:tc>
          <w:tcPr>
            <w:tcW w:w="660" w:type="dxa"/>
            <w:vAlign w:val="bottom"/>
            <w:tcBorders>
              <w:bottom w:val="single" w:sz="8" w:color="E5E5E5"/>
            </w:tcBorders>
            <w:shd w:val="clear" w:color="auto" w:fill="E5E5E5"/>
          </w:tcPr>
          <w:p>
            <w:pPr>
              <w:spacing w:after="0"/>
              <w:rPr>
                <w:sz w:val="20"/>
                <w:szCs w:val="20"/>
                <w:color w:val="auto"/>
              </w:rPr>
            </w:pPr>
          </w:p>
        </w:tc>
        <w:tc>
          <w:tcPr>
            <w:tcW w:w="420" w:type="dxa"/>
            <w:vAlign w:val="bottom"/>
            <w:tcBorders>
              <w:bottom w:val="single" w:sz="8" w:color="E5E5E5"/>
              <w:right w:val="single" w:sz="8" w:color="auto"/>
            </w:tcBorders>
            <w:shd w:val="clear" w:color="auto" w:fill="E5E5E5"/>
          </w:tcPr>
          <w:p>
            <w:pPr>
              <w:spacing w:after="0"/>
              <w:rPr>
                <w:sz w:val="20"/>
                <w:szCs w:val="20"/>
                <w:color w:val="auto"/>
              </w:rPr>
            </w:pPr>
          </w:p>
        </w:tc>
        <w:tc>
          <w:tcPr>
            <w:tcW w:w="1220" w:type="dxa"/>
            <w:vAlign w:val="bottom"/>
            <w:tcBorders>
              <w:bottom w:val="single" w:sz="8" w:color="E5E5E5"/>
              <w:right w:val="single" w:sz="8" w:color="auto"/>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20" w:type="dxa"/>
            <w:vAlign w:val="bottom"/>
            <w:tcBorders>
              <w:left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03/01/2023</w:t>
            </w:r>
          </w:p>
        </w:tc>
        <w:tc>
          <w:tcPr>
            <w:tcW w:w="1200" w:type="dxa"/>
            <w:vAlign w:val="bottom"/>
            <w:tcBorders>
              <w:top w:val="single" w:sz="8" w:color="auto"/>
              <w:right w:val="single" w:sz="8" w:color="auto"/>
            </w:tcBorders>
          </w:tcPr>
          <w:p>
            <w:pPr>
              <w:spacing w:after="0"/>
              <w:rPr>
                <w:sz w:val="15"/>
                <w:szCs w:val="15"/>
                <w:color w:val="auto"/>
              </w:rPr>
            </w:pPr>
          </w:p>
        </w:tc>
        <w:tc>
          <w:tcPr>
            <w:tcW w:w="104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spacing w:after="0"/>
              <w:rPr>
                <w:sz w:val="15"/>
                <w:szCs w:val="15"/>
                <w:color w:val="auto"/>
              </w:rPr>
            </w:pPr>
          </w:p>
        </w:tc>
        <w:tc>
          <w:tcPr>
            <w:tcW w:w="98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29,238</w:t>
            </w:r>
          </w:p>
        </w:tc>
        <w:tc>
          <w:tcPr>
            <w:tcW w:w="420" w:type="dxa"/>
            <w:vAlign w:val="bottom"/>
            <w:tcBorders>
              <w:top w:val="single" w:sz="8" w:color="auto"/>
              <w:right w:val="single" w:sz="8" w:color="auto"/>
            </w:tcBorders>
          </w:tcPr>
          <w:p>
            <w:pPr>
              <w:spacing w:after="0"/>
              <w:rPr>
                <w:sz w:val="15"/>
                <w:szCs w:val="15"/>
                <w:color w:val="auto"/>
              </w:rPr>
            </w:pPr>
          </w:p>
        </w:tc>
        <w:tc>
          <w:tcPr>
            <w:tcW w:w="1200" w:type="dxa"/>
            <w:vAlign w:val="bottom"/>
            <w:tcBorders>
              <w:top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4,254,714</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43,857</w:t>
            </w:r>
          </w:p>
        </w:tc>
        <w:tc>
          <w:tcPr>
            <w:tcW w:w="4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(4b)</w:t>
            </w:r>
          </w:p>
        </w:tc>
        <w:tc>
          <w:tcPr>
            <w:tcW w:w="1220" w:type="dxa"/>
            <w:vAlign w:val="bottom"/>
            <w:tcBorders>
              <w:top w:val="single" w:sz="8" w:color="auto"/>
              <w:right w:val="single" w:sz="8" w:color="auto"/>
            </w:tcBorders>
          </w:tcPr>
          <w:p>
            <w:pPr>
              <w:jc w:val="right"/>
              <w:ind w:right="18"/>
              <w:spacing w:after="0"/>
              <w:rPr>
                <w:sz w:val="20"/>
                <w:szCs w:val="20"/>
                <w:color w:val="auto"/>
              </w:rPr>
            </w:pPr>
            <w:r>
              <w:rPr>
                <w:rFonts w:ascii="Arial" w:cs="Arial" w:eastAsia="Arial" w:hAnsi="Arial"/>
                <w:sz w:val="13"/>
                <w:szCs w:val="13"/>
                <w:color w:val="auto"/>
              </w:rPr>
              <w:t>6,382,071</w:t>
            </w:r>
          </w:p>
        </w:tc>
        <w:tc>
          <w:tcPr>
            <w:tcW w:w="0" w:type="dxa"/>
            <w:vAlign w:val="bottom"/>
          </w:tcPr>
          <w:p>
            <w:pPr>
              <w:spacing w:after="0"/>
              <w:rPr>
                <w:sz w:val="1"/>
                <w:szCs w:val="1"/>
                <w:color w:val="auto"/>
              </w:rPr>
            </w:pPr>
          </w:p>
        </w:tc>
      </w:tr>
      <w:tr>
        <w:trPr>
          <w:trHeight w:val="55"/>
        </w:trPr>
        <w:tc>
          <w:tcPr>
            <w:tcW w:w="1520" w:type="dxa"/>
            <w:vAlign w:val="bottom"/>
            <w:tcBorders>
              <w:left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520" w:type="dxa"/>
            <w:vAlign w:val="bottom"/>
            <w:tcBorders>
              <w:left w:val="single" w:sz="8" w:color="auto"/>
              <w:right w:val="single" w:sz="8" w:color="auto"/>
            </w:tcBorders>
          </w:tcPr>
          <w:p>
            <w:pPr>
              <w:spacing w:after="0"/>
              <w:rPr>
                <w:sz w:val="20"/>
                <w:szCs w:val="20"/>
                <w:color w:val="auto"/>
              </w:rPr>
            </w:pPr>
          </w:p>
        </w:tc>
        <w:tc>
          <w:tcPr>
            <w:tcW w:w="9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03/01/2023</w:t>
            </w:r>
          </w:p>
        </w:tc>
        <w:tc>
          <w:tcPr>
            <w:tcW w:w="1200" w:type="dxa"/>
            <w:vAlign w:val="bottom"/>
            <w:tcBorders>
              <w:bottom w:val="single" w:sz="8" w:color="E5E5E5"/>
              <w:right w:val="single" w:sz="8" w:color="auto"/>
            </w:tcBorders>
            <w:shd w:val="clear" w:color="auto" w:fill="E5E5E5"/>
          </w:tcPr>
          <w:p>
            <w:pPr>
              <w:spacing w:after="0"/>
              <w:rPr>
                <w:sz w:val="20"/>
                <w:szCs w:val="20"/>
                <w:color w:val="auto"/>
              </w:rPr>
            </w:pPr>
          </w:p>
        </w:tc>
        <w:tc>
          <w:tcPr>
            <w:tcW w:w="1040" w:type="dxa"/>
            <w:vAlign w:val="bottom"/>
            <w:tcBorders>
              <w:bottom w:val="single" w:sz="8" w:color="E5E5E5"/>
              <w:right w:val="single" w:sz="8" w:color="auto"/>
            </w:tcBorders>
            <w:shd w:val="clear" w:color="auto" w:fill="E5E5E5"/>
          </w:tcPr>
          <w:p>
            <w:pPr>
              <w:spacing w:after="0"/>
              <w:rPr>
                <w:sz w:val="20"/>
                <w:szCs w:val="20"/>
                <w:color w:val="auto"/>
              </w:rPr>
            </w:pPr>
          </w:p>
        </w:tc>
        <w:tc>
          <w:tcPr>
            <w:tcW w:w="900" w:type="dxa"/>
            <w:vAlign w:val="bottom"/>
            <w:tcBorders>
              <w:bottom w:val="single" w:sz="8" w:color="E5E5E5"/>
              <w:right w:val="single" w:sz="8" w:color="auto"/>
            </w:tcBorders>
            <w:shd w:val="clear" w:color="auto" w:fill="E5E5E5"/>
          </w:tcPr>
          <w:p>
            <w:pPr>
              <w:spacing w:after="0"/>
              <w:rPr>
                <w:sz w:val="20"/>
                <w:szCs w:val="20"/>
                <w:color w:val="auto"/>
              </w:rPr>
            </w:pPr>
          </w:p>
        </w:tc>
        <w:tc>
          <w:tcPr>
            <w:tcW w:w="980" w:type="dxa"/>
            <w:vAlign w:val="bottom"/>
            <w:tcBorders>
              <w:bottom w:val="single" w:sz="8" w:color="E5E5E5"/>
              <w:right w:val="single" w:sz="8" w:color="auto"/>
            </w:tcBorders>
            <w:shd w:val="clear" w:color="auto" w:fill="E5E5E5"/>
          </w:tcPr>
          <w:p>
            <w:pPr>
              <w:spacing w:after="0"/>
              <w:rPr>
                <w:sz w:val="20"/>
                <w:szCs w:val="20"/>
                <w:color w:val="auto"/>
              </w:rPr>
            </w:pPr>
          </w:p>
        </w:tc>
        <w:tc>
          <w:tcPr>
            <w:tcW w:w="7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9,746</w:t>
            </w:r>
          </w:p>
        </w:tc>
        <w:tc>
          <w:tcPr>
            <w:tcW w:w="420" w:type="dxa"/>
            <w:vAlign w:val="bottom"/>
            <w:tcBorders>
              <w:bottom w:val="single" w:sz="8" w:color="E5E5E5"/>
              <w:right w:val="single" w:sz="8" w:color="auto"/>
            </w:tcBorders>
            <w:shd w:val="clear" w:color="auto" w:fill="E5E5E5"/>
          </w:tcPr>
          <w:p>
            <w:pPr>
              <w:ind w:left="40"/>
              <w:spacing w:after="0"/>
              <w:rPr>
                <w:sz w:val="20"/>
                <w:szCs w:val="20"/>
                <w:color w:val="auto"/>
              </w:rPr>
            </w:pPr>
            <w:r>
              <w:rPr>
                <w:rFonts w:ascii="Arial" w:cs="Arial" w:eastAsia="Arial" w:hAnsi="Arial"/>
                <w:sz w:val="11"/>
                <w:szCs w:val="11"/>
                <w:color w:val="auto"/>
              </w:rPr>
              <w:t>(4a)</w:t>
            </w:r>
          </w:p>
        </w:tc>
        <w:tc>
          <w:tcPr>
            <w:tcW w:w="1200" w:type="dxa"/>
            <w:vAlign w:val="bottom"/>
            <w:tcBorders>
              <w:bottom w:val="single" w:sz="8" w:color="E5E5E5"/>
              <w:right w:val="single" w:sz="8" w:color="auto"/>
            </w:tcBorders>
            <w:shd w:val="clear" w:color="auto" w:fill="E5E5E5"/>
          </w:tcPr>
          <w:p>
            <w:pPr>
              <w:jc w:val="right"/>
              <w:ind w:right="37"/>
              <w:spacing w:after="0"/>
              <w:rPr>
                <w:sz w:val="20"/>
                <w:szCs w:val="20"/>
                <w:color w:val="auto"/>
              </w:rPr>
            </w:pPr>
            <w:r>
              <w:rPr>
                <w:rFonts w:ascii="Arial" w:cs="Arial" w:eastAsia="Arial" w:hAnsi="Arial"/>
                <w:sz w:val="13"/>
                <w:szCs w:val="13"/>
                <w:color w:val="auto"/>
              </w:rPr>
              <w:t>1,418,238</w:t>
            </w: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E5E5E5"/>
              <w:right w:val="single" w:sz="8" w:color="auto"/>
            </w:tcBorders>
            <w:shd w:val="clear" w:color="auto" w:fill="E5E5E5"/>
          </w:tcPr>
          <w:p>
            <w:pPr>
              <w:spacing w:after="0"/>
              <w:rPr>
                <w:sz w:val="20"/>
                <w:szCs w:val="20"/>
                <w:color w:val="auto"/>
              </w:rPr>
            </w:pPr>
          </w:p>
        </w:tc>
        <w:tc>
          <w:tcPr>
            <w:tcW w:w="1220" w:type="dxa"/>
            <w:vAlign w:val="bottom"/>
            <w:tcBorders>
              <w:bottom w:val="single" w:sz="8" w:color="E5E5E5"/>
              <w:right w:val="single" w:sz="8" w:color="auto"/>
            </w:tcBorders>
            <w:shd w:val="clear" w:color="auto" w:fill="E5E5E5"/>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1520" w:type="dxa"/>
            <w:vAlign w:val="bottom"/>
            <w:tcBorders>
              <w:left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03/01/2023</w:t>
            </w:r>
          </w:p>
        </w:tc>
        <w:tc>
          <w:tcPr>
            <w:tcW w:w="120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22,472</w:t>
            </w:r>
          </w:p>
        </w:tc>
        <w:tc>
          <w:tcPr>
            <w:tcW w:w="1040" w:type="dxa"/>
            <w:vAlign w:val="bottom"/>
            <w:tcBorders>
              <w:top w:val="single" w:sz="8" w:color="auto"/>
              <w:right w:val="single" w:sz="8" w:color="auto"/>
            </w:tcBorders>
          </w:tcPr>
          <w:p>
            <w:pPr>
              <w:jc w:val="right"/>
              <w:ind w:right="18"/>
              <w:spacing w:after="0"/>
              <w:rPr>
                <w:sz w:val="20"/>
                <w:szCs w:val="20"/>
                <w:color w:val="auto"/>
              </w:rPr>
            </w:pPr>
            <w:r>
              <w:rPr>
                <w:rFonts w:ascii="Arial" w:cs="Arial" w:eastAsia="Arial" w:hAnsi="Arial"/>
                <w:sz w:val="13"/>
                <w:szCs w:val="13"/>
                <w:color w:val="auto"/>
              </w:rPr>
              <w:t>11,235</w:t>
            </w:r>
          </w:p>
        </w:tc>
        <w:tc>
          <w:tcPr>
            <w:tcW w:w="90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71.93</w:t>
            </w: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03/01/2033</w:t>
            </w:r>
          </w:p>
        </w:tc>
        <w:tc>
          <w:tcPr>
            <w:tcW w:w="780" w:type="dxa"/>
            <w:vAlign w:val="bottom"/>
            <w:tcBorders>
              <w:top w:val="single" w:sz="8" w:color="auto"/>
            </w:tcBorders>
          </w:tcPr>
          <w:p>
            <w:pPr>
              <w:spacing w:after="0"/>
              <w:rPr>
                <w:sz w:val="15"/>
                <w:szCs w:val="15"/>
                <w:color w:val="auto"/>
              </w:rPr>
            </w:pPr>
          </w:p>
        </w:tc>
        <w:tc>
          <w:tcPr>
            <w:tcW w:w="420" w:type="dxa"/>
            <w:vAlign w:val="bottom"/>
            <w:tcBorders>
              <w:top w:val="single" w:sz="8" w:color="auto"/>
              <w:right w:val="single" w:sz="8" w:color="auto"/>
            </w:tcBorders>
          </w:tcPr>
          <w:p>
            <w:pPr>
              <w:spacing w:after="0"/>
              <w:rPr>
                <w:sz w:val="15"/>
                <w:szCs w:val="15"/>
                <w:color w:val="auto"/>
              </w:rPr>
            </w:pPr>
          </w:p>
        </w:tc>
        <w:tc>
          <w:tcPr>
            <w:tcW w:w="1200" w:type="dxa"/>
            <w:vAlign w:val="bottom"/>
            <w:tcBorders>
              <w:top w:val="single" w:sz="8" w:color="auto"/>
              <w:right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20" w:type="dxa"/>
            <w:vAlign w:val="bottom"/>
            <w:tcBorders>
              <w:top w:val="single" w:sz="8" w:color="auto"/>
              <w:right w:val="single" w:sz="8" w:color="auto"/>
            </w:tcBorders>
          </w:tcPr>
          <w:p>
            <w:pPr>
              <w:spacing w:after="0"/>
              <w:rPr>
                <w:sz w:val="15"/>
                <w:szCs w:val="15"/>
                <w:color w:val="auto"/>
              </w:rPr>
            </w:pPr>
          </w:p>
        </w:tc>
        <w:tc>
          <w:tcPr>
            <w:tcW w:w="122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520" w:type="dxa"/>
            <w:vAlign w:val="bottom"/>
            <w:tcBorders>
              <w:left w:val="single" w:sz="8" w:color="auto"/>
              <w:right w:val="single" w:sz="8" w:color="auto"/>
            </w:tcBorders>
          </w:tcPr>
          <w:p>
            <w:pPr>
              <w:spacing w:after="0"/>
              <w:rPr>
                <w:sz w:val="20"/>
                <w:szCs w:val="20"/>
                <w:color w:val="auto"/>
              </w:rPr>
            </w:pPr>
          </w:p>
        </w:tc>
        <w:tc>
          <w:tcPr>
            <w:tcW w:w="9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02/28/2024</w:t>
            </w:r>
          </w:p>
        </w:tc>
        <w:tc>
          <w:tcPr>
            <w:tcW w:w="1200" w:type="dxa"/>
            <w:vAlign w:val="bottom"/>
            <w:tcBorders>
              <w:bottom w:val="single" w:sz="8" w:color="E5E5E5"/>
              <w:right w:val="single" w:sz="8" w:color="auto"/>
            </w:tcBorders>
            <w:shd w:val="clear" w:color="auto" w:fill="E5E5E5"/>
          </w:tcPr>
          <w:p>
            <w:pPr>
              <w:spacing w:after="0"/>
              <w:rPr>
                <w:sz w:val="20"/>
                <w:szCs w:val="20"/>
                <w:color w:val="auto"/>
              </w:rPr>
            </w:pPr>
          </w:p>
        </w:tc>
        <w:tc>
          <w:tcPr>
            <w:tcW w:w="1040" w:type="dxa"/>
            <w:vAlign w:val="bottom"/>
            <w:tcBorders>
              <w:bottom w:val="single" w:sz="8" w:color="E5E5E5"/>
              <w:right w:val="single" w:sz="8" w:color="auto"/>
            </w:tcBorders>
            <w:shd w:val="clear" w:color="auto" w:fill="E5E5E5"/>
          </w:tcPr>
          <w:p>
            <w:pPr>
              <w:spacing w:after="0"/>
              <w:rPr>
                <w:sz w:val="20"/>
                <w:szCs w:val="20"/>
                <w:color w:val="auto"/>
              </w:rPr>
            </w:pPr>
          </w:p>
        </w:tc>
        <w:tc>
          <w:tcPr>
            <w:tcW w:w="900" w:type="dxa"/>
            <w:vAlign w:val="bottom"/>
            <w:tcBorders>
              <w:bottom w:val="single" w:sz="8" w:color="E5E5E5"/>
              <w:right w:val="single" w:sz="8" w:color="auto"/>
            </w:tcBorders>
            <w:shd w:val="clear" w:color="auto" w:fill="E5E5E5"/>
          </w:tcPr>
          <w:p>
            <w:pPr>
              <w:spacing w:after="0"/>
              <w:rPr>
                <w:sz w:val="20"/>
                <w:szCs w:val="20"/>
                <w:color w:val="auto"/>
              </w:rPr>
            </w:pPr>
          </w:p>
        </w:tc>
        <w:tc>
          <w:tcPr>
            <w:tcW w:w="980" w:type="dxa"/>
            <w:vAlign w:val="bottom"/>
            <w:tcBorders>
              <w:bottom w:val="single" w:sz="8" w:color="E5E5E5"/>
              <w:right w:val="single" w:sz="8" w:color="auto"/>
            </w:tcBorders>
            <w:shd w:val="clear" w:color="auto" w:fill="E5E5E5"/>
          </w:tcPr>
          <w:p>
            <w:pPr>
              <w:spacing w:after="0"/>
              <w:rPr>
                <w:sz w:val="20"/>
                <w:szCs w:val="20"/>
                <w:color w:val="auto"/>
              </w:rPr>
            </w:pPr>
          </w:p>
        </w:tc>
        <w:tc>
          <w:tcPr>
            <w:tcW w:w="7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21,175</w:t>
            </w:r>
          </w:p>
        </w:tc>
        <w:tc>
          <w:tcPr>
            <w:tcW w:w="420" w:type="dxa"/>
            <w:vAlign w:val="bottom"/>
            <w:tcBorders>
              <w:bottom w:val="single" w:sz="8" w:color="E5E5E5"/>
              <w:right w:val="single" w:sz="8" w:color="auto"/>
            </w:tcBorders>
            <w:shd w:val="clear" w:color="auto" w:fill="E5E5E5"/>
          </w:tcPr>
          <w:p>
            <w:pPr>
              <w:spacing w:after="0"/>
              <w:rPr>
                <w:sz w:val="20"/>
                <w:szCs w:val="20"/>
                <w:color w:val="auto"/>
              </w:rPr>
            </w:pPr>
          </w:p>
        </w:tc>
        <w:tc>
          <w:tcPr>
            <w:tcW w:w="1200" w:type="dxa"/>
            <w:vAlign w:val="bottom"/>
            <w:tcBorders>
              <w:bottom w:val="single" w:sz="8" w:color="E5E5E5"/>
              <w:right w:val="single" w:sz="8" w:color="auto"/>
            </w:tcBorders>
            <w:shd w:val="clear" w:color="auto" w:fill="E5E5E5"/>
          </w:tcPr>
          <w:p>
            <w:pPr>
              <w:jc w:val="right"/>
              <w:ind w:right="37"/>
              <w:spacing w:after="0"/>
              <w:rPr>
                <w:sz w:val="20"/>
                <w:szCs w:val="20"/>
                <w:color w:val="auto"/>
              </w:rPr>
            </w:pPr>
            <w:r>
              <w:rPr>
                <w:rFonts w:ascii="Arial" w:cs="Arial" w:eastAsia="Arial" w:hAnsi="Arial"/>
                <w:sz w:val="13"/>
                <w:szCs w:val="13"/>
                <w:color w:val="auto"/>
              </w:rPr>
              <w:t>3,081,386</w:t>
            </w: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42,350</w:t>
            </w:r>
          </w:p>
        </w:tc>
        <w:tc>
          <w:tcPr>
            <w:tcW w:w="420" w:type="dxa"/>
            <w:vAlign w:val="bottom"/>
            <w:tcBorders>
              <w:bottom w:val="single" w:sz="8" w:color="E5E5E5"/>
              <w:right w:val="single" w:sz="8" w:color="auto"/>
            </w:tcBorders>
            <w:shd w:val="clear" w:color="auto" w:fill="E5E5E5"/>
          </w:tcPr>
          <w:p>
            <w:pPr>
              <w:ind w:left="40"/>
              <w:spacing w:after="0"/>
              <w:rPr>
                <w:sz w:val="20"/>
                <w:szCs w:val="20"/>
                <w:color w:val="auto"/>
              </w:rPr>
            </w:pPr>
            <w:r>
              <w:rPr>
                <w:rFonts w:ascii="Arial" w:cs="Arial" w:eastAsia="Arial" w:hAnsi="Arial"/>
                <w:sz w:val="9"/>
                <w:szCs w:val="9"/>
                <w:color w:val="auto"/>
              </w:rPr>
              <w:t>(5b)</w:t>
            </w:r>
          </w:p>
        </w:tc>
        <w:tc>
          <w:tcPr>
            <w:tcW w:w="1220" w:type="dxa"/>
            <w:vAlign w:val="bottom"/>
            <w:tcBorders>
              <w:bottom w:val="single" w:sz="8" w:color="E5E5E5"/>
              <w:right w:val="single" w:sz="8" w:color="auto"/>
            </w:tcBorders>
            <w:shd w:val="clear" w:color="auto" w:fill="E5E5E5"/>
          </w:tcPr>
          <w:p>
            <w:pPr>
              <w:jc w:val="right"/>
              <w:ind w:right="18"/>
              <w:spacing w:after="0"/>
              <w:rPr>
                <w:sz w:val="20"/>
                <w:szCs w:val="20"/>
                <w:color w:val="auto"/>
              </w:rPr>
            </w:pPr>
            <w:r>
              <w:rPr>
                <w:rFonts w:ascii="Arial" w:cs="Arial" w:eastAsia="Arial" w:hAnsi="Arial"/>
                <w:sz w:val="13"/>
                <w:szCs w:val="13"/>
                <w:color w:val="auto"/>
              </w:rPr>
              <w:t>6,162,772</w:t>
            </w:r>
          </w:p>
        </w:tc>
        <w:tc>
          <w:tcPr>
            <w:tcW w:w="0" w:type="dxa"/>
            <w:vAlign w:val="bottom"/>
          </w:tcPr>
          <w:p>
            <w:pPr>
              <w:spacing w:after="0"/>
              <w:rPr>
                <w:sz w:val="1"/>
                <w:szCs w:val="1"/>
                <w:color w:val="auto"/>
              </w:rPr>
            </w:pPr>
          </w:p>
        </w:tc>
      </w:tr>
      <w:tr>
        <w:trPr>
          <w:trHeight w:val="182"/>
        </w:trPr>
        <w:tc>
          <w:tcPr>
            <w:tcW w:w="1520" w:type="dxa"/>
            <w:vAlign w:val="bottom"/>
            <w:tcBorders>
              <w:left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02/28/2024</w:t>
            </w:r>
          </w:p>
        </w:tc>
        <w:tc>
          <w:tcPr>
            <w:tcW w:w="1200" w:type="dxa"/>
            <w:vAlign w:val="bottom"/>
            <w:tcBorders>
              <w:top w:val="single" w:sz="8" w:color="auto"/>
              <w:right w:val="single" w:sz="8" w:color="auto"/>
            </w:tcBorders>
          </w:tcPr>
          <w:p>
            <w:pPr>
              <w:spacing w:after="0"/>
              <w:rPr>
                <w:sz w:val="15"/>
                <w:szCs w:val="15"/>
                <w:color w:val="auto"/>
              </w:rPr>
            </w:pPr>
          </w:p>
        </w:tc>
        <w:tc>
          <w:tcPr>
            <w:tcW w:w="104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spacing w:after="0"/>
              <w:rPr>
                <w:sz w:val="15"/>
                <w:szCs w:val="15"/>
                <w:color w:val="auto"/>
              </w:rPr>
            </w:pPr>
          </w:p>
        </w:tc>
        <w:tc>
          <w:tcPr>
            <w:tcW w:w="98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10,587</w:t>
            </w:r>
          </w:p>
        </w:tc>
        <w:tc>
          <w:tcPr>
            <w:tcW w:w="4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(5a)</w:t>
            </w:r>
          </w:p>
        </w:tc>
        <w:tc>
          <w:tcPr>
            <w:tcW w:w="1200" w:type="dxa"/>
            <w:vAlign w:val="bottom"/>
            <w:tcBorders>
              <w:top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1,540,620</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right w:val="single" w:sz="8" w:color="auto"/>
            </w:tcBorders>
          </w:tcPr>
          <w:p>
            <w:pPr>
              <w:spacing w:after="0"/>
              <w:rPr>
                <w:sz w:val="15"/>
                <w:szCs w:val="15"/>
                <w:color w:val="auto"/>
              </w:rPr>
            </w:pPr>
          </w:p>
        </w:tc>
        <w:tc>
          <w:tcPr>
            <w:tcW w:w="1220" w:type="dxa"/>
            <w:vAlign w:val="bottom"/>
            <w:tcBorders>
              <w:top w:val="single" w:sz="8" w:color="auto"/>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spacing w:after="0"/>
              <w:rPr>
                <w:sz w:val="20"/>
                <w:szCs w:val="20"/>
                <w:color w:val="auto"/>
              </w:rPr>
            </w:pPr>
          </w:p>
        </w:tc>
        <w:tc>
          <w:tcPr>
            <w:tcW w:w="9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02/28/2024</w:t>
            </w:r>
          </w:p>
        </w:tc>
        <w:tc>
          <w:tcPr>
            <w:tcW w:w="1200" w:type="dxa"/>
            <w:vAlign w:val="bottom"/>
            <w:tcBorders>
              <w:bottom w:val="single" w:sz="8" w:color="E5E5E5"/>
              <w:right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24,238</w:t>
            </w:r>
          </w:p>
        </w:tc>
        <w:tc>
          <w:tcPr>
            <w:tcW w:w="1040" w:type="dxa"/>
            <w:vAlign w:val="bottom"/>
            <w:tcBorders>
              <w:bottom w:val="single" w:sz="8" w:color="E5E5E5"/>
              <w:right w:val="single" w:sz="8" w:color="auto"/>
            </w:tcBorders>
            <w:shd w:val="clear" w:color="auto" w:fill="E5E5E5"/>
          </w:tcPr>
          <w:p>
            <w:pPr>
              <w:jc w:val="right"/>
              <w:ind w:right="18"/>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E5E5E5"/>
              <w:right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116.40</w:t>
            </w:r>
          </w:p>
        </w:tc>
        <w:tc>
          <w:tcPr>
            <w:tcW w:w="98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02/28/2034</w:t>
            </w:r>
          </w:p>
        </w:tc>
        <w:tc>
          <w:tcPr>
            <w:tcW w:w="780" w:type="dxa"/>
            <w:vAlign w:val="bottom"/>
            <w:tcBorders>
              <w:bottom w:val="single" w:sz="8" w:color="E5E5E5"/>
            </w:tcBorders>
            <w:shd w:val="clear" w:color="auto" w:fill="E5E5E5"/>
          </w:tcPr>
          <w:p>
            <w:pPr>
              <w:spacing w:after="0"/>
              <w:rPr>
                <w:sz w:val="20"/>
                <w:szCs w:val="20"/>
                <w:color w:val="auto"/>
              </w:rPr>
            </w:pPr>
          </w:p>
        </w:tc>
        <w:tc>
          <w:tcPr>
            <w:tcW w:w="420" w:type="dxa"/>
            <w:vAlign w:val="bottom"/>
            <w:tcBorders>
              <w:bottom w:val="single" w:sz="8" w:color="E5E5E5"/>
              <w:right w:val="single" w:sz="8" w:color="auto"/>
            </w:tcBorders>
            <w:shd w:val="clear" w:color="auto" w:fill="E5E5E5"/>
          </w:tcPr>
          <w:p>
            <w:pPr>
              <w:spacing w:after="0"/>
              <w:rPr>
                <w:sz w:val="20"/>
                <w:szCs w:val="20"/>
                <w:color w:val="auto"/>
              </w:rPr>
            </w:pPr>
          </w:p>
        </w:tc>
        <w:tc>
          <w:tcPr>
            <w:tcW w:w="1200" w:type="dxa"/>
            <w:vAlign w:val="bottom"/>
            <w:tcBorders>
              <w:bottom w:val="single" w:sz="8" w:color="E5E5E5"/>
              <w:right w:val="single" w:sz="8" w:color="auto"/>
            </w:tcBorders>
            <w:shd w:val="clear" w:color="auto" w:fill="E5E5E5"/>
          </w:tcPr>
          <w:p>
            <w:pPr>
              <w:spacing w:after="0"/>
              <w:rPr>
                <w:sz w:val="20"/>
                <w:szCs w:val="20"/>
                <w:color w:val="auto"/>
              </w:rPr>
            </w:pPr>
          </w:p>
        </w:tc>
        <w:tc>
          <w:tcPr>
            <w:tcW w:w="660" w:type="dxa"/>
            <w:vAlign w:val="bottom"/>
            <w:tcBorders>
              <w:bottom w:val="single" w:sz="8" w:color="E5E5E5"/>
            </w:tcBorders>
            <w:shd w:val="clear" w:color="auto" w:fill="E5E5E5"/>
          </w:tcPr>
          <w:p>
            <w:pPr>
              <w:spacing w:after="0"/>
              <w:rPr>
                <w:sz w:val="20"/>
                <w:szCs w:val="20"/>
                <w:color w:val="auto"/>
              </w:rPr>
            </w:pPr>
          </w:p>
        </w:tc>
        <w:tc>
          <w:tcPr>
            <w:tcW w:w="420" w:type="dxa"/>
            <w:vAlign w:val="bottom"/>
            <w:tcBorders>
              <w:bottom w:val="single" w:sz="8" w:color="E5E5E5"/>
              <w:right w:val="single" w:sz="8" w:color="auto"/>
            </w:tcBorders>
            <w:shd w:val="clear" w:color="auto" w:fill="E5E5E5"/>
          </w:tcPr>
          <w:p>
            <w:pPr>
              <w:spacing w:after="0"/>
              <w:rPr>
                <w:sz w:val="20"/>
                <w:szCs w:val="20"/>
                <w:color w:val="auto"/>
              </w:rPr>
            </w:pPr>
          </w:p>
        </w:tc>
        <w:tc>
          <w:tcPr>
            <w:tcW w:w="1220" w:type="dxa"/>
            <w:vAlign w:val="bottom"/>
            <w:tcBorders>
              <w:bottom w:val="single" w:sz="8" w:color="E5E5E5"/>
              <w:right w:val="single" w:sz="8" w:color="auto"/>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20" w:type="dxa"/>
            <w:vAlign w:val="bottom"/>
            <w:tcBorders>
              <w:top w:val="single" w:sz="8" w:color="auto"/>
              <w:left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02/01/2023</w:t>
            </w:r>
          </w:p>
        </w:tc>
        <w:tc>
          <w:tcPr>
            <w:tcW w:w="1200" w:type="dxa"/>
            <w:vAlign w:val="bottom"/>
            <w:tcBorders>
              <w:top w:val="single" w:sz="8" w:color="auto"/>
              <w:right w:val="single" w:sz="8" w:color="auto"/>
            </w:tcBorders>
          </w:tcPr>
          <w:p>
            <w:pPr>
              <w:spacing w:after="0"/>
              <w:rPr>
                <w:sz w:val="15"/>
                <w:szCs w:val="15"/>
                <w:color w:val="auto"/>
              </w:rPr>
            </w:pPr>
          </w:p>
        </w:tc>
        <w:tc>
          <w:tcPr>
            <w:tcW w:w="104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spacing w:after="0"/>
              <w:rPr>
                <w:sz w:val="15"/>
                <w:szCs w:val="15"/>
                <w:color w:val="auto"/>
              </w:rPr>
            </w:pPr>
          </w:p>
        </w:tc>
        <w:tc>
          <w:tcPr>
            <w:tcW w:w="98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2,333</w:t>
            </w:r>
          </w:p>
        </w:tc>
        <w:tc>
          <w:tcPr>
            <w:tcW w:w="4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(6)</w:t>
            </w:r>
          </w:p>
        </w:tc>
        <w:tc>
          <w:tcPr>
            <w:tcW w:w="1200" w:type="dxa"/>
            <w:vAlign w:val="bottom"/>
            <w:tcBorders>
              <w:top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339,498</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right w:val="single" w:sz="8" w:color="auto"/>
            </w:tcBorders>
          </w:tcPr>
          <w:p>
            <w:pPr>
              <w:spacing w:after="0"/>
              <w:rPr>
                <w:sz w:val="15"/>
                <w:szCs w:val="15"/>
                <w:color w:val="auto"/>
              </w:rPr>
            </w:pPr>
          </w:p>
        </w:tc>
        <w:tc>
          <w:tcPr>
            <w:tcW w:w="1220" w:type="dxa"/>
            <w:vAlign w:val="bottom"/>
            <w:tcBorders>
              <w:top w:val="single" w:sz="8" w:color="auto"/>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520" w:type="dxa"/>
            <w:vAlign w:val="bottom"/>
            <w:tcBorders>
              <w:left w:val="single" w:sz="8" w:color="auto"/>
              <w:right w:val="single" w:sz="8" w:color="auto"/>
            </w:tcBorders>
          </w:tcPr>
          <w:p>
            <w:pPr>
              <w:spacing w:after="0"/>
              <w:rPr>
                <w:sz w:val="20"/>
                <w:szCs w:val="20"/>
                <w:color w:val="auto"/>
              </w:rPr>
            </w:pPr>
          </w:p>
        </w:tc>
        <w:tc>
          <w:tcPr>
            <w:tcW w:w="9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03/01/2023</w:t>
            </w:r>
          </w:p>
        </w:tc>
        <w:tc>
          <w:tcPr>
            <w:tcW w:w="1200" w:type="dxa"/>
            <w:vAlign w:val="bottom"/>
            <w:tcBorders>
              <w:bottom w:val="single" w:sz="8" w:color="E5E5E5"/>
              <w:right w:val="single" w:sz="8" w:color="auto"/>
            </w:tcBorders>
            <w:shd w:val="clear" w:color="auto" w:fill="E5E5E5"/>
          </w:tcPr>
          <w:p>
            <w:pPr>
              <w:spacing w:after="0"/>
              <w:rPr>
                <w:sz w:val="20"/>
                <w:szCs w:val="20"/>
                <w:color w:val="auto"/>
              </w:rPr>
            </w:pPr>
          </w:p>
        </w:tc>
        <w:tc>
          <w:tcPr>
            <w:tcW w:w="1040" w:type="dxa"/>
            <w:vAlign w:val="bottom"/>
            <w:tcBorders>
              <w:bottom w:val="single" w:sz="8" w:color="E5E5E5"/>
              <w:right w:val="single" w:sz="8" w:color="auto"/>
            </w:tcBorders>
            <w:shd w:val="clear" w:color="auto" w:fill="E5E5E5"/>
          </w:tcPr>
          <w:p>
            <w:pPr>
              <w:spacing w:after="0"/>
              <w:rPr>
                <w:sz w:val="20"/>
                <w:szCs w:val="20"/>
                <w:color w:val="auto"/>
              </w:rPr>
            </w:pPr>
          </w:p>
        </w:tc>
        <w:tc>
          <w:tcPr>
            <w:tcW w:w="900" w:type="dxa"/>
            <w:vAlign w:val="bottom"/>
            <w:tcBorders>
              <w:bottom w:val="single" w:sz="8" w:color="E5E5E5"/>
              <w:right w:val="single" w:sz="8" w:color="auto"/>
            </w:tcBorders>
            <w:shd w:val="clear" w:color="auto" w:fill="E5E5E5"/>
          </w:tcPr>
          <w:p>
            <w:pPr>
              <w:spacing w:after="0"/>
              <w:rPr>
                <w:sz w:val="20"/>
                <w:szCs w:val="20"/>
                <w:color w:val="auto"/>
              </w:rPr>
            </w:pPr>
          </w:p>
        </w:tc>
        <w:tc>
          <w:tcPr>
            <w:tcW w:w="980" w:type="dxa"/>
            <w:vAlign w:val="bottom"/>
            <w:tcBorders>
              <w:bottom w:val="single" w:sz="8" w:color="E5E5E5"/>
              <w:right w:val="single" w:sz="8" w:color="auto"/>
            </w:tcBorders>
            <w:shd w:val="clear" w:color="auto" w:fill="E5E5E5"/>
          </w:tcPr>
          <w:p>
            <w:pPr>
              <w:spacing w:after="0"/>
              <w:rPr>
                <w:sz w:val="20"/>
                <w:szCs w:val="20"/>
                <w:color w:val="auto"/>
              </w:rPr>
            </w:pPr>
          </w:p>
        </w:tc>
        <w:tc>
          <w:tcPr>
            <w:tcW w:w="7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4,816</w:t>
            </w:r>
          </w:p>
        </w:tc>
        <w:tc>
          <w:tcPr>
            <w:tcW w:w="420" w:type="dxa"/>
            <w:vAlign w:val="bottom"/>
            <w:tcBorders>
              <w:bottom w:val="single" w:sz="8" w:color="E5E5E5"/>
              <w:right w:val="single" w:sz="8" w:color="auto"/>
            </w:tcBorders>
            <w:shd w:val="clear" w:color="auto" w:fill="E5E5E5"/>
          </w:tcPr>
          <w:p>
            <w:pPr>
              <w:spacing w:after="0"/>
              <w:rPr>
                <w:sz w:val="20"/>
                <w:szCs w:val="20"/>
                <w:color w:val="auto"/>
              </w:rPr>
            </w:pPr>
          </w:p>
        </w:tc>
        <w:tc>
          <w:tcPr>
            <w:tcW w:w="1200" w:type="dxa"/>
            <w:vAlign w:val="bottom"/>
            <w:tcBorders>
              <w:bottom w:val="single" w:sz="8" w:color="E5E5E5"/>
              <w:right w:val="single" w:sz="8" w:color="auto"/>
            </w:tcBorders>
            <w:shd w:val="clear" w:color="auto" w:fill="E5E5E5"/>
          </w:tcPr>
          <w:p>
            <w:pPr>
              <w:jc w:val="right"/>
              <w:ind w:right="37"/>
              <w:spacing w:after="0"/>
              <w:rPr>
                <w:sz w:val="20"/>
                <w:szCs w:val="20"/>
                <w:color w:val="auto"/>
              </w:rPr>
            </w:pPr>
            <w:r>
              <w:rPr>
                <w:rFonts w:ascii="Arial" w:cs="Arial" w:eastAsia="Arial" w:hAnsi="Arial"/>
                <w:sz w:val="13"/>
                <w:szCs w:val="13"/>
                <w:color w:val="auto"/>
              </w:rPr>
              <w:t>700,824</w:t>
            </w: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7,224</w:t>
            </w:r>
          </w:p>
        </w:tc>
        <w:tc>
          <w:tcPr>
            <w:tcW w:w="420" w:type="dxa"/>
            <w:vAlign w:val="bottom"/>
            <w:tcBorders>
              <w:bottom w:val="single" w:sz="8" w:color="E5E5E5"/>
              <w:right w:val="single" w:sz="8" w:color="auto"/>
            </w:tcBorders>
            <w:shd w:val="clear" w:color="auto" w:fill="E5E5E5"/>
          </w:tcPr>
          <w:p>
            <w:pPr>
              <w:ind w:left="40"/>
              <w:spacing w:after="0"/>
              <w:rPr>
                <w:sz w:val="20"/>
                <w:szCs w:val="20"/>
                <w:color w:val="auto"/>
              </w:rPr>
            </w:pPr>
            <w:r>
              <w:rPr>
                <w:rFonts w:ascii="Arial" w:cs="Arial" w:eastAsia="Arial" w:hAnsi="Arial"/>
                <w:sz w:val="9"/>
                <w:szCs w:val="9"/>
                <w:color w:val="auto"/>
              </w:rPr>
              <w:t>(4b)</w:t>
            </w:r>
          </w:p>
        </w:tc>
        <w:tc>
          <w:tcPr>
            <w:tcW w:w="1220" w:type="dxa"/>
            <w:vAlign w:val="bottom"/>
            <w:tcBorders>
              <w:bottom w:val="single" w:sz="8" w:color="E5E5E5"/>
              <w:right w:val="single" w:sz="8" w:color="auto"/>
            </w:tcBorders>
            <w:shd w:val="clear" w:color="auto" w:fill="E5E5E5"/>
          </w:tcPr>
          <w:p>
            <w:pPr>
              <w:jc w:val="right"/>
              <w:ind w:right="18"/>
              <w:spacing w:after="0"/>
              <w:rPr>
                <w:sz w:val="20"/>
                <w:szCs w:val="20"/>
                <w:color w:val="auto"/>
              </w:rPr>
            </w:pPr>
            <w:r>
              <w:rPr>
                <w:rFonts w:ascii="Arial" w:cs="Arial" w:eastAsia="Arial" w:hAnsi="Arial"/>
                <w:sz w:val="13"/>
                <w:szCs w:val="13"/>
                <w:color w:val="auto"/>
              </w:rPr>
              <w:t>1,051,236</w:t>
            </w:r>
          </w:p>
        </w:tc>
        <w:tc>
          <w:tcPr>
            <w:tcW w:w="0" w:type="dxa"/>
            <w:vAlign w:val="bottom"/>
          </w:tcPr>
          <w:p>
            <w:pPr>
              <w:spacing w:after="0"/>
              <w:rPr>
                <w:sz w:val="1"/>
                <w:szCs w:val="1"/>
                <w:color w:val="auto"/>
              </w:rPr>
            </w:pPr>
          </w:p>
        </w:tc>
      </w:tr>
      <w:tr>
        <w:trPr>
          <w:trHeight w:val="182"/>
        </w:trPr>
        <w:tc>
          <w:tcPr>
            <w:tcW w:w="1520" w:type="dxa"/>
            <w:vAlign w:val="bottom"/>
            <w:tcBorders>
              <w:left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03/01/2023</w:t>
            </w:r>
          </w:p>
        </w:tc>
        <w:tc>
          <w:tcPr>
            <w:tcW w:w="1200" w:type="dxa"/>
            <w:vAlign w:val="bottom"/>
            <w:tcBorders>
              <w:top w:val="single" w:sz="8" w:color="auto"/>
              <w:right w:val="single" w:sz="8" w:color="auto"/>
            </w:tcBorders>
          </w:tcPr>
          <w:p>
            <w:pPr>
              <w:spacing w:after="0"/>
              <w:rPr>
                <w:sz w:val="15"/>
                <w:szCs w:val="15"/>
                <w:color w:val="auto"/>
              </w:rPr>
            </w:pPr>
          </w:p>
        </w:tc>
        <w:tc>
          <w:tcPr>
            <w:tcW w:w="104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spacing w:after="0"/>
              <w:rPr>
                <w:sz w:val="15"/>
                <w:szCs w:val="15"/>
                <w:color w:val="auto"/>
              </w:rPr>
            </w:pPr>
          </w:p>
        </w:tc>
        <w:tc>
          <w:tcPr>
            <w:tcW w:w="98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1,606</w:t>
            </w:r>
          </w:p>
        </w:tc>
        <w:tc>
          <w:tcPr>
            <w:tcW w:w="4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(4a)</w:t>
            </w:r>
          </w:p>
        </w:tc>
        <w:tc>
          <w:tcPr>
            <w:tcW w:w="1200" w:type="dxa"/>
            <w:vAlign w:val="bottom"/>
            <w:tcBorders>
              <w:top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233,705</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right w:val="single" w:sz="8" w:color="auto"/>
            </w:tcBorders>
          </w:tcPr>
          <w:p>
            <w:pPr>
              <w:spacing w:after="0"/>
              <w:rPr>
                <w:sz w:val="15"/>
                <w:szCs w:val="15"/>
                <w:color w:val="auto"/>
              </w:rPr>
            </w:pPr>
          </w:p>
        </w:tc>
        <w:tc>
          <w:tcPr>
            <w:tcW w:w="1220" w:type="dxa"/>
            <w:vAlign w:val="bottom"/>
            <w:tcBorders>
              <w:top w:val="single" w:sz="8" w:color="auto"/>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5"/>
        </w:trPr>
        <w:tc>
          <w:tcPr>
            <w:tcW w:w="1520" w:type="dxa"/>
            <w:vAlign w:val="bottom"/>
            <w:tcBorders>
              <w:left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Mark A. Carano</w:t>
            </w:r>
          </w:p>
        </w:tc>
        <w:tc>
          <w:tcPr>
            <w:tcW w:w="9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03/01/2023</w:t>
            </w:r>
          </w:p>
        </w:tc>
        <w:tc>
          <w:tcPr>
            <w:tcW w:w="1200" w:type="dxa"/>
            <w:vAlign w:val="bottom"/>
            <w:tcBorders>
              <w:bottom w:val="single" w:sz="8" w:color="E5E5E5"/>
              <w:right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3,702</w:t>
            </w:r>
          </w:p>
        </w:tc>
        <w:tc>
          <w:tcPr>
            <w:tcW w:w="1040" w:type="dxa"/>
            <w:vAlign w:val="bottom"/>
            <w:tcBorders>
              <w:bottom w:val="single" w:sz="8" w:color="E5E5E5"/>
              <w:right w:val="single" w:sz="8" w:color="auto"/>
            </w:tcBorders>
            <w:shd w:val="clear" w:color="auto" w:fill="E5E5E5"/>
          </w:tcPr>
          <w:p>
            <w:pPr>
              <w:jc w:val="right"/>
              <w:ind w:right="18"/>
              <w:spacing w:after="0"/>
              <w:rPr>
                <w:sz w:val="20"/>
                <w:szCs w:val="20"/>
                <w:color w:val="auto"/>
              </w:rPr>
            </w:pPr>
            <w:r>
              <w:rPr>
                <w:rFonts w:ascii="Arial" w:cs="Arial" w:eastAsia="Arial" w:hAnsi="Arial"/>
                <w:sz w:val="13"/>
                <w:szCs w:val="13"/>
                <w:color w:val="auto"/>
              </w:rPr>
              <w:t>1,850</w:t>
            </w:r>
          </w:p>
        </w:tc>
        <w:tc>
          <w:tcPr>
            <w:tcW w:w="900" w:type="dxa"/>
            <w:vAlign w:val="bottom"/>
            <w:tcBorders>
              <w:bottom w:val="single" w:sz="8" w:color="E5E5E5"/>
              <w:right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71.93</w:t>
            </w:r>
          </w:p>
        </w:tc>
        <w:tc>
          <w:tcPr>
            <w:tcW w:w="98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03/01/2033</w:t>
            </w:r>
          </w:p>
        </w:tc>
        <w:tc>
          <w:tcPr>
            <w:tcW w:w="780" w:type="dxa"/>
            <w:vAlign w:val="bottom"/>
            <w:tcBorders>
              <w:bottom w:val="single" w:sz="8" w:color="E5E5E5"/>
            </w:tcBorders>
            <w:shd w:val="clear" w:color="auto" w:fill="E5E5E5"/>
          </w:tcPr>
          <w:p>
            <w:pPr>
              <w:spacing w:after="0"/>
              <w:rPr>
                <w:sz w:val="20"/>
                <w:szCs w:val="20"/>
                <w:color w:val="auto"/>
              </w:rPr>
            </w:pPr>
          </w:p>
        </w:tc>
        <w:tc>
          <w:tcPr>
            <w:tcW w:w="420" w:type="dxa"/>
            <w:vAlign w:val="bottom"/>
            <w:tcBorders>
              <w:bottom w:val="single" w:sz="8" w:color="E5E5E5"/>
              <w:right w:val="single" w:sz="8" w:color="auto"/>
            </w:tcBorders>
            <w:shd w:val="clear" w:color="auto" w:fill="E5E5E5"/>
          </w:tcPr>
          <w:p>
            <w:pPr>
              <w:spacing w:after="0"/>
              <w:rPr>
                <w:sz w:val="20"/>
                <w:szCs w:val="20"/>
                <w:color w:val="auto"/>
              </w:rPr>
            </w:pPr>
          </w:p>
        </w:tc>
        <w:tc>
          <w:tcPr>
            <w:tcW w:w="1200" w:type="dxa"/>
            <w:vAlign w:val="bottom"/>
            <w:tcBorders>
              <w:bottom w:val="single" w:sz="8" w:color="E5E5E5"/>
              <w:right w:val="single" w:sz="8" w:color="auto"/>
            </w:tcBorders>
            <w:shd w:val="clear" w:color="auto" w:fill="E5E5E5"/>
          </w:tcPr>
          <w:p>
            <w:pPr>
              <w:spacing w:after="0"/>
              <w:rPr>
                <w:sz w:val="20"/>
                <w:szCs w:val="20"/>
                <w:color w:val="auto"/>
              </w:rPr>
            </w:pPr>
          </w:p>
        </w:tc>
        <w:tc>
          <w:tcPr>
            <w:tcW w:w="660" w:type="dxa"/>
            <w:vAlign w:val="bottom"/>
            <w:tcBorders>
              <w:bottom w:val="single" w:sz="8" w:color="E5E5E5"/>
            </w:tcBorders>
            <w:shd w:val="clear" w:color="auto" w:fill="E5E5E5"/>
          </w:tcPr>
          <w:p>
            <w:pPr>
              <w:spacing w:after="0"/>
              <w:rPr>
                <w:sz w:val="20"/>
                <w:szCs w:val="20"/>
                <w:color w:val="auto"/>
              </w:rPr>
            </w:pPr>
          </w:p>
        </w:tc>
        <w:tc>
          <w:tcPr>
            <w:tcW w:w="420" w:type="dxa"/>
            <w:vAlign w:val="bottom"/>
            <w:tcBorders>
              <w:bottom w:val="single" w:sz="8" w:color="E5E5E5"/>
              <w:right w:val="single" w:sz="8" w:color="auto"/>
            </w:tcBorders>
            <w:shd w:val="clear" w:color="auto" w:fill="E5E5E5"/>
          </w:tcPr>
          <w:p>
            <w:pPr>
              <w:spacing w:after="0"/>
              <w:rPr>
                <w:sz w:val="20"/>
                <w:szCs w:val="20"/>
                <w:color w:val="auto"/>
              </w:rPr>
            </w:pPr>
          </w:p>
        </w:tc>
        <w:tc>
          <w:tcPr>
            <w:tcW w:w="1220" w:type="dxa"/>
            <w:vAlign w:val="bottom"/>
            <w:tcBorders>
              <w:bottom w:val="single" w:sz="8" w:color="E5E5E5"/>
              <w:right w:val="single" w:sz="8" w:color="auto"/>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20" w:type="dxa"/>
            <w:vAlign w:val="bottom"/>
            <w:tcBorders>
              <w:left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02/28/2024</w:t>
            </w:r>
          </w:p>
        </w:tc>
        <w:tc>
          <w:tcPr>
            <w:tcW w:w="1200" w:type="dxa"/>
            <w:vAlign w:val="bottom"/>
            <w:tcBorders>
              <w:top w:val="single" w:sz="8" w:color="auto"/>
              <w:right w:val="single" w:sz="8" w:color="auto"/>
            </w:tcBorders>
          </w:tcPr>
          <w:p>
            <w:pPr>
              <w:spacing w:after="0"/>
              <w:rPr>
                <w:sz w:val="15"/>
                <w:szCs w:val="15"/>
                <w:color w:val="auto"/>
              </w:rPr>
            </w:pPr>
          </w:p>
        </w:tc>
        <w:tc>
          <w:tcPr>
            <w:tcW w:w="104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spacing w:after="0"/>
              <w:rPr>
                <w:sz w:val="15"/>
                <w:szCs w:val="15"/>
                <w:color w:val="auto"/>
              </w:rPr>
            </w:pPr>
          </w:p>
        </w:tc>
        <w:tc>
          <w:tcPr>
            <w:tcW w:w="98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3,544</w:t>
            </w:r>
          </w:p>
        </w:tc>
        <w:tc>
          <w:tcPr>
            <w:tcW w:w="420" w:type="dxa"/>
            <w:vAlign w:val="bottom"/>
            <w:tcBorders>
              <w:top w:val="single" w:sz="8" w:color="auto"/>
              <w:right w:val="single" w:sz="8" w:color="auto"/>
            </w:tcBorders>
          </w:tcPr>
          <w:p>
            <w:pPr>
              <w:spacing w:after="0"/>
              <w:rPr>
                <w:sz w:val="15"/>
                <w:szCs w:val="15"/>
                <w:color w:val="auto"/>
              </w:rPr>
            </w:pPr>
          </w:p>
        </w:tc>
        <w:tc>
          <w:tcPr>
            <w:tcW w:w="1200" w:type="dxa"/>
            <w:vAlign w:val="bottom"/>
            <w:tcBorders>
              <w:top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515,723</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7,088</w:t>
            </w:r>
          </w:p>
        </w:tc>
        <w:tc>
          <w:tcPr>
            <w:tcW w:w="4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(5b)</w:t>
            </w:r>
          </w:p>
        </w:tc>
        <w:tc>
          <w:tcPr>
            <w:tcW w:w="1220" w:type="dxa"/>
            <w:vAlign w:val="bottom"/>
            <w:tcBorders>
              <w:top w:val="single" w:sz="8" w:color="auto"/>
              <w:right w:val="single" w:sz="8" w:color="auto"/>
            </w:tcBorders>
          </w:tcPr>
          <w:p>
            <w:pPr>
              <w:jc w:val="right"/>
              <w:ind w:right="18"/>
              <w:spacing w:after="0"/>
              <w:rPr>
                <w:sz w:val="20"/>
                <w:szCs w:val="20"/>
                <w:color w:val="auto"/>
              </w:rPr>
            </w:pPr>
            <w:r>
              <w:rPr>
                <w:rFonts w:ascii="Arial" w:cs="Arial" w:eastAsia="Arial" w:hAnsi="Arial"/>
                <w:sz w:val="13"/>
                <w:szCs w:val="13"/>
                <w:color w:val="auto"/>
              </w:rPr>
              <w:t>1,031,446</w:t>
            </w:r>
          </w:p>
        </w:tc>
        <w:tc>
          <w:tcPr>
            <w:tcW w:w="0" w:type="dxa"/>
            <w:vAlign w:val="bottom"/>
          </w:tcPr>
          <w:p>
            <w:pPr>
              <w:spacing w:after="0"/>
              <w:rPr>
                <w:sz w:val="1"/>
                <w:szCs w:val="1"/>
                <w:color w:val="auto"/>
              </w:rPr>
            </w:pPr>
          </w:p>
        </w:tc>
      </w:tr>
      <w:tr>
        <w:trPr>
          <w:trHeight w:val="55"/>
        </w:trPr>
        <w:tc>
          <w:tcPr>
            <w:tcW w:w="1520" w:type="dxa"/>
            <w:vAlign w:val="bottom"/>
            <w:tcBorders>
              <w:left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520" w:type="dxa"/>
            <w:vAlign w:val="bottom"/>
            <w:tcBorders>
              <w:left w:val="single" w:sz="8" w:color="auto"/>
              <w:right w:val="single" w:sz="8" w:color="auto"/>
            </w:tcBorders>
          </w:tcPr>
          <w:p>
            <w:pPr>
              <w:spacing w:after="0"/>
              <w:rPr>
                <w:sz w:val="20"/>
                <w:szCs w:val="20"/>
                <w:color w:val="auto"/>
              </w:rPr>
            </w:pPr>
          </w:p>
        </w:tc>
        <w:tc>
          <w:tcPr>
            <w:tcW w:w="9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02/28/2024</w:t>
            </w:r>
          </w:p>
        </w:tc>
        <w:tc>
          <w:tcPr>
            <w:tcW w:w="1200" w:type="dxa"/>
            <w:vAlign w:val="bottom"/>
            <w:tcBorders>
              <w:bottom w:val="single" w:sz="8" w:color="E5E5E5"/>
              <w:right w:val="single" w:sz="8" w:color="auto"/>
            </w:tcBorders>
            <w:shd w:val="clear" w:color="auto" w:fill="E5E5E5"/>
          </w:tcPr>
          <w:p>
            <w:pPr>
              <w:spacing w:after="0"/>
              <w:rPr>
                <w:sz w:val="20"/>
                <w:szCs w:val="20"/>
                <w:color w:val="auto"/>
              </w:rPr>
            </w:pPr>
          </w:p>
        </w:tc>
        <w:tc>
          <w:tcPr>
            <w:tcW w:w="1040" w:type="dxa"/>
            <w:vAlign w:val="bottom"/>
            <w:tcBorders>
              <w:bottom w:val="single" w:sz="8" w:color="E5E5E5"/>
              <w:right w:val="single" w:sz="8" w:color="auto"/>
            </w:tcBorders>
            <w:shd w:val="clear" w:color="auto" w:fill="E5E5E5"/>
          </w:tcPr>
          <w:p>
            <w:pPr>
              <w:spacing w:after="0"/>
              <w:rPr>
                <w:sz w:val="20"/>
                <w:szCs w:val="20"/>
                <w:color w:val="auto"/>
              </w:rPr>
            </w:pPr>
          </w:p>
        </w:tc>
        <w:tc>
          <w:tcPr>
            <w:tcW w:w="900" w:type="dxa"/>
            <w:vAlign w:val="bottom"/>
            <w:tcBorders>
              <w:bottom w:val="single" w:sz="8" w:color="E5E5E5"/>
              <w:right w:val="single" w:sz="8" w:color="auto"/>
            </w:tcBorders>
            <w:shd w:val="clear" w:color="auto" w:fill="E5E5E5"/>
          </w:tcPr>
          <w:p>
            <w:pPr>
              <w:spacing w:after="0"/>
              <w:rPr>
                <w:sz w:val="20"/>
                <w:szCs w:val="20"/>
                <w:color w:val="auto"/>
              </w:rPr>
            </w:pPr>
          </w:p>
        </w:tc>
        <w:tc>
          <w:tcPr>
            <w:tcW w:w="980" w:type="dxa"/>
            <w:vAlign w:val="bottom"/>
            <w:tcBorders>
              <w:bottom w:val="single" w:sz="8" w:color="E5E5E5"/>
              <w:right w:val="single" w:sz="8" w:color="auto"/>
            </w:tcBorders>
            <w:shd w:val="clear" w:color="auto" w:fill="E5E5E5"/>
          </w:tcPr>
          <w:p>
            <w:pPr>
              <w:spacing w:after="0"/>
              <w:rPr>
                <w:sz w:val="20"/>
                <w:szCs w:val="20"/>
                <w:color w:val="auto"/>
              </w:rPr>
            </w:pPr>
          </w:p>
        </w:tc>
        <w:tc>
          <w:tcPr>
            <w:tcW w:w="7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1,772</w:t>
            </w:r>
          </w:p>
        </w:tc>
        <w:tc>
          <w:tcPr>
            <w:tcW w:w="420" w:type="dxa"/>
            <w:vAlign w:val="bottom"/>
            <w:tcBorders>
              <w:bottom w:val="single" w:sz="8" w:color="E5E5E5"/>
              <w:right w:val="single" w:sz="8" w:color="auto"/>
            </w:tcBorders>
            <w:shd w:val="clear" w:color="auto" w:fill="E5E5E5"/>
          </w:tcPr>
          <w:p>
            <w:pPr>
              <w:ind w:left="40"/>
              <w:spacing w:after="0"/>
              <w:rPr>
                <w:sz w:val="20"/>
                <w:szCs w:val="20"/>
                <w:color w:val="auto"/>
              </w:rPr>
            </w:pPr>
            <w:r>
              <w:rPr>
                <w:rFonts w:ascii="Arial" w:cs="Arial" w:eastAsia="Arial" w:hAnsi="Arial"/>
                <w:sz w:val="11"/>
                <w:szCs w:val="11"/>
                <w:color w:val="auto"/>
              </w:rPr>
              <w:t>(5a)</w:t>
            </w:r>
          </w:p>
        </w:tc>
        <w:tc>
          <w:tcPr>
            <w:tcW w:w="1200" w:type="dxa"/>
            <w:vAlign w:val="bottom"/>
            <w:tcBorders>
              <w:bottom w:val="single" w:sz="8" w:color="E5E5E5"/>
              <w:right w:val="single" w:sz="8" w:color="auto"/>
            </w:tcBorders>
            <w:shd w:val="clear" w:color="auto" w:fill="E5E5E5"/>
          </w:tcPr>
          <w:p>
            <w:pPr>
              <w:jc w:val="right"/>
              <w:ind w:right="37"/>
              <w:spacing w:after="0"/>
              <w:rPr>
                <w:sz w:val="20"/>
                <w:szCs w:val="20"/>
                <w:color w:val="auto"/>
              </w:rPr>
            </w:pPr>
            <w:r>
              <w:rPr>
                <w:rFonts w:ascii="Arial" w:cs="Arial" w:eastAsia="Arial" w:hAnsi="Arial"/>
                <w:sz w:val="13"/>
                <w:szCs w:val="13"/>
                <w:color w:val="auto"/>
              </w:rPr>
              <w:t>257,861</w:t>
            </w: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E5E5E5"/>
              <w:right w:val="single" w:sz="8" w:color="auto"/>
            </w:tcBorders>
            <w:shd w:val="clear" w:color="auto" w:fill="E5E5E5"/>
          </w:tcPr>
          <w:p>
            <w:pPr>
              <w:spacing w:after="0"/>
              <w:rPr>
                <w:sz w:val="20"/>
                <w:szCs w:val="20"/>
                <w:color w:val="auto"/>
              </w:rPr>
            </w:pPr>
          </w:p>
        </w:tc>
        <w:tc>
          <w:tcPr>
            <w:tcW w:w="1220" w:type="dxa"/>
            <w:vAlign w:val="bottom"/>
            <w:tcBorders>
              <w:bottom w:val="single" w:sz="8" w:color="E5E5E5"/>
              <w:right w:val="single" w:sz="8" w:color="auto"/>
            </w:tcBorders>
            <w:shd w:val="clear" w:color="auto" w:fill="E5E5E5"/>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1520" w:type="dxa"/>
            <w:vAlign w:val="bottom"/>
            <w:tcBorders>
              <w:left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02/28/2024</w:t>
            </w:r>
          </w:p>
        </w:tc>
        <w:tc>
          <w:tcPr>
            <w:tcW w:w="120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4,057</w:t>
            </w:r>
          </w:p>
        </w:tc>
        <w:tc>
          <w:tcPr>
            <w:tcW w:w="1040" w:type="dxa"/>
            <w:vAlign w:val="bottom"/>
            <w:tcBorders>
              <w:top w:val="single" w:sz="8" w:color="auto"/>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116.40</w:t>
            </w: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02/28/2034</w:t>
            </w:r>
          </w:p>
        </w:tc>
        <w:tc>
          <w:tcPr>
            <w:tcW w:w="780" w:type="dxa"/>
            <w:vAlign w:val="bottom"/>
            <w:tcBorders>
              <w:top w:val="single" w:sz="8" w:color="auto"/>
            </w:tcBorders>
          </w:tcPr>
          <w:p>
            <w:pPr>
              <w:spacing w:after="0"/>
              <w:rPr>
                <w:sz w:val="15"/>
                <w:szCs w:val="15"/>
                <w:color w:val="auto"/>
              </w:rPr>
            </w:pPr>
          </w:p>
        </w:tc>
        <w:tc>
          <w:tcPr>
            <w:tcW w:w="420" w:type="dxa"/>
            <w:vAlign w:val="bottom"/>
            <w:tcBorders>
              <w:top w:val="single" w:sz="8" w:color="auto"/>
              <w:right w:val="single" w:sz="8" w:color="auto"/>
            </w:tcBorders>
          </w:tcPr>
          <w:p>
            <w:pPr>
              <w:spacing w:after="0"/>
              <w:rPr>
                <w:sz w:val="15"/>
                <w:szCs w:val="15"/>
                <w:color w:val="auto"/>
              </w:rPr>
            </w:pPr>
          </w:p>
        </w:tc>
        <w:tc>
          <w:tcPr>
            <w:tcW w:w="1200" w:type="dxa"/>
            <w:vAlign w:val="bottom"/>
            <w:tcBorders>
              <w:top w:val="single" w:sz="8" w:color="auto"/>
              <w:right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20" w:type="dxa"/>
            <w:vAlign w:val="bottom"/>
            <w:tcBorders>
              <w:top w:val="single" w:sz="8" w:color="auto"/>
              <w:right w:val="single" w:sz="8" w:color="auto"/>
            </w:tcBorders>
          </w:tcPr>
          <w:p>
            <w:pPr>
              <w:spacing w:after="0"/>
              <w:rPr>
                <w:sz w:val="15"/>
                <w:szCs w:val="15"/>
                <w:color w:val="auto"/>
              </w:rPr>
            </w:pPr>
          </w:p>
        </w:tc>
        <w:tc>
          <w:tcPr>
            <w:tcW w:w="122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520" w:type="dxa"/>
            <w:vAlign w:val="bottom"/>
            <w:tcBorders>
              <w:left w:val="single" w:sz="8" w:color="auto"/>
              <w:right w:val="single" w:sz="8" w:color="auto"/>
            </w:tcBorders>
          </w:tcPr>
          <w:p>
            <w:pPr>
              <w:spacing w:after="0"/>
              <w:rPr>
                <w:sz w:val="20"/>
                <w:szCs w:val="20"/>
                <w:color w:val="auto"/>
              </w:rPr>
            </w:pPr>
          </w:p>
        </w:tc>
        <w:tc>
          <w:tcPr>
            <w:tcW w:w="9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03/01/2022</w:t>
            </w:r>
          </w:p>
        </w:tc>
        <w:tc>
          <w:tcPr>
            <w:tcW w:w="1200" w:type="dxa"/>
            <w:vAlign w:val="bottom"/>
            <w:tcBorders>
              <w:bottom w:val="single" w:sz="8" w:color="E5E5E5"/>
              <w:right w:val="single" w:sz="8" w:color="auto"/>
            </w:tcBorders>
            <w:shd w:val="clear" w:color="auto" w:fill="E5E5E5"/>
          </w:tcPr>
          <w:p>
            <w:pPr>
              <w:spacing w:after="0"/>
              <w:rPr>
                <w:sz w:val="20"/>
                <w:szCs w:val="20"/>
                <w:color w:val="auto"/>
              </w:rPr>
            </w:pPr>
          </w:p>
        </w:tc>
        <w:tc>
          <w:tcPr>
            <w:tcW w:w="1040" w:type="dxa"/>
            <w:vAlign w:val="bottom"/>
            <w:tcBorders>
              <w:bottom w:val="single" w:sz="8" w:color="E5E5E5"/>
              <w:right w:val="single" w:sz="8" w:color="auto"/>
            </w:tcBorders>
            <w:shd w:val="clear" w:color="auto" w:fill="E5E5E5"/>
          </w:tcPr>
          <w:p>
            <w:pPr>
              <w:spacing w:after="0"/>
              <w:rPr>
                <w:sz w:val="20"/>
                <w:szCs w:val="20"/>
                <w:color w:val="auto"/>
              </w:rPr>
            </w:pPr>
          </w:p>
        </w:tc>
        <w:tc>
          <w:tcPr>
            <w:tcW w:w="900" w:type="dxa"/>
            <w:vAlign w:val="bottom"/>
            <w:tcBorders>
              <w:bottom w:val="single" w:sz="8" w:color="E5E5E5"/>
              <w:right w:val="single" w:sz="8" w:color="auto"/>
            </w:tcBorders>
            <w:shd w:val="clear" w:color="auto" w:fill="E5E5E5"/>
          </w:tcPr>
          <w:p>
            <w:pPr>
              <w:spacing w:after="0"/>
              <w:rPr>
                <w:sz w:val="20"/>
                <w:szCs w:val="20"/>
                <w:color w:val="auto"/>
              </w:rPr>
            </w:pPr>
          </w:p>
        </w:tc>
        <w:tc>
          <w:tcPr>
            <w:tcW w:w="980" w:type="dxa"/>
            <w:vAlign w:val="bottom"/>
            <w:tcBorders>
              <w:bottom w:val="single" w:sz="8" w:color="E5E5E5"/>
              <w:right w:val="single" w:sz="8" w:color="auto"/>
            </w:tcBorders>
            <w:shd w:val="clear" w:color="auto" w:fill="E5E5E5"/>
          </w:tcPr>
          <w:p>
            <w:pPr>
              <w:spacing w:after="0"/>
              <w:rPr>
                <w:sz w:val="20"/>
                <w:szCs w:val="20"/>
                <w:color w:val="auto"/>
              </w:rPr>
            </w:pPr>
          </w:p>
        </w:tc>
        <w:tc>
          <w:tcPr>
            <w:tcW w:w="7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7,747</w:t>
            </w:r>
          </w:p>
        </w:tc>
        <w:tc>
          <w:tcPr>
            <w:tcW w:w="420" w:type="dxa"/>
            <w:vAlign w:val="bottom"/>
            <w:tcBorders>
              <w:bottom w:val="single" w:sz="8" w:color="E5E5E5"/>
              <w:right w:val="single" w:sz="8" w:color="auto"/>
            </w:tcBorders>
            <w:shd w:val="clear" w:color="auto" w:fill="E5E5E5"/>
          </w:tcPr>
          <w:p>
            <w:pPr>
              <w:spacing w:after="0"/>
              <w:rPr>
                <w:sz w:val="20"/>
                <w:szCs w:val="20"/>
                <w:color w:val="auto"/>
              </w:rPr>
            </w:pPr>
          </w:p>
        </w:tc>
        <w:tc>
          <w:tcPr>
            <w:tcW w:w="1200" w:type="dxa"/>
            <w:vAlign w:val="bottom"/>
            <w:tcBorders>
              <w:bottom w:val="single" w:sz="8" w:color="E5E5E5"/>
              <w:right w:val="single" w:sz="8" w:color="auto"/>
            </w:tcBorders>
            <w:shd w:val="clear" w:color="auto" w:fill="E5E5E5"/>
          </w:tcPr>
          <w:p>
            <w:pPr>
              <w:jc w:val="right"/>
              <w:ind w:right="37"/>
              <w:spacing w:after="0"/>
              <w:rPr>
                <w:sz w:val="20"/>
                <w:szCs w:val="20"/>
                <w:color w:val="auto"/>
              </w:rPr>
            </w:pPr>
            <w:r>
              <w:rPr>
                <w:rFonts w:ascii="Arial" w:cs="Arial" w:eastAsia="Arial" w:hAnsi="Arial"/>
                <w:sz w:val="13"/>
                <w:szCs w:val="13"/>
                <w:color w:val="auto"/>
              </w:rPr>
              <w:t>1,127,343</w:t>
            </w: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11,621</w:t>
            </w:r>
          </w:p>
        </w:tc>
        <w:tc>
          <w:tcPr>
            <w:tcW w:w="420" w:type="dxa"/>
            <w:vAlign w:val="bottom"/>
            <w:tcBorders>
              <w:bottom w:val="single" w:sz="8" w:color="E5E5E5"/>
              <w:right w:val="single" w:sz="8" w:color="auto"/>
            </w:tcBorders>
            <w:shd w:val="clear" w:color="auto" w:fill="E5E5E5"/>
          </w:tcPr>
          <w:p>
            <w:pPr>
              <w:ind w:left="40"/>
              <w:spacing w:after="0"/>
              <w:rPr>
                <w:sz w:val="20"/>
                <w:szCs w:val="20"/>
                <w:color w:val="auto"/>
              </w:rPr>
            </w:pPr>
            <w:r>
              <w:rPr>
                <w:rFonts w:ascii="Arial" w:cs="Arial" w:eastAsia="Arial" w:hAnsi="Arial"/>
                <w:sz w:val="9"/>
                <w:szCs w:val="9"/>
                <w:color w:val="auto"/>
              </w:rPr>
              <w:t>(3b)</w:t>
            </w:r>
          </w:p>
        </w:tc>
        <w:tc>
          <w:tcPr>
            <w:tcW w:w="1220" w:type="dxa"/>
            <w:vAlign w:val="bottom"/>
            <w:tcBorders>
              <w:bottom w:val="single" w:sz="8" w:color="E5E5E5"/>
              <w:right w:val="single" w:sz="8" w:color="auto"/>
            </w:tcBorders>
            <w:shd w:val="clear" w:color="auto" w:fill="E5E5E5"/>
          </w:tcPr>
          <w:p>
            <w:pPr>
              <w:jc w:val="right"/>
              <w:ind w:right="18"/>
              <w:spacing w:after="0"/>
              <w:rPr>
                <w:sz w:val="20"/>
                <w:szCs w:val="20"/>
                <w:color w:val="auto"/>
              </w:rPr>
            </w:pPr>
            <w:r>
              <w:rPr>
                <w:rFonts w:ascii="Arial" w:cs="Arial" w:eastAsia="Arial" w:hAnsi="Arial"/>
                <w:sz w:val="13"/>
                <w:szCs w:val="13"/>
                <w:color w:val="auto"/>
              </w:rPr>
              <w:t>1,691,015</w:t>
            </w:r>
          </w:p>
        </w:tc>
        <w:tc>
          <w:tcPr>
            <w:tcW w:w="0" w:type="dxa"/>
            <w:vAlign w:val="bottom"/>
          </w:tcPr>
          <w:p>
            <w:pPr>
              <w:spacing w:after="0"/>
              <w:rPr>
                <w:sz w:val="1"/>
                <w:szCs w:val="1"/>
                <w:color w:val="auto"/>
              </w:rPr>
            </w:pPr>
          </w:p>
        </w:tc>
      </w:tr>
      <w:tr>
        <w:trPr>
          <w:trHeight w:val="182"/>
        </w:trPr>
        <w:tc>
          <w:tcPr>
            <w:tcW w:w="1520" w:type="dxa"/>
            <w:vAlign w:val="bottom"/>
            <w:tcBorders>
              <w:left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03/01/2022</w:t>
            </w:r>
          </w:p>
        </w:tc>
        <w:tc>
          <w:tcPr>
            <w:tcW w:w="1200" w:type="dxa"/>
            <w:vAlign w:val="bottom"/>
            <w:tcBorders>
              <w:top w:val="single" w:sz="8" w:color="auto"/>
              <w:right w:val="single" w:sz="8" w:color="auto"/>
            </w:tcBorders>
          </w:tcPr>
          <w:p>
            <w:pPr>
              <w:spacing w:after="0"/>
              <w:rPr>
                <w:sz w:val="15"/>
                <w:szCs w:val="15"/>
                <w:color w:val="auto"/>
              </w:rPr>
            </w:pPr>
          </w:p>
        </w:tc>
        <w:tc>
          <w:tcPr>
            <w:tcW w:w="104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spacing w:after="0"/>
              <w:rPr>
                <w:sz w:val="15"/>
                <w:szCs w:val="15"/>
                <w:color w:val="auto"/>
              </w:rPr>
            </w:pPr>
          </w:p>
        </w:tc>
        <w:tc>
          <w:tcPr>
            <w:tcW w:w="98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1,292</w:t>
            </w:r>
          </w:p>
        </w:tc>
        <w:tc>
          <w:tcPr>
            <w:tcW w:w="4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(3a)</w:t>
            </w:r>
          </w:p>
        </w:tc>
        <w:tc>
          <w:tcPr>
            <w:tcW w:w="1200" w:type="dxa"/>
            <w:vAlign w:val="bottom"/>
            <w:tcBorders>
              <w:top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188,012</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right w:val="single" w:sz="8" w:color="auto"/>
            </w:tcBorders>
          </w:tcPr>
          <w:p>
            <w:pPr>
              <w:spacing w:after="0"/>
              <w:rPr>
                <w:sz w:val="15"/>
                <w:szCs w:val="15"/>
                <w:color w:val="auto"/>
              </w:rPr>
            </w:pPr>
          </w:p>
        </w:tc>
        <w:tc>
          <w:tcPr>
            <w:tcW w:w="1220" w:type="dxa"/>
            <w:vAlign w:val="bottom"/>
            <w:tcBorders>
              <w:top w:val="single" w:sz="8" w:color="auto"/>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5"/>
        </w:trPr>
        <w:tc>
          <w:tcPr>
            <w:tcW w:w="1520" w:type="dxa"/>
            <w:vAlign w:val="bottom"/>
            <w:tcBorders>
              <w:left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520" w:type="dxa"/>
            <w:vAlign w:val="bottom"/>
            <w:tcBorders>
              <w:left w:val="single" w:sz="8" w:color="auto"/>
              <w:right w:val="single" w:sz="8" w:color="auto"/>
            </w:tcBorders>
          </w:tcPr>
          <w:p>
            <w:pPr>
              <w:spacing w:after="0"/>
              <w:rPr>
                <w:sz w:val="20"/>
                <w:szCs w:val="20"/>
                <w:color w:val="auto"/>
              </w:rPr>
            </w:pPr>
          </w:p>
        </w:tc>
        <w:tc>
          <w:tcPr>
            <w:tcW w:w="9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03/01/2022</w:t>
            </w:r>
          </w:p>
        </w:tc>
        <w:tc>
          <w:tcPr>
            <w:tcW w:w="1200" w:type="dxa"/>
            <w:vAlign w:val="bottom"/>
            <w:tcBorders>
              <w:bottom w:val="single" w:sz="8" w:color="E5E5E5"/>
              <w:right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3,272</w:t>
            </w:r>
          </w:p>
        </w:tc>
        <w:tc>
          <w:tcPr>
            <w:tcW w:w="1040" w:type="dxa"/>
            <w:vAlign w:val="bottom"/>
            <w:tcBorders>
              <w:bottom w:val="single" w:sz="8" w:color="E5E5E5"/>
              <w:right w:val="single" w:sz="8" w:color="auto"/>
            </w:tcBorders>
            <w:shd w:val="clear" w:color="auto" w:fill="E5E5E5"/>
          </w:tcPr>
          <w:p>
            <w:pPr>
              <w:jc w:val="right"/>
              <w:ind w:right="18"/>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E5E5E5"/>
              <w:right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48.97</w:t>
            </w:r>
          </w:p>
        </w:tc>
        <w:tc>
          <w:tcPr>
            <w:tcW w:w="98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03/01/2032</w:t>
            </w:r>
          </w:p>
        </w:tc>
        <w:tc>
          <w:tcPr>
            <w:tcW w:w="780" w:type="dxa"/>
            <w:vAlign w:val="bottom"/>
            <w:tcBorders>
              <w:bottom w:val="single" w:sz="8" w:color="E5E5E5"/>
            </w:tcBorders>
            <w:shd w:val="clear" w:color="auto" w:fill="E5E5E5"/>
          </w:tcPr>
          <w:p>
            <w:pPr>
              <w:spacing w:after="0"/>
              <w:rPr>
                <w:sz w:val="20"/>
                <w:szCs w:val="20"/>
                <w:color w:val="auto"/>
              </w:rPr>
            </w:pPr>
          </w:p>
        </w:tc>
        <w:tc>
          <w:tcPr>
            <w:tcW w:w="420" w:type="dxa"/>
            <w:vAlign w:val="bottom"/>
            <w:tcBorders>
              <w:bottom w:val="single" w:sz="8" w:color="E5E5E5"/>
              <w:right w:val="single" w:sz="8" w:color="auto"/>
            </w:tcBorders>
            <w:shd w:val="clear" w:color="auto" w:fill="E5E5E5"/>
          </w:tcPr>
          <w:p>
            <w:pPr>
              <w:spacing w:after="0"/>
              <w:rPr>
                <w:sz w:val="20"/>
                <w:szCs w:val="20"/>
                <w:color w:val="auto"/>
              </w:rPr>
            </w:pPr>
          </w:p>
        </w:tc>
        <w:tc>
          <w:tcPr>
            <w:tcW w:w="1200" w:type="dxa"/>
            <w:vAlign w:val="bottom"/>
            <w:tcBorders>
              <w:bottom w:val="single" w:sz="8" w:color="E5E5E5"/>
              <w:right w:val="single" w:sz="8" w:color="auto"/>
            </w:tcBorders>
            <w:shd w:val="clear" w:color="auto" w:fill="E5E5E5"/>
          </w:tcPr>
          <w:p>
            <w:pPr>
              <w:spacing w:after="0"/>
              <w:rPr>
                <w:sz w:val="20"/>
                <w:szCs w:val="20"/>
                <w:color w:val="auto"/>
              </w:rPr>
            </w:pPr>
          </w:p>
        </w:tc>
        <w:tc>
          <w:tcPr>
            <w:tcW w:w="660" w:type="dxa"/>
            <w:vAlign w:val="bottom"/>
            <w:tcBorders>
              <w:bottom w:val="single" w:sz="8" w:color="E5E5E5"/>
            </w:tcBorders>
            <w:shd w:val="clear" w:color="auto" w:fill="E5E5E5"/>
          </w:tcPr>
          <w:p>
            <w:pPr>
              <w:spacing w:after="0"/>
              <w:rPr>
                <w:sz w:val="20"/>
                <w:szCs w:val="20"/>
                <w:color w:val="auto"/>
              </w:rPr>
            </w:pPr>
          </w:p>
        </w:tc>
        <w:tc>
          <w:tcPr>
            <w:tcW w:w="420" w:type="dxa"/>
            <w:vAlign w:val="bottom"/>
            <w:tcBorders>
              <w:bottom w:val="single" w:sz="8" w:color="E5E5E5"/>
              <w:right w:val="single" w:sz="8" w:color="auto"/>
            </w:tcBorders>
            <w:shd w:val="clear" w:color="auto" w:fill="E5E5E5"/>
          </w:tcPr>
          <w:p>
            <w:pPr>
              <w:spacing w:after="0"/>
              <w:rPr>
                <w:sz w:val="20"/>
                <w:szCs w:val="20"/>
                <w:color w:val="auto"/>
              </w:rPr>
            </w:pPr>
          </w:p>
        </w:tc>
        <w:tc>
          <w:tcPr>
            <w:tcW w:w="1220" w:type="dxa"/>
            <w:vAlign w:val="bottom"/>
            <w:tcBorders>
              <w:bottom w:val="single" w:sz="8" w:color="E5E5E5"/>
              <w:right w:val="single" w:sz="8" w:color="auto"/>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20" w:type="dxa"/>
            <w:vAlign w:val="bottom"/>
            <w:tcBorders>
              <w:left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03/01/2023</w:t>
            </w:r>
          </w:p>
        </w:tc>
        <w:tc>
          <w:tcPr>
            <w:tcW w:w="1200" w:type="dxa"/>
            <w:vAlign w:val="bottom"/>
            <w:tcBorders>
              <w:top w:val="single" w:sz="8" w:color="auto"/>
              <w:right w:val="single" w:sz="8" w:color="auto"/>
            </w:tcBorders>
          </w:tcPr>
          <w:p>
            <w:pPr>
              <w:spacing w:after="0"/>
              <w:rPr>
                <w:sz w:val="15"/>
                <w:szCs w:val="15"/>
                <w:color w:val="auto"/>
              </w:rPr>
            </w:pPr>
          </w:p>
        </w:tc>
        <w:tc>
          <w:tcPr>
            <w:tcW w:w="104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spacing w:after="0"/>
              <w:rPr>
                <w:sz w:val="15"/>
                <w:szCs w:val="15"/>
                <w:color w:val="auto"/>
              </w:rPr>
            </w:pPr>
          </w:p>
        </w:tc>
        <w:tc>
          <w:tcPr>
            <w:tcW w:w="98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5,469</w:t>
            </w:r>
          </w:p>
        </w:tc>
        <w:tc>
          <w:tcPr>
            <w:tcW w:w="420" w:type="dxa"/>
            <w:vAlign w:val="bottom"/>
            <w:tcBorders>
              <w:top w:val="single" w:sz="8" w:color="auto"/>
              <w:right w:val="single" w:sz="8" w:color="auto"/>
            </w:tcBorders>
          </w:tcPr>
          <w:p>
            <w:pPr>
              <w:spacing w:after="0"/>
              <w:rPr>
                <w:sz w:val="15"/>
                <w:szCs w:val="15"/>
                <w:color w:val="auto"/>
              </w:rPr>
            </w:pPr>
          </w:p>
        </w:tc>
        <w:tc>
          <w:tcPr>
            <w:tcW w:w="1200" w:type="dxa"/>
            <w:vAlign w:val="bottom"/>
            <w:tcBorders>
              <w:top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795,849</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8,204</w:t>
            </w:r>
          </w:p>
        </w:tc>
        <w:tc>
          <w:tcPr>
            <w:tcW w:w="4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(4b)</w:t>
            </w:r>
          </w:p>
        </w:tc>
        <w:tc>
          <w:tcPr>
            <w:tcW w:w="1220" w:type="dxa"/>
            <w:vAlign w:val="bottom"/>
            <w:tcBorders>
              <w:top w:val="single" w:sz="8" w:color="auto"/>
              <w:right w:val="single" w:sz="8" w:color="auto"/>
            </w:tcBorders>
          </w:tcPr>
          <w:p>
            <w:pPr>
              <w:jc w:val="right"/>
              <w:ind w:right="18"/>
              <w:spacing w:after="0"/>
              <w:rPr>
                <w:sz w:val="20"/>
                <w:szCs w:val="20"/>
                <w:color w:val="auto"/>
              </w:rPr>
            </w:pPr>
            <w:r>
              <w:rPr>
                <w:rFonts w:ascii="Arial" w:cs="Arial" w:eastAsia="Arial" w:hAnsi="Arial"/>
                <w:sz w:val="13"/>
                <w:szCs w:val="13"/>
                <w:color w:val="auto"/>
              </w:rPr>
              <w:t>1,193,773</w:t>
            </w:r>
          </w:p>
        </w:tc>
        <w:tc>
          <w:tcPr>
            <w:tcW w:w="0" w:type="dxa"/>
            <w:vAlign w:val="bottom"/>
          </w:tcPr>
          <w:p>
            <w:pPr>
              <w:spacing w:after="0"/>
              <w:rPr>
                <w:sz w:val="1"/>
                <w:szCs w:val="1"/>
                <w:color w:val="auto"/>
              </w:rPr>
            </w:pPr>
          </w:p>
        </w:tc>
      </w:tr>
      <w:tr>
        <w:trPr>
          <w:trHeight w:val="55"/>
        </w:trPr>
        <w:tc>
          <w:tcPr>
            <w:tcW w:w="1520" w:type="dxa"/>
            <w:vAlign w:val="bottom"/>
            <w:tcBorders>
              <w:left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J. Randall Data</w:t>
            </w:r>
          </w:p>
        </w:tc>
        <w:tc>
          <w:tcPr>
            <w:tcW w:w="9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03/01/2023</w:t>
            </w:r>
          </w:p>
        </w:tc>
        <w:tc>
          <w:tcPr>
            <w:tcW w:w="1200" w:type="dxa"/>
            <w:vAlign w:val="bottom"/>
            <w:tcBorders>
              <w:bottom w:val="single" w:sz="8" w:color="E5E5E5"/>
              <w:right w:val="single" w:sz="8" w:color="auto"/>
            </w:tcBorders>
            <w:shd w:val="clear" w:color="auto" w:fill="E5E5E5"/>
          </w:tcPr>
          <w:p>
            <w:pPr>
              <w:spacing w:after="0"/>
              <w:rPr>
                <w:sz w:val="20"/>
                <w:szCs w:val="20"/>
                <w:color w:val="auto"/>
              </w:rPr>
            </w:pPr>
          </w:p>
        </w:tc>
        <w:tc>
          <w:tcPr>
            <w:tcW w:w="1040" w:type="dxa"/>
            <w:vAlign w:val="bottom"/>
            <w:tcBorders>
              <w:bottom w:val="single" w:sz="8" w:color="E5E5E5"/>
              <w:right w:val="single" w:sz="8" w:color="auto"/>
            </w:tcBorders>
            <w:shd w:val="clear" w:color="auto" w:fill="E5E5E5"/>
          </w:tcPr>
          <w:p>
            <w:pPr>
              <w:spacing w:after="0"/>
              <w:rPr>
                <w:sz w:val="20"/>
                <w:szCs w:val="20"/>
                <w:color w:val="auto"/>
              </w:rPr>
            </w:pPr>
          </w:p>
        </w:tc>
        <w:tc>
          <w:tcPr>
            <w:tcW w:w="900" w:type="dxa"/>
            <w:vAlign w:val="bottom"/>
            <w:tcBorders>
              <w:bottom w:val="single" w:sz="8" w:color="E5E5E5"/>
              <w:right w:val="single" w:sz="8" w:color="auto"/>
            </w:tcBorders>
            <w:shd w:val="clear" w:color="auto" w:fill="E5E5E5"/>
          </w:tcPr>
          <w:p>
            <w:pPr>
              <w:spacing w:after="0"/>
              <w:rPr>
                <w:sz w:val="20"/>
                <w:szCs w:val="20"/>
                <w:color w:val="auto"/>
              </w:rPr>
            </w:pPr>
          </w:p>
        </w:tc>
        <w:tc>
          <w:tcPr>
            <w:tcW w:w="980" w:type="dxa"/>
            <w:vAlign w:val="bottom"/>
            <w:tcBorders>
              <w:bottom w:val="single" w:sz="8" w:color="E5E5E5"/>
              <w:right w:val="single" w:sz="8" w:color="auto"/>
            </w:tcBorders>
            <w:shd w:val="clear" w:color="auto" w:fill="E5E5E5"/>
          </w:tcPr>
          <w:p>
            <w:pPr>
              <w:spacing w:after="0"/>
              <w:rPr>
                <w:sz w:val="20"/>
                <w:szCs w:val="20"/>
                <w:color w:val="auto"/>
              </w:rPr>
            </w:pPr>
          </w:p>
        </w:tc>
        <w:tc>
          <w:tcPr>
            <w:tcW w:w="7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1,824</w:t>
            </w:r>
          </w:p>
        </w:tc>
        <w:tc>
          <w:tcPr>
            <w:tcW w:w="420" w:type="dxa"/>
            <w:vAlign w:val="bottom"/>
            <w:tcBorders>
              <w:bottom w:val="single" w:sz="8" w:color="E5E5E5"/>
              <w:right w:val="single" w:sz="8" w:color="auto"/>
            </w:tcBorders>
            <w:shd w:val="clear" w:color="auto" w:fill="E5E5E5"/>
          </w:tcPr>
          <w:p>
            <w:pPr>
              <w:ind w:left="40"/>
              <w:spacing w:after="0"/>
              <w:rPr>
                <w:sz w:val="20"/>
                <w:szCs w:val="20"/>
                <w:color w:val="auto"/>
              </w:rPr>
            </w:pPr>
            <w:r>
              <w:rPr>
                <w:rFonts w:ascii="Arial" w:cs="Arial" w:eastAsia="Arial" w:hAnsi="Arial"/>
                <w:sz w:val="11"/>
                <w:szCs w:val="11"/>
                <w:color w:val="auto"/>
              </w:rPr>
              <w:t>(4a)</w:t>
            </w:r>
          </w:p>
        </w:tc>
        <w:tc>
          <w:tcPr>
            <w:tcW w:w="1200" w:type="dxa"/>
            <w:vAlign w:val="bottom"/>
            <w:tcBorders>
              <w:bottom w:val="single" w:sz="8" w:color="E5E5E5"/>
              <w:right w:val="single" w:sz="8" w:color="auto"/>
            </w:tcBorders>
            <w:shd w:val="clear" w:color="auto" w:fill="E5E5E5"/>
          </w:tcPr>
          <w:p>
            <w:pPr>
              <w:jc w:val="right"/>
              <w:ind w:right="37"/>
              <w:spacing w:after="0"/>
              <w:rPr>
                <w:sz w:val="20"/>
                <w:szCs w:val="20"/>
                <w:color w:val="auto"/>
              </w:rPr>
            </w:pPr>
            <w:r>
              <w:rPr>
                <w:rFonts w:ascii="Arial" w:cs="Arial" w:eastAsia="Arial" w:hAnsi="Arial"/>
                <w:sz w:val="13"/>
                <w:szCs w:val="13"/>
                <w:color w:val="auto"/>
              </w:rPr>
              <w:t>265,428</w:t>
            </w: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E5E5E5"/>
              <w:right w:val="single" w:sz="8" w:color="auto"/>
            </w:tcBorders>
            <w:shd w:val="clear" w:color="auto" w:fill="E5E5E5"/>
          </w:tcPr>
          <w:p>
            <w:pPr>
              <w:spacing w:after="0"/>
              <w:rPr>
                <w:sz w:val="20"/>
                <w:szCs w:val="20"/>
                <w:color w:val="auto"/>
              </w:rPr>
            </w:pPr>
          </w:p>
        </w:tc>
        <w:tc>
          <w:tcPr>
            <w:tcW w:w="1220" w:type="dxa"/>
            <w:vAlign w:val="bottom"/>
            <w:tcBorders>
              <w:bottom w:val="single" w:sz="8" w:color="E5E5E5"/>
              <w:right w:val="single" w:sz="8" w:color="auto"/>
            </w:tcBorders>
            <w:shd w:val="clear" w:color="auto" w:fill="E5E5E5"/>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1520" w:type="dxa"/>
            <w:vAlign w:val="bottom"/>
            <w:tcBorders>
              <w:left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03/01/2023</w:t>
            </w:r>
          </w:p>
        </w:tc>
        <w:tc>
          <w:tcPr>
            <w:tcW w:w="120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4,204</w:t>
            </w:r>
          </w:p>
        </w:tc>
        <w:tc>
          <w:tcPr>
            <w:tcW w:w="1040" w:type="dxa"/>
            <w:vAlign w:val="bottom"/>
            <w:tcBorders>
              <w:top w:val="single" w:sz="8" w:color="auto"/>
              <w:right w:val="single" w:sz="8" w:color="auto"/>
            </w:tcBorders>
          </w:tcPr>
          <w:p>
            <w:pPr>
              <w:jc w:val="right"/>
              <w:ind w:right="18"/>
              <w:spacing w:after="0"/>
              <w:rPr>
                <w:sz w:val="20"/>
                <w:szCs w:val="20"/>
                <w:color w:val="auto"/>
              </w:rPr>
            </w:pPr>
            <w:r>
              <w:rPr>
                <w:rFonts w:ascii="Arial" w:cs="Arial" w:eastAsia="Arial" w:hAnsi="Arial"/>
                <w:sz w:val="13"/>
                <w:szCs w:val="13"/>
                <w:color w:val="auto"/>
              </w:rPr>
              <w:t>2,101</w:t>
            </w:r>
          </w:p>
        </w:tc>
        <w:tc>
          <w:tcPr>
            <w:tcW w:w="90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71.93</w:t>
            </w: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03/01/2033</w:t>
            </w:r>
          </w:p>
        </w:tc>
        <w:tc>
          <w:tcPr>
            <w:tcW w:w="780" w:type="dxa"/>
            <w:vAlign w:val="bottom"/>
            <w:tcBorders>
              <w:top w:val="single" w:sz="8" w:color="auto"/>
            </w:tcBorders>
          </w:tcPr>
          <w:p>
            <w:pPr>
              <w:spacing w:after="0"/>
              <w:rPr>
                <w:sz w:val="15"/>
                <w:szCs w:val="15"/>
                <w:color w:val="auto"/>
              </w:rPr>
            </w:pPr>
          </w:p>
        </w:tc>
        <w:tc>
          <w:tcPr>
            <w:tcW w:w="420" w:type="dxa"/>
            <w:vAlign w:val="bottom"/>
            <w:tcBorders>
              <w:top w:val="single" w:sz="8" w:color="auto"/>
              <w:right w:val="single" w:sz="8" w:color="auto"/>
            </w:tcBorders>
          </w:tcPr>
          <w:p>
            <w:pPr>
              <w:spacing w:after="0"/>
              <w:rPr>
                <w:sz w:val="15"/>
                <w:szCs w:val="15"/>
                <w:color w:val="auto"/>
              </w:rPr>
            </w:pPr>
          </w:p>
        </w:tc>
        <w:tc>
          <w:tcPr>
            <w:tcW w:w="1200" w:type="dxa"/>
            <w:vAlign w:val="bottom"/>
            <w:tcBorders>
              <w:top w:val="single" w:sz="8" w:color="auto"/>
              <w:right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20" w:type="dxa"/>
            <w:vAlign w:val="bottom"/>
            <w:tcBorders>
              <w:top w:val="single" w:sz="8" w:color="auto"/>
              <w:right w:val="single" w:sz="8" w:color="auto"/>
            </w:tcBorders>
          </w:tcPr>
          <w:p>
            <w:pPr>
              <w:spacing w:after="0"/>
              <w:rPr>
                <w:sz w:val="15"/>
                <w:szCs w:val="15"/>
                <w:color w:val="auto"/>
              </w:rPr>
            </w:pPr>
          </w:p>
        </w:tc>
        <w:tc>
          <w:tcPr>
            <w:tcW w:w="122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520" w:type="dxa"/>
            <w:vAlign w:val="bottom"/>
            <w:tcBorders>
              <w:left w:val="single" w:sz="8" w:color="auto"/>
              <w:right w:val="single" w:sz="8" w:color="auto"/>
            </w:tcBorders>
          </w:tcPr>
          <w:p>
            <w:pPr>
              <w:spacing w:after="0"/>
              <w:rPr>
                <w:sz w:val="20"/>
                <w:szCs w:val="20"/>
                <w:color w:val="auto"/>
              </w:rPr>
            </w:pPr>
          </w:p>
        </w:tc>
        <w:tc>
          <w:tcPr>
            <w:tcW w:w="9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02/28/2024</w:t>
            </w:r>
          </w:p>
        </w:tc>
        <w:tc>
          <w:tcPr>
            <w:tcW w:w="1200" w:type="dxa"/>
            <w:vAlign w:val="bottom"/>
            <w:tcBorders>
              <w:bottom w:val="single" w:sz="8" w:color="E5E5E5"/>
              <w:right w:val="single" w:sz="8" w:color="auto"/>
            </w:tcBorders>
            <w:shd w:val="clear" w:color="auto" w:fill="E5E5E5"/>
          </w:tcPr>
          <w:p>
            <w:pPr>
              <w:spacing w:after="0"/>
              <w:rPr>
                <w:sz w:val="20"/>
                <w:szCs w:val="20"/>
                <w:color w:val="auto"/>
              </w:rPr>
            </w:pPr>
          </w:p>
        </w:tc>
        <w:tc>
          <w:tcPr>
            <w:tcW w:w="1040" w:type="dxa"/>
            <w:vAlign w:val="bottom"/>
            <w:tcBorders>
              <w:bottom w:val="single" w:sz="8" w:color="E5E5E5"/>
              <w:right w:val="single" w:sz="8" w:color="auto"/>
            </w:tcBorders>
            <w:shd w:val="clear" w:color="auto" w:fill="E5E5E5"/>
          </w:tcPr>
          <w:p>
            <w:pPr>
              <w:spacing w:after="0"/>
              <w:rPr>
                <w:sz w:val="20"/>
                <w:szCs w:val="20"/>
                <w:color w:val="auto"/>
              </w:rPr>
            </w:pPr>
          </w:p>
        </w:tc>
        <w:tc>
          <w:tcPr>
            <w:tcW w:w="900" w:type="dxa"/>
            <w:vAlign w:val="bottom"/>
            <w:tcBorders>
              <w:bottom w:val="single" w:sz="8" w:color="E5E5E5"/>
              <w:right w:val="single" w:sz="8" w:color="auto"/>
            </w:tcBorders>
            <w:shd w:val="clear" w:color="auto" w:fill="E5E5E5"/>
          </w:tcPr>
          <w:p>
            <w:pPr>
              <w:spacing w:after="0"/>
              <w:rPr>
                <w:sz w:val="20"/>
                <w:szCs w:val="20"/>
                <w:color w:val="auto"/>
              </w:rPr>
            </w:pPr>
          </w:p>
        </w:tc>
        <w:tc>
          <w:tcPr>
            <w:tcW w:w="980" w:type="dxa"/>
            <w:vAlign w:val="bottom"/>
            <w:tcBorders>
              <w:bottom w:val="single" w:sz="8" w:color="E5E5E5"/>
              <w:right w:val="single" w:sz="8" w:color="auto"/>
            </w:tcBorders>
            <w:shd w:val="clear" w:color="auto" w:fill="E5E5E5"/>
          </w:tcPr>
          <w:p>
            <w:pPr>
              <w:spacing w:after="0"/>
              <w:rPr>
                <w:sz w:val="20"/>
                <w:szCs w:val="20"/>
                <w:color w:val="auto"/>
              </w:rPr>
            </w:pPr>
          </w:p>
        </w:tc>
        <w:tc>
          <w:tcPr>
            <w:tcW w:w="78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5,984</w:t>
            </w:r>
          </w:p>
        </w:tc>
        <w:tc>
          <w:tcPr>
            <w:tcW w:w="420" w:type="dxa"/>
            <w:vAlign w:val="bottom"/>
            <w:tcBorders>
              <w:bottom w:val="single" w:sz="8" w:color="E5E5E5"/>
              <w:right w:val="single" w:sz="8" w:color="auto"/>
            </w:tcBorders>
            <w:shd w:val="clear" w:color="auto" w:fill="E5E5E5"/>
          </w:tcPr>
          <w:p>
            <w:pPr>
              <w:spacing w:after="0"/>
              <w:rPr>
                <w:sz w:val="20"/>
                <w:szCs w:val="20"/>
                <w:color w:val="auto"/>
              </w:rPr>
            </w:pPr>
          </w:p>
        </w:tc>
        <w:tc>
          <w:tcPr>
            <w:tcW w:w="1200" w:type="dxa"/>
            <w:vAlign w:val="bottom"/>
            <w:tcBorders>
              <w:bottom w:val="single" w:sz="8" w:color="E5E5E5"/>
              <w:right w:val="single" w:sz="8" w:color="auto"/>
            </w:tcBorders>
            <w:shd w:val="clear" w:color="auto" w:fill="E5E5E5"/>
          </w:tcPr>
          <w:p>
            <w:pPr>
              <w:jc w:val="right"/>
              <w:ind w:right="37"/>
              <w:spacing w:after="0"/>
              <w:rPr>
                <w:sz w:val="20"/>
                <w:szCs w:val="20"/>
                <w:color w:val="auto"/>
              </w:rPr>
            </w:pPr>
            <w:r>
              <w:rPr>
                <w:rFonts w:ascii="Arial" w:cs="Arial" w:eastAsia="Arial" w:hAnsi="Arial"/>
                <w:sz w:val="13"/>
                <w:szCs w:val="13"/>
                <w:color w:val="auto"/>
              </w:rPr>
              <w:t>870,792</w:t>
            </w: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11,968</w:t>
            </w:r>
          </w:p>
        </w:tc>
        <w:tc>
          <w:tcPr>
            <w:tcW w:w="420" w:type="dxa"/>
            <w:vAlign w:val="bottom"/>
            <w:tcBorders>
              <w:bottom w:val="single" w:sz="8" w:color="E5E5E5"/>
              <w:right w:val="single" w:sz="8" w:color="auto"/>
            </w:tcBorders>
            <w:shd w:val="clear" w:color="auto" w:fill="E5E5E5"/>
          </w:tcPr>
          <w:p>
            <w:pPr>
              <w:ind w:left="40"/>
              <w:spacing w:after="0"/>
              <w:rPr>
                <w:sz w:val="20"/>
                <w:szCs w:val="20"/>
                <w:color w:val="auto"/>
              </w:rPr>
            </w:pPr>
            <w:r>
              <w:rPr>
                <w:rFonts w:ascii="Arial" w:cs="Arial" w:eastAsia="Arial" w:hAnsi="Arial"/>
                <w:sz w:val="9"/>
                <w:szCs w:val="9"/>
                <w:color w:val="auto"/>
              </w:rPr>
              <w:t>(5b)</w:t>
            </w:r>
          </w:p>
        </w:tc>
        <w:tc>
          <w:tcPr>
            <w:tcW w:w="1220" w:type="dxa"/>
            <w:vAlign w:val="bottom"/>
            <w:tcBorders>
              <w:bottom w:val="single" w:sz="8" w:color="E5E5E5"/>
              <w:right w:val="single" w:sz="8" w:color="auto"/>
            </w:tcBorders>
            <w:shd w:val="clear" w:color="auto" w:fill="E5E5E5"/>
          </w:tcPr>
          <w:p>
            <w:pPr>
              <w:jc w:val="right"/>
              <w:ind w:right="18"/>
              <w:spacing w:after="0"/>
              <w:rPr>
                <w:sz w:val="20"/>
                <w:szCs w:val="20"/>
                <w:color w:val="auto"/>
              </w:rPr>
            </w:pPr>
            <w:r>
              <w:rPr>
                <w:rFonts w:ascii="Arial" w:cs="Arial" w:eastAsia="Arial" w:hAnsi="Arial"/>
                <w:sz w:val="13"/>
                <w:szCs w:val="13"/>
                <w:color w:val="auto"/>
              </w:rPr>
              <w:t>1,741,583</w:t>
            </w:r>
          </w:p>
        </w:tc>
        <w:tc>
          <w:tcPr>
            <w:tcW w:w="0" w:type="dxa"/>
            <w:vAlign w:val="bottom"/>
          </w:tcPr>
          <w:p>
            <w:pPr>
              <w:spacing w:after="0"/>
              <w:rPr>
                <w:sz w:val="1"/>
                <w:szCs w:val="1"/>
                <w:color w:val="auto"/>
              </w:rPr>
            </w:pPr>
          </w:p>
        </w:tc>
      </w:tr>
      <w:tr>
        <w:trPr>
          <w:trHeight w:val="182"/>
        </w:trPr>
        <w:tc>
          <w:tcPr>
            <w:tcW w:w="1520" w:type="dxa"/>
            <w:vAlign w:val="bottom"/>
            <w:tcBorders>
              <w:left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02/28/2024</w:t>
            </w:r>
          </w:p>
        </w:tc>
        <w:tc>
          <w:tcPr>
            <w:tcW w:w="1200" w:type="dxa"/>
            <w:vAlign w:val="bottom"/>
            <w:tcBorders>
              <w:top w:val="single" w:sz="8" w:color="auto"/>
              <w:right w:val="single" w:sz="8" w:color="auto"/>
            </w:tcBorders>
          </w:tcPr>
          <w:p>
            <w:pPr>
              <w:spacing w:after="0"/>
              <w:rPr>
                <w:sz w:val="15"/>
                <w:szCs w:val="15"/>
                <w:color w:val="auto"/>
              </w:rPr>
            </w:pPr>
          </w:p>
        </w:tc>
        <w:tc>
          <w:tcPr>
            <w:tcW w:w="104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spacing w:after="0"/>
              <w:rPr>
                <w:sz w:val="15"/>
                <w:szCs w:val="15"/>
                <w:color w:val="auto"/>
              </w:rPr>
            </w:pPr>
          </w:p>
        </w:tc>
        <w:tc>
          <w:tcPr>
            <w:tcW w:w="98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2,992</w:t>
            </w:r>
          </w:p>
        </w:tc>
        <w:tc>
          <w:tcPr>
            <w:tcW w:w="4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(5a)</w:t>
            </w:r>
          </w:p>
        </w:tc>
        <w:tc>
          <w:tcPr>
            <w:tcW w:w="1200" w:type="dxa"/>
            <w:vAlign w:val="bottom"/>
            <w:tcBorders>
              <w:top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435,396</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right w:val="single" w:sz="8" w:color="auto"/>
            </w:tcBorders>
          </w:tcPr>
          <w:p>
            <w:pPr>
              <w:spacing w:after="0"/>
              <w:rPr>
                <w:sz w:val="15"/>
                <w:szCs w:val="15"/>
                <w:color w:val="auto"/>
              </w:rPr>
            </w:pPr>
          </w:p>
        </w:tc>
        <w:tc>
          <w:tcPr>
            <w:tcW w:w="1220" w:type="dxa"/>
            <w:vAlign w:val="bottom"/>
            <w:tcBorders>
              <w:top w:val="single" w:sz="8" w:color="auto"/>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520" w:type="dxa"/>
            <w:vAlign w:val="bottom"/>
            <w:tcBorders>
              <w:left w:val="single" w:sz="8" w:color="auto"/>
              <w:right w:val="single" w:sz="8" w:color="auto"/>
            </w:tcBorders>
          </w:tcPr>
          <w:p>
            <w:pPr>
              <w:spacing w:after="0"/>
              <w:rPr>
                <w:sz w:val="18"/>
                <w:szCs w:val="18"/>
                <w:color w:val="auto"/>
              </w:rPr>
            </w:pPr>
          </w:p>
        </w:tc>
        <w:tc>
          <w:tcPr>
            <w:tcW w:w="9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02/28/2024</w:t>
            </w:r>
          </w:p>
        </w:tc>
        <w:tc>
          <w:tcPr>
            <w:tcW w:w="1200" w:type="dxa"/>
            <w:vAlign w:val="bottom"/>
            <w:tcBorders>
              <w:bottom w:val="single" w:sz="8" w:color="E5E5E5"/>
              <w:right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6,850</w:t>
            </w:r>
          </w:p>
        </w:tc>
        <w:tc>
          <w:tcPr>
            <w:tcW w:w="1040" w:type="dxa"/>
            <w:vAlign w:val="bottom"/>
            <w:tcBorders>
              <w:bottom w:val="single" w:sz="8" w:color="E5E5E5"/>
              <w:right w:val="single" w:sz="8" w:color="auto"/>
            </w:tcBorders>
            <w:shd w:val="clear" w:color="auto" w:fill="E5E5E5"/>
          </w:tcPr>
          <w:p>
            <w:pPr>
              <w:jc w:val="right"/>
              <w:ind w:right="18"/>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E5E5E5"/>
              <w:right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116.40</w:t>
            </w:r>
          </w:p>
        </w:tc>
        <w:tc>
          <w:tcPr>
            <w:tcW w:w="98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02/28/2034</w:t>
            </w:r>
          </w:p>
        </w:tc>
        <w:tc>
          <w:tcPr>
            <w:tcW w:w="780" w:type="dxa"/>
            <w:vAlign w:val="bottom"/>
            <w:tcBorders>
              <w:bottom w:val="single" w:sz="8" w:color="E5E5E5"/>
            </w:tcBorders>
            <w:shd w:val="clear" w:color="auto" w:fill="E5E5E5"/>
          </w:tcPr>
          <w:p>
            <w:pPr>
              <w:spacing w:after="0"/>
              <w:rPr>
                <w:sz w:val="18"/>
                <w:szCs w:val="18"/>
                <w:color w:val="auto"/>
              </w:rPr>
            </w:pPr>
          </w:p>
        </w:tc>
        <w:tc>
          <w:tcPr>
            <w:tcW w:w="420" w:type="dxa"/>
            <w:vAlign w:val="bottom"/>
            <w:tcBorders>
              <w:bottom w:val="single" w:sz="8" w:color="E5E5E5"/>
              <w:right w:val="single" w:sz="8" w:color="auto"/>
            </w:tcBorders>
            <w:shd w:val="clear" w:color="auto" w:fill="E5E5E5"/>
          </w:tcPr>
          <w:p>
            <w:pPr>
              <w:spacing w:after="0"/>
              <w:rPr>
                <w:sz w:val="18"/>
                <w:szCs w:val="18"/>
                <w:color w:val="auto"/>
              </w:rPr>
            </w:pPr>
          </w:p>
        </w:tc>
        <w:tc>
          <w:tcPr>
            <w:tcW w:w="1200" w:type="dxa"/>
            <w:vAlign w:val="bottom"/>
            <w:tcBorders>
              <w:bottom w:val="single" w:sz="8" w:color="E5E5E5"/>
              <w:right w:val="single" w:sz="8" w:color="auto"/>
            </w:tcBorders>
            <w:shd w:val="clear" w:color="auto" w:fill="E5E5E5"/>
          </w:tcPr>
          <w:p>
            <w:pPr>
              <w:spacing w:after="0"/>
              <w:rPr>
                <w:sz w:val="18"/>
                <w:szCs w:val="18"/>
                <w:color w:val="auto"/>
              </w:rPr>
            </w:pPr>
          </w:p>
        </w:tc>
        <w:tc>
          <w:tcPr>
            <w:tcW w:w="660" w:type="dxa"/>
            <w:vAlign w:val="bottom"/>
            <w:tcBorders>
              <w:bottom w:val="single" w:sz="8" w:color="E5E5E5"/>
            </w:tcBorders>
            <w:shd w:val="clear" w:color="auto" w:fill="E5E5E5"/>
          </w:tcPr>
          <w:p>
            <w:pPr>
              <w:spacing w:after="0"/>
              <w:rPr>
                <w:sz w:val="18"/>
                <w:szCs w:val="18"/>
                <w:color w:val="auto"/>
              </w:rPr>
            </w:pPr>
          </w:p>
        </w:tc>
        <w:tc>
          <w:tcPr>
            <w:tcW w:w="420" w:type="dxa"/>
            <w:vAlign w:val="bottom"/>
            <w:tcBorders>
              <w:bottom w:val="single" w:sz="8" w:color="E5E5E5"/>
              <w:right w:val="single" w:sz="8" w:color="auto"/>
            </w:tcBorders>
            <w:shd w:val="clear" w:color="auto" w:fill="E5E5E5"/>
          </w:tcPr>
          <w:p>
            <w:pPr>
              <w:spacing w:after="0"/>
              <w:rPr>
                <w:sz w:val="18"/>
                <w:szCs w:val="18"/>
                <w:color w:val="auto"/>
              </w:rPr>
            </w:pPr>
          </w:p>
        </w:tc>
        <w:tc>
          <w:tcPr>
            <w:tcW w:w="1220" w:type="dxa"/>
            <w:vAlign w:val="bottom"/>
            <w:tcBorders>
              <w:bottom w:val="single" w:sz="8" w:color="E5E5E5"/>
              <w:right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-170815</wp:posOffset>
            </wp:positionV>
            <wp:extent cx="254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-170815</wp:posOffset>
            </wp:positionV>
            <wp:extent cx="260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-170815</wp:posOffset>
            </wp:positionV>
            <wp:extent cx="254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-496570</wp:posOffset>
            </wp:positionV>
            <wp:extent cx="254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-496570</wp:posOffset>
            </wp:positionV>
            <wp:extent cx="254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-659130</wp:posOffset>
            </wp:positionV>
            <wp:extent cx="254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-659130</wp:posOffset>
            </wp:positionV>
            <wp:extent cx="260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-659130</wp:posOffset>
            </wp:positionV>
            <wp:extent cx="254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-985520</wp:posOffset>
            </wp:positionV>
            <wp:extent cx="254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-985520</wp:posOffset>
            </wp:positionV>
            <wp:extent cx="254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-1636395</wp:posOffset>
            </wp:positionV>
            <wp:extent cx="254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-1636395</wp:posOffset>
            </wp:positionV>
            <wp:extent cx="260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-1636395</wp:posOffset>
            </wp:positionV>
            <wp:extent cx="254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-1962150</wp:posOffset>
            </wp:positionV>
            <wp:extent cx="254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-1962150</wp:posOffset>
            </wp:positionV>
            <wp:extent cx="254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-2776855</wp:posOffset>
            </wp:positionV>
            <wp:extent cx="254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-2776855</wp:posOffset>
            </wp:positionV>
            <wp:extent cx="260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-2776855</wp:posOffset>
            </wp:positionV>
            <wp:extent cx="254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-3102610</wp:posOffset>
            </wp:positionV>
            <wp:extent cx="254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-3102610</wp:posOffset>
            </wp:positionV>
            <wp:extent cx="254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-4079875</wp:posOffset>
            </wp:positionV>
            <wp:extent cx="254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-4079875</wp:posOffset>
            </wp:positionV>
            <wp:extent cx="254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685800</wp:posOffset>
            </wp:positionV>
            <wp:extent cx="402590" cy="145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0259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40</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92" w:right="319" w:bottom="1440" w:gutter="0" w:footer="0" w:header="0"/>
        </w:sectPr>
      </w:pPr>
    </w:p>
    <w:bookmarkStart w:id="46" w:name="page47"/>
    <w:bookmarkEnd w:id="46"/>
    <w:p>
      <w:pPr>
        <w:ind w:left="9220"/>
        <w:spacing w:after="0"/>
        <w:rPr>
          <w:sz w:val="20"/>
          <w:szCs w:val="20"/>
          <w:color w:val="auto"/>
        </w:rPr>
      </w:pPr>
      <w:r>
        <w:rPr>
          <w:rFonts w:ascii="Arial" w:cs="Arial" w:eastAsia="Arial" w:hAnsi="Arial"/>
          <w:sz w:val="14"/>
          <w:szCs w:val="14"/>
          <w:color w:val="004C9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1520" w:type="dxa"/>
            <w:vAlign w:val="bottom"/>
            <w:tcBorders>
              <w:top w:val="single" w:sz="8" w:color="auto"/>
              <w:left w:val="single" w:sz="8" w:color="auto"/>
              <w:bottom w:val="single" w:sz="8" w:color="004C97"/>
              <w:right w:val="single" w:sz="8" w:color="auto"/>
            </w:tcBorders>
            <w:shd w:val="clear" w:color="auto" w:fill="004C97"/>
          </w:tcPr>
          <w:p>
            <w:pPr>
              <w:spacing w:after="0"/>
              <w:rPr>
                <w:sz w:val="23"/>
                <w:szCs w:val="23"/>
                <w:color w:val="auto"/>
              </w:rPr>
            </w:pPr>
          </w:p>
        </w:tc>
        <w:tc>
          <w:tcPr>
            <w:tcW w:w="920" w:type="dxa"/>
            <w:vAlign w:val="bottom"/>
            <w:tcBorders>
              <w:top w:val="single" w:sz="8" w:color="auto"/>
              <w:bottom w:val="single" w:sz="8" w:color="004C97"/>
              <w:right w:val="single" w:sz="8" w:color="auto"/>
            </w:tcBorders>
            <w:shd w:val="clear" w:color="auto" w:fill="004C97"/>
          </w:tcPr>
          <w:p>
            <w:pPr>
              <w:spacing w:after="0"/>
              <w:rPr>
                <w:sz w:val="23"/>
                <w:szCs w:val="23"/>
                <w:color w:val="auto"/>
              </w:rPr>
            </w:pPr>
          </w:p>
        </w:tc>
        <w:tc>
          <w:tcPr>
            <w:tcW w:w="1200" w:type="dxa"/>
            <w:vAlign w:val="bottom"/>
            <w:tcBorders>
              <w:top w:val="single" w:sz="8" w:color="auto"/>
              <w:bottom w:val="single" w:sz="8" w:color="004C97"/>
              <w:right w:val="single" w:sz="8" w:color="004C97"/>
            </w:tcBorders>
            <w:shd w:val="clear" w:color="auto" w:fill="004C97"/>
          </w:tcPr>
          <w:p>
            <w:pPr>
              <w:spacing w:after="0"/>
              <w:rPr>
                <w:sz w:val="23"/>
                <w:szCs w:val="23"/>
                <w:color w:val="auto"/>
              </w:rPr>
            </w:pPr>
          </w:p>
        </w:tc>
        <w:tc>
          <w:tcPr>
            <w:tcW w:w="1940" w:type="dxa"/>
            <w:vAlign w:val="bottom"/>
            <w:tcBorders>
              <w:top w:val="single" w:sz="8" w:color="auto"/>
              <w:bottom w:val="single" w:sz="8" w:color="004C97"/>
              <w:right w:val="single" w:sz="8" w:color="004C97"/>
            </w:tcBorders>
            <w:gridSpan w:val="2"/>
            <w:shd w:val="clear" w:color="auto" w:fill="004C97"/>
          </w:tcPr>
          <w:p>
            <w:pPr>
              <w:jc w:val="right"/>
              <w:ind w:right="577"/>
              <w:spacing w:after="0"/>
              <w:rPr>
                <w:sz w:val="20"/>
                <w:szCs w:val="20"/>
                <w:color w:val="auto"/>
              </w:rPr>
            </w:pPr>
            <w:r>
              <w:rPr>
                <w:rFonts w:ascii="Arial" w:cs="Arial" w:eastAsia="Arial" w:hAnsi="Arial"/>
                <w:sz w:val="13"/>
                <w:szCs w:val="13"/>
                <w:b w:val="1"/>
                <w:bCs w:val="1"/>
                <w:color w:val="FFFFFF"/>
              </w:rPr>
              <w:t>Option Awards</w:t>
            </w:r>
          </w:p>
        </w:tc>
        <w:tc>
          <w:tcPr>
            <w:tcW w:w="980" w:type="dxa"/>
            <w:vAlign w:val="bottom"/>
            <w:tcBorders>
              <w:top w:val="single" w:sz="8" w:color="auto"/>
              <w:bottom w:val="single" w:sz="8" w:color="004C97"/>
              <w:right w:val="single" w:sz="8" w:color="auto"/>
            </w:tcBorders>
            <w:shd w:val="clear" w:color="auto" w:fill="004C97"/>
          </w:tcPr>
          <w:p>
            <w:pPr>
              <w:spacing w:after="0"/>
              <w:rPr>
                <w:sz w:val="23"/>
                <w:szCs w:val="23"/>
                <w:color w:val="auto"/>
              </w:rPr>
            </w:pPr>
          </w:p>
        </w:tc>
        <w:tc>
          <w:tcPr>
            <w:tcW w:w="780" w:type="dxa"/>
            <w:vAlign w:val="bottom"/>
            <w:tcBorders>
              <w:top w:val="single" w:sz="8" w:color="auto"/>
              <w:bottom w:val="single" w:sz="8" w:color="004C97"/>
            </w:tcBorders>
            <w:shd w:val="clear" w:color="auto" w:fill="004C97"/>
          </w:tcPr>
          <w:p>
            <w:pPr>
              <w:spacing w:after="0"/>
              <w:rPr>
                <w:sz w:val="23"/>
                <w:szCs w:val="23"/>
                <w:color w:val="auto"/>
              </w:rPr>
            </w:pPr>
          </w:p>
        </w:tc>
        <w:tc>
          <w:tcPr>
            <w:tcW w:w="420" w:type="dxa"/>
            <w:vAlign w:val="bottom"/>
            <w:tcBorders>
              <w:top w:val="single" w:sz="8" w:color="auto"/>
              <w:bottom w:val="single" w:sz="8" w:color="004C97"/>
              <w:right w:val="single" w:sz="8" w:color="004C97"/>
            </w:tcBorders>
            <w:shd w:val="clear" w:color="auto" w:fill="004C97"/>
          </w:tcPr>
          <w:p>
            <w:pPr>
              <w:spacing w:after="0"/>
              <w:rPr>
                <w:sz w:val="23"/>
                <w:szCs w:val="23"/>
                <w:color w:val="auto"/>
              </w:rPr>
            </w:pPr>
          </w:p>
        </w:tc>
        <w:tc>
          <w:tcPr>
            <w:tcW w:w="1860" w:type="dxa"/>
            <w:vAlign w:val="bottom"/>
            <w:tcBorders>
              <w:top w:val="single" w:sz="8" w:color="auto"/>
              <w:bottom w:val="single" w:sz="8" w:color="004C97"/>
            </w:tcBorders>
            <w:gridSpan w:val="2"/>
            <w:shd w:val="clear" w:color="auto" w:fill="004C97"/>
          </w:tcPr>
          <w:p>
            <w:pPr>
              <w:jc w:val="right"/>
              <w:ind w:right="237"/>
              <w:spacing w:after="0"/>
              <w:rPr>
                <w:sz w:val="20"/>
                <w:szCs w:val="20"/>
                <w:color w:val="auto"/>
              </w:rPr>
            </w:pPr>
            <w:r>
              <w:rPr>
                <w:rFonts w:ascii="Arial" w:cs="Arial" w:eastAsia="Arial" w:hAnsi="Arial"/>
                <w:sz w:val="13"/>
                <w:szCs w:val="13"/>
                <w:b w:val="1"/>
                <w:bCs w:val="1"/>
                <w:color w:val="FFFFFF"/>
              </w:rPr>
              <w:t>Stock Awards</w:t>
            </w:r>
          </w:p>
        </w:tc>
        <w:tc>
          <w:tcPr>
            <w:tcW w:w="420" w:type="dxa"/>
            <w:vAlign w:val="bottom"/>
            <w:tcBorders>
              <w:top w:val="single" w:sz="8" w:color="auto"/>
              <w:bottom w:val="single" w:sz="8" w:color="004C97"/>
              <w:right w:val="single" w:sz="8" w:color="004C97"/>
            </w:tcBorders>
            <w:shd w:val="clear" w:color="auto" w:fill="004C97"/>
          </w:tcPr>
          <w:p>
            <w:pPr>
              <w:spacing w:after="0"/>
              <w:rPr>
                <w:sz w:val="23"/>
                <w:szCs w:val="23"/>
                <w:color w:val="auto"/>
              </w:rPr>
            </w:pPr>
          </w:p>
        </w:tc>
        <w:tc>
          <w:tcPr>
            <w:tcW w:w="1220" w:type="dxa"/>
            <w:vAlign w:val="bottom"/>
            <w:tcBorders>
              <w:top w:val="single" w:sz="8" w:color="auto"/>
              <w:bottom w:val="single" w:sz="8" w:color="004C97"/>
              <w:right w:val="single" w:sz="8" w:color="auto"/>
            </w:tcBorders>
            <w:shd w:val="clear" w:color="auto" w:fill="004C97"/>
          </w:tcPr>
          <w:p>
            <w:pPr>
              <w:spacing w:after="0"/>
              <w:rPr>
                <w:sz w:val="23"/>
                <w:szCs w:val="23"/>
                <w:color w:val="auto"/>
              </w:rPr>
            </w:pPr>
          </w:p>
        </w:tc>
        <w:tc>
          <w:tcPr>
            <w:tcW w:w="0" w:type="dxa"/>
            <w:vAlign w:val="bottom"/>
          </w:tcPr>
          <w:p>
            <w:pPr>
              <w:spacing w:after="0"/>
              <w:rPr>
                <w:sz w:val="1"/>
                <w:szCs w:val="1"/>
                <w:color w:val="auto"/>
              </w:rPr>
            </w:pPr>
          </w:p>
        </w:tc>
      </w:tr>
      <w:tr>
        <w:trPr>
          <w:trHeight w:val="597"/>
        </w:trPr>
        <w:tc>
          <w:tcPr>
            <w:tcW w:w="1520" w:type="dxa"/>
            <w:vAlign w:val="bottom"/>
            <w:tcBorders>
              <w:top w:val="single" w:sz="8" w:color="004C97"/>
              <w:left w:val="single" w:sz="8" w:color="auto"/>
              <w:right w:val="single" w:sz="8" w:color="auto"/>
            </w:tcBorders>
            <w:shd w:val="clear" w:color="auto" w:fill="004C97"/>
          </w:tcPr>
          <w:p>
            <w:pPr>
              <w:spacing w:after="0"/>
              <w:rPr>
                <w:sz w:val="24"/>
                <w:szCs w:val="24"/>
                <w:color w:val="auto"/>
              </w:rPr>
            </w:pPr>
          </w:p>
        </w:tc>
        <w:tc>
          <w:tcPr>
            <w:tcW w:w="920" w:type="dxa"/>
            <w:vAlign w:val="bottom"/>
            <w:tcBorders>
              <w:top w:val="single" w:sz="8" w:color="004C97"/>
              <w:right w:val="single" w:sz="8" w:color="auto"/>
            </w:tcBorders>
            <w:shd w:val="clear" w:color="auto" w:fill="004C97"/>
          </w:tcPr>
          <w:p>
            <w:pPr>
              <w:spacing w:after="0"/>
              <w:rPr>
                <w:sz w:val="24"/>
                <w:szCs w:val="24"/>
                <w:color w:val="auto"/>
              </w:rPr>
            </w:pPr>
          </w:p>
        </w:tc>
        <w:tc>
          <w:tcPr>
            <w:tcW w:w="1200" w:type="dxa"/>
            <w:vAlign w:val="bottom"/>
            <w:tcBorders>
              <w:top w:val="single" w:sz="8" w:color="auto"/>
              <w:right w:val="single" w:sz="8" w:color="auto"/>
            </w:tcBorders>
            <w:shd w:val="clear" w:color="auto" w:fill="004C97"/>
          </w:tcPr>
          <w:p>
            <w:pPr>
              <w:spacing w:after="0"/>
              <w:rPr>
                <w:sz w:val="24"/>
                <w:szCs w:val="24"/>
                <w:color w:val="auto"/>
              </w:rPr>
            </w:pPr>
          </w:p>
        </w:tc>
        <w:tc>
          <w:tcPr>
            <w:tcW w:w="1040" w:type="dxa"/>
            <w:vAlign w:val="bottom"/>
            <w:tcBorders>
              <w:top w:val="single" w:sz="8" w:color="auto"/>
              <w:right w:val="single" w:sz="8" w:color="auto"/>
            </w:tcBorders>
            <w:shd w:val="clear" w:color="auto" w:fill="004C97"/>
          </w:tcPr>
          <w:p>
            <w:pPr>
              <w:spacing w:after="0"/>
              <w:rPr>
                <w:sz w:val="24"/>
                <w:szCs w:val="24"/>
                <w:color w:val="auto"/>
              </w:rPr>
            </w:pPr>
          </w:p>
        </w:tc>
        <w:tc>
          <w:tcPr>
            <w:tcW w:w="900" w:type="dxa"/>
            <w:vAlign w:val="bottom"/>
            <w:tcBorders>
              <w:top w:val="single" w:sz="8" w:color="auto"/>
              <w:right w:val="single" w:sz="8" w:color="auto"/>
            </w:tcBorders>
            <w:shd w:val="clear" w:color="auto" w:fill="004C97"/>
          </w:tcPr>
          <w:p>
            <w:pPr>
              <w:spacing w:after="0"/>
              <w:rPr>
                <w:sz w:val="24"/>
                <w:szCs w:val="24"/>
                <w:color w:val="auto"/>
              </w:rPr>
            </w:pPr>
          </w:p>
        </w:tc>
        <w:tc>
          <w:tcPr>
            <w:tcW w:w="980" w:type="dxa"/>
            <w:vAlign w:val="bottom"/>
            <w:tcBorders>
              <w:top w:val="single" w:sz="8" w:color="auto"/>
              <w:right w:val="single" w:sz="8" w:color="auto"/>
            </w:tcBorders>
            <w:shd w:val="clear" w:color="auto" w:fill="004C97"/>
          </w:tcPr>
          <w:p>
            <w:pPr>
              <w:spacing w:after="0"/>
              <w:rPr>
                <w:sz w:val="24"/>
                <w:szCs w:val="24"/>
                <w:color w:val="auto"/>
              </w:rPr>
            </w:pPr>
          </w:p>
        </w:tc>
        <w:tc>
          <w:tcPr>
            <w:tcW w:w="780" w:type="dxa"/>
            <w:vAlign w:val="bottom"/>
            <w:tcBorders>
              <w:top w:val="single" w:sz="8" w:color="auto"/>
            </w:tcBorders>
            <w:shd w:val="clear" w:color="auto" w:fill="004C97"/>
          </w:tcPr>
          <w:p>
            <w:pPr>
              <w:spacing w:after="0"/>
              <w:rPr>
                <w:sz w:val="24"/>
                <w:szCs w:val="24"/>
                <w:color w:val="auto"/>
              </w:rPr>
            </w:pPr>
          </w:p>
        </w:tc>
        <w:tc>
          <w:tcPr>
            <w:tcW w:w="420" w:type="dxa"/>
            <w:vAlign w:val="bottom"/>
            <w:tcBorders>
              <w:top w:val="single" w:sz="8" w:color="auto"/>
              <w:right w:val="single" w:sz="8" w:color="auto"/>
            </w:tcBorders>
            <w:shd w:val="clear" w:color="auto" w:fill="004C97"/>
          </w:tcPr>
          <w:p>
            <w:pPr>
              <w:spacing w:after="0"/>
              <w:rPr>
                <w:sz w:val="24"/>
                <w:szCs w:val="24"/>
                <w:color w:val="auto"/>
              </w:rPr>
            </w:pPr>
          </w:p>
        </w:tc>
        <w:tc>
          <w:tcPr>
            <w:tcW w:w="1200" w:type="dxa"/>
            <w:vAlign w:val="bottom"/>
            <w:tcBorders>
              <w:top w:val="single" w:sz="8" w:color="auto"/>
              <w:right w:val="single" w:sz="8" w:color="auto"/>
            </w:tcBorders>
            <w:shd w:val="clear" w:color="auto" w:fill="004C97"/>
          </w:tcPr>
          <w:p>
            <w:pPr>
              <w:spacing w:after="0"/>
              <w:rPr>
                <w:sz w:val="24"/>
                <w:szCs w:val="24"/>
                <w:color w:val="auto"/>
              </w:rPr>
            </w:pPr>
          </w:p>
        </w:tc>
        <w:tc>
          <w:tcPr>
            <w:tcW w:w="660" w:type="dxa"/>
            <w:vAlign w:val="bottom"/>
            <w:tcBorders>
              <w:top w:val="single" w:sz="8" w:color="auto"/>
            </w:tcBorders>
            <w:shd w:val="clear" w:color="auto" w:fill="004C97"/>
          </w:tcPr>
          <w:p>
            <w:pPr>
              <w:spacing w:after="0"/>
              <w:rPr>
                <w:sz w:val="24"/>
                <w:szCs w:val="24"/>
                <w:color w:val="auto"/>
              </w:rPr>
            </w:pPr>
          </w:p>
        </w:tc>
        <w:tc>
          <w:tcPr>
            <w:tcW w:w="420" w:type="dxa"/>
            <w:vAlign w:val="bottom"/>
            <w:tcBorders>
              <w:top w:val="single" w:sz="8" w:color="auto"/>
              <w:right w:val="single" w:sz="8" w:color="auto"/>
            </w:tcBorders>
            <w:shd w:val="clear" w:color="auto" w:fill="004C97"/>
          </w:tcPr>
          <w:p>
            <w:pPr>
              <w:spacing w:after="0"/>
              <w:rPr>
                <w:sz w:val="24"/>
                <w:szCs w:val="24"/>
                <w:color w:val="auto"/>
              </w:rPr>
            </w:pPr>
          </w:p>
        </w:tc>
        <w:tc>
          <w:tcPr>
            <w:tcW w:w="122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shd w:val="clear" w:color="auto" w:fill="004C97"/>
          </w:tcPr>
          <w:p>
            <w:pPr>
              <w:spacing w:after="0"/>
              <w:rPr>
                <w:sz w:val="12"/>
                <w:szCs w:val="12"/>
                <w:color w:val="auto"/>
              </w:rPr>
            </w:pPr>
          </w:p>
        </w:tc>
        <w:tc>
          <w:tcPr>
            <w:tcW w:w="920" w:type="dxa"/>
            <w:vAlign w:val="bottom"/>
            <w:tcBorders>
              <w:right w:val="single" w:sz="8" w:color="auto"/>
            </w:tcBorders>
            <w:shd w:val="clear" w:color="auto" w:fill="004C97"/>
          </w:tcPr>
          <w:p>
            <w:pPr>
              <w:spacing w:after="0"/>
              <w:rPr>
                <w:sz w:val="12"/>
                <w:szCs w:val="12"/>
                <w:color w:val="auto"/>
              </w:rPr>
            </w:pPr>
          </w:p>
        </w:tc>
        <w:tc>
          <w:tcPr>
            <w:tcW w:w="1200" w:type="dxa"/>
            <w:vAlign w:val="bottom"/>
            <w:tcBorders>
              <w:right w:val="single" w:sz="8" w:color="auto"/>
            </w:tcBorders>
            <w:shd w:val="clear" w:color="auto" w:fill="004C97"/>
          </w:tcPr>
          <w:p>
            <w:pPr>
              <w:spacing w:after="0"/>
              <w:rPr>
                <w:sz w:val="12"/>
                <w:szCs w:val="12"/>
                <w:color w:val="auto"/>
              </w:rPr>
            </w:pPr>
          </w:p>
        </w:tc>
        <w:tc>
          <w:tcPr>
            <w:tcW w:w="1040" w:type="dxa"/>
            <w:vAlign w:val="bottom"/>
            <w:tcBorders>
              <w:right w:val="single" w:sz="8" w:color="auto"/>
            </w:tcBorders>
            <w:shd w:val="clear" w:color="auto" w:fill="004C97"/>
          </w:tcPr>
          <w:p>
            <w:pPr>
              <w:spacing w:after="0"/>
              <w:rPr>
                <w:sz w:val="12"/>
                <w:szCs w:val="12"/>
                <w:color w:val="auto"/>
              </w:rPr>
            </w:pPr>
          </w:p>
        </w:tc>
        <w:tc>
          <w:tcPr>
            <w:tcW w:w="900" w:type="dxa"/>
            <w:vAlign w:val="bottom"/>
            <w:tcBorders>
              <w:right w:val="single" w:sz="8" w:color="auto"/>
            </w:tcBorders>
            <w:shd w:val="clear" w:color="auto" w:fill="004C97"/>
          </w:tcPr>
          <w:p>
            <w:pPr>
              <w:spacing w:after="0"/>
              <w:rPr>
                <w:sz w:val="12"/>
                <w:szCs w:val="12"/>
                <w:color w:val="auto"/>
              </w:rPr>
            </w:pPr>
          </w:p>
        </w:tc>
        <w:tc>
          <w:tcPr>
            <w:tcW w:w="980" w:type="dxa"/>
            <w:vAlign w:val="bottom"/>
            <w:tcBorders>
              <w:right w:val="single" w:sz="8" w:color="auto"/>
            </w:tcBorders>
            <w:shd w:val="clear" w:color="auto" w:fill="004C97"/>
          </w:tcPr>
          <w:p>
            <w:pPr>
              <w:spacing w:after="0"/>
              <w:rPr>
                <w:sz w:val="12"/>
                <w:szCs w:val="12"/>
                <w:color w:val="auto"/>
              </w:rPr>
            </w:pPr>
          </w:p>
        </w:tc>
        <w:tc>
          <w:tcPr>
            <w:tcW w:w="780" w:type="dxa"/>
            <w:vAlign w:val="bottom"/>
            <w:shd w:val="clear" w:color="auto" w:fill="004C97"/>
          </w:tcPr>
          <w:p>
            <w:pPr>
              <w:spacing w:after="0"/>
              <w:rPr>
                <w:sz w:val="12"/>
                <w:szCs w:val="12"/>
                <w:color w:val="auto"/>
              </w:rPr>
            </w:pPr>
          </w:p>
        </w:tc>
        <w:tc>
          <w:tcPr>
            <w:tcW w:w="420" w:type="dxa"/>
            <w:vAlign w:val="bottom"/>
            <w:tcBorders>
              <w:right w:val="single" w:sz="8" w:color="auto"/>
            </w:tcBorders>
            <w:shd w:val="clear" w:color="auto" w:fill="004C97"/>
          </w:tcPr>
          <w:p>
            <w:pPr>
              <w:spacing w:after="0"/>
              <w:rPr>
                <w:sz w:val="12"/>
                <w:szCs w:val="12"/>
                <w:color w:val="auto"/>
              </w:rPr>
            </w:pPr>
          </w:p>
        </w:tc>
        <w:tc>
          <w:tcPr>
            <w:tcW w:w="1200" w:type="dxa"/>
            <w:vAlign w:val="bottom"/>
            <w:tcBorders>
              <w:right w:val="single" w:sz="8" w:color="auto"/>
            </w:tcBorders>
            <w:shd w:val="clear" w:color="auto" w:fill="004C97"/>
          </w:tcPr>
          <w:p>
            <w:pPr>
              <w:spacing w:after="0"/>
              <w:rPr>
                <w:sz w:val="12"/>
                <w:szCs w:val="12"/>
                <w:color w:val="auto"/>
              </w:rPr>
            </w:pPr>
          </w:p>
        </w:tc>
        <w:tc>
          <w:tcPr>
            <w:tcW w:w="1080" w:type="dxa"/>
            <w:vAlign w:val="bottom"/>
            <w:tcBorders>
              <w:right w:val="single" w:sz="8" w:color="auto"/>
            </w:tcBorders>
            <w:gridSpan w:val="2"/>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Equity</w:t>
            </w:r>
          </w:p>
        </w:tc>
        <w:tc>
          <w:tcPr>
            <w:tcW w:w="122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6"/>
              </w:rPr>
              <w:t>Incentive Plan</w:t>
            </w: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shd w:val="clear" w:color="auto" w:fill="004C97"/>
          </w:tcPr>
          <w:p>
            <w:pPr>
              <w:spacing w:after="0"/>
              <w:rPr>
                <w:sz w:val="12"/>
                <w:szCs w:val="12"/>
                <w:color w:val="auto"/>
              </w:rPr>
            </w:pPr>
          </w:p>
        </w:tc>
        <w:tc>
          <w:tcPr>
            <w:tcW w:w="920" w:type="dxa"/>
            <w:vAlign w:val="bottom"/>
            <w:tcBorders>
              <w:right w:val="single" w:sz="8" w:color="auto"/>
            </w:tcBorders>
            <w:shd w:val="clear" w:color="auto" w:fill="004C97"/>
          </w:tcPr>
          <w:p>
            <w:pPr>
              <w:spacing w:after="0"/>
              <w:rPr>
                <w:sz w:val="12"/>
                <w:szCs w:val="12"/>
                <w:color w:val="auto"/>
              </w:rPr>
            </w:pPr>
          </w:p>
        </w:tc>
        <w:tc>
          <w:tcPr>
            <w:tcW w:w="1200" w:type="dxa"/>
            <w:vAlign w:val="bottom"/>
            <w:tcBorders>
              <w:right w:val="single" w:sz="8" w:color="auto"/>
            </w:tcBorders>
            <w:shd w:val="clear" w:color="auto" w:fill="004C97"/>
          </w:tcPr>
          <w:p>
            <w:pPr>
              <w:spacing w:after="0"/>
              <w:rPr>
                <w:sz w:val="12"/>
                <w:szCs w:val="12"/>
                <w:color w:val="auto"/>
              </w:rPr>
            </w:pPr>
          </w:p>
        </w:tc>
        <w:tc>
          <w:tcPr>
            <w:tcW w:w="1040" w:type="dxa"/>
            <w:vAlign w:val="bottom"/>
            <w:tcBorders>
              <w:right w:val="single" w:sz="8" w:color="auto"/>
            </w:tcBorders>
            <w:shd w:val="clear" w:color="auto" w:fill="004C97"/>
          </w:tcPr>
          <w:p>
            <w:pPr>
              <w:spacing w:after="0"/>
              <w:rPr>
                <w:sz w:val="12"/>
                <w:szCs w:val="12"/>
                <w:color w:val="auto"/>
              </w:rPr>
            </w:pPr>
          </w:p>
        </w:tc>
        <w:tc>
          <w:tcPr>
            <w:tcW w:w="900" w:type="dxa"/>
            <w:vAlign w:val="bottom"/>
            <w:tcBorders>
              <w:right w:val="single" w:sz="8" w:color="auto"/>
            </w:tcBorders>
            <w:shd w:val="clear" w:color="auto" w:fill="004C97"/>
          </w:tcPr>
          <w:p>
            <w:pPr>
              <w:spacing w:after="0"/>
              <w:rPr>
                <w:sz w:val="12"/>
                <w:szCs w:val="12"/>
                <w:color w:val="auto"/>
              </w:rPr>
            </w:pPr>
          </w:p>
        </w:tc>
        <w:tc>
          <w:tcPr>
            <w:tcW w:w="980" w:type="dxa"/>
            <w:vAlign w:val="bottom"/>
            <w:tcBorders>
              <w:right w:val="single" w:sz="8" w:color="auto"/>
            </w:tcBorders>
            <w:shd w:val="clear" w:color="auto" w:fill="004C97"/>
          </w:tcPr>
          <w:p>
            <w:pPr>
              <w:spacing w:after="0"/>
              <w:rPr>
                <w:sz w:val="12"/>
                <w:szCs w:val="12"/>
                <w:color w:val="auto"/>
              </w:rPr>
            </w:pPr>
          </w:p>
        </w:tc>
        <w:tc>
          <w:tcPr>
            <w:tcW w:w="780" w:type="dxa"/>
            <w:vAlign w:val="bottom"/>
            <w:shd w:val="clear" w:color="auto" w:fill="004C97"/>
          </w:tcPr>
          <w:p>
            <w:pPr>
              <w:spacing w:after="0"/>
              <w:rPr>
                <w:sz w:val="12"/>
                <w:szCs w:val="12"/>
                <w:color w:val="auto"/>
              </w:rPr>
            </w:pPr>
          </w:p>
        </w:tc>
        <w:tc>
          <w:tcPr>
            <w:tcW w:w="420" w:type="dxa"/>
            <w:vAlign w:val="bottom"/>
            <w:tcBorders>
              <w:right w:val="single" w:sz="8" w:color="auto"/>
            </w:tcBorders>
            <w:shd w:val="clear" w:color="auto" w:fill="004C97"/>
          </w:tcPr>
          <w:p>
            <w:pPr>
              <w:spacing w:after="0"/>
              <w:rPr>
                <w:sz w:val="12"/>
                <w:szCs w:val="12"/>
                <w:color w:val="auto"/>
              </w:rPr>
            </w:pPr>
          </w:p>
        </w:tc>
        <w:tc>
          <w:tcPr>
            <w:tcW w:w="1200" w:type="dxa"/>
            <w:vAlign w:val="bottom"/>
            <w:tcBorders>
              <w:right w:val="single" w:sz="8" w:color="auto"/>
            </w:tcBorders>
            <w:shd w:val="clear" w:color="auto" w:fill="004C97"/>
          </w:tcPr>
          <w:p>
            <w:pPr>
              <w:spacing w:after="0"/>
              <w:rPr>
                <w:sz w:val="12"/>
                <w:szCs w:val="12"/>
                <w:color w:val="auto"/>
              </w:rPr>
            </w:pPr>
          </w:p>
        </w:tc>
        <w:tc>
          <w:tcPr>
            <w:tcW w:w="1080" w:type="dxa"/>
            <w:vAlign w:val="bottom"/>
            <w:tcBorders>
              <w:right w:val="single" w:sz="8" w:color="auto"/>
            </w:tcBorders>
            <w:gridSpan w:val="2"/>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Incentive</w:t>
            </w:r>
          </w:p>
        </w:tc>
        <w:tc>
          <w:tcPr>
            <w:tcW w:w="122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3"/>
              </w:rPr>
              <w:t>Awards:</w:t>
            </w: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shd w:val="clear" w:color="auto" w:fill="004C97"/>
          </w:tcPr>
          <w:p>
            <w:pPr>
              <w:spacing w:after="0"/>
              <w:rPr>
                <w:sz w:val="12"/>
                <w:szCs w:val="12"/>
                <w:color w:val="auto"/>
              </w:rPr>
            </w:pPr>
          </w:p>
        </w:tc>
        <w:tc>
          <w:tcPr>
            <w:tcW w:w="920" w:type="dxa"/>
            <w:vAlign w:val="bottom"/>
            <w:tcBorders>
              <w:right w:val="single" w:sz="8" w:color="auto"/>
            </w:tcBorders>
            <w:shd w:val="clear" w:color="auto" w:fill="004C97"/>
          </w:tcPr>
          <w:p>
            <w:pPr>
              <w:spacing w:after="0"/>
              <w:rPr>
                <w:sz w:val="12"/>
                <w:szCs w:val="12"/>
                <w:color w:val="auto"/>
              </w:rPr>
            </w:pPr>
          </w:p>
        </w:tc>
        <w:tc>
          <w:tcPr>
            <w:tcW w:w="1200" w:type="dxa"/>
            <w:vAlign w:val="bottom"/>
            <w:tcBorders>
              <w:right w:val="single" w:sz="8" w:color="auto"/>
            </w:tcBorders>
            <w:shd w:val="clear" w:color="auto" w:fill="004C97"/>
          </w:tcPr>
          <w:p>
            <w:pPr>
              <w:spacing w:after="0"/>
              <w:rPr>
                <w:sz w:val="12"/>
                <w:szCs w:val="12"/>
                <w:color w:val="auto"/>
              </w:rPr>
            </w:pPr>
          </w:p>
        </w:tc>
        <w:tc>
          <w:tcPr>
            <w:tcW w:w="1040" w:type="dxa"/>
            <w:vAlign w:val="bottom"/>
            <w:tcBorders>
              <w:right w:val="single" w:sz="8" w:color="auto"/>
            </w:tcBorders>
            <w:shd w:val="clear" w:color="auto" w:fill="004C97"/>
          </w:tcPr>
          <w:p>
            <w:pPr>
              <w:spacing w:after="0"/>
              <w:rPr>
                <w:sz w:val="12"/>
                <w:szCs w:val="12"/>
                <w:color w:val="auto"/>
              </w:rPr>
            </w:pPr>
          </w:p>
        </w:tc>
        <w:tc>
          <w:tcPr>
            <w:tcW w:w="900" w:type="dxa"/>
            <w:vAlign w:val="bottom"/>
            <w:tcBorders>
              <w:right w:val="single" w:sz="8" w:color="auto"/>
            </w:tcBorders>
            <w:shd w:val="clear" w:color="auto" w:fill="004C97"/>
          </w:tcPr>
          <w:p>
            <w:pPr>
              <w:spacing w:after="0"/>
              <w:rPr>
                <w:sz w:val="12"/>
                <w:szCs w:val="12"/>
                <w:color w:val="auto"/>
              </w:rPr>
            </w:pPr>
          </w:p>
        </w:tc>
        <w:tc>
          <w:tcPr>
            <w:tcW w:w="980" w:type="dxa"/>
            <w:vAlign w:val="bottom"/>
            <w:tcBorders>
              <w:right w:val="single" w:sz="8" w:color="auto"/>
            </w:tcBorders>
            <w:shd w:val="clear" w:color="auto" w:fill="004C97"/>
          </w:tcPr>
          <w:p>
            <w:pPr>
              <w:spacing w:after="0"/>
              <w:rPr>
                <w:sz w:val="12"/>
                <w:szCs w:val="12"/>
                <w:color w:val="auto"/>
              </w:rPr>
            </w:pPr>
          </w:p>
        </w:tc>
        <w:tc>
          <w:tcPr>
            <w:tcW w:w="780" w:type="dxa"/>
            <w:vAlign w:val="bottom"/>
            <w:shd w:val="clear" w:color="auto" w:fill="004C97"/>
          </w:tcPr>
          <w:p>
            <w:pPr>
              <w:spacing w:after="0"/>
              <w:rPr>
                <w:sz w:val="12"/>
                <w:szCs w:val="12"/>
                <w:color w:val="auto"/>
              </w:rPr>
            </w:pPr>
          </w:p>
        </w:tc>
        <w:tc>
          <w:tcPr>
            <w:tcW w:w="420" w:type="dxa"/>
            <w:vAlign w:val="bottom"/>
            <w:tcBorders>
              <w:right w:val="single" w:sz="8" w:color="auto"/>
            </w:tcBorders>
            <w:shd w:val="clear" w:color="auto" w:fill="004C97"/>
          </w:tcPr>
          <w:p>
            <w:pPr>
              <w:spacing w:after="0"/>
              <w:rPr>
                <w:sz w:val="12"/>
                <w:szCs w:val="12"/>
                <w:color w:val="auto"/>
              </w:rPr>
            </w:pPr>
          </w:p>
        </w:tc>
        <w:tc>
          <w:tcPr>
            <w:tcW w:w="12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Market or</w:t>
            </w:r>
          </w:p>
        </w:tc>
        <w:tc>
          <w:tcPr>
            <w:tcW w:w="1080" w:type="dxa"/>
            <w:vAlign w:val="bottom"/>
            <w:tcBorders>
              <w:right w:val="single" w:sz="8" w:color="auto"/>
            </w:tcBorders>
            <w:gridSpan w:val="2"/>
            <w:shd w:val="clear" w:color="auto" w:fill="004C97"/>
          </w:tcPr>
          <w:p>
            <w:pPr>
              <w:jc w:val="center"/>
              <w:spacing w:after="0"/>
              <w:rPr>
                <w:sz w:val="20"/>
                <w:szCs w:val="20"/>
                <w:color w:val="auto"/>
              </w:rPr>
            </w:pPr>
            <w:r>
              <w:rPr>
                <w:rFonts w:ascii="Arial" w:cs="Arial" w:eastAsia="Arial" w:hAnsi="Arial"/>
                <w:sz w:val="13"/>
                <w:szCs w:val="13"/>
                <w:b w:val="1"/>
                <w:bCs w:val="1"/>
                <w:color w:val="FFFFFF"/>
                <w:w w:val="97"/>
              </w:rPr>
              <w:t>Plan Awards:</w:t>
            </w:r>
          </w:p>
        </w:tc>
        <w:tc>
          <w:tcPr>
            <w:tcW w:w="122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Market or</w:t>
            </w:r>
          </w:p>
        </w:tc>
        <w:tc>
          <w:tcPr>
            <w:tcW w:w="0" w:type="dxa"/>
            <w:vAlign w:val="bottom"/>
          </w:tcPr>
          <w:p>
            <w:pPr>
              <w:spacing w:after="0"/>
              <w:rPr>
                <w:sz w:val="1"/>
                <w:szCs w:val="1"/>
                <w:color w:val="auto"/>
              </w:rPr>
            </w:pPr>
          </w:p>
        </w:tc>
      </w:tr>
      <w:tr>
        <w:trPr>
          <w:trHeight w:val="148"/>
        </w:trPr>
        <w:tc>
          <w:tcPr>
            <w:tcW w:w="1520" w:type="dxa"/>
            <w:vAlign w:val="bottom"/>
            <w:tcBorders>
              <w:left w:val="single" w:sz="8" w:color="auto"/>
              <w:right w:val="single" w:sz="8" w:color="auto"/>
            </w:tcBorders>
            <w:shd w:val="clear" w:color="auto" w:fill="004C97"/>
          </w:tcPr>
          <w:p>
            <w:pPr>
              <w:spacing w:after="0"/>
              <w:rPr>
                <w:sz w:val="12"/>
                <w:szCs w:val="12"/>
                <w:color w:val="auto"/>
              </w:rPr>
            </w:pPr>
          </w:p>
        </w:tc>
        <w:tc>
          <w:tcPr>
            <w:tcW w:w="920" w:type="dxa"/>
            <w:vAlign w:val="bottom"/>
            <w:tcBorders>
              <w:right w:val="single" w:sz="8" w:color="auto"/>
            </w:tcBorders>
            <w:shd w:val="clear" w:color="auto" w:fill="004C97"/>
          </w:tcPr>
          <w:p>
            <w:pPr>
              <w:spacing w:after="0"/>
              <w:rPr>
                <w:sz w:val="12"/>
                <w:szCs w:val="12"/>
                <w:color w:val="auto"/>
              </w:rPr>
            </w:pPr>
          </w:p>
        </w:tc>
        <w:tc>
          <w:tcPr>
            <w:tcW w:w="1200" w:type="dxa"/>
            <w:vAlign w:val="bottom"/>
            <w:tcBorders>
              <w:right w:val="single" w:sz="8" w:color="auto"/>
            </w:tcBorders>
            <w:shd w:val="clear" w:color="auto" w:fill="004C97"/>
          </w:tcPr>
          <w:p>
            <w:pPr>
              <w:spacing w:after="0"/>
              <w:rPr>
                <w:sz w:val="12"/>
                <w:szCs w:val="12"/>
                <w:color w:val="auto"/>
              </w:rPr>
            </w:pPr>
          </w:p>
        </w:tc>
        <w:tc>
          <w:tcPr>
            <w:tcW w:w="1040" w:type="dxa"/>
            <w:vAlign w:val="bottom"/>
            <w:tcBorders>
              <w:right w:val="single" w:sz="8" w:color="auto"/>
            </w:tcBorders>
            <w:shd w:val="clear" w:color="auto" w:fill="004C97"/>
          </w:tcPr>
          <w:p>
            <w:pPr>
              <w:spacing w:after="0"/>
              <w:rPr>
                <w:sz w:val="12"/>
                <w:szCs w:val="12"/>
                <w:color w:val="auto"/>
              </w:rPr>
            </w:pPr>
          </w:p>
        </w:tc>
        <w:tc>
          <w:tcPr>
            <w:tcW w:w="900" w:type="dxa"/>
            <w:vAlign w:val="bottom"/>
            <w:tcBorders>
              <w:right w:val="single" w:sz="8" w:color="auto"/>
            </w:tcBorders>
            <w:shd w:val="clear" w:color="auto" w:fill="004C97"/>
          </w:tcPr>
          <w:p>
            <w:pPr>
              <w:spacing w:after="0"/>
              <w:rPr>
                <w:sz w:val="12"/>
                <w:szCs w:val="12"/>
                <w:color w:val="auto"/>
              </w:rPr>
            </w:pPr>
          </w:p>
        </w:tc>
        <w:tc>
          <w:tcPr>
            <w:tcW w:w="980" w:type="dxa"/>
            <w:vAlign w:val="bottom"/>
            <w:tcBorders>
              <w:right w:val="single" w:sz="8" w:color="auto"/>
            </w:tcBorders>
            <w:shd w:val="clear" w:color="auto" w:fill="004C97"/>
          </w:tcPr>
          <w:p>
            <w:pPr>
              <w:spacing w:after="0"/>
              <w:rPr>
                <w:sz w:val="12"/>
                <w:szCs w:val="12"/>
                <w:color w:val="auto"/>
              </w:rPr>
            </w:pPr>
          </w:p>
        </w:tc>
        <w:tc>
          <w:tcPr>
            <w:tcW w:w="780" w:type="dxa"/>
            <w:vAlign w:val="bottom"/>
            <w:shd w:val="clear" w:color="auto" w:fill="004C97"/>
          </w:tcPr>
          <w:p>
            <w:pPr>
              <w:spacing w:after="0"/>
              <w:rPr>
                <w:sz w:val="12"/>
                <w:szCs w:val="12"/>
                <w:color w:val="auto"/>
              </w:rPr>
            </w:pPr>
          </w:p>
        </w:tc>
        <w:tc>
          <w:tcPr>
            <w:tcW w:w="420" w:type="dxa"/>
            <w:vAlign w:val="bottom"/>
            <w:tcBorders>
              <w:right w:val="single" w:sz="8" w:color="auto"/>
            </w:tcBorders>
            <w:shd w:val="clear" w:color="auto" w:fill="004C97"/>
          </w:tcPr>
          <w:p>
            <w:pPr>
              <w:spacing w:after="0"/>
              <w:rPr>
                <w:sz w:val="12"/>
                <w:szCs w:val="12"/>
                <w:color w:val="auto"/>
              </w:rPr>
            </w:pPr>
          </w:p>
        </w:tc>
        <w:tc>
          <w:tcPr>
            <w:tcW w:w="12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Payout Value</w:t>
            </w:r>
          </w:p>
        </w:tc>
        <w:tc>
          <w:tcPr>
            <w:tcW w:w="1080" w:type="dxa"/>
            <w:vAlign w:val="bottom"/>
            <w:tcBorders>
              <w:right w:val="single" w:sz="8" w:color="auto"/>
            </w:tcBorders>
            <w:gridSpan w:val="2"/>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22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7"/>
              </w:rPr>
              <w:t>Payout Value</w:t>
            </w: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right w:val="single" w:sz="8" w:color="auto"/>
            </w:tcBorders>
            <w:shd w:val="clear" w:color="auto" w:fill="004C97"/>
          </w:tcPr>
          <w:p>
            <w:pPr>
              <w:spacing w:after="0"/>
              <w:rPr>
                <w:sz w:val="14"/>
                <w:szCs w:val="14"/>
                <w:color w:val="auto"/>
              </w:rPr>
            </w:pPr>
          </w:p>
        </w:tc>
        <w:tc>
          <w:tcPr>
            <w:tcW w:w="920" w:type="dxa"/>
            <w:vAlign w:val="bottom"/>
            <w:tcBorders>
              <w:right w:val="single" w:sz="8" w:color="auto"/>
            </w:tcBorders>
            <w:shd w:val="clear" w:color="auto" w:fill="004C97"/>
          </w:tcPr>
          <w:p>
            <w:pPr>
              <w:spacing w:after="0"/>
              <w:rPr>
                <w:sz w:val="14"/>
                <w:szCs w:val="14"/>
                <w:color w:val="auto"/>
              </w:rPr>
            </w:pPr>
          </w:p>
        </w:tc>
        <w:tc>
          <w:tcPr>
            <w:tcW w:w="1200" w:type="dxa"/>
            <w:vAlign w:val="bottom"/>
            <w:tcBorders>
              <w:right w:val="single" w:sz="8" w:color="auto"/>
            </w:tcBorders>
            <w:shd w:val="clear" w:color="auto" w:fill="004C97"/>
          </w:tcPr>
          <w:p>
            <w:pPr>
              <w:spacing w:after="0"/>
              <w:rPr>
                <w:sz w:val="14"/>
                <w:szCs w:val="14"/>
                <w:color w:val="auto"/>
              </w:rPr>
            </w:pPr>
          </w:p>
        </w:tc>
        <w:tc>
          <w:tcPr>
            <w:tcW w:w="104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900" w:type="dxa"/>
            <w:vAlign w:val="bottom"/>
            <w:tcBorders>
              <w:right w:val="single" w:sz="8" w:color="auto"/>
            </w:tcBorders>
            <w:shd w:val="clear" w:color="auto" w:fill="004C97"/>
          </w:tcPr>
          <w:p>
            <w:pPr>
              <w:spacing w:after="0"/>
              <w:rPr>
                <w:sz w:val="14"/>
                <w:szCs w:val="14"/>
                <w:color w:val="auto"/>
              </w:rPr>
            </w:pPr>
          </w:p>
        </w:tc>
        <w:tc>
          <w:tcPr>
            <w:tcW w:w="980" w:type="dxa"/>
            <w:vAlign w:val="bottom"/>
            <w:tcBorders>
              <w:right w:val="single" w:sz="8" w:color="auto"/>
            </w:tcBorders>
            <w:shd w:val="clear" w:color="auto" w:fill="004C97"/>
          </w:tcPr>
          <w:p>
            <w:pPr>
              <w:spacing w:after="0"/>
              <w:rPr>
                <w:sz w:val="14"/>
                <w:szCs w:val="14"/>
                <w:color w:val="auto"/>
              </w:rPr>
            </w:pPr>
          </w:p>
        </w:tc>
        <w:tc>
          <w:tcPr>
            <w:tcW w:w="780" w:type="dxa"/>
            <w:vAlign w:val="bottom"/>
            <w:shd w:val="clear" w:color="auto" w:fill="004C97"/>
          </w:tcPr>
          <w:p>
            <w:pPr>
              <w:spacing w:after="0"/>
              <w:rPr>
                <w:sz w:val="14"/>
                <w:szCs w:val="14"/>
                <w:color w:val="auto"/>
              </w:rPr>
            </w:pPr>
          </w:p>
        </w:tc>
        <w:tc>
          <w:tcPr>
            <w:tcW w:w="420" w:type="dxa"/>
            <w:vAlign w:val="bottom"/>
            <w:tcBorders>
              <w:right w:val="single" w:sz="8" w:color="auto"/>
            </w:tcBorders>
            <w:shd w:val="clear" w:color="auto" w:fill="004C97"/>
          </w:tcPr>
          <w:p>
            <w:pPr>
              <w:spacing w:after="0"/>
              <w:rPr>
                <w:sz w:val="14"/>
                <w:szCs w:val="14"/>
                <w:color w:val="auto"/>
              </w:rPr>
            </w:pPr>
          </w:p>
        </w:tc>
        <w:tc>
          <w:tcPr>
            <w:tcW w:w="12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7"/>
              </w:rPr>
              <w:t>of Unearned</w:t>
            </w:r>
          </w:p>
        </w:tc>
        <w:tc>
          <w:tcPr>
            <w:tcW w:w="1080" w:type="dxa"/>
            <w:vAlign w:val="bottom"/>
            <w:tcBorders>
              <w:right w:val="single" w:sz="8" w:color="auto"/>
            </w:tcBorders>
            <w:gridSpan w:val="2"/>
            <w:shd w:val="clear" w:color="auto" w:fill="004C97"/>
          </w:tcPr>
          <w:p>
            <w:pPr>
              <w:jc w:val="center"/>
              <w:spacing w:after="0"/>
              <w:rPr>
                <w:sz w:val="20"/>
                <w:szCs w:val="20"/>
                <w:color w:val="auto"/>
              </w:rPr>
            </w:pPr>
            <w:r>
              <w:rPr>
                <w:rFonts w:ascii="Arial" w:cs="Arial" w:eastAsia="Arial" w:hAnsi="Arial"/>
                <w:sz w:val="13"/>
                <w:szCs w:val="13"/>
                <w:b w:val="1"/>
                <w:bCs w:val="1"/>
                <w:color w:val="FFFFFF"/>
                <w:w w:val="96"/>
              </w:rPr>
              <w:t>Unearned</w:t>
            </w:r>
          </w:p>
        </w:tc>
        <w:tc>
          <w:tcPr>
            <w:tcW w:w="122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4"/>
              </w:rPr>
              <w:t>of Unearned</w:t>
            </w: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shd w:val="clear" w:color="auto" w:fill="004C97"/>
          </w:tcPr>
          <w:p>
            <w:pPr>
              <w:spacing w:after="0"/>
              <w:rPr>
                <w:sz w:val="4"/>
                <w:szCs w:val="4"/>
                <w:color w:val="auto"/>
              </w:rPr>
            </w:pPr>
          </w:p>
        </w:tc>
        <w:tc>
          <w:tcPr>
            <w:tcW w:w="920" w:type="dxa"/>
            <w:vAlign w:val="bottom"/>
            <w:tcBorders>
              <w:right w:val="single" w:sz="8" w:color="auto"/>
            </w:tcBorders>
            <w:shd w:val="clear" w:color="auto" w:fill="004C97"/>
          </w:tcPr>
          <w:p>
            <w:pPr>
              <w:spacing w:after="0"/>
              <w:rPr>
                <w:sz w:val="4"/>
                <w:szCs w:val="4"/>
                <w:color w:val="auto"/>
              </w:rPr>
            </w:pPr>
          </w:p>
        </w:tc>
        <w:tc>
          <w:tcPr>
            <w:tcW w:w="120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040" w:type="dxa"/>
            <w:vAlign w:val="bottom"/>
            <w:tcBorders>
              <w:right w:val="single" w:sz="8" w:color="auto"/>
            </w:tcBorders>
            <w:vMerge w:val="continue"/>
            <w:shd w:val="clear" w:color="auto" w:fill="004C97"/>
          </w:tcPr>
          <w:p>
            <w:pPr>
              <w:spacing w:after="0"/>
              <w:rPr>
                <w:sz w:val="4"/>
                <w:szCs w:val="4"/>
                <w:color w:val="auto"/>
              </w:rPr>
            </w:pPr>
          </w:p>
        </w:tc>
        <w:tc>
          <w:tcPr>
            <w:tcW w:w="900" w:type="dxa"/>
            <w:vAlign w:val="bottom"/>
            <w:tcBorders>
              <w:right w:val="single" w:sz="8" w:color="auto"/>
            </w:tcBorders>
            <w:shd w:val="clear" w:color="auto" w:fill="004C97"/>
          </w:tcPr>
          <w:p>
            <w:pPr>
              <w:spacing w:after="0"/>
              <w:rPr>
                <w:sz w:val="4"/>
                <w:szCs w:val="4"/>
                <w:color w:val="auto"/>
              </w:rPr>
            </w:pPr>
          </w:p>
        </w:tc>
        <w:tc>
          <w:tcPr>
            <w:tcW w:w="980" w:type="dxa"/>
            <w:vAlign w:val="bottom"/>
            <w:tcBorders>
              <w:right w:val="single" w:sz="8" w:color="auto"/>
            </w:tcBorders>
            <w:shd w:val="clear" w:color="auto" w:fill="004C97"/>
          </w:tcPr>
          <w:p>
            <w:pPr>
              <w:spacing w:after="0"/>
              <w:rPr>
                <w:sz w:val="4"/>
                <w:szCs w:val="4"/>
                <w:color w:val="auto"/>
              </w:rPr>
            </w:pPr>
          </w:p>
        </w:tc>
        <w:tc>
          <w:tcPr>
            <w:tcW w:w="780" w:type="dxa"/>
            <w:vAlign w:val="bottom"/>
            <w:shd w:val="clear" w:color="auto" w:fill="004C97"/>
          </w:tcPr>
          <w:p>
            <w:pPr>
              <w:spacing w:after="0"/>
              <w:rPr>
                <w:sz w:val="4"/>
                <w:szCs w:val="4"/>
                <w:color w:val="auto"/>
              </w:rPr>
            </w:pPr>
          </w:p>
        </w:tc>
        <w:tc>
          <w:tcPr>
            <w:tcW w:w="420" w:type="dxa"/>
            <w:vAlign w:val="bottom"/>
            <w:tcBorders>
              <w:right w:val="single" w:sz="8" w:color="auto"/>
            </w:tcBorders>
            <w:shd w:val="clear" w:color="auto" w:fill="004C97"/>
          </w:tcPr>
          <w:p>
            <w:pPr>
              <w:spacing w:after="0"/>
              <w:rPr>
                <w:sz w:val="4"/>
                <w:szCs w:val="4"/>
                <w:color w:val="auto"/>
              </w:rPr>
            </w:pPr>
          </w:p>
        </w:tc>
        <w:tc>
          <w:tcPr>
            <w:tcW w:w="120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6"/>
              </w:rPr>
              <w:t>Shares, Units,</w:t>
            </w:r>
          </w:p>
        </w:tc>
        <w:tc>
          <w:tcPr>
            <w:tcW w:w="1080" w:type="dxa"/>
            <w:vAlign w:val="bottom"/>
            <w:tcBorders>
              <w:right w:val="single" w:sz="8" w:color="auto"/>
            </w:tcBorders>
            <w:gridSpan w:val="2"/>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7"/>
              </w:rPr>
              <w:t>Shares,</w:t>
            </w:r>
          </w:p>
        </w:tc>
        <w:tc>
          <w:tcPr>
            <w:tcW w:w="122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6"/>
              </w:rPr>
              <w:t>Shares, Units,</w:t>
            </w:r>
          </w:p>
        </w:tc>
        <w:tc>
          <w:tcPr>
            <w:tcW w:w="0" w:type="dxa"/>
            <w:vAlign w:val="bottom"/>
          </w:tcPr>
          <w:p>
            <w:pPr>
              <w:spacing w:after="0"/>
              <w:rPr>
                <w:sz w:val="1"/>
                <w:szCs w:val="1"/>
                <w:color w:val="auto"/>
              </w:rPr>
            </w:pPr>
          </w:p>
        </w:tc>
      </w:tr>
      <w:tr>
        <w:trPr>
          <w:trHeight w:val="95"/>
        </w:trPr>
        <w:tc>
          <w:tcPr>
            <w:tcW w:w="1520" w:type="dxa"/>
            <w:vAlign w:val="bottom"/>
            <w:tcBorders>
              <w:left w:val="single" w:sz="8" w:color="auto"/>
              <w:right w:val="single" w:sz="8" w:color="auto"/>
            </w:tcBorders>
            <w:shd w:val="clear" w:color="auto" w:fill="004C97"/>
          </w:tcPr>
          <w:p>
            <w:pPr>
              <w:spacing w:after="0"/>
              <w:rPr>
                <w:sz w:val="8"/>
                <w:szCs w:val="8"/>
                <w:color w:val="auto"/>
              </w:rPr>
            </w:pPr>
          </w:p>
        </w:tc>
        <w:tc>
          <w:tcPr>
            <w:tcW w:w="920" w:type="dxa"/>
            <w:vAlign w:val="bottom"/>
            <w:tcBorders>
              <w:right w:val="single" w:sz="8" w:color="auto"/>
            </w:tcBorders>
            <w:shd w:val="clear" w:color="auto" w:fill="004C97"/>
          </w:tcPr>
          <w:p>
            <w:pPr>
              <w:spacing w:after="0"/>
              <w:rPr>
                <w:sz w:val="8"/>
                <w:szCs w:val="8"/>
                <w:color w:val="auto"/>
              </w:rPr>
            </w:pPr>
          </w:p>
        </w:tc>
        <w:tc>
          <w:tcPr>
            <w:tcW w:w="1200" w:type="dxa"/>
            <w:vAlign w:val="bottom"/>
            <w:tcBorders>
              <w:right w:val="single" w:sz="8" w:color="auto"/>
            </w:tcBorders>
            <w:vMerge w:val="continue"/>
            <w:shd w:val="clear" w:color="auto" w:fill="004C97"/>
          </w:tcPr>
          <w:p>
            <w:pPr>
              <w:spacing w:after="0"/>
              <w:rPr>
                <w:sz w:val="8"/>
                <w:szCs w:val="8"/>
                <w:color w:val="auto"/>
              </w:rPr>
            </w:pPr>
          </w:p>
        </w:tc>
        <w:tc>
          <w:tcPr>
            <w:tcW w:w="104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6"/>
              </w:rPr>
              <w:t>Securities</w:t>
            </w:r>
          </w:p>
        </w:tc>
        <w:tc>
          <w:tcPr>
            <w:tcW w:w="900" w:type="dxa"/>
            <w:vAlign w:val="bottom"/>
            <w:tcBorders>
              <w:right w:val="single" w:sz="8" w:color="auto"/>
            </w:tcBorders>
            <w:shd w:val="clear" w:color="auto" w:fill="004C97"/>
          </w:tcPr>
          <w:p>
            <w:pPr>
              <w:spacing w:after="0"/>
              <w:rPr>
                <w:sz w:val="8"/>
                <w:szCs w:val="8"/>
                <w:color w:val="auto"/>
              </w:rPr>
            </w:pPr>
          </w:p>
        </w:tc>
        <w:tc>
          <w:tcPr>
            <w:tcW w:w="980" w:type="dxa"/>
            <w:vAlign w:val="bottom"/>
            <w:tcBorders>
              <w:right w:val="single" w:sz="8" w:color="auto"/>
            </w:tcBorders>
            <w:shd w:val="clear" w:color="auto" w:fill="004C97"/>
          </w:tcPr>
          <w:p>
            <w:pPr>
              <w:spacing w:after="0"/>
              <w:rPr>
                <w:sz w:val="8"/>
                <w:szCs w:val="8"/>
                <w:color w:val="auto"/>
              </w:rPr>
            </w:pPr>
          </w:p>
        </w:tc>
        <w:tc>
          <w:tcPr>
            <w:tcW w:w="780" w:type="dxa"/>
            <w:vAlign w:val="bottom"/>
            <w:shd w:val="clear" w:color="auto" w:fill="004C97"/>
          </w:tcPr>
          <w:p>
            <w:pPr>
              <w:spacing w:after="0"/>
              <w:rPr>
                <w:sz w:val="8"/>
                <w:szCs w:val="8"/>
                <w:color w:val="auto"/>
              </w:rPr>
            </w:pPr>
          </w:p>
        </w:tc>
        <w:tc>
          <w:tcPr>
            <w:tcW w:w="420" w:type="dxa"/>
            <w:vAlign w:val="bottom"/>
            <w:tcBorders>
              <w:right w:val="single" w:sz="8" w:color="auto"/>
            </w:tcBorders>
            <w:shd w:val="clear" w:color="auto" w:fill="004C97"/>
          </w:tcPr>
          <w:p>
            <w:pPr>
              <w:spacing w:after="0"/>
              <w:rPr>
                <w:sz w:val="8"/>
                <w:szCs w:val="8"/>
                <w:color w:val="auto"/>
              </w:rPr>
            </w:pPr>
          </w:p>
        </w:tc>
        <w:tc>
          <w:tcPr>
            <w:tcW w:w="1200" w:type="dxa"/>
            <w:vAlign w:val="bottom"/>
            <w:tcBorders>
              <w:right w:val="single" w:sz="8" w:color="auto"/>
            </w:tcBorders>
            <w:vMerge w:val="continue"/>
            <w:shd w:val="clear" w:color="auto" w:fill="004C97"/>
          </w:tcPr>
          <w:p>
            <w:pPr>
              <w:spacing w:after="0"/>
              <w:rPr>
                <w:sz w:val="8"/>
                <w:szCs w:val="8"/>
                <w:color w:val="auto"/>
              </w:rPr>
            </w:pPr>
          </w:p>
        </w:tc>
        <w:tc>
          <w:tcPr>
            <w:tcW w:w="1080" w:type="dxa"/>
            <w:vAlign w:val="bottom"/>
            <w:tcBorders>
              <w:right w:val="single" w:sz="8" w:color="auto"/>
            </w:tcBorders>
            <w:gridSpan w:val="2"/>
            <w:vMerge w:val="continue"/>
            <w:shd w:val="clear" w:color="auto" w:fill="004C97"/>
          </w:tcPr>
          <w:p>
            <w:pPr>
              <w:spacing w:after="0"/>
              <w:rPr>
                <w:sz w:val="8"/>
                <w:szCs w:val="8"/>
                <w:color w:val="auto"/>
              </w:rPr>
            </w:pPr>
          </w:p>
        </w:tc>
        <w:tc>
          <w:tcPr>
            <w:tcW w:w="1220" w:type="dxa"/>
            <w:vAlign w:val="bottom"/>
            <w:tcBorders>
              <w:right w:val="single" w:sz="8" w:color="auto"/>
            </w:tcBorders>
            <w:vMerge w:val="continue"/>
            <w:shd w:val="clear" w:color="auto" w:fill="004C97"/>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shd w:val="clear" w:color="auto" w:fill="004C97"/>
          </w:tcPr>
          <w:p>
            <w:pPr>
              <w:spacing w:after="0"/>
              <w:rPr>
                <w:sz w:val="4"/>
                <w:szCs w:val="4"/>
                <w:color w:val="auto"/>
              </w:rPr>
            </w:pPr>
          </w:p>
        </w:tc>
        <w:tc>
          <w:tcPr>
            <w:tcW w:w="920" w:type="dxa"/>
            <w:vAlign w:val="bottom"/>
            <w:tcBorders>
              <w:right w:val="single" w:sz="8" w:color="auto"/>
            </w:tcBorders>
            <w:shd w:val="clear" w:color="auto" w:fill="004C97"/>
          </w:tcPr>
          <w:p>
            <w:pPr>
              <w:spacing w:after="0"/>
              <w:rPr>
                <w:sz w:val="4"/>
                <w:szCs w:val="4"/>
                <w:color w:val="auto"/>
              </w:rPr>
            </w:pPr>
          </w:p>
        </w:tc>
        <w:tc>
          <w:tcPr>
            <w:tcW w:w="120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6"/>
              </w:rPr>
              <w:t>Securities</w:t>
            </w:r>
          </w:p>
        </w:tc>
        <w:tc>
          <w:tcPr>
            <w:tcW w:w="1040" w:type="dxa"/>
            <w:vAlign w:val="bottom"/>
            <w:tcBorders>
              <w:right w:val="single" w:sz="8" w:color="auto"/>
            </w:tcBorders>
            <w:vMerge w:val="continue"/>
            <w:shd w:val="clear" w:color="auto" w:fill="004C97"/>
          </w:tcPr>
          <w:p>
            <w:pPr>
              <w:spacing w:after="0"/>
              <w:rPr>
                <w:sz w:val="4"/>
                <w:szCs w:val="4"/>
                <w:color w:val="auto"/>
              </w:rPr>
            </w:pPr>
          </w:p>
        </w:tc>
        <w:tc>
          <w:tcPr>
            <w:tcW w:w="900" w:type="dxa"/>
            <w:vAlign w:val="bottom"/>
            <w:tcBorders>
              <w:right w:val="single" w:sz="8" w:color="auto"/>
            </w:tcBorders>
            <w:shd w:val="clear" w:color="auto" w:fill="004C97"/>
          </w:tcPr>
          <w:p>
            <w:pPr>
              <w:spacing w:after="0"/>
              <w:rPr>
                <w:sz w:val="4"/>
                <w:szCs w:val="4"/>
                <w:color w:val="auto"/>
              </w:rPr>
            </w:pPr>
          </w:p>
        </w:tc>
        <w:tc>
          <w:tcPr>
            <w:tcW w:w="980" w:type="dxa"/>
            <w:vAlign w:val="bottom"/>
            <w:tcBorders>
              <w:right w:val="single" w:sz="8" w:color="auto"/>
            </w:tcBorders>
            <w:shd w:val="clear" w:color="auto" w:fill="004C97"/>
          </w:tcPr>
          <w:p>
            <w:pPr>
              <w:spacing w:after="0"/>
              <w:rPr>
                <w:sz w:val="4"/>
                <w:szCs w:val="4"/>
                <w:color w:val="auto"/>
              </w:rPr>
            </w:pPr>
          </w:p>
        </w:tc>
        <w:tc>
          <w:tcPr>
            <w:tcW w:w="1200" w:type="dxa"/>
            <w:vAlign w:val="bottom"/>
            <w:tcBorders>
              <w:right w:val="single" w:sz="8" w:color="auto"/>
            </w:tcBorders>
            <w:gridSpan w:val="2"/>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20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7"/>
              </w:rPr>
              <w:t>or Other</w:t>
            </w:r>
          </w:p>
        </w:tc>
        <w:tc>
          <w:tcPr>
            <w:tcW w:w="1080" w:type="dxa"/>
            <w:vAlign w:val="bottom"/>
            <w:tcBorders>
              <w:right w:val="single" w:sz="8" w:color="auto"/>
            </w:tcBorders>
            <w:gridSpan w:val="2"/>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8"/>
              </w:rPr>
              <w:t>Units, or</w:t>
            </w:r>
          </w:p>
        </w:tc>
        <w:tc>
          <w:tcPr>
            <w:tcW w:w="122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3"/>
              </w:rPr>
              <w:t>or Other</w:t>
            </w:r>
          </w:p>
        </w:tc>
        <w:tc>
          <w:tcPr>
            <w:tcW w:w="0" w:type="dxa"/>
            <w:vAlign w:val="bottom"/>
          </w:tcPr>
          <w:p>
            <w:pPr>
              <w:spacing w:after="0"/>
              <w:rPr>
                <w:sz w:val="1"/>
                <w:szCs w:val="1"/>
                <w:color w:val="auto"/>
              </w:rPr>
            </w:pPr>
          </w:p>
        </w:tc>
      </w:tr>
      <w:tr>
        <w:trPr>
          <w:trHeight w:val="94"/>
        </w:trPr>
        <w:tc>
          <w:tcPr>
            <w:tcW w:w="1520" w:type="dxa"/>
            <w:vAlign w:val="bottom"/>
            <w:tcBorders>
              <w:left w:val="single" w:sz="8" w:color="auto"/>
              <w:right w:val="single" w:sz="8" w:color="auto"/>
            </w:tcBorders>
            <w:shd w:val="clear" w:color="auto" w:fill="004C97"/>
          </w:tcPr>
          <w:p>
            <w:pPr>
              <w:spacing w:after="0"/>
              <w:rPr>
                <w:sz w:val="8"/>
                <w:szCs w:val="8"/>
                <w:color w:val="auto"/>
              </w:rPr>
            </w:pPr>
          </w:p>
        </w:tc>
        <w:tc>
          <w:tcPr>
            <w:tcW w:w="920" w:type="dxa"/>
            <w:vAlign w:val="bottom"/>
            <w:tcBorders>
              <w:right w:val="single" w:sz="8" w:color="auto"/>
            </w:tcBorders>
            <w:shd w:val="clear" w:color="auto" w:fill="004C97"/>
          </w:tcPr>
          <w:p>
            <w:pPr>
              <w:spacing w:after="0"/>
              <w:rPr>
                <w:sz w:val="8"/>
                <w:szCs w:val="8"/>
                <w:color w:val="auto"/>
              </w:rPr>
            </w:pPr>
          </w:p>
        </w:tc>
        <w:tc>
          <w:tcPr>
            <w:tcW w:w="1200" w:type="dxa"/>
            <w:vAlign w:val="bottom"/>
            <w:tcBorders>
              <w:right w:val="single" w:sz="8" w:color="auto"/>
            </w:tcBorders>
            <w:vMerge w:val="continue"/>
            <w:shd w:val="clear" w:color="auto" w:fill="004C97"/>
          </w:tcPr>
          <w:p>
            <w:pPr>
              <w:spacing w:after="0"/>
              <w:rPr>
                <w:sz w:val="8"/>
                <w:szCs w:val="8"/>
                <w:color w:val="auto"/>
              </w:rPr>
            </w:pPr>
          </w:p>
        </w:tc>
        <w:tc>
          <w:tcPr>
            <w:tcW w:w="104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7"/>
              </w:rPr>
              <w:t>Underlying</w:t>
            </w:r>
          </w:p>
        </w:tc>
        <w:tc>
          <w:tcPr>
            <w:tcW w:w="900" w:type="dxa"/>
            <w:vAlign w:val="bottom"/>
            <w:tcBorders>
              <w:right w:val="single" w:sz="8" w:color="auto"/>
            </w:tcBorders>
            <w:shd w:val="clear" w:color="auto" w:fill="004C97"/>
          </w:tcPr>
          <w:p>
            <w:pPr>
              <w:spacing w:after="0"/>
              <w:rPr>
                <w:sz w:val="8"/>
                <w:szCs w:val="8"/>
                <w:color w:val="auto"/>
              </w:rPr>
            </w:pPr>
          </w:p>
        </w:tc>
        <w:tc>
          <w:tcPr>
            <w:tcW w:w="980" w:type="dxa"/>
            <w:vAlign w:val="bottom"/>
            <w:tcBorders>
              <w:right w:val="single" w:sz="8" w:color="auto"/>
            </w:tcBorders>
            <w:shd w:val="clear" w:color="auto" w:fill="004C97"/>
          </w:tcPr>
          <w:p>
            <w:pPr>
              <w:spacing w:after="0"/>
              <w:rPr>
                <w:sz w:val="8"/>
                <w:szCs w:val="8"/>
                <w:color w:val="auto"/>
              </w:rPr>
            </w:pPr>
          </w:p>
        </w:tc>
        <w:tc>
          <w:tcPr>
            <w:tcW w:w="1200" w:type="dxa"/>
            <w:vAlign w:val="bottom"/>
            <w:tcBorders>
              <w:right w:val="single" w:sz="8" w:color="auto"/>
            </w:tcBorders>
            <w:gridSpan w:val="2"/>
            <w:vMerge w:val="continue"/>
            <w:shd w:val="clear" w:color="auto" w:fill="004C97"/>
          </w:tcPr>
          <w:p>
            <w:pPr>
              <w:spacing w:after="0"/>
              <w:rPr>
                <w:sz w:val="8"/>
                <w:szCs w:val="8"/>
                <w:color w:val="auto"/>
              </w:rPr>
            </w:pPr>
          </w:p>
        </w:tc>
        <w:tc>
          <w:tcPr>
            <w:tcW w:w="1200" w:type="dxa"/>
            <w:vAlign w:val="bottom"/>
            <w:tcBorders>
              <w:right w:val="single" w:sz="8" w:color="auto"/>
            </w:tcBorders>
            <w:vMerge w:val="continue"/>
            <w:shd w:val="clear" w:color="auto" w:fill="004C97"/>
          </w:tcPr>
          <w:p>
            <w:pPr>
              <w:spacing w:after="0"/>
              <w:rPr>
                <w:sz w:val="8"/>
                <w:szCs w:val="8"/>
                <w:color w:val="auto"/>
              </w:rPr>
            </w:pPr>
          </w:p>
        </w:tc>
        <w:tc>
          <w:tcPr>
            <w:tcW w:w="1080" w:type="dxa"/>
            <w:vAlign w:val="bottom"/>
            <w:tcBorders>
              <w:right w:val="single" w:sz="8" w:color="auto"/>
            </w:tcBorders>
            <w:gridSpan w:val="2"/>
            <w:vMerge w:val="continue"/>
            <w:shd w:val="clear" w:color="auto" w:fill="004C97"/>
          </w:tcPr>
          <w:p>
            <w:pPr>
              <w:spacing w:after="0"/>
              <w:rPr>
                <w:sz w:val="8"/>
                <w:szCs w:val="8"/>
                <w:color w:val="auto"/>
              </w:rPr>
            </w:pPr>
          </w:p>
        </w:tc>
        <w:tc>
          <w:tcPr>
            <w:tcW w:w="1220" w:type="dxa"/>
            <w:vAlign w:val="bottom"/>
            <w:tcBorders>
              <w:right w:val="single" w:sz="8" w:color="auto"/>
            </w:tcBorders>
            <w:vMerge w:val="continue"/>
            <w:shd w:val="clear" w:color="auto" w:fill="004C97"/>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520" w:type="dxa"/>
            <w:vAlign w:val="bottom"/>
            <w:tcBorders>
              <w:left w:val="single" w:sz="8" w:color="auto"/>
              <w:right w:val="single" w:sz="8" w:color="auto"/>
            </w:tcBorders>
            <w:shd w:val="clear" w:color="auto" w:fill="004C97"/>
          </w:tcPr>
          <w:p>
            <w:pPr>
              <w:spacing w:after="0"/>
              <w:rPr>
                <w:sz w:val="5"/>
                <w:szCs w:val="5"/>
                <w:color w:val="auto"/>
              </w:rPr>
            </w:pPr>
          </w:p>
        </w:tc>
        <w:tc>
          <w:tcPr>
            <w:tcW w:w="920" w:type="dxa"/>
            <w:vAlign w:val="bottom"/>
            <w:tcBorders>
              <w:right w:val="single" w:sz="8" w:color="auto"/>
            </w:tcBorders>
            <w:shd w:val="clear" w:color="auto" w:fill="004C97"/>
          </w:tcPr>
          <w:p>
            <w:pPr>
              <w:spacing w:after="0"/>
              <w:rPr>
                <w:sz w:val="5"/>
                <w:szCs w:val="5"/>
                <w:color w:val="auto"/>
              </w:rPr>
            </w:pPr>
          </w:p>
        </w:tc>
        <w:tc>
          <w:tcPr>
            <w:tcW w:w="120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7"/>
              </w:rPr>
              <w:t>Underlying</w:t>
            </w:r>
          </w:p>
        </w:tc>
        <w:tc>
          <w:tcPr>
            <w:tcW w:w="1040" w:type="dxa"/>
            <w:vAlign w:val="bottom"/>
            <w:tcBorders>
              <w:right w:val="single" w:sz="8" w:color="auto"/>
            </w:tcBorders>
            <w:vMerge w:val="continue"/>
            <w:shd w:val="clear" w:color="auto" w:fill="004C97"/>
          </w:tcPr>
          <w:p>
            <w:pPr>
              <w:spacing w:after="0"/>
              <w:rPr>
                <w:sz w:val="5"/>
                <w:szCs w:val="5"/>
                <w:color w:val="auto"/>
              </w:rPr>
            </w:pPr>
          </w:p>
        </w:tc>
        <w:tc>
          <w:tcPr>
            <w:tcW w:w="900" w:type="dxa"/>
            <w:vAlign w:val="bottom"/>
            <w:tcBorders>
              <w:right w:val="single" w:sz="8" w:color="auto"/>
            </w:tcBorders>
            <w:shd w:val="clear" w:color="auto" w:fill="004C97"/>
          </w:tcPr>
          <w:p>
            <w:pPr>
              <w:spacing w:after="0"/>
              <w:rPr>
                <w:sz w:val="5"/>
                <w:szCs w:val="5"/>
                <w:color w:val="auto"/>
              </w:rPr>
            </w:pPr>
          </w:p>
        </w:tc>
        <w:tc>
          <w:tcPr>
            <w:tcW w:w="980" w:type="dxa"/>
            <w:vAlign w:val="bottom"/>
            <w:tcBorders>
              <w:right w:val="single" w:sz="8" w:color="auto"/>
            </w:tcBorders>
            <w:shd w:val="clear" w:color="auto" w:fill="004C97"/>
          </w:tcPr>
          <w:p>
            <w:pPr>
              <w:spacing w:after="0"/>
              <w:rPr>
                <w:sz w:val="5"/>
                <w:szCs w:val="5"/>
                <w:color w:val="auto"/>
              </w:rPr>
            </w:pPr>
          </w:p>
        </w:tc>
        <w:tc>
          <w:tcPr>
            <w:tcW w:w="1200" w:type="dxa"/>
            <w:vAlign w:val="bottom"/>
            <w:tcBorders>
              <w:right w:val="single" w:sz="8" w:color="auto"/>
            </w:tcBorders>
            <w:gridSpan w:val="2"/>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6"/>
              </w:rPr>
              <w:t>Shares or</w:t>
            </w:r>
          </w:p>
        </w:tc>
        <w:tc>
          <w:tcPr>
            <w:tcW w:w="120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7"/>
              </w:rPr>
              <w:t>Rights That</w:t>
            </w:r>
          </w:p>
        </w:tc>
        <w:tc>
          <w:tcPr>
            <w:tcW w:w="1080" w:type="dxa"/>
            <w:vAlign w:val="bottom"/>
            <w:tcBorders>
              <w:right w:val="single" w:sz="8" w:color="auto"/>
            </w:tcBorders>
            <w:gridSpan w:val="2"/>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6"/>
              </w:rPr>
              <w:t>Other Rights</w:t>
            </w:r>
          </w:p>
        </w:tc>
        <w:tc>
          <w:tcPr>
            <w:tcW w:w="122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Rights That</w:t>
            </w:r>
          </w:p>
        </w:tc>
        <w:tc>
          <w:tcPr>
            <w:tcW w:w="0" w:type="dxa"/>
            <w:vAlign w:val="bottom"/>
          </w:tcPr>
          <w:p>
            <w:pPr>
              <w:spacing w:after="0"/>
              <w:rPr>
                <w:sz w:val="1"/>
                <w:szCs w:val="1"/>
                <w:color w:val="auto"/>
              </w:rPr>
            </w:pPr>
          </w:p>
        </w:tc>
      </w:tr>
      <w:tr>
        <w:trPr>
          <w:trHeight w:val="81"/>
        </w:trPr>
        <w:tc>
          <w:tcPr>
            <w:tcW w:w="1520" w:type="dxa"/>
            <w:vAlign w:val="bottom"/>
            <w:tcBorders>
              <w:left w:val="single" w:sz="8" w:color="auto"/>
              <w:right w:val="single" w:sz="8" w:color="auto"/>
            </w:tcBorders>
            <w:shd w:val="clear" w:color="auto" w:fill="004C97"/>
          </w:tcPr>
          <w:p>
            <w:pPr>
              <w:spacing w:after="0"/>
              <w:rPr>
                <w:sz w:val="7"/>
                <w:szCs w:val="7"/>
                <w:color w:val="auto"/>
              </w:rPr>
            </w:pPr>
          </w:p>
        </w:tc>
        <w:tc>
          <w:tcPr>
            <w:tcW w:w="920" w:type="dxa"/>
            <w:vAlign w:val="bottom"/>
            <w:tcBorders>
              <w:right w:val="single" w:sz="8" w:color="auto"/>
            </w:tcBorders>
            <w:shd w:val="clear" w:color="auto" w:fill="004C97"/>
          </w:tcPr>
          <w:p>
            <w:pPr>
              <w:spacing w:after="0"/>
              <w:rPr>
                <w:sz w:val="7"/>
                <w:szCs w:val="7"/>
                <w:color w:val="auto"/>
              </w:rPr>
            </w:pPr>
          </w:p>
        </w:tc>
        <w:tc>
          <w:tcPr>
            <w:tcW w:w="1200" w:type="dxa"/>
            <w:vAlign w:val="bottom"/>
            <w:tcBorders>
              <w:right w:val="single" w:sz="8" w:color="auto"/>
            </w:tcBorders>
            <w:vMerge w:val="continue"/>
            <w:shd w:val="clear" w:color="auto" w:fill="004C97"/>
          </w:tcPr>
          <w:p>
            <w:pPr>
              <w:spacing w:after="0"/>
              <w:rPr>
                <w:sz w:val="7"/>
                <w:szCs w:val="7"/>
                <w:color w:val="auto"/>
              </w:rPr>
            </w:pPr>
          </w:p>
        </w:tc>
        <w:tc>
          <w:tcPr>
            <w:tcW w:w="104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Unexercised</w:t>
            </w:r>
          </w:p>
        </w:tc>
        <w:tc>
          <w:tcPr>
            <w:tcW w:w="900" w:type="dxa"/>
            <w:vAlign w:val="bottom"/>
            <w:tcBorders>
              <w:right w:val="single" w:sz="8" w:color="auto"/>
            </w:tcBorders>
            <w:shd w:val="clear" w:color="auto" w:fill="004C97"/>
          </w:tcPr>
          <w:p>
            <w:pPr>
              <w:spacing w:after="0"/>
              <w:rPr>
                <w:sz w:val="7"/>
                <w:szCs w:val="7"/>
                <w:color w:val="auto"/>
              </w:rPr>
            </w:pPr>
          </w:p>
        </w:tc>
        <w:tc>
          <w:tcPr>
            <w:tcW w:w="980" w:type="dxa"/>
            <w:vAlign w:val="bottom"/>
            <w:tcBorders>
              <w:right w:val="single" w:sz="8" w:color="auto"/>
            </w:tcBorders>
            <w:shd w:val="clear" w:color="auto" w:fill="004C97"/>
          </w:tcPr>
          <w:p>
            <w:pPr>
              <w:spacing w:after="0"/>
              <w:rPr>
                <w:sz w:val="7"/>
                <w:szCs w:val="7"/>
                <w:color w:val="auto"/>
              </w:rPr>
            </w:pPr>
          </w:p>
        </w:tc>
        <w:tc>
          <w:tcPr>
            <w:tcW w:w="1200" w:type="dxa"/>
            <w:vAlign w:val="bottom"/>
            <w:tcBorders>
              <w:right w:val="single" w:sz="8" w:color="auto"/>
            </w:tcBorders>
            <w:gridSpan w:val="2"/>
            <w:vMerge w:val="continue"/>
            <w:shd w:val="clear" w:color="auto" w:fill="004C97"/>
          </w:tcPr>
          <w:p>
            <w:pPr>
              <w:spacing w:after="0"/>
              <w:rPr>
                <w:sz w:val="7"/>
                <w:szCs w:val="7"/>
                <w:color w:val="auto"/>
              </w:rPr>
            </w:pPr>
          </w:p>
        </w:tc>
        <w:tc>
          <w:tcPr>
            <w:tcW w:w="1200" w:type="dxa"/>
            <w:vAlign w:val="bottom"/>
            <w:tcBorders>
              <w:right w:val="single" w:sz="8" w:color="auto"/>
            </w:tcBorders>
            <w:vMerge w:val="continue"/>
            <w:shd w:val="clear" w:color="auto" w:fill="004C97"/>
          </w:tcPr>
          <w:p>
            <w:pPr>
              <w:spacing w:after="0"/>
              <w:rPr>
                <w:sz w:val="7"/>
                <w:szCs w:val="7"/>
                <w:color w:val="auto"/>
              </w:rPr>
            </w:pPr>
          </w:p>
        </w:tc>
        <w:tc>
          <w:tcPr>
            <w:tcW w:w="1080" w:type="dxa"/>
            <w:vAlign w:val="bottom"/>
            <w:tcBorders>
              <w:right w:val="single" w:sz="8" w:color="auto"/>
            </w:tcBorders>
            <w:gridSpan w:val="2"/>
            <w:vMerge w:val="continue"/>
            <w:shd w:val="clear" w:color="auto" w:fill="004C97"/>
          </w:tcPr>
          <w:p>
            <w:pPr>
              <w:spacing w:after="0"/>
              <w:rPr>
                <w:sz w:val="7"/>
                <w:szCs w:val="7"/>
                <w:color w:val="auto"/>
              </w:rPr>
            </w:pPr>
          </w:p>
        </w:tc>
        <w:tc>
          <w:tcPr>
            <w:tcW w:w="1220" w:type="dxa"/>
            <w:vAlign w:val="bottom"/>
            <w:tcBorders>
              <w:right w:val="single" w:sz="8" w:color="auto"/>
            </w:tcBorders>
            <w:vMerge w:val="continue"/>
            <w:shd w:val="clear" w:color="auto" w:fill="004C97"/>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20" w:type="dxa"/>
            <w:vAlign w:val="bottom"/>
            <w:tcBorders>
              <w:left w:val="single" w:sz="8" w:color="auto"/>
              <w:right w:val="single" w:sz="8" w:color="auto"/>
            </w:tcBorders>
            <w:shd w:val="clear" w:color="auto" w:fill="004C97"/>
          </w:tcPr>
          <w:p>
            <w:pPr>
              <w:spacing w:after="0"/>
              <w:rPr>
                <w:sz w:val="5"/>
                <w:szCs w:val="5"/>
                <w:color w:val="auto"/>
              </w:rPr>
            </w:pPr>
          </w:p>
        </w:tc>
        <w:tc>
          <w:tcPr>
            <w:tcW w:w="920" w:type="dxa"/>
            <w:vAlign w:val="bottom"/>
            <w:tcBorders>
              <w:right w:val="single" w:sz="8" w:color="auto"/>
            </w:tcBorders>
            <w:shd w:val="clear" w:color="auto" w:fill="004C97"/>
          </w:tcPr>
          <w:p>
            <w:pPr>
              <w:spacing w:after="0"/>
              <w:rPr>
                <w:sz w:val="5"/>
                <w:szCs w:val="5"/>
                <w:color w:val="auto"/>
              </w:rPr>
            </w:pPr>
          </w:p>
        </w:tc>
        <w:tc>
          <w:tcPr>
            <w:tcW w:w="120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Unexercised</w:t>
            </w:r>
          </w:p>
        </w:tc>
        <w:tc>
          <w:tcPr>
            <w:tcW w:w="1040" w:type="dxa"/>
            <w:vAlign w:val="bottom"/>
            <w:tcBorders>
              <w:right w:val="single" w:sz="8" w:color="auto"/>
            </w:tcBorders>
            <w:vMerge w:val="continue"/>
            <w:shd w:val="clear" w:color="auto" w:fill="004C97"/>
          </w:tcPr>
          <w:p>
            <w:pPr>
              <w:spacing w:after="0"/>
              <w:rPr>
                <w:sz w:val="5"/>
                <w:szCs w:val="5"/>
                <w:color w:val="auto"/>
              </w:rPr>
            </w:pPr>
          </w:p>
        </w:tc>
        <w:tc>
          <w:tcPr>
            <w:tcW w:w="90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98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1200" w:type="dxa"/>
            <w:vAlign w:val="bottom"/>
            <w:tcBorders>
              <w:right w:val="single" w:sz="8" w:color="auto"/>
            </w:tcBorders>
            <w:gridSpan w:val="2"/>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8"/>
              </w:rPr>
              <w:t>Units of Stock</w:t>
            </w:r>
          </w:p>
        </w:tc>
        <w:tc>
          <w:tcPr>
            <w:tcW w:w="120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Have Not</w:t>
            </w:r>
          </w:p>
        </w:tc>
        <w:tc>
          <w:tcPr>
            <w:tcW w:w="1080" w:type="dxa"/>
            <w:vAlign w:val="bottom"/>
            <w:tcBorders>
              <w:right w:val="single" w:sz="8" w:color="auto"/>
            </w:tcBorders>
            <w:gridSpan w:val="2"/>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6"/>
              </w:rPr>
              <w:t>That Have</w:t>
            </w:r>
          </w:p>
        </w:tc>
        <w:tc>
          <w:tcPr>
            <w:tcW w:w="122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9"/>
              </w:rPr>
              <w:t>Have Not</w:t>
            </w:r>
          </w:p>
        </w:tc>
        <w:tc>
          <w:tcPr>
            <w:tcW w:w="0" w:type="dxa"/>
            <w:vAlign w:val="bottom"/>
          </w:tcPr>
          <w:p>
            <w:pPr>
              <w:spacing w:after="0"/>
              <w:rPr>
                <w:sz w:val="1"/>
                <w:szCs w:val="1"/>
                <w:color w:val="auto"/>
              </w:rPr>
            </w:pPr>
          </w:p>
        </w:tc>
      </w:tr>
      <w:tr>
        <w:trPr>
          <w:trHeight w:val="81"/>
        </w:trPr>
        <w:tc>
          <w:tcPr>
            <w:tcW w:w="1520" w:type="dxa"/>
            <w:vAlign w:val="bottom"/>
            <w:tcBorders>
              <w:left w:val="single" w:sz="8" w:color="auto"/>
              <w:right w:val="single" w:sz="8" w:color="auto"/>
            </w:tcBorders>
            <w:shd w:val="clear" w:color="auto" w:fill="004C97"/>
          </w:tcPr>
          <w:p>
            <w:pPr>
              <w:spacing w:after="0"/>
              <w:rPr>
                <w:sz w:val="7"/>
                <w:szCs w:val="7"/>
                <w:color w:val="auto"/>
              </w:rPr>
            </w:pPr>
          </w:p>
        </w:tc>
        <w:tc>
          <w:tcPr>
            <w:tcW w:w="920" w:type="dxa"/>
            <w:vAlign w:val="bottom"/>
            <w:tcBorders>
              <w:right w:val="single" w:sz="8" w:color="auto"/>
            </w:tcBorders>
            <w:shd w:val="clear" w:color="auto" w:fill="004C97"/>
          </w:tcPr>
          <w:p>
            <w:pPr>
              <w:spacing w:after="0"/>
              <w:rPr>
                <w:sz w:val="7"/>
                <w:szCs w:val="7"/>
                <w:color w:val="auto"/>
              </w:rPr>
            </w:pPr>
          </w:p>
        </w:tc>
        <w:tc>
          <w:tcPr>
            <w:tcW w:w="1200" w:type="dxa"/>
            <w:vAlign w:val="bottom"/>
            <w:tcBorders>
              <w:right w:val="single" w:sz="8" w:color="auto"/>
            </w:tcBorders>
            <w:vMerge w:val="continue"/>
            <w:shd w:val="clear" w:color="auto" w:fill="004C97"/>
          </w:tcPr>
          <w:p>
            <w:pPr>
              <w:spacing w:after="0"/>
              <w:rPr>
                <w:sz w:val="7"/>
                <w:szCs w:val="7"/>
                <w:color w:val="auto"/>
              </w:rPr>
            </w:pPr>
          </w:p>
        </w:tc>
        <w:tc>
          <w:tcPr>
            <w:tcW w:w="104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900" w:type="dxa"/>
            <w:vAlign w:val="bottom"/>
            <w:tcBorders>
              <w:right w:val="single" w:sz="8" w:color="auto"/>
            </w:tcBorders>
            <w:vMerge w:val="continue"/>
            <w:shd w:val="clear" w:color="auto" w:fill="004C97"/>
          </w:tcPr>
          <w:p>
            <w:pPr>
              <w:spacing w:after="0"/>
              <w:rPr>
                <w:sz w:val="7"/>
                <w:szCs w:val="7"/>
                <w:color w:val="auto"/>
              </w:rPr>
            </w:pPr>
          </w:p>
        </w:tc>
        <w:tc>
          <w:tcPr>
            <w:tcW w:w="980" w:type="dxa"/>
            <w:vAlign w:val="bottom"/>
            <w:tcBorders>
              <w:right w:val="single" w:sz="8" w:color="auto"/>
            </w:tcBorders>
            <w:vMerge w:val="continue"/>
            <w:shd w:val="clear" w:color="auto" w:fill="004C97"/>
          </w:tcPr>
          <w:p>
            <w:pPr>
              <w:spacing w:after="0"/>
              <w:rPr>
                <w:sz w:val="7"/>
                <w:szCs w:val="7"/>
                <w:color w:val="auto"/>
              </w:rPr>
            </w:pPr>
          </w:p>
        </w:tc>
        <w:tc>
          <w:tcPr>
            <w:tcW w:w="1200" w:type="dxa"/>
            <w:vAlign w:val="bottom"/>
            <w:tcBorders>
              <w:right w:val="single" w:sz="8" w:color="auto"/>
            </w:tcBorders>
            <w:gridSpan w:val="2"/>
            <w:vMerge w:val="continue"/>
            <w:shd w:val="clear" w:color="auto" w:fill="004C97"/>
          </w:tcPr>
          <w:p>
            <w:pPr>
              <w:spacing w:after="0"/>
              <w:rPr>
                <w:sz w:val="7"/>
                <w:szCs w:val="7"/>
                <w:color w:val="auto"/>
              </w:rPr>
            </w:pPr>
          </w:p>
        </w:tc>
        <w:tc>
          <w:tcPr>
            <w:tcW w:w="1200" w:type="dxa"/>
            <w:vAlign w:val="bottom"/>
            <w:tcBorders>
              <w:right w:val="single" w:sz="8" w:color="auto"/>
            </w:tcBorders>
            <w:vMerge w:val="continue"/>
            <w:shd w:val="clear" w:color="auto" w:fill="004C97"/>
          </w:tcPr>
          <w:p>
            <w:pPr>
              <w:spacing w:after="0"/>
              <w:rPr>
                <w:sz w:val="7"/>
                <w:szCs w:val="7"/>
                <w:color w:val="auto"/>
              </w:rPr>
            </w:pPr>
          </w:p>
        </w:tc>
        <w:tc>
          <w:tcPr>
            <w:tcW w:w="1080" w:type="dxa"/>
            <w:vAlign w:val="bottom"/>
            <w:tcBorders>
              <w:right w:val="single" w:sz="8" w:color="auto"/>
            </w:tcBorders>
            <w:gridSpan w:val="2"/>
            <w:vMerge w:val="continue"/>
            <w:shd w:val="clear" w:color="auto" w:fill="004C97"/>
          </w:tcPr>
          <w:p>
            <w:pPr>
              <w:spacing w:after="0"/>
              <w:rPr>
                <w:sz w:val="7"/>
                <w:szCs w:val="7"/>
                <w:color w:val="auto"/>
              </w:rPr>
            </w:pPr>
          </w:p>
        </w:tc>
        <w:tc>
          <w:tcPr>
            <w:tcW w:w="1220" w:type="dxa"/>
            <w:vAlign w:val="bottom"/>
            <w:tcBorders>
              <w:right w:val="single" w:sz="8" w:color="auto"/>
            </w:tcBorders>
            <w:vMerge w:val="continue"/>
            <w:shd w:val="clear" w:color="auto" w:fill="004C97"/>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20" w:type="dxa"/>
            <w:vAlign w:val="bottom"/>
            <w:tcBorders>
              <w:left w:val="single" w:sz="8" w:color="auto"/>
              <w:right w:val="single" w:sz="8" w:color="auto"/>
            </w:tcBorders>
            <w:shd w:val="clear" w:color="auto" w:fill="004C97"/>
          </w:tcPr>
          <w:p>
            <w:pPr>
              <w:spacing w:after="0"/>
              <w:rPr>
                <w:sz w:val="5"/>
                <w:szCs w:val="5"/>
                <w:color w:val="auto"/>
              </w:rPr>
            </w:pPr>
          </w:p>
        </w:tc>
        <w:tc>
          <w:tcPr>
            <w:tcW w:w="92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5"/>
              </w:rPr>
              <w:t>Award</w:t>
            </w:r>
          </w:p>
        </w:tc>
        <w:tc>
          <w:tcPr>
            <w:tcW w:w="120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rPr>
              <w:t>Option</w:t>
            </w:r>
          </w:p>
        </w:tc>
        <w:tc>
          <w:tcPr>
            <w:tcW w:w="1040" w:type="dxa"/>
            <w:vAlign w:val="bottom"/>
            <w:tcBorders>
              <w:right w:val="single" w:sz="8" w:color="auto"/>
            </w:tcBorders>
            <w:vMerge w:val="continue"/>
            <w:shd w:val="clear" w:color="auto" w:fill="004C97"/>
          </w:tcPr>
          <w:p>
            <w:pPr>
              <w:spacing w:after="0"/>
              <w:rPr>
                <w:sz w:val="5"/>
                <w:szCs w:val="5"/>
                <w:color w:val="auto"/>
              </w:rPr>
            </w:pPr>
          </w:p>
        </w:tc>
        <w:tc>
          <w:tcPr>
            <w:tcW w:w="90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6"/>
              </w:rPr>
              <w:t>Exercise Price</w:t>
            </w:r>
          </w:p>
        </w:tc>
        <w:tc>
          <w:tcPr>
            <w:tcW w:w="98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7"/>
              </w:rPr>
              <w:t>Expiration</w:t>
            </w:r>
          </w:p>
        </w:tc>
        <w:tc>
          <w:tcPr>
            <w:tcW w:w="1200" w:type="dxa"/>
            <w:vAlign w:val="bottom"/>
            <w:tcBorders>
              <w:right w:val="single" w:sz="8" w:color="auto"/>
            </w:tcBorders>
            <w:gridSpan w:val="2"/>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8"/>
              </w:rPr>
              <w:t>That Have Not</w:t>
            </w:r>
          </w:p>
        </w:tc>
        <w:tc>
          <w:tcPr>
            <w:tcW w:w="120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3"/>
              </w:rPr>
              <w:t>Vested</w:t>
            </w:r>
          </w:p>
        </w:tc>
        <w:tc>
          <w:tcPr>
            <w:tcW w:w="1080" w:type="dxa"/>
            <w:vAlign w:val="bottom"/>
            <w:tcBorders>
              <w:right w:val="single" w:sz="8" w:color="auto"/>
            </w:tcBorders>
            <w:gridSpan w:val="2"/>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7"/>
              </w:rPr>
              <w:t>Not Vested</w:t>
            </w:r>
          </w:p>
        </w:tc>
        <w:tc>
          <w:tcPr>
            <w:tcW w:w="122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3"/>
                <w:szCs w:val="13"/>
                <w:b w:val="1"/>
                <w:bCs w:val="1"/>
                <w:color w:val="FFFFFF"/>
                <w:w w:val="93"/>
              </w:rPr>
              <w:t>Vested</w:t>
            </w:r>
          </w:p>
        </w:tc>
        <w:tc>
          <w:tcPr>
            <w:tcW w:w="0" w:type="dxa"/>
            <w:vAlign w:val="bottom"/>
          </w:tcPr>
          <w:p>
            <w:pPr>
              <w:spacing w:after="0"/>
              <w:rPr>
                <w:sz w:val="1"/>
                <w:szCs w:val="1"/>
                <w:color w:val="auto"/>
              </w:rPr>
            </w:pPr>
          </w:p>
        </w:tc>
      </w:tr>
      <w:tr>
        <w:trPr>
          <w:trHeight w:val="126"/>
        </w:trPr>
        <w:tc>
          <w:tcPr>
            <w:tcW w:w="1520" w:type="dxa"/>
            <w:vAlign w:val="bottom"/>
            <w:tcBorders>
              <w:left w:val="single" w:sz="8" w:color="auto"/>
              <w:right w:val="single" w:sz="8" w:color="auto"/>
            </w:tcBorders>
            <w:vMerge w:val="restart"/>
            <w:shd w:val="clear" w:color="auto" w:fill="004C97"/>
          </w:tcPr>
          <w:p>
            <w:pPr>
              <w:ind w:left="600"/>
              <w:spacing w:after="0"/>
              <w:rPr>
                <w:sz w:val="20"/>
                <w:szCs w:val="20"/>
                <w:color w:val="auto"/>
              </w:rPr>
            </w:pPr>
            <w:r>
              <w:rPr>
                <w:rFonts w:ascii="Arial" w:cs="Arial" w:eastAsia="Arial" w:hAnsi="Arial"/>
                <w:sz w:val="13"/>
                <w:szCs w:val="13"/>
                <w:b w:val="1"/>
                <w:bCs w:val="1"/>
                <w:color w:val="FFFFFF"/>
              </w:rPr>
              <w:t>Name</w:t>
            </w:r>
          </w:p>
        </w:tc>
        <w:tc>
          <w:tcPr>
            <w:tcW w:w="920" w:type="dxa"/>
            <w:vAlign w:val="bottom"/>
            <w:tcBorders>
              <w:right w:val="single" w:sz="8" w:color="auto"/>
            </w:tcBorders>
            <w:vMerge w:val="continue"/>
            <w:shd w:val="clear" w:color="auto" w:fill="004C97"/>
          </w:tcPr>
          <w:p>
            <w:pPr>
              <w:spacing w:after="0"/>
              <w:rPr>
                <w:sz w:val="10"/>
                <w:szCs w:val="10"/>
                <w:color w:val="auto"/>
              </w:rPr>
            </w:pPr>
          </w:p>
        </w:tc>
        <w:tc>
          <w:tcPr>
            <w:tcW w:w="1200" w:type="dxa"/>
            <w:vAlign w:val="bottom"/>
            <w:tcBorders>
              <w:right w:val="single" w:sz="8" w:color="auto"/>
            </w:tcBorders>
            <w:vMerge w:val="continue"/>
            <w:shd w:val="clear" w:color="auto" w:fill="004C97"/>
          </w:tcPr>
          <w:p>
            <w:pPr>
              <w:spacing w:after="0"/>
              <w:rPr>
                <w:sz w:val="10"/>
                <w:szCs w:val="10"/>
                <w:color w:val="auto"/>
              </w:rPr>
            </w:pPr>
          </w:p>
        </w:tc>
        <w:tc>
          <w:tcPr>
            <w:tcW w:w="1040" w:type="dxa"/>
            <w:vAlign w:val="bottom"/>
            <w:tcBorders>
              <w:right w:val="single" w:sz="8" w:color="auto"/>
            </w:tcBorders>
            <w:shd w:val="clear" w:color="auto" w:fill="004C97"/>
          </w:tcPr>
          <w:p>
            <w:pPr>
              <w:jc w:val="center"/>
              <w:spacing w:after="0" w:line="126" w:lineRule="exact"/>
              <w:rPr>
                <w:sz w:val="20"/>
                <w:szCs w:val="20"/>
                <w:color w:val="auto"/>
              </w:rPr>
            </w:pPr>
            <w:r>
              <w:rPr>
                <w:rFonts w:ascii="Arial" w:cs="Arial" w:eastAsia="Arial" w:hAnsi="Arial"/>
                <w:sz w:val="13"/>
                <w:szCs w:val="13"/>
                <w:b w:val="1"/>
                <w:bCs w:val="1"/>
                <w:color w:val="FFFFFF"/>
                <w:w w:val="98"/>
              </w:rPr>
              <w:t>Exercisable (#)</w:t>
            </w:r>
          </w:p>
        </w:tc>
        <w:tc>
          <w:tcPr>
            <w:tcW w:w="900" w:type="dxa"/>
            <w:vAlign w:val="bottom"/>
            <w:tcBorders>
              <w:right w:val="single" w:sz="8" w:color="auto"/>
            </w:tcBorders>
            <w:vMerge w:val="continue"/>
            <w:shd w:val="clear" w:color="auto" w:fill="004C97"/>
          </w:tcPr>
          <w:p>
            <w:pPr>
              <w:spacing w:after="0"/>
              <w:rPr>
                <w:sz w:val="10"/>
                <w:szCs w:val="10"/>
                <w:color w:val="auto"/>
              </w:rPr>
            </w:pPr>
          </w:p>
        </w:tc>
        <w:tc>
          <w:tcPr>
            <w:tcW w:w="980" w:type="dxa"/>
            <w:vAlign w:val="bottom"/>
            <w:tcBorders>
              <w:right w:val="single" w:sz="8" w:color="auto"/>
            </w:tcBorders>
            <w:vMerge w:val="continue"/>
            <w:shd w:val="clear" w:color="auto" w:fill="004C97"/>
          </w:tcPr>
          <w:p>
            <w:pPr>
              <w:spacing w:after="0"/>
              <w:rPr>
                <w:sz w:val="10"/>
                <w:szCs w:val="10"/>
                <w:color w:val="auto"/>
              </w:rPr>
            </w:pPr>
          </w:p>
        </w:tc>
        <w:tc>
          <w:tcPr>
            <w:tcW w:w="1200" w:type="dxa"/>
            <w:vAlign w:val="bottom"/>
            <w:tcBorders>
              <w:right w:val="single" w:sz="8" w:color="auto"/>
            </w:tcBorders>
            <w:gridSpan w:val="2"/>
            <w:vMerge w:val="continue"/>
            <w:shd w:val="clear" w:color="auto" w:fill="004C97"/>
          </w:tcPr>
          <w:p>
            <w:pPr>
              <w:spacing w:after="0"/>
              <w:rPr>
                <w:sz w:val="10"/>
                <w:szCs w:val="10"/>
                <w:color w:val="auto"/>
              </w:rPr>
            </w:pPr>
          </w:p>
        </w:tc>
        <w:tc>
          <w:tcPr>
            <w:tcW w:w="1200" w:type="dxa"/>
            <w:vAlign w:val="bottom"/>
            <w:tcBorders>
              <w:right w:val="single" w:sz="8" w:color="auto"/>
            </w:tcBorders>
            <w:vMerge w:val="continue"/>
            <w:shd w:val="clear" w:color="auto" w:fill="004C97"/>
          </w:tcPr>
          <w:p>
            <w:pPr>
              <w:spacing w:after="0"/>
              <w:rPr>
                <w:sz w:val="10"/>
                <w:szCs w:val="10"/>
                <w:color w:val="auto"/>
              </w:rPr>
            </w:pPr>
          </w:p>
        </w:tc>
        <w:tc>
          <w:tcPr>
            <w:tcW w:w="1080" w:type="dxa"/>
            <w:vAlign w:val="bottom"/>
            <w:tcBorders>
              <w:right w:val="single" w:sz="8" w:color="auto"/>
            </w:tcBorders>
            <w:gridSpan w:val="2"/>
            <w:vMerge w:val="continue"/>
            <w:shd w:val="clear" w:color="auto" w:fill="004C97"/>
          </w:tcPr>
          <w:p>
            <w:pPr>
              <w:spacing w:after="0"/>
              <w:rPr>
                <w:sz w:val="10"/>
                <w:szCs w:val="10"/>
                <w:color w:val="auto"/>
              </w:rPr>
            </w:pPr>
          </w:p>
        </w:tc>
        <w:tc>
          <w:tcPr>
            <w:tcW w:w="1220" w:type="dxa"/>
            <w:vAlign w:val="bottom"/>
            <w:tcBorders>
              <w:right w:val="single" w:sz="8" w:color="auto"/>
            </w:tcBorders>
            <w:vMerge w:val="continue"/>
            <w:shd w:val="clear" w:color="auto" w:fill="004C97"/>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bottom w:val="single" w:sz="8" w:color="auto"/>
              <w:right w:val="single" w:sz="8" w:color="auto"/>
            </w:tcBorders>
            <w:vMerge w:val="continue"/>
            <w:shd w:val="clear" w:color="auto" w:fill="004C97"/>
          </w:tcPr>
          <w:p>
            <w:pPr>
              <w:spacing w:after="0"/>
              <w:rPr>
                <w:sz w:val="14"/>
                <w:szCs w:val="14"/>
                <w:color w:val="auto"/>
              </w:rPr>
            </w:pPr>
          </w:p>
        </w:tc>
        <w:tc>
          <w:tcPr>
            <w:tcW w:w="92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2"/>
              </w:rPr>
              <w:t>Date</w:t>
            </w:r>
          </w:p>
        </w:tc>
        <w:tc>
          <w:tcPr>
            <w:tcW w:w="1200" w:type="dxa"/>
            <w:vAlign w:val="bottom"/>
            <w:tcBorders>
              <w:bottom w:val="single" w:sz="8" w:color="auto"/>
              <w:right w:val="single" w:sz="8" w:color="auto"/>
            </w:tcBorders>
            <w:shd w:val="clear" w:color="auto" w:fill="004C97"/>
          </w:tcPr>
          <w:p>
            <w:pPr>
              <w:jc w:val="center"/>
              <w:spacing w:after="0" w:line="162" w:lineRule="exact"/>
              <w:rPr>
                <w:sz w:val="20"/>
                <w:szCs w:val="20"/>
                <w:color w:val="auto"/>
              </w:rPr>
            </w:pPr>
            <w:r>
              <w:rPr>
                <w:rFonts w:ascii="Arial" w:cs="Arial" w:eastAsia="Arial" w:hAnsi="Arial"/>
                <w:sz w:val="13"/>
                <w:szCs w:val="13"/>
                <w:b w:val="1"/>
                <w:bCs w:val="1"/>
                <w:color w:val="FFFFFF"/>
                <w:w w:val="94"/>
              </w:rPr>
              <w:t>Unexercisable (#)</w:t>
            </w:r>
            <w:r>
              <w:rPr>
                <w:rFonts w:ascii="Arial" w:cs="Arial" w:eastAsia="Arial" w:hAnsi="Arial"/>
                <w:sz w:val="16"/>
                <w:szCs w:val="16"/>
                <w:b w:val="1"/>
                <w:bCs w:val="1"/>
                <w:color w:val="FFFFFF"/>
                <w:w w:val="94"/>
                <w:vertAlign w:val="superscript"/>
              </w:rPr>
              <w:t>(1)</w:t>
            </w:r>
          </w:p>
        </w:tc>
        <w:tc>
          <w:tcPr>
            <w:tcW w:w="104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8"/>
                <w:szCs w:val="8"/>
                <w:b w:val="1"/>
                <w:bCs w:val="1"/>
                <w:color w:val="FFFFFF"/>
              </w:rPr>
              <w:t>(1)</w:t>
            </w:r>
          </w:p>
        </w:tc>
        <w:tc>
          <w:tcPr>
            <w:tcW w:w="9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rPr>
              <w:t>($)</w:t>
            </w:r>
          </w:p>
        </w:tc>
        <w:tc>
          <w:tcPr>
            <w:tcW w:w="98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9"/>
              </w:rPr>
              <w:t>Date</w:t>
            </w:r>
          </w:p>
        </w:tc>
        <w:tc>
          <w:tcPr>
            <w:tcW w:w="1200" w:type="dxa"/>
            <w:vAlign w:val="bottom"/>
            <w:tcBorders>
              <w:bottom w:val="single" w:sz="8" w:color="auto"/>
              <w:right w:val="single" w:sz="8" w:color="auto"/>
            </w:tcBorders>
            <w:gridSpan w:val="2"/>
            <w:shd w:val="clear" w:color="auto" w:fill="004C97"/>
          </w:tcPr>
          <w:p>
            <w:pPr>
              <w:jc w:val="center"/>
              <w:spacing w:after="0"/>
              <w:rPr>
                <w:sz w:val="20"/>
                <w:szCs w:val="20"/>
                <w:color w:val="auto"/>
              </w:rPr>
            </w:pPr>
            <w:r>
              <w:rPr>
                <w:rFonts w:ascii="Arial" w:cs="Arial" w:eastAsia="Arial" w:hAnsi="Arial"/>
                <w:sz w:val="13"/>
                <w:szCs w:val="13"/>
                <w:b w:val="1"/>
                <w:bCs w:val="1"/>
                <w:color w:val="FFFFFF"/>
                <w:w w:val="93"/>
              </w:rPr>
              <w:t>Vested (#)</w:t>
            </w:r>
          </w:p>
        </w:tc>
        <w:tc>
          <w:tcPr>
            <w:tcW w:w="1200" w:type="dxa"/>
            <w:vAlign w:val="bottom"/>
            <w:tcBorders>
              <w:bottom w:val="single" w:sz="8" w:color="auto"/>
              <w:right w:val="single" w:sz="8" w:color="auto"/>
            </w:tcBorders>
            <w:shd w:val="clear" w:color="auto" w:fill="004C97"/>
          </w:tcPr>
          <w:p>
            <w:pPr>
              <w:jc w:val="center"/>
              <w:spacing w:after="0" w:line="162"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7"/>
                <w:szCs w:val="7"/>
                <w:b w:val="1"/>
                <w:bCs w:val="1"/>
                <w:color w:val="FFFFFF"/>
              </w:rPr>
              <w:t>(2)</w:t>
            </w:r>
          </w:p>
        </w:tc>
        <w:tc>
          <w:tcPr>
            <w:tcW w:w="660" w:type="dxa"/>
            <w:vAlign w:val="bottom"/>
            <w:tcBorders>
              <w:bottom w:val="single" w:sz="8" w:color="auto"/>
            </w:tcBorders>
            <w:shd w:val="clear" w:color="auto" w:fill="004C97"/>
          </w:tcPr>
          <w:p>
            <w:pPr>
              <w:jc w:val="center"/>
              <w:ind w:left="317"/>
              <w:spacing w:after="0"/>
              <w:rPr>
                <w:sz w:val="20"/>
                <w:szCs w:val="20"/>
                <w:color w:val="auto"/>
              </w:rPr>
            </w:pPr>
            <w:r>
              <w:rPr>
                <w:rFonts w:ascii="Arial" w:cs="Arial" w:eastAsia="Arial" w:hAnsi="Arial"/>
                <w:sz w:val="13"/>
                <w:szCs w:val="13"/>
                <w:b w:val="1"/>
                <w:bCs w:val="1"/>
                <w:color w:val="FFFFFF"/>
              </w:rPr>
              <w:t>(#)</w:t>
            </w:r>
          </w:p>
        </w:tc>
        <w:tc>
          <w:tcPr>
            <w:tcW w:w="420" w:type="dxa"/>
            <w:vAlign w:val="bottom"/>
            <w:tcBorders>
              <w:bottom w:val="single" w:sz="8" w:color="auto"/>
              <w:right w:val="single" w:sz="8" w:color="auto"/>
            </w:tcBorders>
            <w:shd w:val="clear" w:color="auto" w:fill="004C97"/>
          </w:tcPr>
          <w:p>
            <w:pPr>
              <w:spacing w:after="0"/>
              <w:rPr>
                <w:sz w:val="14"/>
                <w:szCs w:val="14"/>
                <w:color w:val="auto"/>
              </w:rPr>
            </w:pPr>
          </w:p>
        </w:tc>
        <w:tc>
          <w:tcPr>
            <w:tcW w:w="1220" w:type="dxa"/>
            <w:vAlign w:val="bottom"/>
            <w:tcBorders>
              <w:bottom w:val="single" w:sz="8" w:color="auto"/>
              <w:right w:val="single" w:sz="8" w:color="auto"/>
            </w:tcBorders>
            <w:shd w:val="clear" w:color="auto" w:fill="004C97"/>
          </w:tcPr>
          <w:p>
            <w:pPr>
              <w:jc w:val="center"/>
              <w:spacing w:after="0" w:line="162" w:lineRule="exact"/>
              <w:rPr>
                <w:sz w:val="20"/>
                <w:szCs w:val="20"/>
                <w:color w:val="auto"/>
              </w:rPr>
            </w:pPr>
            <w:r>
              <w:rPr>
                <w:rFonts w:ascii="Arial" w:cs="Arial" w:eastAsia="Arial" w:hAnsi="Arial"/>
                <w:sz w:val="13"/>
                <w:szCs w:val="13"/>
                <w:b w:val="1"/>
                <w:bCs w:val="1"/>
                <w:color w:val="FFFFFF"/>
                <w:w w:val="82"/>
              </w:rPr>
              <w:t>($)</w:t>
            </w:r>
            <w:r>
              <w:rPr>
                <w:rFonts w:ascii="Arial" w:cs="Arial" w:eastAsia="Arial" w:hAnsi="Arial"/>
                <w:sz w:val="16"/>
                <w:szCs w:val="16"/>
                <w:b w:val="1"/>
                <w:bCs w:val="1"/>
                <w:color w:val="FFFFFF"/>
                <w:w w:val="82"/>
                <w:vertAlign w:val="superscript"/>
              </w:rPr>
              <w:t>(2)</w:t>
            </w:r>
          </w:p>
        </w:tc>
        <w:tc>
          <w:tcPr>
            <w:tcW w:w="0" w:type="dxa"/>
            <w:vAlign w:val="bottom"/>
          </w:tcPr>
          <w:p>
            <w:pPr>
              <w:spacing w:after="0"/>
              <w:rPr>
                <w:sz w:val="1"/>
                <w:szCs w:val="1"/>
                <w:color w:val="auto"/>
              </w:rPr>
            </w:pPr>
          </w:p>
        </w:tc>
      </w:tr>
      <w:tr>
        <w:trPr>
          <w:trHeight w:val="168"/>
        </w:trPr>
        <w:tc>
          <w:tcPr>
            <w:tcW w:w="1520" w:type="dxa"/>
            <w:vAlign w:val="bottom"/>
            <w:tcBorders>
              <w:left w:val="single" w:sz="8" w:color="auto"/>
              <w:right w:val="single" w:sz="8" w:color="auto"/>
            </w:tcBorders>
          </w:tcPr>
          <w:p>
            <w:pPr>
              <w:spacing w:after="0"/>
              <w:rPr>
                <w:sz w:val="14"/>
                <w:szCs w:val="14"/>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5"/>
              </w:rPr>
              <w:t>02/20/2020</w:t>
            </w:r>
          </w:p>
        </w:tc>
        <w:tc>
          <w:tcPr>
            <w:tcW w:w="12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10,552</w:t>
            </w:r>
          </w:p>
        </w:tc>
        <w:tc>
          <w:tcPr>
            <w:tcW w:w="90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50.09</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02/20/2030</w:t>
            </w:r>
          </w:p>
        </w:tc>
        <w:tc>
          <w:tcPr>
            <w:tcW w:w="78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520" w:type="dxa"/>
            <w:vAlign w:val="bottom"/>
            <w:tcBorders>
              <w:left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520" w:type="dxa"/>
            <w:vAlign w:val="bottom"/>
            <w:tcBorders>
              <w:left w:val="single" w:sz="8" w:color="auto"/>
              <w:right w:val="single" w:sz="8" w:color="auto"/>
            </w:tcBorders>
          </w:tcPr>
          <w:p>
            <w:pPr>
              <w:spacing w:after="0"/>
              <w:rPr>
                <w:sz w:val="17"/>
                <w:szCs w:val="17"/>
                <w:color w:val="auto"/>
              </w:rPr>
            </w:pPr>
          </w:p>
        </w:tc>
        <w:tc>
          <w:tcPr>
            <w:tcW w:w="9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03/01/2021</w:t>
            </w:r>
          </w:p>
        </w:tc>
        <w:tc>
          <w:tcPr>
            <w:tcW w:w="1200" w:type="dxa"/>
            <w:vAlign w:val="bottom"/>
            <w:tcBorders>
              <w:bottom w:val="single" w:sz="8" w:color="E5E5E5"/>
              <w:right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E5E5E5"/>
              <w:right w:val="single" w:sz="8" w:color="auto"/>
            </w:tcBorders>
            <w:shd w:val="clear" w:color="auto" w:fill="E5E5E5"/>
          </w:tcPr>
          <w:p>
            <w:pPr>
              <w:jc w:val="right"/>
              <w:ind w:right="18"/>
              <w:spacing w:after="0"/>
              <w:rPr>
                <w:sz w:val="20"/>
                <w:szCs w:val="20"/>
                <w:color w:val="auto"/>
              </w:rPr>
            </w:pPr>
            <w:r>
              <w:rPr>
                <w:rFonts w:ascii="Arial" w:cs="Arial" w:eastAsia="Arial" w:hAnsi="Arial"/>
                <w:sz w:val="13"/>
                <w:szCs w:val="13"/>
                <w:color w:val="auto"/>
              </w:rPr>
              <w:t>8,101</w:t>
            </w:r>
          </w:p>
        </w:tc>
        <w:tc>
          <w:tcPr>
            <w:tcW w:w="900" w:type="dxa"/>
            <w:vAlign w:val="bottom"/>
            <w:tcBorders>
              <w:bottom w:val="single" w:sz="8" w:color="E5E5E5"/>
              <w:right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58.34</w:t>
            </w:r>
          </w:p>
        </w:tc>
        <w:tc>
          <w:tcPr>
            <w:tcW w:w="98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03/01/2031</w:t>
            </w:r>
          </w:p>
        </w:tc>
        <w:tc>
          <w:tcPr>
            <w:tcW w:w="780" w:type="dxa"/>
            <w:vAlign w:val="bottom"/>
            <w:tcBorders>
              <w:bottom w:val="single" w:sz="8" w:color="E5E5E5"/>
            </w:tcBorders>
            <w:shd w:val="clear" w:color="auto" w:fill="E5E5E5"/>
          </w:tcPr>
          <w:p>
            <w:pPr>
              <w:spacing w:after="0"/>
              <w:rPr>
                <w:sz w:val="17"/>
                <w:szCs w:val="17"/>
                <w:color w:val="auto"/>
              </w:rPr>
            </w:pPr>
          </w:p>
        </w:tc>
        <w:tc>
          <w:tcPr>
            <w:tcW w:w="420" w:type="dxa"/>
            <w:vAlign w:val="bottom"/>
            <w:tcBorders>
              <w:bottom w:val="single" w:sz="8" w:color="E5E5E5"/>
              <w:right w:val="single" w:sz="8" w:color="auto"/>
            </w:tcBorders>
            <w:shd w:val="clear" w:color="auto" w:fill="E5E5E5"/>
          </w:tcPr>
          <w:p>
            <w:pPr>
              <w:spacing w:after="0"/>
              <w:rPr>
                <w:sz w:val="17"/>
                <w:szCs w:val="17"/>
                <w:color w:val="auto"/>
              </w:rPr>
            </w:pPr>
          </w:p>
        </w:tc>
        <w:tc>
          <w:tcPr>
            <w:tcW w:w="1200" w:type="dxa"/>
            <w:vAlign w:val="bottom"/>
            <w:tcBorders>
              <w:bottom w:val="single" w:sz="8" w:color="E5E5E5"/>
              <w:right w:val="single" w:sz="8" w:color="auto"/>
            </w:tcBorders>
            <w:shd w:val="clear" w:color="auto" w:fill="E5E5E5"/>
          </w:tcPr>
          <w:p>
            <w:pPr>
              <w:spacing w:after="0"/>
              <w:rPr>
                <w:sz w:val="17"/>
                <w:szCs w:val="17"/>
                <w:color w:val="auto"/>
              </w:rPr>
            </w:pPr>
          </w:p>
        </w:tc>
        <w:tc>
          <w:tcPr>
            <w:tcW w:w="660" w:type="dxa"/>
            <w:vAlign w:val="bottom"/>
            <w:tcBorders>
              <w:bottom w:val="single" w:sz="8" w:color="E5E5E5"/>
            </w:tcBorders>
            <w:shd w:val="clear" w:color="auto" w:fill="E5E5E5"/>
          </w:tcPr>
          <w:p>
            <w:pPr>
              <w:spacing w:after="0"/>
              <w:rPr>
                <w:sz w:val="17"/>
                <w:szCs w:val="17"/>
                <w:color w:val="auto"/>
              </w:rPr>
            </w:pPr>
          </w:p>
        </w:tc>
        <w:tc>
          <w:tcPr>
            <w:tcW w:w="420" w:type="dxa"/>
            <w:vAlign w:val="bottom"/>
            <w:tcBorders>
              <w:bottom w:val="single" w:sz="8" w:color="E5E5E5"/>
              <w:right w:val="single" w:sz="8" w:color="auto"/>
            </w:tcBorders>
            <w:shd w:val="clear" w:color="auto" w:fill="E5E5E5"/>
          </w:tcPr>
          <w:p>
            <w:pPr>
              <w:spacing w:after="0"/>
              <w:rPr>
                <w:sz w:val="17"/>
                <w:szCs w:val="17"/>
                <w:color w:val="auto"/>
              </w:rPr>
            </w:pPr>
          </w:p>
        </w:tc>
        <w:tc>
          <w:tcPr>
            <w:tcW w:w="1220" w:type="dxa"/>
            <w:vAlign w:val="bottom"/>
            <w:tcBorders>
              <w:bottom w:val="single" w:sz="8" w:color="E5E5E5"/>
              <w:right w:val="single" w:sz="8" w:color="auto"/>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520" w:type="dxa"/>
            <w:vAlign w:val="bottom"/>
            <w:tcBorders>
              <w:left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03/01/2022</w:t>
            </w:r>
          </w:p>
        </w:tc>
        <w:tc>
          <w:tcPr>
            <w:tcW w:w="1200" w:type="dxa"/>
            <w:vAlign w:val="bottom"/>
            <w:tcBorders>
              <w:top w:val="single" w:sz="8" w:color="auto"/>
              <w:right w:val="single" w:sz="8" w:color="auto"/>
            </w:tcBorders>
          </w:tcPr>
          <w:p>
            <w:pPr>
              <w:spacing w:after="0"/>
              <w:rPr>
                <w:sz w:val="14"/>
                <w:szCs w:val="14"/>
                <w:color w:val="auto"/>
              </w:rPr>
            </w:pPr>
          </w:p>
        </w:tc>
        <w:tc>
          <w:tcPr>
            <w:tcW w:w="104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98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tcBorders>
          </w:tcPr>
          <w:p>
            <w:pPr>
              <w:jc w:val="center"/>
              <w:ind w:left="317"/>
              <w:spacing w:after="0"/>
              <w:rPr>
                <w:sz w:val="20"/>
                <w:szCs w:val="20"/>
                <w:color w:val="auto"/>
              </w:rPr>
            </w:pPr>
            <w:r>
              <w:rPr>
                <w:rFonts w:ascii="Arial" w:cs="Arial" w:eastAsia="Arial" w:hAnsi="Arial"/>
                <w:sz w:val="13"/>
                <w:szCs w:val="13"/>
                <w:color w:val="auto"/>
                <w:w w:val="98"/>
              </w:rPr>
              <w:t>6,821</w:t>
            </w:r>
          </w:p>
        </w:tc>
        <w:tc>
          <w:tcPr>
            <w:tcW w:w="420" w:type="dxa"/>
            <w:vAlign w:val="bottom"/>
            <w:tcBorders>
              <w:top w:val="single" w:sz="8" w:color="auto"/>
              <w:right w:val="single" w:sz="8" w:color="auto"/>
            </w:tcBorders>
          </w:tcPr>
          <w:p>
            <w:pPr>
              <w:spacing w:after="0"/>
              <w:rPr>
                <w:sz w:val="14"/>
                <w:szCs w:val="14"/>
                <w:color w:val="auto"/>
              </w:rPr>
            </w:pPr>
          </w:p>
        </w:tc>
        <w:tc>
          <w:tcPr>
            <w:tcW w:w="1200" w:type="dxa"/>
            <w:vAlign w:val="bottom"/>
            <w:tcBorders>
              <w:top w:val="single" w:sz="8" w:color="auto"/>
              <w:right w:val="single" w:sz="8" w:color="auto"/>
            </w:tcBorders>
          </w:tcPr>
          <w:p>
            <w:pPr>
              <w:jc w:val="right"/>
              <w:ind w:right="38"/>
              <w:spacing w:after="0"/>
              <w:rPr>
                <w:sz w:val="20"/>
                <w:szCs w:val="20"/>
                <w:color w:val="auto"/>
              </w:rPr>
            </w:pPr>
            <w:r>
              <w:rPr>
                <w:rFonts w:ascii="Arial" w:cs="Arial" w:eastAsia="Arial" w:hAnsi="Arial"/>
                <w:sz w:val="13"/>
                <w:szCs w:val="13"/>
                <w:color w:val="auto"/>
              </w:rPr>
              <w:t>992,592</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10,232</w:t>
            </w:r>
          </w:p>
        </w:tc>
        <w:tc>
          <w:tcPr>
            <w:tcW w:w="4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(3b)</w:t>
            </w:r>
          </w:p>
        </w:tc>
        <w:tc>
          <w:tcPr>
            <w:tcW w:w="122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1,488,888</w:t>
            </w:r>
          </w:p>
        </w:tc>
        <w:tc>
          <w:tcPr>
            <w:tcW w:w="0" w:type="dxa"/>
            <w:vAlign w:val="bottom"/>
          </w:tcPr>
          <w:p>
            <w:pPr>
              <w:spacing w:after="0"/>
              <w:rPr>
                <w:sz w:val="1"/>
                <w:szCs w:val="1"/>
                <w:color w:val="auto"/>
              </w:rPr>
            </w:pPr>
          </w:p>
        </w:tc>
      </w:tr>
      <w:tr>
        <w:trPr>
          <w:trHeight w:val="28"/>
        </w:trPr>
        <w:tc>
          <w:tcPr>
            <w:tcW w:w="1520" w:type="dxa"/>
            <w:vAlign w:val="bottom"/>
            <w:tcBorders>
              <w:left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520" w:type="dxa"/>
            <w:vAlign w:val="bottom"/>
            <w:tcBorders>
              <w:left w:val="single" w:sz="8" w:color="auto"/>
              <w:right w:val="single" w:sz="8" w:color="auto"/>
            </w:tcBorders>
          </w:tcPr>
          <w:p>
            <w:pPr>
              <w:spacing w:after="0"/>
              <w:rPr>
                <w:sz w:val="17"/>
                <w:szCs w:val="17"/>
                <w:color w:val="auto"/>
              </w:rPr>
            </w:pPr>
          </w:p>
        </w:tc>
        <w:tc>
          <w:tcPr>
            <w:tcW w:w="9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03/01/2022</w:t>
            </w:r>
          </w:p>
        </w:tc>
        <w:tc>
          <w:tcPr>
            <w:tcW w:w="1200" w:type="dxa"/>
            <w:vAlign w:val="bottom"/>
            <w:tcBorders>
              <w:bottom w:val="single" w:sz="8" w:color="E5E5E5"/>
              <w:right w:val="single" w:sz="8" w:color="auto"/>
            </w:tcBorders>
            <w:shd w:val="clear" w:color="auto" w:fill="E5E5E5"/>
          </w:tcPr>
          <w:p>
            <w:pPr>
              <w:spacing w:after="0"/>
              <w:rPr>
                <w:sz w:val="17"/>
                <w:szCs w:val="17"/>
                <w:color w:val="auto"/>
              </w:rPr>
            </w:pPr>
          </w:p>
        </w:tc>
        <w:tc>
          <w:tcPr>
            <w:tcW w:w="1040" w:type="dxa"/>
            <w:vAlign w:val="bottom"/>
            <w:tcBorders>
              <w:bottom w:val="single" w:sz="8" w:color="E5E5E5"/>
              <w:right w:val="single" w:sz="8" w:color="auto"/>
            </w:tcBorders>
            <w:shd w:val="clear" w:color="auto" w:fill="E5E5E5"/>
          </w:tcPr>
          <w:p>
            <w:pPr>
              <w:spacing w:after="0"/>
              <w:rPr>
                <w:sz w:val="17"/>
                <w:szCs w:val="17"/>
                <w:color w:val="auto"/>
              </w:rPr>
            </w:pPr>
          </w:p>
        </w:tc>
        <w:tc>
          <w:tcPr>
            <w:tcW w:w="900" w:type="dxa"/>
            <w:vAlign w:val="bottom"/>
            <w:tcBorders>
              <w:bottom w:val="single" w:sz="8" w:color="E5E5E5"/>
              <w:right w:val="single" w:sz="8" w:color="auto"/>
            </w:tcBorders>
            <w:shd w:val="clear" w:color="auto" w:fill="E5E5E5"/>
          </w:tcPr>
          <w:p>
            <w:pPr>
              <w:spacing w:after="0"/>
              <w:rPr>
                <w:sz w:val="17"/>
                <w:szCs w:val="17"/>
                <w:color w:val="auto"/>
              </w:rPr>
            </w:pPr>
          </w:p>
        </w:tc>
        <w:tc>
          <w:tcPr>
            <w:tcW w:w="980" w:type="dxa"/>
            <w:vAlign w:val="bottom"/>
            <w:tcBorders>
              <w:bottom w:val="single" w:sz="8" w:color="E5E5E5"/>
              <w:right w:val="single" w:sz="8" w:color="auto"/>
            </w:tcBorders>
            <w:shd w:val="clear" w:color="auto" w:fill="E5E5E5"/>
          </w:tcPr>
          <w:p>
            <w:pPr>
              <w:spacing w:after="0"/>
              <w:rPr>
                <w:sz w:val="17"/>
                <w:szCs w:val="17"/>
                <w:color w:val="auto"/>
              </w:rPr>
            </w:pPr>
          </w:p>
        </w:tc>
        <w:tc>
          <w:tcPr>
            <w:tcW w:w="780" w:type="dxa"/>
            <w:vAlign w:val="bottom"/>
            <w:tcBorders>
              <w:bottom w:val="single" w:sz="8" w:color="E5E5E5"/>
            </w:tcBorders>
            <w:shd w:val="clear" w:color="auto" w:fill="E5E5E5"/>
          </w:tcPr>
          <w:p>
            <w:pPr>
              <w:jc w:val="center"/>
              <w:ind w:left="317"/>
              <w:spacing w:after="0"/>
              <w:rPr>
                <w:sz w:val="20"/>
                <w:szCs w:val="20"/>
                <w:color w:val="auto"/>
              </w:rPr>
            </w:pPr>
            <w:r>
              <w:rPr>
                <w:rFonts w:ascii="Arial" w:cs="Arial" w:eastAsia="Arial" w:hAnsi="Arial"/>
                <w:sz w:val="13"/>
                <w:szCs w:val="13"/>
                <w:color w:val="auto"/>
                <w:w w:val="98"/>
              </w:rPr>
              <w:t>1,137</w:t>
            </w:r>
          </w:p>
        </w:tc>
        <w:tc>
          <w:tcPr>
            <w:tcW w:w="420" w:type="dxa"/>
            <w:vAlign w:val="bottom"/>
            <w:tcBorders>
              <w:bottom w:val="single" w:sz="8" w:color="E5E5E5"/>
              <w:right w:val="single" w:sz="8" w:color="auto"/>
            </w:tcBorders>
            <w:shd w:val="clear" w:color="auto" w:fill="E5E5E5"/>
          </w:tcPr>
          <w:p>
            <w:pPr>
              <w:ind w:left="40"/>
              <w:spacing w:after="0"/>
              <w:rPr>
                <w:sz w:val="20"/>
                <w:szCs w:val="20"/>
                <w:color w:val="auto"/>
              </w:rPr>
            </w:pPr>
            <w:r>
              <w:rPr>
                <w:rFonts w:ascii="Arial" w:cs="Arial" w:eastAsia="Arial" w:hAnsi="Arial"/>
                <w:sz w:val="11"/>
                <w:szCs w:val="11"/>
                <w:color w:val="auto"/>
              </w:rPr>
              <w:t>(3a)</w:t>
            </w:r>
          </w:p>
        </w:tc>
        <w:tc>
          <w:tcPr>
            <w:tcW w:w="1200" w:type="dxa"/>
            <w:vAlign w:val="bottom"/>
            <w:tcBorders>
              <w:bottom w:val="single" w:sz="8" w:color="E5E5E5"/>
              <w:right w:val="single" w:sz="8" w:color="auto"/>
            </w:tcBorders>
            <w:shd w:val="clear" w:color="auto" w:fill="E5E5E5"/>
          </w:tcPr>
          <w:p>
            <w:pPr>
              <w:jc w:val="right"/>
              <w:ind w:right="38"/>
              <w:spacing w:after="0"/>
              <w:rPr>
                <w:sz w:val="20"/>
                <w:szCs w:val="20"/>
                <w:color w:val="auto"/>
              </w:rPr>
            </w:pPr>
            <w:r>
              <w:rPr>
                <w:rFonts w:ascii="Arial" w:cs="Arial" w:eastAsia="Arial" w:hAnsi="Arial"/>
                <w:sz w:val="13"/>
                <w:szCs w:val="13"/>
                <w:color w:val="auto"/>
              </w:rPr>
              <w:t>165,456</w:t>
            </w: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E5E5E5"/>
              <w:right w:val="single" w:sz="8" w:color="auto"/>
            </w:tcBorders>
            <w:shd w:val="clear" w:color="auto" w:fill="E5E5E5"/>
          </w:tcPr>
          <w:p>
            <w:pPr>
              <w:spacing w:after="0"/>
              <w:rPr>
                <w:sz w:val="17"/>
                <w:szCs w:val="17"/>
                <w:color w:val="auto"/>
              </w:rPr>
            </w:pPr>
          </w:p>
        </w:tc>
        <w:tc>
          <w:tcPr>
            <w:tcW w:w="1220" w:type="dxa"/>
            <w:vAlign w:val="bottom"/>
            <w:tcBorders>
              <w:bottom w:val="single" w:sz="8" w:color="E5E5E5"/>
              <w:right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520" w:type="dxa"/>
            <w:vAlign w:val="bottom"/>
            <w:tcBorders>
              <w:left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03/01/2022</w:t>
            </w:r>
          </w:p>
        </w:tc>
        <w:tc>
          <w:tcPr>
            <w:tcW w:w="120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2,881</w:t>
            </w:r>
          </w:p>
        </w:tc>
        <w:tc>
          <w:tcPr>
            <w:tcW w:w="1040" w:type="dxa"/>
            <w:vAlign w:val="bottom"/>
            <w:tcBorders>
              <w:top w:val="single" w:sz="8" w:color="auto"/>
              <w:right w:val="single" w:sz="8" w:color="auto"/>
            </w:tcBorders>
          </w:tcPr>
          <w:p>
            <w:pPr>
              <w:jc w:val="right"/>
              <w:ind w:right="18"/>
              <w:spacing w:after="0"/>
              <w:rPr>
                <w:sz w:val="20"/>
                <w:szCs w:val="20"/>
                <w:color w:val="auto"/>
              </w:rPr>
            </w:pPr>
            <w:r>
              <w:rPr>
                <w:rFonts w:ascii="Arial" w:cs="Arial" w:eastAsia="Arial" w:hAnsi="Arial"/>
                <w:sz w:val="13"/>
                <w:szCs w:val="13"/>
                <w:color w:val="auto"/>
              </w:rPr>
              <w:t>5,760</w:t>
            </w:r>
          </w:p>
        </w:tc>
        <w:tc>
          <w:tcPr>
            <w:tcW w:w="90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48.97</w:t>
            </w: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03/01/2032</w:t>
            </w:r>
          </w:p>
        </w:tc>
        <w:tc>
          <w:tcPr>
            <w:tcW w:w="780" w:type="dxa"/>
            <w:vAlign w:val="bottom"/>
            <w:tcBorders>
              <w:top w:val="single" w:sz="8" w:color="auto"/>
            </w:tcBorders>
          </w:tcPr>
          <w:p>
            <w:pPr>
              <w:spacing w:after="0"/>
              <w:rPr>
                <w:sz w:val="14"/>
                <w:szCs w:val="14"/>
                <w:color w:val="auto"/>
              </w:rPr>
            </w:pPr>
          </w:p>
        </w:tc>
        <w:tc>
          <w:tcPr>
            <w:tcW w:w="420" w:type="dxa"/>
            <w:vAlign w:val="bottom"/>
            <w:tcBorders>
              <w:top w:val="single" w:sz="8" w:color="auto"/>
              <w:right w:val="single" w:sz="8" w:color="auto"/>
            </w:tcBorders>
          </w:tcPr>
          <w:p>
            <w:pPr>
              <w:spacing w:after="0"/>
              <w:rPr>
                <w:sz w:val="14"/>
                <w:szCs w:val="14"/>
                <w:color w:val="auto"/>
              </w:rPr>
            </w:pPr>
          </w:p>
        </w:tc>
        <w:tc>
          <w:tcPr>
            <w:tcW w:w="1200" w:type="dxa"/>
            <w:vAlign w:val="bottom"/>
            <w:tcBorders>
              <w:top w:val="single" w:sz="8" w:color="auto"/>
              <w:right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20" w:type="dxa"/>
            <w:vAlign w:val="bottom"/>
            <w:tcBorders>
              <w:top w:val="single" w:sz="8" w:color="auto"/>
              <w:right w:val="single" w:sz="8" w:color="auto"/>
            </w:tcBorders>
          </w:tcPr>
          <w:p>
            <w:pPr>
              <w:spacing w:after="0"/>
              <w:rPr>
                <w:sz w:val="14"/>
                <w:szCs w:val="14"/>
                <w:color w:val="auto"/>
              </w:rPr>
            </w:pPr>
          </w:p>
        </w:tc>
        <w:tc>
          <w:tcPr>
            <w:tcW w:w="122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520" w:type="dxa"/>
            <w:vAlign w:val="bottom"/>
            <w:tcBorders>
              <w:left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John W. Swann, III</w:t>
            </w:r>
          </w:p>
        </w:tc>
        <w:tc>
          <w:tcPr>
            <w:tcW w:w="9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03/01/2023</w:t>
            </w:r>
          </w:p>
        </w:tc>
        <w:tc>
          <w:tcPr>
            <w:tcW w:w="1200" w:type="dxa"/>
            <w:vAlign w:val="bottom"/>
            <w:tcBorders>
              <w:bottom w:val="single" w:sz="8" w:color="E5E5E5"/>
              <w:right w:val="single" w:sz="8" w:color="auto"/>
            </w:tcBorders>
            <w:shd w:val="clear" w:color="auto" w:fill="E5E5E5"/>
          </w:tcPr>
          <w:p>
            <w:pPr>
              <w:spacing w:after="0"/>
              <w:rPr>
                <w:sz w:val="17"/>
                <w:szCs w:val="17"/>
                <w:color w:val="auto"/>
              </w:rPr>
            </w:pPr>
          </w:p>
        </w:tc>
        <w:tc>
          <w:tcPr>
            <w:tcW w:w="1040" w:type="dxa"/>
            <w:vAlign w:val="bottom"/>
            <w:tcBorders>
              <w:bottom w:val="single" w:sz="8" w:color="E5E5E5"/>
              <w:right w:val="single" w:sz="8" w:color="auto"/>
            </w:tcBorders>
            <w:shd w:val="clear" w:color="auto" w:fill="E5E5E5"/>
          </w:tcPr>
          <w:p>
            <w:pPr>
              <w:spacing w:after="0"/>
              <w:rPr>
                <w:sz w:val="17"/>
                <w:szCs w:val="17"/>
                <w:color w:val="auto"/>
              </w:rPr>
            </w:pPr>
          </w:p>
        </w:tc>
        <w:tc>
          <w:tcPr>
            <w:tcW w:w="900" w:type="dxa"/>
            <w:vAlign w:val="bottom"/>
            <w:tcBorders>
              <w:bottom w:val="single" w:sz="8" w:color="E5E5E5"/>
              <w:right w:val="single" w:sz="8" w:color="auto"/>
            </w:tcBorders>
            <w:shd w:val="clear" w:color="auto" w:fill="E5E5E5"/>
          </w:tcPr>
          <w:p>
            <w:pPr>
              <w:spacing w:after="0"/>
              <w:rPr>
                <w:sz w:val="17"/>
                <w:szCs w:val="17"/>
                <w:color w:val="auto"/>
              </w:rPr>
            </w:pPr>
          </w:p>
        </w:tc>
        <w:tc>
          <w:tcPr>
            <w:tcW w:w="980" w:type="dxa"/>
            <w:vAlign w:val="bottom"/>
            <w:tcBorders>
              <w:bottom w:val="single" w:sz="8" w:color="E5E5E5"/>
              <w:right w:val="single" w:sz="8" w:color="auto"/>
            </w:tcBorders>
            <w:shd w:val="clear" w:color="auto" w:fill="E5E5E5"/>
          </w:tcPr>
          <w:p>
            <w:pPr>
              <w:spacing w:after="0"/>
              <w:rPr>
                <w:sz w:val="17"/>
                <w:szCs w:val="17"/>
                <w:color w:val="auto"/>
              </w:rPr>
            </w:pPr>
          </w:p>
        </w:tc>
        <w:tc>
          <w:tcPr>
            <w:tcW w:w="780" w:type="dxa"/>
            <w:vAlign w:val="bottom"/>
            <w:tcBorders>
              <w:bottom w:val="single" w:sz="8" w:color="E5E5E5"/>
            </w:tcBorders>
            <w:shd w:val="clear" w:color="auto" w:fill="E5E5E5"/>
          </w:tcPr>
          <w:p>
            <w:pPr>
              <w:jc w:val="center"/>
              <w:ind w:left="317"/>
              <w:spacing w:after="0"/>
              <w:rPr>
                <w:sz w:val="20"/>
                <w:szCs w:val="20"/>
                <w:color w:val="auto"/>
              </w:rPr>
            </w:pPr>
            <w:r>
              <w:rPr>
                <w:rFonts w:ascii="Arial" w:cs="Arial" w:eastAsia="Arial" w:hAnsi="Arial"/>
                <w:sz w:val="13"/>
                <w:szCs w:val="13"/>
                <w:color w:val="auto"/>
                <w:w w:val="98"/>
              </w:rPr>
              <w:t>5,160</w:t>
            </w:r>
          </w:p>
        </w:tc>
        <w:tc>
          <w:tcPr>
            <w:tcW w:w="420" w:type="dxa"/>
            <w:vAlign w:val="bottom"/>
            <w:tcBorders>
              <w:bottom w:val="single" w:sz="8" w:color="E5E5E5"/>
              <w:right w:val="single" w:sz="8" w:color="auto"/>
            </w:tcBorders>
            <w:shd w:val="clear" w:color="auto" w:fill="E5E5E5"/>
          </w:tcPr>
          <w:p>
            <w:pPr>
              <w:spacing w:after="0"/>
              <w:rPr>
                <w:sz w:val="17"/>
                <w:szCs w:val="17"/>
                <w:color w:val="auto"/>
              </w:rPr>
            </w:pPr>
          </w:p>
        </w:tc>
        <w:tc>
          <w:tcPr>
            <w:tcW w:w="1200" w:type="dxa"/>
            <w:vAlign w:val="bottom"/>
            <w:tcBorders>
              <w:bottom w:val="single" w:sz="8" w:color="E5E5E5"/>
              <w:right w:val="single" w:sz="8" w:color="auto"/>
            </w:tcBorders>
            <w:shd w:val="clear" w:color="auto" w:fill="E5E5E5"/>
          </w:tcPr>
          <w:p>
            <w:pPr>
              <w:jc w:val="right"/>
              <w:ind w:right="38"/>
              <w:spacing w:after="0"/>
              <w:rPr>
                <w:sz w:val="20"/>
                <w:szCs w:val="20"/>
                <w:color w:val="auto"/>
              </w:rPr>
            </w:pPr>
            <w:r>
              <w:rPr>
                <w:rFonts w:ascii="Arial" w:cs="Arial" w:eastAsia="Arial" w:hAnsi="Arial"/>
                <w:sz w:val="13"/>
                <w:szCs w:val="13"/>
                <w:color w:val="auto"/>
              </w:rPr>
              <w:t>750,883</w:t>
            </w: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7,740</w:t>
            </w:r>
          </w:p>
        </w:tc>
        <w:tc>
          <w:tcPr>
            <w:tcW w:w="420" w:type="dxa"/>
            <w:vAlign w:val="bottom"/>
            <w:tcBorders>
              <w:bottom w:val="single" w:sz="8" w:color="E5E5E5"/>
              <w:right w:val="single" w:sz="8" w:color="auto"/>
            </w:tcBorders>
            <w:shd w:val="clear" w:color="auto" w:fill="E5E5E5"/>
          </w:tcPr>
          <w:p>
            <w:pPr>
              <w:ind w:left="40"/>
              <w:spacing w:after="0"/>
              <w:rPr>
                <w:sz w:val="20"/>
                <w:szCs w:val="20"/>
                <w:color w:val="auto"/>
              </w:rPr>
            </w:pPr>
            <w:r>
              <w:rPr>
                <w:rFonts w:ascii="Arial" w:cs="Arial" w:eastAsia="Arial" w:hAnsi="Arial"/>
                <w:sz w:val="9"/>
                <w:szCs w:val="9"/>
                <w:color w:val="auto"/>
              </w:rPr>
              <w:t>(4b)</w:t>
            </w:r>
          </w:p>
        </w:tc>
        <w:tc>
          <w:tcPr>
            <w:tcW w:w="1220" w:type="dxa"/>
            <w:vAlign w:val="bottom"/>
            <w:tcBorders>
              <w:bottom w:val="single" w:sz="8" w:color="E5E5E5"/>
              <w:right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1,126,325</w:t>
            </w:r>
          </w:p>
        </w:tc>
        <w:tc>
          <w:tcPr>
            <w:tcW w:w="0" w:type="dxa"/>
            <w:vAlign w:val="bottom"/>
          </w:tcPr>
          <w:p>
            <w:pPr>
              <w:spacing w:after="0"/>
              <w:rPr>
                <w:sz w:val="1"/>
                <w:szCs w:val="1"/>
                <w:color w:val="auto"/>
              </w:rPr>
            </w:pPr>
          </w:p>
        </w:tc>
      </w:tr>
      <w:tr>
        <w:trPr>
          <w:trHeight w:val="168"/>
        </w:trPr>
        <w:tc>
          <w:tcPr>
            <w:tcW w:w="1520" w:type="dxa"/>
            <w:vAlign w:val="bottom"/>
            <w:tcBorders>
              <w:left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03/01/2023</w:t>
            </w:r>
          </w:p>
        </w:tc>
        <w:tc>
          <w:tcPr>
            <w:tcW w:w="1200" w:type="dxa"/>
            <w:vAlign w:val="bottom"/>
            <w:tcBorders>
              <w:top w:val="single" w:sz="8" w:color="auto"/>
              <w:right w:val="single" w:sz="8" w:color="auto"/>
            </w:tcBorders>
          </w:tcPr>
          <w:p>
            <w:pPr>
              <w:spacing w:after="0"/>
              <w:rPr>
                <w:sz w:val="14"/>
                <w:szCs w:val="14"/>
                <w:color w:val="auto"/>
              </w:rPr>
            </w:pPr>
          </w:p>
        </w:tc>
        <w:tc>
          <w:tcPr>
            <w:tcW w:w="104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98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tcBorders>
          </w:tcPr>
          <w:p>
            <w:pPr>
              <w:jc w:val="center"/>
              <w:ind w:left="317"/>
              <w:spacing w:after="0"/>
              <w:rPr>
                <w:sz w:val="20"/>
                <w:szCs w:val="20"/>
                <w:color w:val="auto"/>
              </w:rPr>
            </w:pPr>
            <w:r>
              <w:rPr>
                <w:rFonts w:ascii="Arial" w:cs="Arial" w:eastAsia="Arial" w:hAnsi="Arial"/>
                <w:sz w:val="13"/>
                <w:szCs w:val="13"/>
                <w:color w:val="auto"/>
                <w:w w:val="98"/>
              </w:rPr>
              <w:t>1,720</w:t>
            </w:r>
          </w:p>
        </w:tc>
        <w:tc>
          <w:tcPr>
            <w:tcW w:w="4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(4a)</w:t>
            </w:r>
          </w:p>
        </w:tc>
        <w:tc>
          <w:tcPr>
            <w:tcW w:w="1200" w:type="dxa"/>
            <w:vAlign w:val="bottom"/>
            <w:tcBorders>
              <w:top w:val="single" w:sz="8" w:color="auto"/>
              <w:right w:val="single" w:sz="8" w:color="auto"/>
            </w:tcBorders>
          </w:tcPr>
          <w:p>
            <w:pPr>
              <w:jc w:val="right"/>
              <w:ind w:right="38"/>
              <w:spacing w:after="0"/>
              <w:rPr>
                <w:sz w:val="20"/>
                <w:szCs w:val="20"/>
                <w:color w:val="auto"/>
              </w:rPr>
            </w:pPr>
            <w:r>
              <w:rPr>
                <w:rFonts w:ascii="Arial" w:cs="Arial" w:eastAsia="Arial" w:hAnsi="Arial"/>
                <w:sz w:val="13"/>
                <w:szCs w:val="13"/>
                <w:color w:val="auto"/>
              </w:rPr>
              <w:t>250,294</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right w:val="single" w:sz="8" w:color="auto"/>
            </w:tcBorders>
          </w:tcPr>
          <w:p>
            <w:pPr>
              <w:spacing w:after="0"/>
              <w:rPr>
                <w:sz w:val="14"/>
                <w:szCs w:val="14"/>
                <w:color w:val="auto"/>
              </w:rPr>
            </w:pPr>
          </w:p>
        </w:tc>
        <w:tc>
          <w:tcPr>
            <w:tcW w:w="122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1520" w:type="dxa"/>
            <w:vAlign w:val="bottom"/>
            <w:tcBorders>
              <w:left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520" w:type="dxa"/>
            <w:vAlign w:val="bottom"/>
            <w:tcBorders>
              <w:left w:val="single" w:sz="8" w:color="auto"/>
              <w:right w:val="single" w:sz="8" w:color="auto"/>
            </w:tcBorders>
          </w:tcPr>
          <w:p>
            <w:pPr>
              <w:spacing w:after="0"/>
              <w:rPr>
                <w:sz w:val="17"/>
                <w:szCs w:val="17"/>
                <w:color w:val="auto"/>
              </w:rPr>
            </w:pPr>
          </w:p>
        </w:tc>
        <w:tc>
          <w:tcPr>
            <w:tcW w:w="9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03/01/2023</w:t>
            </w:r>
          </w:p>
        </w:tc>
        <w:tc>
          <w:tcPr>
            <w:tcW w:w="1200" w:type="dxa"/>
            <w:vAlign w:val="bottom"/>
            <w:tcBorders>
              <w:bottom w:val="single" w:sz="8" w:color="E5E5E5"/>
              <w:right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3,966</w:t>
            </w:r>
          </w:p>
        </w:tc>
        <w:tc>
          <w:tcPr>
            <w:tcW w:w="1040" w:type="dxa"/>
            <w:vAlign w:val="bottom"/>
            <w:tcBorders>
              <w:bottom w:val="single" w:sz="8" w:color="E5E5E5"/>
              <w:right w:val="single" w:sz="8" w:color="auto"/>
            </w:tcBorders>
            <w:shd w:val="clear" w:color="auto" w:fill="E5E5E5"/>
          </w:tcPr>
          <w:p>
            <w:pPr>
              <w:jc w:val="right"/>
              <w:ind w:right="18"/>
              <w:spacing w:after="0"/>
              <w:rPr>
                <w:sz w:val="20"/>
                <w:szCs w:val="20"/>
                <w:color w:val="auto"/>
              </w:rPr>
            </w:pPr>
            <w:r>
              <w:rPr>
                <w:rFonts w:ascii="Arial" w:cs="Arial" w:eastAsia="Arial" w:hAnsi="Arial"/>
                <w:sz w:val="13"/>
                <w:szCs w:val="13"/>
                <w:color w:val="auto"/>
              </w:rPr>
              <w:t>1,982</w:t>
            </w:r>
          </w:p>
        </w:tc>
        <w:tc>
          <w:tcPr>
            <w:tcW w:w="900" w:type="dxa"/>
            <w:vAlign w:val="bottom"/>
            <w:tcBorders>
              <w:bottom w:val="single" w:sz="8" w:color="E5E5E5"/>
              <w:right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71.93</w:t>
            </w:r>
          </w:p>
        </w:tc>
        <w:tc>
          <w:tcPr>
            <w:tcW w:w="98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3"/>
                <w:szCs w:val="13"/>
                <w:color w:val="auto"/>
              </w:rPr>
              <w:t>03/01/2033</w:t>
            </w:r>
          </w:p>
        </w:tc>
        <w:tc>
          <w:tcPr>
            <w:tcW w:w="780" w:type="dxa"/>
            <w:vAlign w:val="bottom"/>
            <w:tcBorders>
              <w:bottom w:val="single" w:sz="8" w:color="E5E5E5"/>
            </w:tcBorders>
            <w:shd w:val="clear" w:color="auto" w:fill="E5E5E5"/>
          </w:tcPr>
          <w:p>
            <w:pPr>
              <w:spacing w:after="0"/>
              <w:rPr>
                <w:sz w:val="17"/>
                <w:szCs w:val="17"/>
                <w:color w:val="auto"/>
              </w:rPr>
            </w:pPr>
          </w:p>
        </w:tc>
        <w:tc>
          <w:tcPr>
            <w:tcW w:w="420" w:type="dxa"/>
            <w:vAlign w:val="bottom"/>
            <w:tcBorders>
              <w:bottom w:val="single" w:sz="8" w:color="E5E5E5"/>
              <w:right w:val="single" w:sz="8" w:color="auto"/>
            </w:tcBorders>
            <w:shd w:val="clear" w:color="auto" w:fill="E5E5E5"/>
          </w:tcPr>
          <w:p>
            <w:pPr>
              <w:spacing w:after="0"/>
              <w:rPr>
                <w:sz w:val="17"/>
                <w:szCs w:val="17"/>
                <w:color w:val="auto"/>
              </w:rPr>
            </w:pPr>
          </w:p>
        </w:tc>
        <w:tc>
          <w:tcPr>
            <w:tcW w:w="1200" w:type="dxa"/>
            <w:vAlign w:val="bottom"/>
            <w:tcBorders>
              <w:bottom w:val="single" w:sz="8" w:color="E5E5E5"/>
              <w:right w:val="single" w:sz="8" w:color="auto"/>
            </w:tcBorders>
            <w:shd w:val="clear" w:color="auto" w:fill="E5E5E5"/>
          </w:tcPr>
          <w:p>
            <w:pPr>
              <w:spacing w:after="0"/>
              <w:rPr>
                <w:sz w:val="17"/>
                <w:szCs w:val="17"/>
                <w:color w:val="auto"/>
              </w:rPr>
            </w:pPr>
          </w:p>
        </w:tc>
        <w:tc>
          <w:tcPr>
            <w:tcW w:w="660" w:type="dxa"/>
            <w:vAlign w:val="bottom"/>
            <w:tcBorders>
              <w:bottom w:val="single" w:sz="8" w:color="E5E5E5"/>
            </w:tcBorders>
            <w:shd w:val="clear" w:color="auto" w:fill="E5E5E5"/>
          </w:tcPr>
          <w:p>
            <w:pPr>
              <w:spacing w:after="0"/>
              <w:rPr>
                <w:sz w:val="17"/>
                <w:szCs w:val="17"/>
                <w:color w:val="auto"/>
              </w:rPr>
            </w:pPr>
          </w:p>
        </w:tc>
        <w:tc>
          <w:tcPr>
            <w:tcW w:w="420" w:type="dxa"/>
            <w:vAlign w:val="bottom"/>
            <w:tcBorders>
              <w:bottom w:val="single" w:sz="8" w:color="E5E5E5"/>
              <w:right w:val="single" w:sz="8" w:color="auto"/>
            </w:tcBorders>
            <w:shd w:val="clear" w:color="auto" w:fill="E5E5E5"/>
          </w:tcPr>
          <w:p>
            <w:pPr>
              <w:spacing w:after="0"/>
              <w:rPr>
                <w:sz w:val="17"/>
                <w:szCs w:val="17"/>
                <w:color w:val="auto"/>
              </w:rPr>
            </w:pPr>
          </w:p>
        </w:tc>
        <w:tc>
          <w:tcPr>
            <w:tcW w:w="1220" w:type="dxa"/>
            <w:vAlign w:val="bottom"/>
            <w:tcBorders>
              <w:bottom w:val="single" w:sz="8" w:color="E5E5E5"/>
              <w:right w:val="single" w:sz="8" w:color="auto"/>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520" w:type="dxa"/>
            <w:vAlign w:val="bottom"/>
            <w:tcBorders>
              <w:left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02/28/2024</w:t>
            </w:r>
          </w:p>
        </w:tc>
        <w:tc>
          <w:tcPr>
            <w:tcW w:w="1200" w:type="dxa"/>
            <w:vAlign w:val="bottom"/>
            <w:tcBorders>
              <w:top w:val="single" w:sz="8" w:color="auto"/>
              <w:right w:val="single" w:sz="8" w:color="auto"/>
            </w:tcBorders>
          </w:tcPr>
          <w:p>
            <w:pPr>
              <w:spacing w:after="0"/>
              <w:rPr>
                <w:sz w:val="14"/>
                <w:szCs w:val="14"/>
                <w:color w:val="auto"/>
              </w:rPr>
            </w:pPr>
          </w:p>
        </w:tc>
        <w:tc>
          <w:tcPr>
            <w:tcW w:w="104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98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tcBorders>
          </w:tcPr>
          <w:p>
            <w:pPr>
              <w:jc w:val="center"/>
              <w:ind w:left="317"/>
              <w:spacing w:after="0"/>
              <w:rPr>
                <w:sz w:val="20"/>
                <w:szCs w:val="20"/>
                <w:color w:val="auto"/>
              </w:rPr>
            </w:pPr>
            <w:r>
              <w:rPr>
                <w:rFonts w:ascii="Arial" w:cs="Arial" w:eastAsia="Arial" w:hAnsi="Arial"/>
                <w:sz w:val="13"/>
                <w:szCs w:val="13"/>
                <w:color w:val="auto"/>
                <w:w w:val="98"/>
              </w:rPr>
              <w:t>3,683</w:t>
            </w:r>
          </w:p>
        </w:tc>
        <w:tc>
          <w:tcPr>
            <w:tcW w:w="420" w:type="dxa"/>
            <w:vAlign w:val="bottom"/>
            <w:tcBorders>
              <w:top w:val="single" w:sz="8" w:color="auto"/>
              <w:right w:val="single" w:sz="8" w:color="auto"/>
            </w:tcBorders>
          </w:tcPr>
          <w:p>
            <w:pPr>
              <w:spacing w:after="0"/>
              <w:rPr>
                <w:sz w:val="14"/>
                <w:szCs w:val="14"/>
                <w:color w:val="auto"/>
              </w:rPr>
            </w:pPr>
          </w:p>
        </w:tc>
        <w:tc>
          <w:tcPr>
            <w:tcW w:w="1200" w:type="dxa"/>
            <w:vAlign w:val="bottom"/>
            <w:tcBorders>
              <w:top w:val="single" w:sz="8" w:color="auto"/>
              <w:right w:val="single" w:sz="8" w:color="auto"/>
            </w:tcBorders>
          </w:tcPr>
          <w:p>
            <w:pPr>
              <w:jc w:val="right"/>
              <w:ind w:right="38"/>
              <w:spacing w:after="0"/>
              <w:rPr>
                <w:sz w:val="20"/>
                <w:szCs w:val="20"/>
                <w:color w:val="auto"/>
              </w:rPr>
            </w:pPr>
            <w:r>
              <w:rPr>
                <w:rFonts w:ascii="Arial" w:cs="Arial" w:eastAsia="Arial" w:hAnsi="Arial"/>
                <w:sz w:val="13"/>
                <w:szCs w:val="13"/>
                <w:color w:val="auto"/>
              </w:rPr>
              <w:t>535,950</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7,366</w:t>
            </w:r>
          </w:p>
        </w:tc>
        <w:tc>
          <w:tcPr>
            <w:tcW w:w="4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(5b)</w:t>
            </w:r>
          </w:p>
        </w:tc>
        <w:tc>
          <w:tcPr>
            <w:tcW w:w="122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1,071,900</w:t>
            </w:r>
          </w:p>
        </w:tc>
        <w:tc>
          <w:tcPr>
            <w:tcW w:w="0" w:type="dxa"/>
            <w:vAlign w:val="bottom"/>
          </w:tcPr>
          <w:p>
            <w:pPr>
              <w:spacing w:after="0"/>
              <w:rPr>
                <w:sz w:val="1"/>
                <w:szCs w:val="1"/>
                <w:color w:val="auto"/>
              </w:rPr>
            </w:pPr>
          </w:p>
        </w:tc>
      </w:tr>
      <w:tr>
        <w:trPr>
          <w:trHeight w:val="28"/>
        </w:trPr>
        <w:tc>
          <w:tcPr>
            <w:tcW w:w="1520" w:type="dxa"/>
            <w:vAlign w:val="bottom"/>
            <w:tcBorders>
              <w:left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520" w:type="dxa"/>
            <w:vAlign w:val="bottom"/>
            <w:tcBorders>
              <w:left w:val="single" w:sz="8" w:color="auto"/>
              <w:right w:val="single" w:sz="8" w:color="auto"/>
            </w:tcBorders>
          </w:tcPr>
          <w:p>
            <w:pPr>
              <w:spacing w:after="0"/>
              <w:rPr>
                <w:sz w:val="17"/>
                <w:szCs w:val="17"/>
                <w:color w:val="auto"/>
              </w:rPr>
            </w:pPr>
          </w:p>
        </w:tc>
        <w:tc>
          <w:tcPr>
            <w:tcW w:w="9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02/28/2024</w:t>
            </w:r>
          </w:p>
        </w:tc>
        <w:tc>
          <w:tcPr>
            <w:tcW w:w="1200" w:type="dxa"/>
            <w:vAlign w:val="bottom"/>
            <w:tcBorders>
              <w:bottom w:val="single" w:sz="8" w:color="E5E5E5"/>
              <w:right w:val="single" w:sz="8" w:color="auto"/>
            </w:tcBorders>
            <w:shd w:val="clear" w:color="auto" w:fill="E5E5E5"/>
          </w:tcPr>
          <w:p>
            <w:pPr>
              <w:spacing w:after="0"/>
              <w:rPr>
                <w:sz w:val="17"/>
                <w:szCs w:val="17"/>
                <w:color w:val="auto"/>
              </w:rPr>
            </w:pPr>
          </w:p>
        </w:tc>
        <w:tc>
          <w:tcPr>
            <w:tcW w:w="1040" w:type="dxa"/>
            <w:vAlign w:val="bottom"/>
            <w:tcBorders>
              <w:bottom w:val="single" w:sz="8" w:color="E5E5E5"/>
              <w:right w:val="single" w:sz="8" w:color="auto"/>
            </w:tcBorders>
            <w:shd w:val="clear" w:color="auto" w:fill="E5E5E5"/>
          </w:tcPr>
          <w:p>
            <w:pPr>
              <w:spacing w:after="0"/>
              <w:rPr>
                <w:sz w:val="17"/>
                <w:szCs w:val="17"/>
                <w:color w:val="auto"/>
              </w:rPr>
            </w:pPr>
          </w:p>
        </w:tc>
        <w:tc>
          <w:tcPr>
            <w:tcW w:w="900" w:type="dxa"/>
            <w:vAlign w:val="bottom"/>
            <w:tcBorders>
              <w:bottom w:val="single" w:sz="8" w:color="E5E5E5"/>
              <w:right w:val="single" w:sz="8" w:color="auto"/>
            </w:tcBorders>
            <w:shd w:val="clear" w:color="auto" w:fill="E5E5E5"/>
          </w:tcPr>
          <w:p>
            <w:pPr>
              <w:spacing w:after="0"/>
              <w:rPr>
                <w:sz w:val="17"/>
                <w:szCs w:val="17"/>
                <w:color w:val="auto"/>
              </w:rPr>
            </w:pPr>
          </w:p>
        </w:tc>
        <w:tc>
          <w:tcPr>
            <w:tcW w:w="980" w:type="dxa"/>
            <w:vAlign w:val="bottom"/>
            <w:tcBorders>
              <w:bottom w:val="single" w:sz="8" w:color="E5E5E5"/>
              <w:right w:val="single" w:sz="8" w:color="auto"/>
            </w:tcBorders>
            <w:shd w:val="clear" w:color="auto" w:fill="E5E5E5"/>
          </w:tcPr>
          <w:p>
            <w:pPr>
              <w:spacing w:after="0"/>
              <w:rPr>
                <w:sz w:val="17"/>
                <w:szCs w:val="17"/>
                <w:color w:val="auto"/>
              </w:rPr>
            </w:pPr>
          </w:p>
        </w:tc>
        <w:tc>
          <w:tcPr>
            <w:tcW w:w="780" w:type="dxa"/>
            <w:vAlign w:val="bottom"/>
            <w:tcBorders>
              <w:bottom w:val="single" w:sz="8" w:color="E5E5E5"/>
            </w:tcBorders>
            <w:shd w:val="clear" w:color="auto" w:fill="E5E5E5"/>
          </w:tcPr>
          <w:p>
            <w:pPr>
              <w:jc w:val="center"/>
              <w:ind w:left="317"/>
              <w:spacing w:after="0"/>
              <w:rPr>
                <w:sz w:val="20"/>
                <w:szCs w:val="20"/>
                <w:color w:val="auto"/>
              </w:rPr>
            </w:pPr>
            <w:r>
              <w:rPr>
                <w:rFonts w:ascii="Arial" w:cs="Arial" w:eastAsia="Arial" w:hAnsi="Arial"/>
                <w:sz w:val="13"/>
                <w:szCs w:val="13"/>
                <w:color w:val="auto"/>
                <w:w w:val="98"/>
              </w:rPr>
              <w:t>1,841</w:t>
            </w:r>
          </w:p>
        </w:tc>
        <w:tc>
          <w:tcPr>
            <w:tcW w:w="420" w:type="dxa"/>
            <w:vAlign w:val="bottom"/>
            <w:tcBorders>
              <w:bottom w:val="single" w:sz="8" w:color="E5E5E5"/>
              <w:right w:val="single" w:sz="8" w:color="auto"/>
            </w:tcBorders>
            <w:shd w:val="clear" w:color="auto" w:fill="E5E5E5"/>
          </w:tcPr>
          <w:p>
            <w:pPr>
              <w:ind w:left="40"/>
              <w:spacing w:after="0"/>
              <w:rPr>
                <w:sz w:val="20"/>
                <w:szCs w:val="20"/>
                <w:color w:val="auto"/>
              </w:rPr>
            </w:pPr>
            <w:r>
              <w:rPr>
                <w:rFonts w:ascii="Arial" w:cs="Arial" w:eastAsia="Arial" w:hAnsi="Arial"/>
                <w:sz w:val="9"/>
                <w:szCs w:val="9"/>
                <w:color w:val="auto"/>
              </w:rPr>
              <w:t>(5a)</w:t>
            </w:r>
          </w:p>
        </w:tc>
        <w:tc>
          <w:tcPr>
            <w:tcW w:w="1200" w:type="dxa"/>
            <w:vAlign w:val="bottom"/>
            <w:tcBorders>
              <w:bottom w:val="single" w:sz="8" w:color="E5E5E5"/>
              <w:right w:val="single" w:sz="8" w:color="auto"/>
            </w:tcBorders>
            <w:shd w:val="clear" w:color="auto" w:fill="E5E5E5"/>
          </w:tcPr>
          <w:p>
            <w:pPr>
              <w:jc w:val="right"/>
              <w:ind w:right="38"/>
              <w:spacing w:after="0"/>
              <w:rPr>
                <w:sz w:val="20"/>
                <w:szCs w:val="20"/>
                <w:color w:val="auto"/>
              </w:rPr>
            </w:pPr>
            <w:r>
              <w:rPr>
                <w:rFonts w:ascii="Arial" w:cs="Arial" w:eastAsia="Arial" w:hAnsi="Arial"/>
                <w:sz w:val="13"/>
                <w:szCs w:val="13"/>
                <w:color w:val="auto"/>
              </w:rPr>
              <w:t>267,902</w:t>
            </w: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E5E5E5"/>
              <w:right w:val="single" w:sz="8" w:color="auto"/>
            </w:tcBorders>
            <w:shd w:val="clear" w:color="auto" w:fill="E5E5E5"/>
          </w:tcPr>
          <w:p>
            <w:pPr>
              <w:spacing w:after="0"/>
              <w:rPr>
                <w:sz w:val="17"/>
                <w:szCs w:val="17"/>
                <w:color w:val="auto"/>
              </w:rPr>
            </w:pPr>
          </w:p>
        </w:tc>
        <w:tc>
          <w:tcPr>
            <w:tcW w:w="1220" w:type="dxa"/>
            <w:vAlign w:val="bottom"/>
            <w:tcBorders>
              <w:bottom w:val="single" w:sz="8" w:color="E5E5E5"/>
              <w:right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520" w:type="dxa"/>
            <w:vAlign w:val="bottom"/>
            <w:tcBorders>
              <w:left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02/28/2024</w:t>
            </w:r>
          </w:p>
        </w:tc>
        <w:tc>
          <w:tcPr>
            <w:tcW w:w="120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4,215</w:t>
            </w:r>
          </w:p>
        </w:tc>
        <w:tc>
          <w:tcPr>
            <w:tcW w:w="1040" w:type="dxa"/>
            <w:vAlign w:val="bottom"/>
            <w:tcBorders>
              <w:top w:val="single" w:sz="8" w:color="auto"/>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116.40</w:t>
            </w: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02/28/2034</w:t>
            </w:r>
          </w:p>
        </w:tc>
        <w:tc>
          <w:tcPr>
            <w:tcW w:w="780" w:type="dxa"/>
            <w:vAlign w:val="bottom"/>
            <w:tcBorders>
              <w:top w:val="single" w:sz="8" w:color="auto"/>
            </w:tcBorders>
          </w:tcPr>
          <w:p>
            <w:pPr>
              <w:spacing w:after="0"/>
              <w:rPr>
                <w:sz w:val="14"/>
                <w:szCs w:val="14"/>
                <w:color w:val="auto"/>
              </w:rPr>
            </w:pPr>
          </w:p>
        </w:tc>
        <w:tc>
          <w:tcPr>
            <w:tcW w:w="420" w:type="dxa"/>
            <w:vAlign w:val="bottom"/>
            <w:tcBorders>
              <w:top w:val="single" w:sz="8" w:color="auto"/>
              <w:right w:val="single" w:sz="8" w:color="auto"/>
            </w:tcBorders>
          </w:tcPr>
          <w:p>
            <w:pPr>
              <w:spacing w:after="0"/>
              <w:rPr>
                <w:sz w:val="14"/>
                <w:szCs w:val="14"/>
                <w:color w:val="auto"/>
              </w:rPr>
            </w:pPr>
          </w:p>
        </w:tc>
        <w:tc>
          <w:tcPr>
            <w:tcW w:w="1200" w:type="dxa"/>
            <w:vAlign w:val="bottom"/>
            <w:tcBorders>
              <w:top w:val="single" w:sz="8" w:color="auto"/>
              <w:right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20" w:type="dxa"/>
            <w:vAlign w:val="bottom"/>
            <w:tcBorders>
              <w:top w:val="single" w:sz="8" w:color="auto"/>
              <w:right w:val="single" w:sz="8" w:color="auto"/>
            </w:tcBorders>
          </w:tcPr>
          <w:p>
            <w:pPr>
              <w:spacing w:after="0"/>
              <w:rPr>
                <w:sz w:val="14"/>
                <w:szCs w:val="14"/>
                <w:color w:val="auto"/>
              </w:rPr>
            </w:pPr>
          </w:p>
        </w:tc>
        <w:tc>
          <w:tcPr>
            <w:tcW w:w="122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520" w:type="dxa"/>
            <w:vAlign w:val="bottom"/>
            <w:tcBorders>
              <w:left w:val="single" w:sz="8" w:color="auto"/>
              <w:right w:val="single" w:sz="8" w:color="auto"/>
            </w:tcBorders>
          </w:tcPr>
          <w:p>
            <w:pPr>
              <w:spacing w:after="0"/>
              <w:rPr>
                <w:sz w:val="17"/>
                <w:szCs w:val="17"/>
                <w:color w:val="auto"/>
              </w:rPr>
            </w:pPr>
          </w:p>
        </w:tc>
        <w:tc>
          <w:tcPr>
            <w:tcW w:w="9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10/01/2022</w:t>
            </w:r>
          </w:p>
        </w:tc>
        <w:tc>
          <w:tcPr>
            <w:tcW w:w="1200" w:type="dxa"/>
            <w:vAlign w:val="bottom"/>
            <w:tcBorders>
              <w:bottom w:val="single" w:sz="8" w:color="E5E5E5"/>
              <w:right w:val="single" w:sz="8" w:color="auto"/>
            </w:tcBorders>
            <w:shd w:val="clear" w:color="auto" w:fill="E5E5E5"/>
          </w:tcPr>
          <w:p>
            <w:pPr>
              <w:spacing w:after="0"/>
              <w:rPr>
                <w:sz w:val="17"/>
                <w:szCs w:val="17"/>
                <w:color w:val="auto"/>
              </w:rPr>
            </w:pPr>
          </w:p>
        </w:tc>
        <w:tc>
          <w:tcPr>
            <w:tcW w:w="1040" w:type="dxa"/>
            <w:vAlign w:val="bottom"/>
            <w:tcBorders>
              <w:bottom w:val="single" w:sz="8" w:color="E5E5E5"/>
              <w:right w:val="single" w:sz="8" w:color="auto"/>
            </w:tcBorders>
            <w:shd w:val="clear" w:color="auto" w:fill="E5E5E5"/>
          </w:tcPr>
          <w:p>
            <w:pPr>
              <w:spacing w:after="0"/>
              <w:rPr>
                <w:sz w:val="17"/>
                <w:szCs w:val="17"/>
                <w:color w:val="auto"/>
              </w:rPr>
            </w:pPr>
          </w:p>
        </w:tc>
        <w:tc>
          <w:tcPr>
            <w:tcW w:w="900" w:type="dxa"/>
            <w:vAlign w:val="bottom"/>
            <w:tcBorders>
              <w:bottom w:val="single" w:sz="8" w:color="E5E5E5"/>
              <w:right w:val="single" w:sz="8" w:color="auto"/>
            </w:tcBorders>
            <w:shd w:val="clear" w:color="auto" w:fill="E5E5E5"/>
          </w:tcPr>
          <w:p>
            <w:pPr>
              <w:spacing w:after="0"/>
              <w:rPr>
                <w:sz w:val="17"/>
                <w:szCs w:val="17"/>
                <w:color w:val="auto"/>
              </w:rPr>
            </w:pPr>
          </w:p>
        </w:tc>
        <w:tc>
          <w:tcPr>
            <w:tcW w:w="980" w:type="dxa"/>
            <w:vAlign w:val="bottom"/>
            <w:tcBorders>
              <w:bottom w:val="single" w:sz="8" w:color="E5E5E5"/>
              <w:right w:val="single" w:sz="8" w:color="auto"/>
            </w:tcBorders>
            <w:shd w:val="clear" w:color="auto" w:fill="E5E5E5"/>
          </w:tcPr>
          <w:p>
            <w:pPr>
              <w:spacing w:after="0"/>
              <w:rPr>
                <w:sz w:val="17"/>
                <w:szCs w:val="17"/>
                <w:color w:val="auto"/>
              </w:rPr>
            </w:pPr>
          </w:p>
        </w:tc>
        <w:tc>
          <w:tcPr>
            <w:tcW w:w="780" w:type="dxa"/>
            <w:vAlign w:val="bottom"/>
            <w:tcBorders>
              <w:bottom w:val="single" w:sz="8" w:color="E5E5E5"/>
            </w:tcBorders>
            <w:shd w:val="clear" w:color="auto" w:fill="E5E5E5"/>
          </w:tcPr>
          <w:p>
            <w:pPr>
              <w:jc w:val="center"/>
              <w:ind w:left="317"/>
              <w:spacing w:after="0"/>
              <w:rPr>
                <w:sz w:val="20"/>
                <w:szCs w:val="20"/>
                <w:color w:val="auto"/>
              </w:rPr>
            </w:pPr>
            <w:r>
              <w:rPr>
                <w:rFonts w:ascii="Arial" w:cs="Arial" w:eastAsia="Arial" w:hAnsi="Arial"/>
                <w:sz w:val="13"/>
                <w:szCs w:val="13"/>
                <w:color w:val="auto"/>
                <w:w w:val="98"/>
              </w:rPr>
              <w:t>2,961</w:t>
            </w:r>
          </w:p>
        </w:tc>
        <w:tc>
          <w:tcPr>
            <w:tcW w:w="420" w:type="dxa"/>
            <w:vAlign w:val="bottom"/>
            <w:tcBorders>
              <w:bottom w:val="single" w:sz="8" w:color="E5E5E5"/>
              <w:right w:val="single" w:sz="8" w:color="auto"/>
            </w:tcBorders>
            <w:shd w:val="clear" w:color="auto" w:fill="E5E5E5"/>
          </w:tcPr>
          <w:p>
            <w:pPr>
              <w:ind w:left="40"/>
              <w:spacing w:after="0"/>
              <w:rPr>
                <w:sz w:val="20"/>
                <w:szCs w:val="20"/>
                <w:color w:val="auto"/>
              </w:rPr>
            </w:pPr>
            <w:r>
              <w:rPr>
                <w:rFonts w:ascii="Arial" w:cs="Arial" w:eastAsia="Arial" w:hAnsi="Arial"/>
                <w:sz w:val="9"/>
                <w:szCs w:val="9"/>
                <w:color w:val="auto"/>
              </w:rPr>
              <w:t>(7)</w:t>
            </w:r>
          </w:p>
        </w:tc>
        <w:tc>
          <w:tcPr>
            <w:tcW w:w="1200" w:type="dxa"/>
            <w:vAlign w:val="bottom"/>
            <w:tcBorders>
              <w:bottom w:val="single" w:sz="8" w:color="E5E5E5"/>
              <w:right w:val="single" w:sz="8" w:color="auto"/>
            </w:tcBorders>
            <w:shd w:val="clear" w:color="auto" w:fill="E5E5E5"/>
          </w:tcPr>
          <w:p>
            <w:pPr>
              <w:jc w:val="right"/>
              <w:ind w:right="38"/>
              <w:spacing w:after="0"/>
              <w:rPr>
                <w:sz w:val="20"/>
                <w:szCs w:val="20"/>
                <w:color w:val="auto"/>
              </w:rPr>
            </w:pPr>
            <w:r>
              <w:rPr>
                <w:rFonts w:ascii="Arial" w:cs="Arial" w:eastAsia="Arial" w:hAnsi="Arial"/>
                <w:sz w:val="13"/>
                <w:szCs w:val="13"/>
                <w:color w:val="auto"/>
              </w:rPr>
              <w:t>430,885</w:t>
            </w: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E5E5E5"/>
              <w:right w:val="single" w:sz="8" w:color="auto"/>
            </w:tcBorders>
            <w:shd w:val="clear" w:color="auto" w:fill="E5E5E5"/>
          </w:tcPr>
          <w:p>
            <w:pPr>
              <w:spacing w:after="0"/>
              <w:rPr>
                <w:sz w:val="17"/>
                <w:szCs w:val="17"/>
                <w:color w:val="auto"/>
              </w:rPr>
            </w:pPr>
          </w:p>
        </w:tc>
        <w:tc>
          <w:tcPr>
            <w:tcW w:w="1220" w:type="dxa"/>
            <w:vAlign w:val="bottom"/>
            <w:tcBorders>
              <w:bottom w:val="single" w:sz="8" w:color="E5E5E5"/>
              <w:right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520" w:type="dxa"/>
            <w:vAlign w:val="bottom"/>
            <w:tcBorders>
              <w:left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10/01/2022</w:t>
            </w:r>
          </w:p>
        </w:tc>
        <w:tc>
          <w:tcPr>
            <w:tcW w:w="120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6,862</w:t>
            </w:r>
          </w:p>
        </w:tc>
        <w:tc>
          <w:tcPr>
            <w:tcW w:w="1040" w:type="dxa"/>
            <w:vAlign w:val="bottom"/>
            <w:tcBorders>
              <w:top w:val="single" w:sz="8" w:color="auto"/>
              <w:right w:val="single" w:sz="8" w:color="auto"/>
            </w:tcBorders>
          </w:tcPr>
          <w:p>
            <w:pPr>
              <w:jc w:val="right"/>
              <w:ind w:right="18"/>
              <w:spacing w:after="0"/>
              <w:rPr>
                <w:sz w:val="20"/>
                <w:szCs w:val="20"/>
                <w:color w:val="auto"/>
              </w:rPr>
            </w:pPr>
            <w:r>
              <w:rPr>
                <w:rFonts w:ascii="Arial" w:cs="Arial" w:eastAsia="Arial" w:hAnsi="Arial"/>
                <w:sz w:val="13"/>
                <w:szCs w:val="13"/>
                <w:color w:val="auto"/>
              </w:rPr>
              <w:t>13,723</w:t>
            </w:r>
          </w:p>
        </w:tc>
        <w:tc>
          <w:tcPr>
            <w:tcW w:w="90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55.22</w:t>
            </w: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10/01/2032</w:t>
            </w:r>
          </w:p>
        </w:tc>
        <w:tc>
          <w:tcPr>
            <w:tcW w:w="780" w:type="dxa"/>
            <w:vAlign w:val="bottom"/>
            <w:tcBorders>
              <w:top w:val="single" w:sz="8" w:color="auto"/>
            </w:tcBorders>
          </w:tcPr>
          <w:p>
            <w:pPr>
              <w:spacing w:after="0"/>
              <w:rPr>
                <w:sz w:val="14"/>
                <w:szCs w:val="14"/>
                <w:color w:val="auto"/>
              </w:rPr>
            </w:pPr>
          </w:p>
        </w:tc>
        <w:tc>
          <w:tcPr>
            <w:tcW w:w="420" w:type="dxa"/>
            <w:vAlign w:val="bottom"/>
            <w:tcBorders>
              <w:top w:val="single" w:sz="8" w:color="auto"/>
              <w:right w:val="single" w:sz="8" w:color="auto"/>
            </w:tcBorders>
          </w:tcPr>
          <w:p>
            <w:pPr>
              <w:spacing w:after="0"/>
              <w:rPr>
                <w:sz w:val="14"/>
                <w:szCs w:val="14"/>
                <w:color w:val="auto"/>
              </w:rPr>
            </w:pPr>
          </w:p>
        </w:tc>
        <w:tc>
          <w:tcPr>
            <w:tcW w:w="1200" w:type="dxa"/>
            <w:vAlign w:val="bottom"/>
            <w:tcBorders>
              <w:top w:val="single" w:sz="8" w:color="auto"/>
              <w:right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20" w:type="dxa"/>
            <w:vAlign w:val="bottom"/>
            <w:tcBorders>
              <w:top w:val="single" w:sz="8" w:color="auto"/>
              <w:right w:val="single" w:sz="8" w:color="auto"/>
            </w:tcBorders>
          </w:tcPr>
          <w:p>
            <w:pPr>
              <w:spacing w:after="0"/>
              <w:rPr>
                <w:sz w:val="14"/>
                <w:szCs w:val="14"/>
                <w:color w:val="auto"/>
              </w:rPr>
            </w:pPr>
          </w:p>
        </w:tc>
        <w:tc>
          <w:tcPr>
            <w:tcW w:w="122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520" w:type="dxa"/>
            <w:vAlign w:val="bottom"/>
            <w:tcBorders>
              <w:left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520" w:type="dxa"/>
            <w:vAlign w:val="bottom"/>
            <w:tcBorders>
              <w:left w:val="single" w:sz="8" w:color="auto"/>
              <w:right w:val="single" w:sz="8" w:color="auto"/>
            </w:tcBorders>
          </w:tcPr>
          <w:p>
            <w:pPr>
              <w:spacing w:after="0"/>
              <w:rPr>
                <w:sz w:val="17"/>
                <w:szCs w:val="17"/>
                <w:color w:val="auto"/>
              </w:rPr>
            </w:pPr>
          </w:p>
        </w:tc>
        <w:tc>
          <w:tcPr>
            <w:tcW w:w="9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03/01/2023</w:t>
            </w:r>
          </w:p>
        </w:tc>
        <w:tc>
          <w:tcPr>
            <w:tcW w:w="1200" w:type="dxa"/>
            <w:vAlign w:val="bottom"/>
            <w:tcBorders>
              <w:bottom w:val="single" w:sz="8" w:color="E5E5E5"/>
              <w:right w:val="single" w:sz="8" w:color="auto"/>
            </w:tcBorders>
            <w:shd w:val="clear" w:color="auto" w:fill="E5E5E5"/>
          </w:tcPr>
          <w:p>
            <w:pPr>
              <w:spacing w:after="0"/>
              <w:rPr>
                <w:sz w:val="17"/>
                <w:szCs w:val="17"/>
                <w:color w:val="auto"/>
              </w:rPr>
            </w:pPr>
          </w:p>
        </w:tc>
        <w:tc>
          <w:tcPr>
            <w:tcW w:w="1040" w:type="dxa"/>
            <w:vAlign w:val="bottom"/>
            <w:tcBorders>
              <w:bottom w:val="single" w:sz="8" w:color="E5E5E5"/>
              <w:right w:val="single" w:sz="8" w:color="auto"/>
            </w:tcBorders>
            <w:shd w:val="clear" w:color="auto" w:fill="E5E5E5"/>
          </w:tcPr>
          <w:p>
            <w:pPr>
              <w:spacing w:after="0"/>
              <w:rPr>
                <w:sz w:val="17"/>
                <w:szCs w:val="17"/>
                <w:color w:val="auto"/>
              </w:rPr>
            </w:pPr>
          </w:p>
        </w:tc>
        <w:tc>
          <w:tcPr>
            <w:tcW w:w="900" w:type="dxa"/>
            <w:vAlign w:val="bottom"/>
            <w:tcBorders>
              <w:bottom w:val="single" w:sz="8" w:color="E5E5E5"/>
              <w:right w:val="single" w:sz="8" w:color="auto"/>
            </w:tcBorders>
            <w:shd w:val="clear" w:color="auto" w:fill="E5E5E5"/>
          </w:tcPr>
          <w:p>
            <w:pPr>
              <w:spacing w:after="0"/>
              <w:rPr>
                <w:sz w:val="17"/>
                <w:szCs w:val="17"/>
                <w:color w:val="auto"/>
              </w:rPr>
            </w:pPr>
          </w:p>
        </w:tc>
        <w:tc>
          <w:tcPr>
            <w:tcW w:w="980" w:type="dxa"/>
            <w:vAlign w:val="bottom"/>
            <w:tcBorders>
              <w:bottom w:val="single" w:sz="8" w:color="E5E5E5"/>
              <w:right w:val="single" w:sz="8" w:color="auto"/>
            </w:tcBorders>
            <w:shd w:val="clear" w:color="auto" w:fill="E5E5E5"/>
          </w:tcPr>
          <w:p>
            <w:pPr>
              <w:spacing w:after="0"/>
              <w:rPr>
                <w:sz w:val="17"/>
                <w:szCs w:val="17"/>
                <w:color w:val="auto"/>
              </w:rPr>
            </w:pPr>
          </w:p>
        </w:tc>
        <w:tc>
          <w:tcPr>
            <w:tcW w:w="780" w:type="dxa"/>
            <w:vAlign w:val="bottom"/>
            <w:tcBorders>
              <w:bottom w:val="single" w:sz="8" w:color="E5E5E5"/>
            </w:tcBorders>
            <w:shd w:val="clear" w:color="auto" w:fill="E5E5E5"/>
          </w:tcPr>
          <w:p>
            <w:pPr>
              <w:jc w:val="center"/>
              <w:ind w:left="317"/>
              <w:spacing w:after="0"/>
              <w:rPr>
                <w:sz w:val="20"/>
                <w:szCs w:val="20"/>
                <w:color w:val="auto"/>
              </w:rPr>
            </w:pPr>
            <w:r>
              <w:rPr>
                <w:rFonts w:ascii="Arial" w:cs="Arial" w:eastAsia="Arial" w:hAnsi="Arial"/>
                <w:sz w:val="13"/>
                <w:szCs w:val="13"/>
                <w:color w:val="auto"/>
                <w:w w:val="98"/>
              </w:rPr>
              <w:t>5,160</w:t>
            </w:r>
          </w:p>
        </w:tc>
        <w:tc>
          <w:tcPr>
            <w:tcW w:w="420" w:type="dxa"/>
            <w:vAlign w:val="bottom"/>
            <w:tcBorders>
              <w:bottom w:val="single" w:sz="8" w:color="E5E5E5"/>
              <w:right w:val="single" w:sz="8" w:color="auto"/>
            </w:tcBorders>
            <w:shd w:val="clear" w:color="auto" w:fill="E5E5E5"/>
          </w:tcPr>
          <w:p>
            <w:pPr>
              <w:spacing w:after="0"/>
              <w:rPr>
                <w:sz w:val="17"/>
                <w:szCs w:val="17"/>
                <w:color w:val="auto"/>
              </w:rPr>
            </w:pPr>
          </w:p>
        </w:tc>
        <w:tc>
          <w:tcPr>
            <w:tcW w:w="1200" w:type="dxa"/>
            <w:vAlign w:val="bottom"/>
            <w:tcBorders>
              <w:bottom w:val="single" w:sz="8" w:color="E5E5E5"/>
              <w:right w:val="single" w:sz="8" w:color="auto"/>
            </w:tcBorders>
            <w:shd w:val="clear" w:color="auto" w:fill="E5E5E5"/>
          </w:tcPr>
          <w:p>
            <w:pPr>
              <w:jc w:val="right"/>
              <w:ind w:right="38"/>
              <w:spacing w:after="0"/>
              <w:rPr>
                <w:sz w:val="20"/>
                <w:szCs w:val="20"/>
                <w:color w:val="auto"/>
              </w:rPr>
            </w:pPr>
            <w:r>
              <w:rPr>
                <w:rFonts w:ascii="Arial" w:cs="Arial" w:eastAsia="Arial" w:hAnsi="Arial"/>
                <w:sz w:val="13"/>
                <w:szCs w:val="13"/>
                <w:color w:val="auto"/>
              </w:rPr>
              <w:t>750,883</w:t>
            </w: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7,740</w:t>
            </w:r>
          </w:p>
        </w:tc>
        <w:tc>
          <w:tcPr>
            <w:tcW w:w="420" w:type="dxa"/>
            <w:vAlign w:val="bottom"/>
            <w:tcBorders>
              <w:bottom w:val="single" w:sz="8" w:color="E5E5E5"/>
              <w:right w:val="single" w:sz="8" w:color="auto"/>
            </w:tcBorders>
            <w:shd w:val="clear" w:color="auto" w:fill="E5E5E5"/>
          </w:tcPr>
          <w:p>
            <w:pPr>
              <w:ind w:left="40"/>
              <w:spacing w:after="0"/>
              <w:rPr>
                <w:sz w:val="20"/>
                <w:szCs w:val="20"/>
                <w:color w:val="auto"/>
              </w:rPr>
            </w:pPr>
            <w:r>
              <w:rPr>
                <w:rFonts w:ascii="Arial" w:cs="Arial" w:eastAsia="Arial" w:hAnsi="Arial"/>
                <w:sz w:val="9"/>
                <w:szCs w:val="9"/>
                <w:color w:val="auto"/>
              </w:rPr>
              <w:t>(4b)</w:t>
            </w:r>
          </w:p>
        </w:tc>
        <w:tc>
          <w:tcPr>
            <w:tcW w:w="1220" w:type="dxa"/>
            <w:vAlign w:val="bottom"/>
            <w:tcBorders>
              <w:bottom w:val="single" w:sz="8" w:color="E5E5E5"/>
              <w:right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1,126,325</w:t>
            </w:r>
          </w:p>
        </w:tc>
        <w:tc>
          <w:tcPr>
            <w:tcW w:w="0" w:type="dxa"/>
            <w:vAlign w:val="bottom"/>
          </w:tcPr>
          <w:p>
            <w:pPr>
              <w:spacing w:after="0"/>
              <w:rPr>
                <w:sz w:val="1"/>
                <w:szCs w:val="1"/>
                <w:color w:val="auto"/>
              </w:rPr>
            </w:pPr>
          </w:p>
        </w:tc>
      </w:tr>
      <w:tr>
        <w:trPr>
          <w:trHeight w:val="168"/>
        </w:trPr>
        <w:tc>
          <w:tcPr>
            <w:tcW w:w="15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3"/>
                <w:szCs w:val="13"/>
                <w:color w:val="auto"/>
              </w:rPr>
              <w:t>Sean McClenaghan</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03/01/2023</w:t>
            </w:r>
          </w:p>
        </w:tc>
        <w:tc>
          <w:tcPr>
            <w:tcW w:w="1200" w:type="dxa"/>
            <w:vAlign w:val="bottom"/>
            <w:tcBorders>
              <w:top w:val="single" w:sz="8" w:color="auto"/>
              <w:right w:val="single" w:sz="8" w:color="auto"/>
            </w:tcBorders>
          </w:tcPr>
          <w:p>
            <w:pPr>
              <w:spacing w:after="0"/>
              <w:rPr>
                <w:sz w:val="14"/>
                <w:szCs w:val="14"/>
                <w:color w:val="auto"/>
              </w:rPr>
            </w:pPr>
          </w:p>
        </w:tc>
        <w:tc>
          <w:tcPr>
            <w:tcW w:w="104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98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tcBorders>
          </w:tcPr>
          <w:p>
            <w:pPr>
              <w:jc w:val="center"/>
              <w:ind w:left="317"/>
              <w:spacing w:after="0"/>
              <w:rPr>
                <w:sz w:val="20"/>
                <w:szCs w:val="20"/>
                <w:color w:val="auto"/>
              </w:rPr>
            </w:pPr>
            <w:r>
              <w:rPr>
                <w:rFonts w:ascii="Arial" w:cs="Arial" w:eastAsia="Arial" w:hAnsi="Arial"/>
                <w:sz w:val="13"/>
                <w:szCs w:val="13"/>
                <w:color w:val="auto"/>
                <w:w w:val="98"/>
              </w:rPr>
              <w:t>1,720</w:t>
            </w:r>
          </w:p>
        </w:tc>
        <w:tc>
          <w:tcPr>
            <w:tcW w:w="4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(4a)</w:t>
            </w:r>
          </w:p>
        </w:tc>
        <w:tc>
          <w:tcPr>
            <w:tcW w:w="1200" w:type="dxa"/>
            <w:vAlign w:val="bottom"/>
            <w:tcBorders>
              <w:top w:val="single" w:sz="8" w:color="auto"/>
              <w:right w:val="single" w:sz="8" w:color="auto"/>
            </w:tcBorders>
          </w:tcPr>
          <w:p>
            <w:pPr>
              <w:jc w:val="right"/>
              <w:ind w:right="38"/>
              <w:spacing w:after="0"/>
              <w:rPr>
                <w:sz w:val="20"/>
                <w:szCs w:val="20"/>
                <w:color w:val="auto"/>
              </w:rPr>
            </w:pPr>
            <w:r>
              <w:rPr>
                <w:rFonts w:ascii="Arial" w:cs="Arial" w:eastAsia="Arial" w:hAnsi="Arial"/>
                <w:sz w:val="13"/>
                <w:szCs w:val="13"/>
                <w:color w:val="auto"/>
              </w:rPr>
              <w:t>250,294</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right w:val="single" w:sz="8" w:color="auto"/>
            </w:tcBorders>
          </w:tcPr>
          <w:p>
            <w:pPr>
              <w:spacing w:after="0"/>
              <w:rPr>
                <w:sz w:val="14"/>
                <w:szCs w:val="14"/>
                <w:color w:val="auto"/>
              </w:rPr>
            </w:pPr>
          </w:p>
        </w:tc>
        <w:tc>
          <w:tcPr>
            <w:tcW w:w="122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1520" w:type="dxa"/>
            <w:vAlign w:val="bottom"/>
            <w:tcBorders>
              <w:left w:val="single" w:sz="8" w:color="auto"/>
              <w:right w:val="single" w:sz="8" w:color="auto"/>
            </w:tcBorders>
            <w:vMerge w:val="continue"/>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1520" w:type="dxa"/>
            <w:vAlign w:val="bottom"/>
            <w:tcBorders>
              <w:left w:val="single" w:sz="8" w:color="auto"/>
              <w:right w:val="single" w:sz="8" w:color="auto"/>
            </w:tcBorders>
            <w:vMerge w:val="continue"/>
          </w:tcPr>
          <w:p>
            <w:pPr>
              <w:spacing w:after="0"/>
              <w:rPr>
                <w:sz w:val="5"/>
                <w:szCs w:val="5"/>
                <w:color w:val="auto"/>
              </w:rPr>
            </w:pPr>
          </w:p>
        </w:tc>
        <w:tc>
          <w:tcPr>
            <w:tcW w:w="92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3"/>
                <w:szCs w:val="13"/>
                <w:color w:val="auto"/>
                <w:w w:val="95"/>
              </w:rPr>
              <w:t>03/01/2023</w:t>
            </w:r>
          </w:p>
        </w:tc>
        <w:tc>
          <w:tcPr>
            <w:tcW w:w="1200" w:type="dxa"/>
            <w:vAlign w:val="bottom"/>
            <w:tcBorders>
              <w:right w:val="single" w:sz="8" w:color="auto"/>
            </w:tcBorders>
            <w:vMerge w:val="restart"/>
            <w:shd w:val="clear" w:color="auto" w:fill="E5E5E5"/>
          </w:tcPr>
          <w:p>
            <w:pPr>
              <w:jc w:val="right"/>
              <w:ind w:right="17"/>
              <w:spacing w:after="0"/>
              <w:rPr>
                <w:sz w:val="20"/>
                <w:szCs w:val="20"/>
                <w:color w:val="auto"/>
              </w:rPr>
            </w:pPr>
            <w:r>
              <w:rPr>
                <w:rFonts w:ascii="Arial" w:cs="Arial" w:eastAsia="Arial" w:hAnsi="Arial"/>
                <w:sz w:val="13"/>
                <w:szCs w:val="13"/>
                <w:color w:val="auto"/>
              </w:rPr>
              <w:t>3,966</w:t>
            </w:r>
          </w:p>
        </w:tc>
        <w:tc>
          <w:tcPr>
            <w:tcW w:w="1040" w:type="dxa"/>
            <w:vAlign w:val="bottom"/>
            <w:tcBorders>
              <w:right w:val="single" w:sz="8" w:color="auto"/>
            </w:tcBorders>
            <w:vMerge w:val="restart"/>
            <w:shd w:val="clear" w:color="auto" w:fill="E5E5E5"/>
          </w:tcPr>
          <w:p>
            <w:pPr>
              <w:jc w:val="right"/>
              <w:ind w:right="18"/>
              <w:spacing w:after="0"/>
              <w:rPr>
                <w:sz w:val="20"/>
                <w:szCs w:val="20"/>
                <w:color w:val="auto"/>
              </w:rPr>
            </w:pPr>
            <w:r>
              <w:rPr>
                <w:rFonts w:ascii="Arial" w:cs="Arial" w:eastAsia="Arial" w:hAnsi="Arial"/>
                <w:sz w:val="13"/>
                <w:szCs w:val="13"/>
                <w:color w:val="auto"/>
              </w:rPr>
              <w:t>1,982</w:t>
            </w:r>
          </w:p>
        </w:tc>
        <w:tc>
          <w:tcPr>
            <w:tcW w:w="900" w:type="dxa"/>
            <w:vAlign w:val="bottom"/>
            <w:tcBorders>
              <w:right w:val="single" w:sz="8" w:color="auto"/>
            </w:tcBorders>
            <w:vMerge w:val="restart"/>
            <w:shd w:val="clear" w:color="auto" w:fill="E5E5E5"/>
          </w:tcPr>
          <w:p>
            <w:pPr>
              <w:jc w:val="right"/>
              <w:ind w:right="17"/>
              <w:spacing w:after="0"/>
              <w:rPr>
                <w:sz w:val="20"/>
                <w:szCs w:val="20"/>
                <w:color w:val="auto"/>
              </w:rPr>
            </w:pPr>
            <w:r>
              <w:rPr>
                <w:rFonts w:ascii="Arial" w:cs="Arial" w:eastAsia="Arial" w:hAnsi="Arial"/>
                <w:sz w:val="13"/>
                <w:szCs w:val="13"/>
                <w:color w:val="auto"/>
              </w:rPr>
              <w:t>71.93</w:t>
            </w:r>
          </w:p>
        </w:tc>
        <w:tc>
          <w:tcPr>
            <w:tcW w:w="980" w:type="dxa"/>
            <w:vAlign w:val="bottom"/>
            <w:tcBorders>
              <w:right w:val="single" w:sz="8" w:color="auto"/>
            </w:tcBorders>
            <w:vMerge w:val="restart"/>
            <w:shd w:val="clear" w:color="auto" w:fill="E5E5E5"/>
          </w:tcPr>
          <w:p>
            <w:pPr>
              <w:jc w:val="right"/>
              <w:spacing w:after="0"/>
              <w:rPr>
                <w:sz w:val="20"/>
                <w:szCs w:val="20"/>
                <w:color w:val="auto"/>
              </w:rPr>
            </w:pPr>
            <w:r>
              <w:rPr>
                <w:rFonts w:ascii="Arial" w:cs="Arial" w:eastAsia="Arial" w:hAnsi="Arial"/>
                <w:sz w:val="13"/>
                <w:szCs w:val="13"/>
                <w:color w:val="auto"/>
              </w:rPr>
              <w:t>03/01/2033</w:t>
            </w:r>
          </w:p>
        </w:tc>
        <w:tc>
          <w:tcPr>
            <w:tcW w:w="780" w:type="dxa"/>
            <w:vAlign w:val="bottom"/>
            <w:shd w:val="clear" w:color="auto" w:fill="E5E5E5"/>
          </w:tcPr>
          <w:p>
            <w:pPr>
              <w:spacing w:after="0"/>
              <w:rPr>
                <w:sz w:val="5"/>
                <w:szCs w:val="5"/>
                <w:color w:val="auto"/>
              </w:rPr>
            </w:pPr>
          </w:p>
        </w:tc>
        <w:tc>
          <w:tcPr>
            <w:tcW w:w="420" w:type="dxa"/>
            <w:vAlign w:val="bottom"/>
            <w:tcBorders>
              <w:right w:val="single" w:sz="8" w:color="auto"/>
            </w:tcBorders>
            <w:shd w:val="clear" w:color="auto" w:fill="E5E5E5"/>
          </w:tcPr>
          <w:p>
            <w:pPr>
              <w:spacing w:after="0"/>
              <w:rPr>
                <w:sz w:val="5"/>
                <w:szCs w:val="5"/>
                <w:color w:val="auto"/>
              </w:rPr>
            </w:pPr>
          </w:p>
        </w:tc>
        <w:tc>
          <w:tcPr>
            <w:tcW w:w="1200" w:type="dxa"/>
            <w:vAlign w:val="bottom"/>
            <w:tcBorders>
              <w:right w:val="single" w:sz="8" w:color="auto"/>
            </w:tcBorders>
            <w:shd w:val="clear" w:color="auto" w:fill="E5E5E5"/>
          </w:tcPr>
          <w:p>
            <w:pPr>
              <w:spacing w:after="0"/>
              <w:rPr>
                <w:sz w:val="5"/>
                <w:szCs w:val="5"/>
                <w:color w:val="auto"/>
              </w:rPr>
            </w:pPr>
          </w:p>
        </w:tc>
        <w:tc>
          <w:tcPr>
            <w:tcW w:w="660" w:type="dxa"/>
            <w:vAlign w:val="bottom"/>
            <w:shd w:val="clear" w:color="auto" w:fill="E5E5E5"/>
          </w:tcPr>
          <w:p>
            <w:pPr>
              <w:spacing w:after="0"/>
              <w:rPr>
                <w:sz w:val="5"/>
                <w:szCs w:val="5"/>
                <w:color w:val="auto"/>
              </w:rPr>
            </w:pPr>
          </w:p>
        </w:tc>
        <w:tc>
          <w:tcPr>
            <w:tcW w:w="420" w:type="dxa"/>
            <w:vAlign w:val="bottom"/>
            <w:tcBorders>
              <w:right w:val="single" w:sz="8" w:color="auto"/>
            </w:tcBorders>
            <w:shd w:val="clear" w:color="auto" w:fill="E5E5E5"/>
          </w:tcPr>
          <w:p>
            <w:pPr>
              <w:spacing w:after="0"/>
              <w:rPr>
                <w:sz w:val="5"/>
                <w:szCs w:val="5"/>
                <w:color w:val="auto"/>
              </w:rPr>
            </w:pPr>
          </w:p>
        </w:tc>
        <w:tc>
          <w:tcPr>
            <w:tcW w:w="1220" w:type="dxa"/>
            <w:vAlign w:val="bottom"/>
            <w:tcBorders>
              <w:right w:val="single" w:sz="8" w:color="auto"/>
            </w:tcBorders>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right w:val="single" w:sz="8" w:color="auto"/>
            </w:tcBorders>
          </w:tcPr>
          <w:p>
            <w:pPr>
              <w:spacing w:after="0"/>
              <w:rPr>
                <w:sz w:val="11"/>
                <w:szCs w:val="11"/>
                <w:color w:val="auto"/>
              </w:rPr>
            </w:pPr>
          </w:p>
        </w:tc>
        <w:tc>
          <w:tcPr>
            <w:tcW w:w="920" w:type="dxa"/>
            <w:vAlign w:val="bottom"/>
            <w:tcBorders>
              <w:bottom w:val="single" w:sz="8" w:color="E5E5E5"/>
              <w:right w:val="single" w:sz="8" w:color="auto"/>
            </w:tcBorders>
            <w:vMerge w:val="continue"/>
            <w:shd w:val="clear" w:color="auto" w:fill="E5E5E5"/>
          </w:tcPr>
          <w:p>
            <w:pPr>
              <w:spacing w:after="0"/>
              <w:rPr>
                <w:sz w:val="11"/>
                <w:szCs w:val="11"/>
                <w:color w:val="auto"/>
              </w:rPr>
            </w:pPr>
          </w:p>
        </w:tc>
        <w:tc>
          <w:tcPr>
            <w:tcW w:w="1200" w:type="dxa"/>
            <w:vAlign w:val="bottom"/>
            <w:tcBorders>
              <w:bottom w:val="single" w:sz="8" w:color="E5E5E5"/>
              <w:right w:val="single" w:sz="8" w:color="auto"/>
            </w:tcBorders>
            <w:vMerge w:val="continue"/>
            <w:shd w:val="clear" w:color="auto" w:fill="E5E5E5"/>
          </w:tcPr>
          <w:p>
            <w:pPr>
              <w:spacing w:after="0"/>
              <w:rPr>
                <w:sz w:val="11"/>
                <w:szCs w:val="11"/>
                <w:color w:val="auto"/>
              </w:rPr>
            </w:pPr>
          </w:p>
        </w:tc>
        <w:tc>
          <w:tcPr>
            <w:tcW w:w="1040" w:type="dxa"/>
            <w:vAlign w:val="bottom"/>
            <w:tcBorders>
              <w:bottom w:val="single" w:sz="8" w:color="E5E5E5"/>
              <w:right w:val="single" w:sz="8" w:color="auto"/>
            </w:tcBorders>
            <w:vMerge w:val="continue"/>
            <w:shd w:val="clear" w:color="auto" w:fill="E5E5E5"/>
          </w:tcPr>
          <w:p>
            <w:pPr>
              <w:spacing w:after="0"/>
              <w:rPr>
                <w:sz w:val="11"/>
                <w:szCs w:val="11"/>
                <w:color w:val="auto"/>
              </w:rPr>
            </w:pPr>
          </w:p>
        </w:tc>
        <w:tc>
          <w:tcPr>
            <w:tcW w:w="900" w:type="dxa"/>
            <w:vAlign w:val="bottom"/>
            <w:tcBorders>
              <w:bottom w:val="single" w:sz="8" w:color="E5E5E5"/>
              <w:right w:val="single" w:sz="8" w:color="auto"/>
            </w:tcBorders>
            <w:vMerge w:val="continue"/>
            <w:shd w:val="clear" w:color="auto" w:fill="E5E5E5"/>
          </w:tcPr>
          <w:p>
            <w:pPr>
              <w:spacing w:after="0"/>
              <w:rPr>
                <w:sz w:val="11"/>
                <w:szCs w:val="11"/>
                <w:color w:val="auto"/>
              </w:rPr>
            </w:pPr>
          </w:p>
        </w:tc>
        <w:tc>
          <w:tcPr>
            <w:tcW w:w="980" w:type="dxa"/>
            <w:vAlign w:val="bottom"/>
            <w:tcBorders>
              <w:bottom w:val="single" w:sz="8" w:color="E5E5E5"/>
              <w:right w:val="single" w:sz="8" w:color="auto"/>
            </w:tcBorders>
            <w:vMerge w:val="continue"/>
            <w:shd w:val="clear" w:color="auto" w:fill="E5E5E5"/>
          </w:tcPr>
          <w:p>
            <w:pPr>
              <w:spacing w:after="0"/>
              <w:rPr>
                <w:sz w:val="11"/>
                <w:szCs w:val="11"/>
                <w:color w:val="auto"/>
              </w:rPr>
            </w:pPr>
          </w:p>
        </w:tc>
        <w:tc>
          <w:tcPr>
            <w:tcW w:w="780" w:type="dxa"/>
            <w:vAlign w:val="bottom"/>
            <w:tcBorders>
              <w:bottom w:val="single" w:sz="8" w:color="E5E5E5"/>
            </w:tcBorders>
            <w:shd w:val="clear" w:color="auto" w:fill="E5E5E5"/>
          </w:tcPr>
          <w:p>
            <w:pPr>
              <w:spacing w:after="0"/>
              <w:rPr>
                <w:sz w:val="11"/>
                <w:szCs w:val="11"/>
                <w:color w:val="auto"/>
              </w:rPr>
            </w:pPr>
          </w:p>
        </w:tc>
        <w:tc>
          <w:tcPr>
            <w:tcW w:w="420" w:type="dxa"/>
            <w:vAlign w:val="bottom"/>
            <w:tcBorders>
              <w:bottom w:val="single" w:sz="8" w:color="E5E5E5"/>
              <w:right w:val="single" w:sz="8" w:color="auto"/>
            </w:tcBorders>
            <w:shd w:val="clear" w:color="auto" w:fill="E5E5E5"/>
          </w:tcPr>
          <w:p>
            <w:pPr>
              <w:spacing w:after="0"/>
              <w:rPr>
                <w:sz w:val="11"/>
                <w:szCs w:val="11"/>
                <w:color w:val="auto"/>
              </w:rPr>
            </w:pPr>
          </w:p>
        </w:tc>
        <w:tc>
          <w:tcPr>
            <w:tcW w:w="1200" w:type="dxa"/>
            <w:vAlign w:val="bottom"/>
            <w:tcBorders>
              <w:bottom w:val="single" w:sz="8" w:color="E5E5E5"/>
              <w:right w:val="single" w:sz="8" w:color="auto"/>
            </w:tcBorders>
            <w:shd w:val="clear" w:color="auto" w:fill="E5E5E5"/>
          </w:tcPr>
          <w:p>
            <w:pPr>
              <w:spacing w:after="0"/>
              <w:rPr>
                <w:sz w:val="11"/>
                <w:szCs w:val="11"/>
                <w:color w:val="auto"/>
              </w:rPr>
            </w:pPr>
          </w:p>
        </w:tc>
        <w:tc>
          <w:tcPr>
            <w:tcW w:w="660" w:type="dxa"/>
            <w:vAlign w:val="bottom"/>
            <w:tcBorders>
              <w:bottom w:val="single" w:sz="8" w:color="E5E5E5"/>
            </w:tcBorders>
            <w:shd w:val="clear" w:color="auto" w:fill="E5E5E5"/>
          </w:tcPr>
          <w:p>
            <w:pPr>
              <w:spacing w:after="0"/>
              <w:rPr>
                <w:sz w:val="11"/>
                <w:szCs w:val="11"/>
                <w:color w:val="auto"/>
              </w:rPr>
            </w:pPr>
          </w:p>
        </w:tc>
        <w:tc>
          <w:tcPr>
            <w:tcW w:w="420" w:type="dxa"/>
            <w:vAlign w:val="bottom"/>
            <w:tcBorders>
              <w:bottom w:val="single" w:sz="8" w:color="E5E5E5"/>
              <w:right w:val="single" w:sz="8" w:color="auto"/>
            </w:tcBorders>
            <w:shd w:val="clear" w:color="auto" w:fill="E5E5E5"/>
          </w:tcPr>
          <w:p>
            <w:pPr>
              <w:spacing w:after="0"/>
              <w:rPr>
                <w:sz w:val="11"/>
                <w:szCs w:val="11"/>
                <w:color w:val="auto"/>
              </w:rPr>
            </w:pPr>
          </w:p>
        </w:tc>
        <w:tc>
          <w:tcPr>
            <w:tcW w:w="1220" w:type="dxa"/>
            <w:vAlign w:val="bottom"/>
            <w:tcBorders>
              <w:bottom w:val="single" w:sz="8" w:color="E5E5E5"/>
              <w:right w:val="single" w:sz="8" w:color="auto"/>
            </w:tcBorders>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520" w:type="dxa"/>
            <w:vAlign w:val="bottom"/>
            <w:tcBorders>
              <w:left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02/28/2024</w:t>
            </w:r>
          </w:p>
        </w:tc>
        <w:tc>
          <w:tcPr>
            <w:tcW w:w="1200" w:type="dxa"/>
            <w:vAlign w:val="bottom"/>
            <w:tcBorders>
              <w:top w:val="single" w:sz="8" w:color="auto"/>
              <w:right w:val="single" w:sz="8" w:color="auto"/>
            </w:tcBorders>
          </w:tcPr>
          <w:p>
            <w:pPr>
              <w:spacing w:after="0"/>
              <w:rPr>
                <w:sz w:val="14"/>
                <w:szCs w:val="14"/>
                <w:color w:val="auto"/>
              </w:rPr>
            </w:pPr>
          </w:p>
        </w:tc>
        <w:tc>
          <w:tcPr>
            <w:tcW w:w="104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98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tcBorders>
          </w:tcPr>
          <w:p>
            <w:pPr>
              <w:jc w:val="center"/>
              <w:ind w:left="317"/>
              <w:spacing w:after="0"/>
              <w:rPr>
                <w:sz w:val="20"/>
                <w:szCs w:val="20"/>
                <w:color w:val="auto"/>
              </w:rPr>
            </w:pPr>
            <w:r>
              <w:rPr>
                <w:rFonts w:ascii="Arial" w:cs="Arial" w:eastAsia="Arial" w:hAnsi="Arial"/>
                <w:sz w:val="13"/>
                <w:szCs w:val="13"/>
                <w:color w:val="auto"/>
                <w:w w:val="98"/>
              </w:rPr>
              <w:t>4,603</w:t>
            </w:r>
          </w:p>
        </w:tc>
        <w:tc>
          <w:tcPr>
            <w:tcW w:w="420" w:type="dxa"/>
            <w:vAlign w:val="bottom"/>
            <w:tcBorders>
              <w:top w:val="single" w:sz="8" w:color="auto"/>
              <w:right w:val="single" w:sz="8" w:color="auto"/>
            </w:tcBorders>
          </w:tcPr>
          <w:p>
            <w:pPr>
              <w:spacing w:after="0"/>
              <w:rPr>
                <w:sz w:val="14"/>
                <w:szCs w:val="14"/>
                <w:color w:val="auto"/>
              </w:rPr>
            </w:pPr>
          </w:p>
        </w:tc>
        <w:tc>
          <w:tcPr>
            <w:tcW w:w="1200" w:type="dxa"/>
            <w:vAlign w:val="bottom"/>
            <w:tcBorders>
              <w:top w:val="single" w:sz="8" w:color="auto"/>
              <w:right w:val="single" w:sz="8" w:color="auto"/>
            </w:tcBorders>
          </w:tcPr>
          <w:p>
            <w:pPr>
              <w:jc w:val="right"/>
              <w:ind w:right="38"/>
              <w:spacing w:after="0"/>
              <w:rPr>
                <w:sz w:val="20"/>
                <w:szCs w:val="20"/>
                <w:color w:val="auto"/>
              </w:rPr>
            </w:pPr>
            <w:r>
              <w:rPr>
                <w:rFonts w:ascii="Arial" w:cs="Arial" w:eastAsia="Arial" w:hAnsi="Arial"/>
                <w:sz w:val="13"/>
                <w:szCs w:val="13"/>
                <w:color w:val="auto"/>
              </w:rPr>
              <w:t>669,829</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9,206</w:t>
            </w:r>
          </w:p>
        </w:tc>
        <w:tc>
          <w:tcPr>
            <w:tcW w:w="4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(5b)</w:t>
            </w:r>
          </w:p>
        </w:tc>
        <w:tc>
          <w:tcPr>
            <w:tcW w:w="122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1,339,657</w:t>
            </w:r>
          </w:p>
        </w:tc>
        <w:tc>
          <w:tcPr>
            <w:tcW w:w="0" w:type="dxa"/>
            <w:vAlign w:val="bottom"/>
          </w:tcPr>
          <w:p>
            <w:pPr>
              <w:spacing w:after="0"/>
              <w:rPr>
                <w:sz w:val="1"/>
                <w:szCs w:val="1"/>
                <w:color w:val="auto"/>
              </w:rPr>
            </w:pPr>
          </w:p>
        </w:tc>
      </w:tr>
      <w:tr>
        <w:trPr>
          <w:trHeight w:val="28"/>
        </w:trPr>
        <w:tc>
          <w:tcPr>
            <w:tcW w:w="1520" w:type="dxa"/>
            <w:vAlign w:val="bottom"/>
            <w:tcBorders>
              <w:left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520" w:type="dxa"/>
            <w:vAlign w:val="bottom"/>
            <w:tcBorders>
              <w:left w:val="single" w:sz="8" w:color="auto"/>
              <w:right w:val="single" w:sz="8" w:color="auto"/>
            </w:tcBorders>
          </w:tcPr>
          <w:p>
            <w:pPr>
              <w:spacing w:after="0"/>
              <w:rPr>
                <w:sz w:val="17"/>
                <w:szCs w:val="17"/>
                <w:color w:val="auto"/>
              </w:rPr>
            </w:pPr>
          </w:p>
        </w:tc>
        <w:tc>
          <w:tcPr>
            <w:tcW w:w="9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02/28/2024</w:t>
            </w:r>
          </w:p>
        </w:tc>
        <w:tc>
          <w:tcPr>
            <w:tcW w:w="1200" w:type="dxa"/>
            <w:vAlign w:val="bottom"/>
            <w:tcBorders>
              <w:bottom w:val="single" w:sz="8" w:color="E5E5E5"/>
              <w:right w:val="single" w:sz="8" w:color="auto"/>
            </w:tcBorders>
            <w:shd w:val="clear" w:color="auto" w:fill="E5E5E5"/>
          </w:tcPr>
          <w:p>
            <w:pPr>
              <w:spacing w:after="0"/>
              <w:rPr>
                <w:sz w:val="17"/>
                <w:szCs w:val="17"/>
                <w:color w:val="auto"/>
              </w:rPr>
            </w:pPr>
          </w:p>
        </w:tc>
        <w:tc>
          <w:tcPr>
            <w:tcW w:w="1040" w:type="dxa"/>
            <w:vAlign w:val="bottom"/>
            <w:tcBorders>
              <w:bottom w:val="single" w:sz="8" w:color="E5E5E5"/>
              <w:right w:val="single" w:sz="8" w:color="auto"/>
            </w:tcBorders>
            <w:shd w:val="clear" w:color="auto" w:fill="E5E5E5"/>
          </w:tcPr>
          <w:p>
            <w:pPr>
              <w:spacing w:after="0"/>
              <w:rPr>
                <w:sz w:val="17"/>
                <w:szCs w:val="17"/>
                <w:color w:val="auto"/>
              </w:rPr>
            </w:pPr>
          </w:p>
        </w:tc>
        <w:tc>
          <w:tcPr>
            <w:tcW w:w="900" w:type="dxa"/>
            <w:vAlign w:val="bottom"/>
            <w:tcBorders>
              <w:bottom w:val="single" w:sz="8" w:color="E5E5E5"/>
              <w:right w:val="single" w:sz="8" w:color="auto"/>
            </w:tcBorders>
            <w:shd w:val="clear" w:color="auto" w:fill="E5E5E5"/>
          </w:tcPr>
          <w:p>
            <w:pPr>
              <w:spacing w:after="0"/>
              <w:rPr>
                <w:sz w:val="17"/>
                <w:szCs w:val="17"/>
                <w:color w:val="auto"/>
              </w:rPr>
            </w:pPr>
          </w:p>
        </w:tc>
        <w:tc>
          <w:tcPr>
            <w:tcW w:w="980" w:type="dxa"/>
            <w:vAlign w:val="bottom"/>
            <w:tcBorders>
              <w:bottom w:val="single" w:sz="8" w:color="E5E5E5"/>
              <w:right w:val="single" w:sz="8" w:color="auto"/>
            </w:tcBorders>
            <w:shd w:val="clear" w:color="auto" w:fill="E5E5E5"/>
          </w:tcPr>
          <w:p>
            <w:pPr>
              <w:spacing w:after="0"/>
              <w:rPr>
                <w:sz w:val="17"/>
                <w:szCs w:val="17"/>
                <w:color w:val="auto"/>
              </w:rPr>
            </w:pPr>
          </w:p>
        </w:tc>
        <w:tc>
          <w:tcPr>
            <w:tcW w:w="780" w:type="dxa"/>
            <w:vAlign w:val="bottom"/>
            <w:tcBorders>
              <w:bottom w:val="single" w:sz="8" w:color="E5E5E5"/>
            </w:tcBorders>
            <w:shd w:val="clear" w:color="auto" w:fill="E5E5E5"/>
          </w:tcPr>
          <w:p>
            <w:pPr>
              <w:jc w:val="center"/>
              <w:ind w:left="317"/>
              <w:spacing w:after="0"/>
              <w:rPr>
                <w:sz w:val="20"/>
                <w:szCs w:val="20"/>
                <w:color w:val="auto"/>
              </w:rPr>
            </w:pPr>
            <w:r>
              <w:rPr>
                <w:rFonts w:ascii="Arial" w:cs="Arial" w:eastAsia="Arial" w:hAnsi="Arial"/>
                <w:sz w:val="13"/>
                <w:szCs w:val="13"/>
                <w:color w:val="auto"/>
                <w:w w:val="98"/>
              </w:rPr>
              <w:t>2,302</w:t>
            </w:r>
          </w:p>
        </w:tc>
        <w:tc>
          <w:tcPr>
            <w:tcW w:w="420" w:type="dxa"/>
            <w:vAlign w:val="bottom"/>
            <w:tcBorders>
              <w:bottom w:val="single" w:sz="8" w:color="E5E5E5"/>
              <w:right w:val="single" w:sz="8" w:color="auto"/>
            </w:tcBorders>
            <w:shd w:val="clear" w:color="auto" w:fill="E5E5E5"/>
          </w:tcPr>
          <w:p>
            <w:pPr>
              <w:ind w:left="40"/>
              <w:spacing w:after="0"/>
              <w:rPr>
                <w:sz w:val="20"/>
                <w:szCs w:val="20"/>
                <w:color w:val="auto"/>
              </w:rPr>
            </w:pPr>
            <w:r>
              <w:rPr>
                <w:rFonts w:ascii="Arial" w:cs="Arial" w:eastAsia="Arial" w:hAnsi="Arial"/>
                <w:sz w:val="9"/>
                <w:szCs w:val="9"/>
                <w:color w:val="auto"/>
              </w:rPr>
              <w:t>(5a)</w:t>
            </w:r>
          </w:p>
        </w:tc>
        <w:tc>
          <w:tcPr>
            <w:tcW w:w="1200" w:type="dxa"/>
            <w:vAlign w:val="bottom"/>
            <w:tcBorders>
              <w:bottom w:val="single" w:sz="8" w:color="E5E5E5"/>
              <w:right w:val="single" w:sz="8" w:color="auto"/>
            </w:tcBorders>
            <w:shd w:val="clear" w:color="auto" w:fill="E5E5E5"/>
          </w:tcPr>
          <w:p>
            <w:pPr>
              <w:jc w:val="right"/>
              <w:ind w:right="38"/>
              <w:spacing w:after="0"/>
              <w:rPr>
                <w:sz w:val="20"/>
                <w:szCs w:val="20"/>
                <w:color w:val="auto"/>
              </w:rPr>
            </w:pPr>
            <w:r>
              <w:rPr>
                <w:rFonts w:ascii="Arial" w:cs="Arial" w:eastAsia="Arial" w:hAnsi="Arial"/>
                <w:sz w:val="13"/>
                <w:szCs w:val="13"/>
                <w:color w:val="auto"/>
              </w:rPr>
              <w:t>334,987</w:t>
            </w:r>
          </w:p>
        </w:tc>
        <w:tc>
          <w:tcPr>
            <w:tcW w:w="6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E5E5E5"/>
              <w:right w:val="single" w:sz="8" w:color="auto"/>
            </w:tcBorders>
            <w:shd w:val="clear" w:color="auto" w:fill="E5E5E5"/>
          </w:tcPr>
          <w:p>
            <w:pPr>
              <w:spacing w:after="0"/>
              <w:rPr>
                <w:sz w:val="17"/>
                <w:szCs w:val="17"/>
                <w:color w:val="auto"/>
              </w:rPr>
            </w:pPr>
          </w:p>
        </w:tc>
        <w:tc>
          <w:tcPr>
            <w:tcW w:w="1220" w:type="dxa"/>
            <w:vAlign w:val="bottom"/>
            <w:tcBorders>
              <w:bottom w:val="single" w:sz="8" w:color="E5E5E5"/>
              <w:right w:val="single" w:sz="8" w:color="auto"/>
            </w:tcBorders>
            <w:shd w:val="clear" w:color="auto" w:fill="E5E5E5"/>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520" w:type="dxa"/>
            <w:vAlign w:val="bottom"/>
            <w:tcBorders>
              <w:left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02/28/2024</w:t>
            </w:r>
          </w:p>
        </w:tc>
        <w:tc>
          <w:tcPr>
            <w:tcW w:w="120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5,269</w:t>
            </w:r>
          </w:p>
        </w:tc>
        <w:tc>
          <w:tcPr>
            <w:tcW w:w="1040" w:type="dxa"/>
            <w:vAlign w:val="bottom"/>
            <w:tcBorders>
              <w:top w:val="single" w:sz="8" w:color="auto"/>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right w:val="single" w:sz="8" w:color="auto"/>
            </w:tcBorders>
          </w:tcPr>
          <w:p>
            <w:pPr>
              <w:jc w:val="right"/>
              <w:ind w:right="17"/>
              <w:spacing w:after="0"/>
              <w:rPr>
                <w:sz w:val="20"/>
                <w:szCs w:val="20"/>
                <w:color w:val="auto"/>
              </w:rPr>
            </w:pPr>
            <w:r>
              <w:rPr>
                <w:rFonts w:ascii="Arial" w:cs="Arial" w:eastAsia="Arial" w:hAnsi="Arial"/>
                <w:sz w:val="13"/>
                <w:szCs w:val="13"/>
                <w:color w:val="auto"/>
              </w:rPr>
              <w:t>116.40</w:t>
            </w: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02/28/2034</w:t>
            </w:r>
          </w:p>
        </w:tc>
        <w:tc>
          <w:tcPr>
            <w:tcW w:w="780" w:type="dxa"/>
            <w:vAlign w:val="bottom"/>
            <w:tcBorders>
              <w:top w:val="single" w:sz="8" w:color="auto"/>
            </w:tcBorders>
          </w:tcPr>
          <w:p>
            <w:pPr>
              <w:spacing w:after="0"/>
              <w:rPr>
                <w:sz w:val="14"/>
                <w:szCs w:val="14"/>
                <w:color w:val="auto"/>
              </w:rPr>
            </w:pPr>
          </w:p>
        </w:tc>
        <w:tc>
          <w:tcPr>
            <w:tcW w:w="420" w:type="dxa"/>
            <w:vAlign w:val="bottom"/>
            <w:tcBorders>
              <w:top w:val="single" w:sz="8" w:color="auto"/>
              <w:right w:val="single" w:sz="8" w:color="auto"/>
            </w:tcBorders>
          </w:tcPr>
          <w:p>
            <w:pPr>
              <w:spacing w:after="0"/>
              <w:rPr>
                <w:sz w:val="14"/>
                <w:szCs w:val="14"/>
                <w:color w:val="auto"/>
              </w:rPr>
            </w:pPr>
          </w:p>
        </w:tc>
        <w:tc>
          <w:tcPr>
            <w:tcW w:w="1200" w:type="dxa"/>
            <w:vAlign w:val="bottom"/>
            <w:tcBorders>
              <w:top w:val="single" w:sz="8" w:color="auto"/>
              <w:right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20" w:type="dxa"/>
            <w:vAlign w:val="bottom"/>
            <w:tcBorders>
              <w:top w:val="single" w:sz="8" w:color="auto"/>
              <w:right w:val="single" w:sz="8" w:color="auto"/>
            </w:tcBorders>
          </w:tcPr>
          <w:p>
            <w:pPr>
              <w:spacing w:after="0"/>
              <w:rPr>
                <w:sz w:val="14"/>
                <w:szCs w:val="14"/>
                <w:color w:val="auto"/>
              </w:rPr>
            </w:pPr>
          </w:p>
        </w:tc>
        <w:tc>
          <w:tcPr>
            <w:tcW w:w="122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-419735</wp:posOffset>
            </wp:positionV>
            <wp:extent cx="254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-419735</wp:posOffset>
            </wp:positionV>
            <wp:extent cx="254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-831215</wp:posOffset>
            </wp:positionV>
            <wp:extent cx="254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-831215</wp:posOffset>
            </wp:positionV>
            <wp:extent cx="254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-1105535</wp:posOffset>
            </wp:positionV>
            <wp:extent cx="254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-1105535</wp:posOffset>
            </wp:positionV>
            <wp:extent cx="254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-1242695</wp:posOffset>
            </wp:positionV>
            <wp:extent cx="254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-1242695</wp:posOffset>
            </wp:positionV>
            <wp:extent cx="260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-1242695</wp:posOffset>
            </wp:positionV>
            <wp:extent cx="254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-1517015</wp:posOffset>
            </wp:positionV>
            <wp:extent cx="254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-1517015</wp:posOffset>
            </wp:positionV>
            <wp:extent cx="254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-1654175</wp:posOffset>
            </wp:positionV>
            <wp:extent cx="254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-1654175</wp:posOffset>
            </wp:positionV>
            <wp:extent cx="260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-1654175</wp:posOffset>
            </wp:positionV>
            <wp:extent cx="254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-1928495</wp:posOffset>
            </wp:positionV>
            <wp:extent cx="254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-1928495</wp:posOffset>
            </wp:positionV>
            <wp:extent cx="254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-2065020</wp:posOffset>
            </wp:positionV>
            <wp:extent cx="254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-2065020</wp:posOffset>
            </wp:positionV>
            <wp:extent cx="260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-2065020</wp:posOffset>
            </wp:positionV>
            <wp:extent cx="254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7120255</wp:posOffset>
            </wp:positionH>
            <wp:positionV relativeFrom="paragraph">
              <wp:posOffset>-2339975</wp:posOffset>
            </wp:positionV>
            <wp:extent cx="254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-2339975</wp:posOffset>
            </wp:positionV>
            <wp:extent cx="254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-2614295</wp:posOffset>
            </wp:positionV>
            <wp:extent cx="254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-2614295</wp:posOffset>
            </wp:positionV>
            <wp:extent cx="260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-2614295</wp:posOffset>
            </wp:positionV>
            <wp:extent cx="254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65" w:lineRule="exact"/>
        <w:rPr>
          <w:sz w:val="20"/>
          <w:szCs w:val="20"/>
          <w:color w:val="auto"/>
        </w:rPr>
      </w:pPr>
    </w:p>
    <w:p>
      <w:pPr>
        <w:ind w:left="340" w:right="40" w:hanging="332"/>
        <w:spacing w:after="0" w:line="264" w:lineRule="auto"/>
        <w:tabs>
          <w:tab w:leader="none" w:pos="332" w:val="left"/>
        </w:tabs>
        <w:numPr>
          <w:ilvl w:val="0"/>
          <w:numId w:val="41"/>
        </w:numPr>
        <w:rPr>
          <w:rFonts w:ascii="Arial" w:cs="Arial" w:eastAsia="Arial" w:hAnsi="Arial"/>
          <w:sz w:val="13"/>
          <w:szCs w:val="13"/>
          <w:color w:val="auto"/>
        </w:rPr>
      </w:pPr>
      <w:r>
        <w:rPr>
          <w:rFonts w:ascii="Arial" w:cs="Arial" w:eastAsia="Arial" w:hAnsi="Arial"/>
          <w:sz w:val="13"/>
          <w:szCs w:val="13"/>
          <w:color w:val="auto"/>
        </w:rPr>
        <w:t>Unvested Options are subject to satisfaction of vesting criteria for the applicable year. Options vest at the rate of 33 1/3 percent in annual installments over three years beginning on the first anniversary of the grant date. LTI awards are generally subject to continued service through the applicable vesting period.</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Based on the closing price of our common stock of $145.52 on December 31, 2024.</w:t>
      </w:r>
    </w:p>
    <w:p>
      <w:pPr>
        <w:spacing w:after="0" w:line="53" w:lineRule="exact"/>
        <w:rPr>
          <w:sz w:val="20"/>
          <w:szCs w:val="20"/>
          <w:color w:val="auto"/>
        </w:rPr>
      </w:pPr>
    </w:p>
    <w:p>
      <w:pPr>
        <w:jc w:val="both"/>
        <w:ind w:left="340" w:right="20" w:hanging="323"/>
        <w:spacing w:after="0" w:line="264" w:lineRule="auto"/>
        <w:rPr>
          <w:sz w:val="20"/>
          <w:szCs w:val="20"/>
          <w:color w:val="auto"/>
        </w:rPr>
      </w:pPr>
      <w:r>
        <w:rPr>
          <w:rFonts w:ascii="Arial" w:cs="Arial" w:eastAsia="Arial" w:hAnsi="Arial"/>
          <w:sz w:val="13"/>
          <w:szCs w:val="13"/>
          <w:color w:val="auto"/>
        </w:rPr>
        <w:t>(3a) RSUs awarded on March 1, 2022, vest at the rate of 33 1/3 percent each year over three years beginning on the first anniversary of the grant date. LTI awards are generally subject to continued service through the applicable vesting period.</w:t>
      </w:r>
    </w:p>
    <w:p>
      <w:pPr>
        <w:spacing w:after="0" w:line="36" w:lineRule="exact"/>
        <w:rPr>
          <w:sz w:val="20"/>
          <w:szCs w:val="20"/>
          <w:color w:val="auto"/>
        </w:rPr>
      </w:pPr>
    </w:p>
    <w:p>
      <w:pPr>
        <w:jc w:val="both"/>
        <w:ind w:left="340" w:right="20" w:hanging="323"/>
        <w:spacing w:after="0" w:line="251" w:lineRule="auto"/>
        <w:rPr>
          <w:sz w:val="20"/>
          <w:szCs w:val="20"/>
          <w:color w:val="auto"/>
        </w:rPr>
      </w:pPr>
      <w:r>
        <w:rPr>
          <w:rFonts w:ascii="Arial" w:cs="Arial" w:eastAsia="Arial" w:hAnsi="Arial"/>
          <w:sz w:val="13"/>
          <w:szCs w:val="13"/>
          <w:color w:val="auto"/>
        </w:rPr>
        <w:t>(3b) PSUs awarded on March 1, 2022, become eligible to vest upon Committee certification of achievement, subject to satisfaction of external performance criteria for the three-year performance period. LTI awards are generally subject to continued service through the applicable vesting period. PSUs are capped at target if our TSR is negative. Amount presented assumes achievement at the 150% performance level.</w:t>
      </w:r>
    </w:p>
    <w:p>
      <w:pPr>
        <w:spacing w:after="0" w:line="30" w:lineRule="exact"/>
        <w:rPr>
          <w:sz w:val="20"/>
          <w:szCs w:val="20"/>
          <w:color w:val="auto"/>
        </w:rPr>
      </w:pPr>
    </w:p>
    <w:p>
      <w:pPr>
        <w:jc w:val="both"/>
        <w:ind w:left="340" w:right="20" w:hanging="323"/>
        <w:spacing w:after="0" w:line="264" w:lineRule="auto"/>
        <w:rPr>
          <w:sz w:val="20"/>
          <w:szCs w:val="20"/>
          <w:color w:val="auto"/>
        </w:rPr>
      </w:pPr>
      <w:r>
        <w:rPr>
          <w:rFonts w:ascii="Arial" w:cs="Arial" w:eastAsia="Arial" w:hAnsi="Arial"/>
          <w:sz w:val="13"/>
          <w:szCs w:val="13"/>
          <w:color w:val="auto"/>
        </w:rPr>
        <w:t>(4a) RSUs awarded on March 1, 2023, vest at the rate of 33 1/3 percent each year over three years beginning on the first anniversary of the grant date. LTI awards are generally subject to continued service through the applicable vesting period.</w:t>
      </w:r>
    </w:p>
    <w:p>
      <w:pPr>
        <w:spacing w:after="0" w:line="36" w:lineRule="exact"/>
        <w:rPr>
          <w:sz w:val="20"/>
          <w:szCs w:val="20"/>
          <w:color w:val="auto"/>
        </w:rPr>
      </w:pPr>
    </w:p>
    <w:p>
      <w:pPr>
        <w:jc w:val="both"/>
        <w:ind w:left="340" w:right="20" w:hanging="323"/>
        <w:spacing w:after="0" w:line="251" w:lineRule="auto"/>
        <w:rPr>
          <w:sz w:val="20"/>
          <w:szCs w:val="20"/>
          <w:color w:val="auto"/>
        </w:rPr>
      </w:pPr>
      <w:r>
        <w:rPr>
          <w:rFonts w:ascii="Arial" w:cs="Arial" w:eastAsia="Arial" w:hAnsi="Arial"/>
          <w:sz w:val="13"/>
          <w:szCs w:val="13"/>
          <w:color w:val="auto"/>
        </w:rPr>
        <w:t>(4b) PSUs awarded on March 1, 2023, become eligible to vest upon Committee certification of achievement, subject to satisfaction of external performance criteria for the three-year performance period. LTI awards are generally subject to continued service through the applicable vesting period. PSUs are capped at target if our TSR is negative. Amount presented assumes achievement at the 150% performance level.</w:t>
      </w:r>
    </w:p>
    <w:p>
      <w:pPr>
        <w:spacing w:after="0" w:line="30" w:lineRule="exact"/>
        <w:rPr>
          <w:sz w:val="20"/>
          <w:szCs w:val="20"/>
          <w:color w:val="auto"/>
        </w:rPr>
      </w:pPr>
    </w:p>
    <w:p>
      <w:pPr>
        <w:jc w:val="both"/>
        <w:ind w:left="340" w:right="20" w:hanging="323"/>
        <w:spacing w:after="0" w:line="264" w:lineRule="auto"/>
        <w:rPr>
          <w:sz w:val="20"/>
          <w:szCs w:val="20"/>
          <w:color w:val="auto"/>
        </w:rPr>
      </w:pPr>
      <w:r>
        <w:rPr>
          <w:rFonts w:ascii="Arial" w:cs="Arial" w:eastAsia="Arial" w:hAnsi="Arial"/>
          <w:sz w:val="13"/>
          <w:szCs w:val="13"/>
          <w:color w:val="auto"/>
        </w:rPr>
        <w:t>(5a) RSUs awarded on February 28, 2024, vest at the rate of 33 1/3 percent each year over three years beginning on the first anniversary of the grant date. LTI awards are generally subject to continued service through the applicable vesting period.</w:t>
      </w:r>
    </w:p>
    <w:p>
      <w:pPr>
        <w:spacing w:after="0" w:line="22" w:lineRule="exact"/>
        <w:rPr>
          <w:sz w:val="20"/>
          <w:szCs w:val="20"/>
          <w:color w:val="auto"/>
        </w:rPr>
      </w:pPr>
    </w:p>
    <w:p>
      <w:pPr>
        <w:jc w:val="both"/>
        <w:ind w:left="340" w:right="20" w:hanging="323"/>
        <w:spacing w:after="0" w:line="262" w:lineRule="auto"/>
        <w:rPr>
          <w:sz w:val="20"/>
          <w:szCs w:val="20"/>
          <w:color w:val="auto"/>
        </w:rPr>
      </w:pPr>
      <w:r>
        <w:rPr>
          <w:rFonts w:ascii="Arial" w:cs="Arial" w:eastAsia="Arial" w:hAnsi="Arial"/>
          <w:sz w:val="13"/>
          <w:szCs w:val="13"/>
          <w:color w:val="auto"/>
        </w:rPr>
        <w:t>(5b) PSUs awarded on February 28, 2024, become eligible to vest upon Committee certification of achievement, subject to satisfaction of external performance criteria for the three-year performance period. LTI awards are generally subject to continued service through the applicable vesting period. PSUs are capped at target if our TSR is negative. Amount presented assumes achievement at the 200% performance level.</w:t>
      </w:r>
    </w:p>
    <w:p>
      <w:pPr>
        <w:spacing w:after="0" w:line="23" w:lineRule="exact"/>
        <w:rPr>
          <w:sz w:val="20"/>
          <w:szCs w:val="20"/>
          <w:color w:val="auto"/>
        </w:rPr>
      </w:pPr>
    </w:p>
    <w:p>
      <w:pPr>
        <w:ind w:left="340" w:right="20" w:hanging="332"/>
        <w:spacing w:after="0" w:line="264" w:lineRule="auto"/>
        <w:tabs>
          <w:tab w:leader="none" w:pos="332" w:val="left"/>
        </w:tabs>
        <w:numPr>
          <w:ilvl w:val="0"/>
          <w:numId w:val="42"/>
        </w:numPr>
        <w:rPr>
          <w:rFonts w:ascii="Arial" w:cs="Arial" w:eastAsia="Arial" w:hAnsi="Arial"/>
          <w:sz w:val="13"/>
          <w:szCs w:val="13"/>
          <w:color w:val="auto"/>
        </w:rPr>
      </w:pPr>
      <w:r>
        <w:rPr>
          <w:rFonts w:ascii="Arial" w:cs="Arial" w:eastAsia="Arial" w:hAnsi="Arial"/>
          <w:sz w:val="13"/>
          <w:szCs w:val="13"/>
          <w:color w:val="auto"/>
        </w:rPr>
        <w:t>RSUs awarded to Mr. Carano on February 1, 2023, vest at the rate of 33 1/3 percent per year, subject to satisfaction of vesting criteria for the applicable year, with vesting dates of February 1, 2024, February 1, 2025, and February 1, 2026. LTI awards are generally subject to continued service through the applicable vesting period.</w:t>
      </w:r>
    </w:p>
    <w:p>
      <w:pPr>
        <w:spacing w:after="0" w:line="22" w:lineRule="exact"/>
        <w:rPr>
          <w:rFonts w:ascii="Arial" w:cs="Arial" w:eastAsia="Arial" w:hAnsi="Arial"/>
          <w:sz w:val="13"/>
          <w:szCs w:val="13"/>
          <w:color w:val="auto"/>
        </w:rPr>
      </w:pPr>
    </w:p>
    <w:p>
      <w:pPr>
        <w:ind w:left="340" w:right="20" w:hanging="332"/>
        <w:spacing w:after="0" w:line="286" w:lineRule="auto"/>
        <w:tabs>
          <w:tab w:leader="none" w:pos="332" w:val="left"/>
        </w:tabs>
        <w:numPr>
          <w:ilvl w:val="0"/>
          <w:numId w:val="42"/>
        </w:numPr>
        <w:rPr>
          <w:rFonts w:ascii="Arial" w:cs="Arial" w:eastAsia="Arial" w:hAnsi="Arial"/>
          <w:sz w:val="13"/>
          <w:szCs w:val="13"/>
          <w:color w:val="auto"/>
        </w:rPr>
      </w:pPr>
      <w:r>
        <w:rPr>
          <w:rFonts w:ascii="Arial" w:cs="Arial" w:eastAsia="Arial" w:hAnsi="Arial"/>
          <w:sz w:val="13"/>
          <w:szCs w:val="13"/>
          <w:color w:val="auto"/>
        </w:rPr>
        <w:t>RSUs awarded to Mr. McClenaghan on October 1, 2022, vest at the rate of 33 1/3 percent per year, subject to satisfaction of vesting criteria for the applicable year, with vesting dates of October 1, 2023, October 1, 2024, and October 1, 2025. LTI awards are generally subject to continued service through the applicable vesting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574040</wp:posOffset>
            </wp:positionV>
            <wp:extent cx="403225" cy="145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0322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2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41</w:t>
            </w:r>
          </w:p>
        </w:tc>
      </w:tr>
      <w:tr>
        <w:trPr>
          <w:trHeight w:val="27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92" w:right="319" w:bottom="1440" w:gutter="0" w:footer="0" w:header="0"/>
        </w:sectPr>
      </w:pPr>
    </w:p>
    <w:bookmarkStart w:id="47" w:name="page48"/>
    <w:bookmarkEnd w:id="47"/>
    <w:p>
      <w:pPr>
        <w:ind w:left="20"/>
        <w:spacing w:after="0"/>
        <w:rPr>
          <w:sz w:val="20"/>
          <w:szCs w:val="20"/>
          <w:color w:val="auto"/>
        </w:rPr>
      </w:pPr>
      <w:r>
        <w:rPr>
          <w:rFonts w:ascii="Arial" w:cs="Arial" w:eastAsia="Arial" w:hAnsi="Arial"/>
          <w:sz w:val="14"/>
          <w:szCs w:val="14"/>
          <w:color w:val="004C9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OPTION EXERCISES AND STOCK VESTED IN 2024</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options exercised and stock vested for each of our NEOs in 2024.</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260" w:type="dxa"/>
            <w:vAlign w:val="bottom"/>
            <w:tcBorders>
              <w:top w:val="single" w:sz="8" w:color="auto"/>
              <w:left w:val="single" w:sz="8" w:color="auto"/>
              <w:bottom w:val="single" w:sz="8" w:color="004C97"/>
              <w:right w:val="single" w:sz="8" w:color="auto"/>
            </w:tcBorders>
            <w:shd w:val="clear" w:color="auto" w:fill="004C97"/>
          </w:tcPr>
          <w:p>
            <w:pPr>
              <w:spacing w:after="0"/>
              <w:rPr>
                <w:sz w:val="22"/>
                <w:szCs w:val="22"/>
                <w:color w:val="auto"/>
              </w:rPr>
            </w:pPr>
          </w:p>
        </w:tc>
        <w:tc>
          <w:tcPr>
            <w:tcW w:w="2800" w:type="dxa"/>
            <w:vAlign w:val="bottom"/>
            <w:tcBorders>
              <w:top w:val="single" w:sz="8" w:color="auto"/>
              <w:bottom w:val="single" w:sz="8" w:color="auto"/>
            </w:tcBorders>
            <w:gridSpan w:val="2"/>
            <w:shd w:val="clear" w:color="auto" w:fill="004C97"/>
          </w:tcPr>
          <w:p>
            <w:pPr>
              <w:ind w:left="1720"/>
              <w:spacing w:after="0"/>
              <w:rPr>
                <w:sz w:val="20"/>
                <w:szCs w:val="20"/>
                <w:color w:val="auto"/>
              </w:rPr>
            </w:pPr>
            <w:r>
              <w:rPr>
                <w:rFonts w:ascii="Arial" w:cs="Arial" w:eastAsia="Arial" w:hAnsi="Arial"/>
                <w:sz w:val="14"/>
                <w:szCs w:val="14"/>
                <w:b w:val="1"/>
                <w:bCs w:val="1"/>
                <w:color w:val="FFFFFF"/>
              </w:rPr>
              <w:t>Option Awards</w:t>
            </w:r>
          </w:p>
        </w:tc>
        <w:tc>
          <w:tcPr>
            <w:tcW w:w="1700" w:type="dxa"/>
            <w:vAlign w:val="bottom"/>
            <w:tcBorders>
              <w:top w:val="single" w:sz="8" w:color="auto"/>
              <w:bottom w:val="single" w:sz="8" w:color="auto"/>
              <w:right w:val="single" w:sz="8" w:color="auto"/>
            </w:tcBorders>
            <w:shd w:val="clear" w:color="auto" w:fill="004C97"/>
          </w:tcPr>
          <w:p>
            <w:pPr>
              <w:spacing w:after="0"/>
              <w:rPr>
                <w:sz w:val="22"/>
                <w:szCs w:val="22"/>
                <w:color w:val="auto"/>
              </w:rPr>
            </w:pPr>
          </w:p>
        </w:tc>
        <w:tc>
          <w:tcPr>
            <w:tcW w:w="2760" w:type="dxa"/>
            <w:vAlign w:val="bottom"/>
            <w:tcBorders>
              <w:top w:val="single" w:sz="8" w:color="auto"/>
              <w:bottom w:val="single" w:sz="8" w:color="auto"/>
            </w:tcBorders>
            <w:gridSpan w:val="2"/>
            <w:shd w:val="clear" w:color="auto" w:fill="004C97"/>
          </w:tcPr>
          <w:p>
            <w:pPr>
              <w:ind w:left="1740"/>
              <w:spacing w:after="0"/>
              <w:rPr>
                <w:sz w:val="20"/>
                <w:szCs w:val="20"/>
                <w:color w:val="auto"/>
              </w:rPr>
            </w:pPr>
            <w:r>
              <w:rPr>
                <w:rFonts w:ascii="Arial" w:cs="Arial" w:eastAsia="Arial" w:hAnsi="Arial"/>
                <w:sz w:val="14"/>
                <w:szCs w:val="14"/>
                <w:b w:val="1"/>
                <w:bCs w:val="1"/>
                <w:color w:val="FFFFFF"/>
              </w:rPr>
              <w:t>Stock Awards</w:t>
            </w:r>
          </w:p>
        </w:tc>
        <w:tc>
          <w:tcPr>
            <w:tcW w:w="1720" w:type="dxa"/>
            <w:vAlign w:val="bottom"/>
            <w:tcBorders>
              <w:top w:val="single" w:sz="8" w:color="auto"/>
              <w:bottom w:val="single" w:sz="8" w:color="auto"/>
              <w:right w:val="single" w:sz="8" w:color="auto"/>
            </w:tcBorders>
            <w:shd w:val="clear" w:color="auto" w:fill="004C97"/>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260" w:type="dxa"/>
            <w:vAlign w:val="bottom"/>
            <w:tcBorders>
              <w:left w:val="single" w:sz="8" w:color="auto"/>
              <w:right w:val="single" w:sz="8" w:color="auto"/>
            </w:tcBorders>
            <w:shd w:val="clear" w:color="auto" w:fill="004C97"/>
          </w:tcPr>
          <w:p>
            <w:pPr>
              <w:spacing w:after="0"/>
              <w:rPr>
                <w:sz w:val="21"/>
                <w:szCs w:val="21"/>
                <w:color w:val="auto"/>
              </w:rPr>
            </w:pPr>
          </w:p>
        </w:tc>
        <w:tc>
          <w:tcPr>
            <w:tcW w:w="224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560" w:type="dxa"/>
            <w:vAlign w:val="bottom"/>
            <w:shd w:val="clear" w:color="auto" w:fill="004C97"/>
          </w:tcPr>
          <w:p>
            <w:pPr>
              <w:spacing w:after="0"/>
              <w:rPr>
                <w:sz w:val="21"/>
                <w:szCs w:val="21"/>
                <w:color w:val="auto"/>
              </w:rPr>
            </w:pPr>
          </w:p>
        </w:tc>
        <w:tc>
          <w:tcPr>
            <w:tcW w:w="1700" w:type="dxa"/>
            <w:vAlign w:val="bottom"/>
            <w:tcBorders>
              <w:right w:val="single" w:sz="8" w:color="auto"/>
            </w:tcBorders>
            <w:shd w:val="clear" w:color="auto" w:fill="004C97"/>
          </w:tcPr>
          <w:p>
            <w:pPr>
              <w:jc w:val="center"/>
              <w:ind w:right="508"/>
              <w:spacing w:after="0"/>
              <w:rPr>
                <w:sz w:val="20"/>
                <w:szCs w:val="20"/>
                <w:color w:val="auto"/>
              </w:rPr>
            </w:pPr>
            <w:r>
              <w:rPr>
                <w:rFonts w:ascii="Arial" w:cs="Arial" w:eastAsia="Arial" w:hAnsi="Arial"/>
                <w:sz w:val="14"/>
                <w:szCs w:val="14"/>
                <w:b w:val="1"/>
                <w:bCs w:val="1"/>
                <w:color w:val="FFFFFF"/>
              </w:rPr>
              <w:t>Value Realized</w:t>
            </w:r>
          </w:p>
        </w:tc>
        <w:tc>
          <w:tcPr>
            <w:tcW w:w="224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Number of Shares</w:t>
            </w:r>
          </w:p>
        </w:tc>
        <w:tc>
          <w:tcPr>
            <w:tcW w:w="520" w:type="dxa"/>
            <w:vAlign w:val="bottom"/>
            <w:shd w:val="clear" w:color="auto" w:fill="004C97"/>
          </w:tcPr>
          <w:p>
            <w:pPr>
              <w:spacing w:after="0"/>
              <w:rPr>
                <w:sz w:val="21"/>
                <w:szCs w:val="21"/>
                <w:color w:val="auto"/>
              </w:rPr>
            </w:pPr>
          </w:p>
        </w:tc>
        <w:tc>
          <w:tcPr>
            <w:tcW w:w="1720" w:type="dxa"/>
            <w:vAlign w:val="bottom"/>
            <w:tcBorders>
              <w:right w:val="single" w:sz="8" w:color="auto"/>
            </w:tcBorders>
            <w:shd w:val="clear" w:color="auto" w:fill="004C97"/>
          </w:tcPr>
          <w:p>
            <w:pPr>
              <w:jc w:val="center"/>
              <w:ind w:right="492"/>
              <w:spacing w:after="0"/>
              <w:rPr>
                <w:sz w:val="20"/>
                <w:szCs w:val="20"/>
                <w:color w:val="auto"/>
              </w:rPr>
            </w:pPr>
            <w:r>
              <w:rPr>
                <w:rFonts w:ascii="Arial" w:cs="Arial" w:eastAsia="Arial" w:hAnsi="Arial"/>
                <w:sz w:val="14"/>
                <w:szCs w:val="14"/>
                <w:b w:val="1"/>
                <w:bCs w:val="1"/>
                <w:color w:val="FFFFFF"/>
              </w:rPr>
              <w:t>Value Realized</w:t>
            </w:r>
          </w:p>
        </w:tc>
        <w:tc>
          <w:tcPr>
            <w:tcW w:w="0" w:type="dxa"/>
            <w:vAlign w:val="bottom"/>
          </w:tcPr>
          <w:p>
            <w:pPr>
              <w:spacing w:after="0"/>
              <w:rPr>
                <w:sz w:val="1"/>
                <w:szCs w:val="1"/>
                <w:color w:val="auto"/>
              </w:rPr>
            </w:pPr>
          </w:p>
        </w:tc>
      </w:tr>
      <w:tr>
        <w:trPr>
          <w:trHeight w:val="173"/>
        </w:trPr>
        <w:tc>
          <w:tcPr>
            <w:tcW w:w="2260" w:type="dxa"/>
            <w:vAlign w:val="bottom"/>
            <w:tcBorders>
              <w:left w:val="single" w:sz="8" w:color="auto"/>
              <w:right w:val="single" w:sz="8" w:color="auto"/>
            </w:tcBorders>
            <w:vMerge w:val="restart"/>
            <w:shd w:val="clear" w:color="auto" w:fill="004C97"/>
          </w:tcPr>
          <w:p>
            <w:pPr>
              <w:ind w:left="940"/>
              <w:spacing w:after="0"/>
              <w:rPr>
                <w:sz w:val="20"/>
                <w:szCs w:val="20"/>
                <w:color w:val="auto"/>
              </w:rPr>
            </w:pPr>
            <w:r>
              <w:rPr>
                <w:rFonts w:ascii="Arial" w:cs="Arial" w:eastAsia="Arial" w:hAnsi="Arial"/>
                <w:sz w:val="14"/>
                <w:szCs w:val="14"/>
                <w:b w:val="1"/>
                <w:bCs w:val="1"/>
                <w:color w:val="FFFFFF"/>
              </w:rPr>
              <w:t>Name</w:t>
            </w:r>
          </w:p>
        </w:tc>
        <w:tc>
          <w:tcPr>
            <w:tcW w:w="224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Acquired on Exercise</w:t>
            </w:r>
          </w:p>
        </w:tc>
        <w:tc>
          <w:tcPr>
            <w:tcW w:w="560" w:type="dxa"/>
            <w:vAlign w:val="bottom"/>
            <w:shd w:val="clear" w:color="auto" w:fill="004C97"/>
          </w:tcPr>
          <w:p>
            <w:pPr>
              <w:spacing w:after="0"/>
              <w:rPr>
                <w:sz w:val="15"/>
                <w:szCs w:val="15"/>
                <w:color w:val="auto"/>
              </w:rPr>
            </w:pPr>
          </w:p>
        </w:tc>
        <w:tc>
          <w:tcPr>
            <w:tcW w:w="1700" w:type="dxa"/>
            <w:vAlign w:val="bottom"/>
            <w:tcBorders>
              <w:right w:val="single" w:sz="8" w:color="auto"/>
            </w:tcBorders>
            <w:shd w:val="clear" w:color="auto" w:fill="004C97"/>
          </w:tcPr>
          <w:p>
            <w:pPr>
              <w:jc w:val="center"/>
              <w:ind w:right="548"/>
              <w:spacing w:after="0"/>
              <w:rPr>
                <w:sz w:val="20"/>
                <w:szCs w:val="20"/>
                <w:color w:val="auto"/>
              </w:rPr>
            </w:pPr>
            <w:r>
              <w:rPr>
                <w:rFonts w:ascii="Arial" w:cs="Arial" w:eastAsia="Arial" w:hAnsi="Arial"/>
                <w:sz w:val="14"/>
                <w:szCs w:val="14"/>
                <w:b w:val="1"/>
                <w:bCs w:val="1"/>
                <w:color w:val="FFFFFF"/>
              </w:rPr>
              <w:t>on Exercise</w:t>
            </w:r>
          </w:p>
        </w:tc>
        <w:tc>
          <w:tcPr>
            <w:tcW w:w="224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Acquired on Vesting</w:t>
            </w:r>
          </w:p>
        </w:tc>
        <w:tc>
          <w:tcPr>
            <w:tcW w:w="520" w:type="dxa"/>
            <w:vAlign w:val="bottom"/>
            <w:shd w:val="clear" w:color="auto" w:fill="004C97"/>
          </w:tcPr>
          <w:p>
            <w:pPr>
              <w:spacing w:after="0"/>
              <w:rPr>
                <w:sz w:val="15"/>
                <w:szCs w:val="15"/>
                <w:color w:val="auto"/>
              </w:rPr>
            </w:pPr>
          </w:p>
        </w:tc>
        <w:tc>
          <w:tcPr>
            <w:tcW w:w="1720" w:type="dxa"/>
            <w:vAlign w:val="bottom"/>
            <w:tcBorders>
              <w:right w:val="single" w:sz="8" w:color="auto"/>
            </w:tcBorders>
            <w:shd w:val="clear" w:color="auto" w:fill="004C97"/>
          </w:tcPr>
          <w:p>
            <w:pPr>
              <w:jc w:val="center"/>
              <w:ind w:right="532"/>
              <w:spacing w:after="0"/>
              <w:rPr>
                <w:sz w:val="20"/>
                <w:szCs w:val="20"/>
                <w:color w:val="auto"/>
              </w:rPr>
            </w:pPr>
            <w:r>
              <w:rPr>
                <w:rFonts w:ascii="Arial" w:cs="Arial" w:eastAsia="Arial" w:hAnsi="Arial"/>
                <w:sz w:val="14"/>
                <w:szCs w:val="14"/>
                <w:b w:val="1"/>
                <w:bCs w:val="1"/>
                <w:color w:val="FFFFFF"/>
              </w:rPr>
              <w:t>on Vesting</w:t>
            </w:r>
          </w:p>
        </w:tc>
        <w:tc>
          <w:tcPr>
            <w:tcW w:w="0" w:type="dxa"/>
            <w:vAlign w:val="bottom"/>
          </w:tcPr>
          <w:p>
            <w:pPr>
              <w:spacing w:after="0"/>
              <w:rPr>
                <w:sz w:val="1"/>
                <w:szCs w:val="1"/>
                <w:color w:val="auto"/>
              </w:rPr>
            </w:pPr>
          </w:p>
        </w:tc>
      </w:tr>
      <w:tr>
        <w:trPr>
          <w:trHeight w:val="201"/>
        </w:trPr>
        <w:tc>
          <w:tcPr>
            <w:tcW w:w="2260" w:type="dxa"/>
            <w:vAlign w:val="bottom"/>
            <w:tcBorders>
              <w:left w:val="single" w:sz="8" w:color="auto"/>
              <w:bottom w:val="single" w:sz="8" w:color="auto"/>
              <w:right w:val="single" w:sz="8" w:color="auto"/>
            </w:tcBorders>
            <w:vMerge w:val="continue"/>
            <w:shd w:val="clear" w:color="auto" w:fill="004C97"/>
          </w:tcPr>
          <w:p>
            <w:pPr>
              <w:spacing w:after="0"/>
              <w:rPr>
                <w:sz w:val="17"/>
                <w:szCs w:val="17"/>
                <w:color w:val="auto"/>
              </w:rPr>
            </w:pPr>
          </w:p>
        </w:tc>
        <w:tc>
          <w:tcPr>
            <w:tcW w:w="224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w:t>
            </w:r>
          </w:p>
        </w:tc>
        <w:tc>
          <w:tcPr>
            <w:tcW w:w="560" w:type="dxa"/>
            <w:vAlign w:val="bottom"/>
            <w:tcBorders>
              <w:bottom w:val="single" w:sz="8" w:color="auto"/>
            </w:tcBorders>
            <w:shd w:val="clear" w:color="auto" w:fill="004C97"/>
          </w:tcPr>
          <w:p>
            <w:pPr>
              <w:spacing w:after="0"/>
              <w:rPr>
                <w:sz w:val="17"/>
                <w:szCs w:val="17"/>
                <w:color w:val="auto"/>
              </w:rPr>
            </w:pPr>
          </w:p>
        </w:tc>
        <w:tc>
          <w:tcPr>
            <w:tcW w:w="1700" w:type="dxa"/>
            <w:vAlign w:val="bottom"/>
            <w:tcBorders>
              <w:bottom w:val="single" w:sz="8" w:color="auto"/>
              <w:right w:val="single" w:sz="8" w:color="auto"/>
            </w:tcBorders>
            <w:shd w:val="clear" w:color="auto" w:fill="004C97"/>
          </w:tcPr>
          <w:p>
            <w:pPr>
              <w:jc w:val="center"/>
              <w:ind w:right="528"/>
              <w:spacing w:after="0"/>
              <w:rPr>
                <w:sz w:val="20"/>
                <w:szCs w:val="20"/>
                <w:color w:val="auto"/>
              </w:rPr>
            </w:pPr>
            <w:r>
              <w:rPr>
                <w:rFonts w:ascii="Arial" w:cs="Arial" w:eastAsia="Arial" w:hAnsi="Arial"/>
                <w:sz w:val="14"/>
                <w:szCs w:val="14"/>
                <w:b w:val="1"/>
                <w:bCs w:val="1"/>
                <w:color w:val="FFFFFF"/>
              </w:rPr>
              <w:t>($)</w:t>
            </w:r>
          </w:p>
        </w:tc>
        <w:tc>
          <w:tcPr>
            <w:tcW w:w="224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w w:val="93"/>
              </w:rPr>
              <w:t>(#)</w:t>
            </w:r>
          </w:p>
        </w:tc>
        <w:tc>
          <w:tcPr>
            <w:tcW w:w="520" w:type="dxa"/>
            <w:vAlign w:val="bottom"/>
            <w:tcBorders>
              <w:bottom w:val="single" w:sz="8" w:color="auto"/>
            </w:tcBorders>
            <w:shd w:val="clear" w:color="auto" w:fill="004C97"/>
          </w:tcPr>
          <w:p>
            <w:pPr>
              <w:spacing w:after="0"/>
              <w:rPr>
                <w:sz w:val="17"/>
                <w:szCs w:val="17"/>
                <w:color w:val="auto"/>
              </w:rPr>
            </w:pPr>
          </w:p>
        </w:tc>
        <w:tc>
          <w:tcPr>
            <w:tcW w:w="1720" w:type="dxa"/>
            <w:vAlign w:val="bottom"/>
            <w:tcBorders>
              <w:bottom w:val="single" w:sz="8" w:color="auto"/>
              <w:right w:val="single" w:sz="8" w:color="auto"/>
            </w:tcBorders>
            <w:shd w:val="clear" w:color="auto" w:fill="004C97"/>
          </w:tcPr>
          <w:p>
            <w:pPr>
              <w:jc w:val="center"/>
              <w:ind w:right="492"/>
              <w:spacing w:after="0" w:line="201" w:lineRule="exact"/>
              <w:rPr>
                <w:sz w:val="20"/>
                <w:szCs w:val="20"/>
                <w:color w:val="auto"/>
              </w:rPr>
            </w:pPr>
            <w:r>
              <w:rPr>
                <w:rFonts w:ascii="Arial" w:cs="Arial" w:eastAsia="Arial" w:hAnsi="Arial"/>
                <w:sz w:val="23"/>
                <w:szCs w:val="23"/>
                <w:b w:val="1"/>
                <w:bCs w:val="1"/>
                <w:color w:val="FFFFFF"/>
                <w:w w:val="98"/>
                <w:vertAlign w:val="subscript"/>
              </w:rPr>
              <w:t>($)</w:t>
            </w:r>
            <w:r>
              <w:rPr>
                <w:rFonts w:ascii="Arial" w:cs="Arial" w:eastAsia="Arial" w:hAnsi="Arial"/>
                <w:sz w:val="8"/>
                <w:szCs w:val="8"/>
                <w:b w:val="1"/>
                <w:bCs w:val="1"/>
                <w:color w:val="FFFFFF"/>
                <w:w w:val="98"/>
              </w:rPr>
              <w:t>(1)</w:t>
            </w:r>
          </w:p>
        </w:tc>
        <w:tc>
          <w:tcPr>
            <w:tcW w:w="0" w:type="dxa"/>
            <w:vAlign w:val="bottom"/>
          </w:tcPr>
          <w:p>
            <w:pPr>
              <w:spacing w:after="0"/>
              <w:rPr>
                <w:sz w:val="1"/>
                <w:szCs w:val="1"/>
                <w:color w:val="auto"/>
              </w:rPr>
            </w:pPr>
          </w:p>
        </w:tc>
      </w:tr>
      <w:tr>
        <w:trPr>
          <w:trHeight w:val="228"/>
        </w:trPr>
        <w:tc>
          <w:tcPr>
            <w:tcW w:w="2260" w:type="dxa"/>
            <w:vAlign w:val="bottom"/>
            <w:tcBorders>
              <w:left w:val="single" w:sz="8" w:color="auto"/>
              <w:bottom w:val="single" w:sz="8" w:color="E5E5E5"/>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Eugene J. Lowe, III</w:t>
            </w:r>
          </w:p>
        </w:tc>
        <w:tc>
          <w:tcPr>
            <w:tcW w:w="224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378,449</w:t>
            </w:r>
          </w:p>
        </w:tc>
        <w:tc>
          <w:tcPr>
            <w:tcW w:w="560" w:type="dxa"/>
            <w:vAlign w:val="bottom"/>
            <w:tcBorders>
              <w:bottom w:val="single" w:sz="8" w:color="E5E5E5"/>
            </w:tcBorders>
            <w:shd w:val="clear" w:color="auto" w:fill="E5E5E5"/>
          </w:tcPr>
          <w:p>
            <w:pPr>
              <w:spacing w:after="0"/>
              <w:rPr>
                <w:sz w:val="19"/>
                <w:szCs w:val="19"/>
                <w:color w:val="auto"/>
              </w:rPr>
            </w:pPr>
          </w:p>
        </w:tc>
        <w:tc>
          <w:tcPr>
            <w:tcW w:w="1700" w:type="dxa"/>
            <w:vAlign w:val="bottom"/>
            <w:tcBorders>
              <w:bottom w:val="single" w:sz="8" w:color="E5E5E5"/>
              <w:right w:val="single" w:sz="8" w:color="auto"/>
            </w:tcBorders>
            <w:shd w:val="clear" w:color="auto" w:fill="E5E5E5"/>
          </w:tcPr>
          <w:p>
            <w:pPr>
              <w:jc w:val="center"/>
              <w:ind w:right="508"/>
              <w:spacing w:after="0"/>
              <w:rPr>
                <w:sz w:val="20"/>
                <w:szCs w:val="20"/>
                <w:color w:val="auto"/>
              </w:rPr>
            </w:pPr>
            <w:r>
              <w:rPr>
                <w:rFonts w:ascii="Arial" w:cs="Arial" w:eastAsia="Arial" w:hAnsi="Arial"/>
                <w:sz w:val="14"/>
                <w:szCs w:val="14"/>
                <w:color w:val="auto"/>
              </w:rPr>
              <w:t>38,613,411</w:t>
            </w:r>
          </w:p>
        </w:tc>
        <w:tc>
          <w:tcPr>
            <w:tcW w:w="224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66,168</w:t>
            </w:r>
          </w:p>
        </w:tc>
        <w:tc>
          <w:tcPr>
            <w:tcW w:w="520" w:type="dxa"/>
            <w:vAlign w:val="bottom"/>
            <w:tcBorders>
              <w:bottom w:val="single" w:sz="8" w:color="E5E5E5"/>
            </w:tcBorders>
            <w:shd w:val="clear" w:color="auto" w:fill="E5E5E5"/>
          </w:tcPr>
          <w:p>
            <w:pPr>
              <w:spacing w:after="0"/>
              <w:rPr>
                <w:sz w:val="19"/>
                <w:szCs w:val="19"/>
                <w:color w:val="auto"/>
              </w:rPr>
            </w:pPr>
          </w:p>
        </w:tc>
        <w:tc>
          <w:tcPr>
            <w:tcW w:w="1720" w:type="dxa"/>
            <w:vAlign w:val="bottom"/>
            <w:tcBorders>
              <w:bottom w:val="single" w:sz="8" w:color="E5E5E5"/>
              <w:right w:val="single" w:sz="8" w:color="auto"/>
            </w:tcBorders>
            <w:shd w:val="clear" w:color="auto" w:fill="E5E5E5"/>
          </w:tcPr>
          <w:p>
            <w:pPr>
              <w:jc w:val="center"/>
              <w:ind w:right="492"/>
              <w:spacing w:after="0"/>
              <w:rPr>
                <w:sz w:val="20"/>
                <w:szCs w:val="20"/>
                <w:color w:val="auto"/>
              </w:rPr>
            </w:pPr>
            <w:r>
              <w:rPr>
                <w:rFonts w:ascii="Arial" w:cs="Arial" w:eastAsia="Arial" w:hAnsi="Arial"/>
                <w:sz w:val="14"/>
                <w:szCs w:val="14"/>
                <w:color w:val="auto"/>
              </w:rPr>
              <w:t>7,382,250</w:t>
            </w:r>
          </w:p>
        </w:tc>
        <w:tc>
          <w:tcPr>
            <w:tcW w:w="0" w:type="dxa"/>
            <w:vAlign w:val="bottom"/>
          </w:tcPr>
          <w:p>
            <w:pPr>
              <w:spacing w:after="0"/>
              <w:rPr>
                <w:sz w:val="1"/>
                <w:szCs w:val="1"/>
                <w:color w:val="auto"/>
              </w:rPr>
            </w:pPr>
          </w:p>
        </w:tc>
      </w:tr>
      <w:tr>
        <w:trPr>
          <w:trHeight w:val="202"/>
        </w:trPr>
        <w:tc>
          <w:tcPr>
            <w:tcW w:w="22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Mark A. Carano</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560" w:type="dxa"/>
            <w:vAlign w:val="bottom"/>
            <w:tcBorders>
              <w:top w:val="single" w:sz="8" w:color="auto"/>
            </w:tcBorders>
          </w:tcPr>
          <w:p>
            <w:pPr>
              <w:spacing w:after="0"/>
              <w:rPr>
                <w:sz w:val="17"/>
                <w:szCs w:val="17"/>
                <w:color w:val="auto"/>
              </w:rPr>
            </w:pPr>
          </w:p>
        </w:tc>
        <w:tc>
          <w:tcPr>
            <w:tcW w:w="1700" w:type="dxa"/>
            <w:vAlign w:val="bottom"/>
            <w:tcBorders>
              <w:top w:val="single" w:sz="8" w:color="auto"/>
              <w:right w:val="single" w:sz="8" w:color="auto"/>
            </w:tcBorders>
          </w:tcPr>
          <w:p>
            <w:pPr>
              <w:jc w:val="center"/>
              <w:ind w:right="528"/>
              <w:spacing w:after="0"/>
              <w:rPr>
                <w:sz w:val="20"/>
                <w:szCs w:val="20"/>
                <w:color w:val="auto"/>
              </w:rPr>
            </w:pPr>
            <w:r>
              <w:rPr>
                <w:rFonts w:ascii="Arial" w:cs="Arial" w:eastAsia="Arial" w:hAnsi="Arial"/>
                <w:sz w:val="14"/>
                <w:szCs w:val="14"/>
                <w:color w:val="auto"/>
                <w:w w:val="99"/>
              </w:rPr>
              <w:t>—</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1,968</w:t>
            </w:r>
          </w:p>
        </w:tc>
        <w:tc>
          <w:tcPr>
            <w:tcW w:w="520" w:type="dxa"/>
            <w:vAlign w:val="bottom"/>
            <w:tcBorders>
              <w:top w:val="single" w:sz="8" w:color="auto"/>
            </w:tcBorders>
          </w:tcPr>
          <w:p>
            <w:pPr>
              <w:spacing w:after="0"/>
              <w:rPr>
                <w:sz w:val="17"/>
                <w:szCs w:val="17"/>
                <w:color w:val="auto"/>
              </w:rPr>
            </w:pPr>
          </w:p>
        </w:tc>
        <w:tc>
          <w:tcPr>
            <w:tcW w:w="1720" w:type="dxa"/>
            <w:vAlign w:val="bottom"/>
            <w:tcBorders>
              <w:top w:val="single" w:sz="8" w:color="auto"/>
              <w:right w:val="single" w:sz="8" w:color="auto"/>
            </w:tcBorders>
          </w:tcPr>
          <w:p>
            <w:pPr>
              <w:jc w:val="center"/>
              <w:ind w:right="492"/>
              <w:spacing w:after="0"/>
              <w:rPr>
                <w:sz w:val="20"/>
                <w:szCs w:val="20"/>
                <w:color w:val="auto"/>
              </w:rPr>
            </w:pPr>
            <w:r>
              <w:rPr>
                <w:rFonts w:ascii="Arial" w:cs="Arial" w:eastAsia="Arial" w:hAnsi="Arial"/>
                <w:sz w:val="14"/>
                <w:szCs w:val="14"/>
                <w:color w:val="auto"/>
              </w:rPr>
              <w:t>211,333</w:t>
            </w:r>
          </w:p>
        </w:tc>
        <w:tc>
          <w:tcPr>
            <w:tcW w:w="0" w:type="dxa"/>
            <w:vAlign w:val="bottom"/>
          </w:tcPr>
          <w:p>
            <w:pPr>
              <w:spacing w:after="0"/>
              <w:rPr>
                <w:sz w:val="1"/>
                <w:szCs w:val="1"/>
                <w:color w:val="auto"/>
              </w:rPr>
            </w:pPr>
          </w:p>
        </w:tc>
      </w:tr>
      <w:tr>
        <w:trPr>
          <w:trHeight w:val="22"/>
        </w:trPr>
        <w:tc>
          <w:tcPr>
            <w:tcW w:w="2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260" w:type="dxa"/>
            <w:vAlign w:val="bottom"/>
            <w:tcBorders>
              <w:left w:val="single" w:sz="8" w:color="auto"/>
              <w:bottom w:val="single" w:sz="8" w:color="E5E5E5"/>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J. Randall Data</w:t>
            </w:r>
          </w:p>
        </w:tc>
        <w:tc>
          <w:tcPr>
            <w:tcW w:w="224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27,412</w:t>
            </w:r>
          </w:p>
        </w:tc>
        <w:tc>
          <w:tcPr>
            <w:tcW w:w="560" w:type="dxa"/>
            <w:vAlign w:val="bottom"/>
            <w:tcBorders>
              <w:bottom w:val="single" w:sz="8" w:color="E5E5E5"/>
            </w:tcBorders>
            <w:shd w:val="clear" w:color="auto" w:fill="E5E5E5"/>
          </w:tcPr>
          <w:p>
            <w:pPr>
              <w:spacing w:after="0"/>
              <w:rPr>
                <w:sz w:val="19"/>
                <w:szCs w:val="19"/>
                <w:color w:val="auto"/>
              </w:rPr>
            </w:pPr>
          </w:p>
        </w:tc>
        <w:tc>
          <w:tcPr>
            <w:tcW w:w="1700" w:type="dxa"/>
            <w:vAlign w:val="bottom"/>
            <w:tcBorders>
              <w:bottom w:val="single" w:sz="8" w:color="E5E5E5"/>
              <w:right w:val="single" w:sz="8" w:color="auto"/>
            </w:tcBorders>
            <w:shd w:val="clear" w:color="auto" w:fill="E5E5E5"/>
          </w:tcPr>
          <w:p>
            <w:pPr>
              <w:jc w:val="center"/>
              <w:ind w:right="508"/>
              <w:spacing w:after="0"/>
              <w:rPr>
                <w:sz w:val="20"/>
                <w:szCs w:val="20"/>
                <w:color w:val="auto"/>
              </w:rPr>
            </w:pPr>
            <w:r>
              <w:rPr>
                <w:rFonts w:ascii="Arial" w:cs="Arial" w:eastAsia="Arial" w:hAnsi="Arial"/>
                <w:sz w:val="14"/>
                <w:szCs w:val="14"/>
                <w:color w:val="auto"/>
              </w:rPr>
              <w:t>2,505,217</w:t>
            </w:r>
          </w:p>
        </w:tc>
        <w:tc>
          <w:tcPr>
            <w:tcW w:w="224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12,752</w:t>
            </w:r>
          </w:p>
        </w:tc>
        <w:tc>
          <w:tcPr>
            <w:tcW w:w="520" w:type="dxa"/>
            <w:vAlign w:val="bottom"/>
            <w:tcBorders>
              <w:bottom w:val="single" w:sz="8" w:color="E5E5E5"/>
            </w:tcBorders>
            <w:shd w:val="clear" w:color="auto" w:fill="E5E5E5"/>
          </w:tcPr>
          <w:p>
            <w:pPr>
              <w:spacing w:after="0"/>
              <w:rPr>
                <w:sz w:val="19"/>
                <w:szCs w:val="19"/>
                <w:color w:val="auto"/>
              </w:rPr>
            </w:pPr>
          </w:p>
        </w:tc>
        <w:tc>
          <w:tcPr>
            <w:tcW w:w="1720" w:type="dxa"/>
            <w:vAlign w:val="bottom"/>
            <w:tcBorders>
              <w:bottom w:val="single" w:sz="8" w:color="E5E5E5"/>
              <w:right w:val="single" w:sz="8" w:color="auto"/>
            </w:tcBorders>
            <w:shd w:val="clear" w:color="auto" w:fill="E5E5E5"/>
          </w:tcPr>
          <w:p>
            <w:pPr>
              <w:jc w:val="center"/>
              <w:ind w:right="492"/>
              <w:spacing w:after="0"/>
              <w:rPr>
                <w:sz w:val="20"/>
                <w:szCs w:val="20"/>
                <w:color w:val="auto"/>
              </w:rPr>
            </w:pPr>
            <w:r>
              <w:rPr>
                <w:rFonts w:ascii="Arial" w:cs="Arial" w:eastAsia="Arial" w:hAnsi="Arial"/>
                <w:sz w:val="14"/>
                <w:szCs w:val="14"/>
                <w:color w:val="auto"/>
              </w:rPr>
              <w:t>1,422,794</w:t>
            </w:r>
          </w:p>
        </w:tc>
        <w:tc>
          <w:tcPr>
            <w:tcW w:w="0" w:type="dxa"/>
            <w:vAlign w:val="bottom"/>
          </w:tcPr>
          <w:p>
            <w:pPr>
              <w:spacing w:after="0"/>
              <w:rPr>
                <w:sz w:val="1"/>
                <w:szCs w:val="1"/>
                <w:color w:val="auto"/>
              </w:rPr>
            </w:pPr>
          </w:p>
        </w:tc>
      </w:tr>
      <w:tr>
        <w:trPr>
          <w:trHeight w:val="202"/>
        </w:trPr>
        <w:tc>
          <w:tcPr>
            <w:tcW w:w="22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John W. Swann, III</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25,917</w:t>
            </w:r>
          </w:p>
        </w:tc>
        <w:tc>
          <w:tcPr>
            <w:tcW w:w="560" w:type="dxa"/>
            <w:vAlign w:val="bottom"/>
            <w:tcBorders>
              <w:top w:val="single" w:sz="8" w:color="auto"/>
            </w:tcBorders>
          </w:tcPr>
          <w:p>
            <w:pPr>
              <w:spacing w:after="0"/>
              <w:rPr>
                <w:sz w:val="17"/>
                <w:szCs w:val="17"/>
                <w:color w:val="auto"/>
              </w:rPr>
            </w:pPr>
          </w:p>
        </w:tc>
        <w:tc>
          <w:tcPr>
            <w:tcW w:w="1700" w:type="dxa"/>
            <w:vAlign w:val="bottom"/>
            <w:tcBorders>
              <w:top w:val="single" w:sz="8" w:color="auto"/>
              <w:right w:val="single" w:sz="8" w:color="auto"/>
            </w:tcBorders>
          </w:tcPr>
          <w:p>
            <w:pPr>
              <w:jc w:val="center"/>
              <w:ind w:right="508"/>
              <w:spacing w:after="0"/>
              <w:rPr>
                <w:sz w:val="20"/>
                <w:szCs w:val="20"/>
                <w:color w:val="auto"/>
              </w:rPr>
            </w:pPr>
            <w:r>
              <w:rPr>
                <w:rFonts w:ascii="Arial" w:cs="Arial" w:eastAsia="Arial" w:hAnsi="Arial"/>
                <w:sz w:val="14"/>
                <w:szCs w:val="14"/>
                <w:color w:val="auto"/>
              </w:rPr>
              <w:t>2,149,966</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11,586</w:t>
            </w:r>
          </w:p>
        </w:tc>
        <w:tc>
          <w:tcPr>
            <w:tcW w:w="520" w:type="dxa"/>
            <w:vAlign w:val="bottom"/>
            <w:tcBorders>
              <w:top w:val="single" w:sz="8" w:color="auto"/>
            </w:tcBorders>
          </w:tcPr>
          <w:p>
            <w:pPr>
              <w:spacing w:after="0"/>
              <w:rPr>
                <w:sz w:val="17"/>
                <w:szCs w:val="17"/>
                <w:color w:val="auto"/>
              </w:rPr>
            </w:pPr>
          </w:p>
        </w:tc>
        <w:tc>
          <w:tcPr>
            <w:tcW w:w="1720" w:type="dxa"/>
            <w:vAlign w:val="bottom"/>
            <w:tcBorders>
              <w:top w:val="single" w:sz="8" w:color="auto"/>
              <w:right w:val="single" w:sz="8" w:color="auto"/>
            </w:tcBorders>
          </w:tcPr>
          <w:p>
            <w:pPr>
              <w:jc w:val="center"/>
              <w:ind w:right="492"/>
              <w:spacing w:after="0"/>
              <w:rPr>
                <w:sz w:val="20"/>
                <w:szCs w:val="20"/>
                <w:color w:val="auto"/>
              </w:rPr>
            </w:pPr>
            <w:r>
              <w:rPr>
                <w:rFonts w:ascii="Arial" w:cs="Arial" w:eastAsia="Arial" w:hAnsi="Arial"/>
                <w:sz w:val="14"/>
                <w:szCs w:val="14"/>
                <w:color w:val="auto"/>
              </w:rPr>
              <w:t>1,292,673</w:t>
            </w:r>
          </w:p>
        </w:tc>
        <w:tc>
          <w:tcPr>
            <w:tcW w:w="0" w:type="dxa"/>
            <w:vAlign w:val="bottom"/>
          </w:tcPr>
          <w:p>
            <w:pPr>
              <w:spacing w:after="0"/>
              <w:rPr>
                <w:sz w:val="1"/>
                <w:szCs w:val="1"/>
                <w:color w:val="auto"/>
              </w:rPr>
            </w:pPr>
          </w:p>
        </w:tc>
      </w:tr>
      <w:tr>
        <w:trPr>
          <w:trHeight w:val="22"/>
        </w:trPr>
        <w:tc>
          <w:tcPr>
            <w:tcW w:w="2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bottom w:val="single" w:sz="8" w:color="E5E5E5"/>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Sean McClenaghan</w:t>
            </w:r>
          </w:p>
        </w:tc>
        <w:tc>
          <w:tcPr>
            <w:tcW w:w="224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w w:val="99"/>
              </w:rPr>
              <w:t>—</w:t>
            </w:r>
          </w:p>
        </w:tc>
        <w:tc>
          <w:tcPr>
            <w:tcW w:w="560" w:type="dxa"/>
            <w:vAlign w:val="bottom"/>
            <w:tcBorders>
              <w:bottom w:val="single" w:sz="8" w:color="E5E5E5"/>
            </w:tcBorders>
            <w:shd w:val="clear" w:color="auto" w:fill="E5E5E5"/>
          </w:tcPr>
          <w:p>
            <w:pPr>
              <w:spacing w:after="0"/>
              <w:rPr>
                <w:sz w:val="17"/>
                <w:szCs w:val="17"/>
                <w:color w:val="auto"/>
              </w:rPr>
            </w:pPr>
          </w:p>
        </w:tc>
        <w:tc>
          <w:tcPr>
            <w:tcW w:w="1700" w:type="dxa"/>
            <w:vAlign w:val="bottom"/>
            <w:tcBorders>
              <w:bottom w:val="single" w:sz="8" w:color="E5E5E5"/>
              <w:right w:val="single" w:sz="8" w:color="auto"/>
            </w:tcBorders>
            <w:shd w:val="clear" w:color="auto" w:fill="E5E5E5"/>
          </w:tcPr>
          <w:p>
            <w:pPr>
              <w:jc w:val="center"/>
              <w:ind w:right="528"/>
              <w:spacing w:after="0"/>
              <w:rPr>
                <w:sz w:val="20"/>
                <w:szCs w:val="20"/>
                <w:color w:val="auto"/>
              </w:rPr>
            </w:pPr>
            <w:r>
              <w:rPr>
                <w:rFonts w:ascii="Arial" w:cs="Arial" w:eastAsia="Arial" w:hAnsi="Arial"/>
                <w:sz w:val="14"/>
                <w:szCs w:val="14"/>
                <w:color w:val="auto"/>
                <w:w w:val="99"/>
              </w:rPr>
              <w:t>—</w:t>
            </w:r>
          </w:p>
        </w:tc>
        <w:tc>
          <w:tcPr>
            <w:tcW w:w="224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3,821</w:t>
            </w:r>
          </w:p>
        </w:tc>
        <w:tc>
          <w:tcPr>
            <w:tcW w:w="520" w:type="dxa"/>
            <w:vAlign w:val="bottom"/>
            <w:tcBorders>
              <w:bottom w:val="single" w:sz="8" w:color="E5E5E5"/>
            </w:tcBorders>
            <w:shd w:val="clear" w:color="auto" w:fill="E5E5E5"/>
          </w:tcPr>
          <w:p>
            <w:pPr>
              <w:spacing w:after="0"/>
              <w:rPr>
                <w:sz w:val="17"/>
                <w:szCs w:val="17"/>
                <w:color w:val="auto"/>
              </w:rPr>
            </w:pPr>
          </w:p>
        </w:tc>
        <w:tc>
          <w:tcPr>
            <w:tcW w:w="1720" w:type="dxa"/>
            <w:vAlign w:val="bottom"/>
            <w:tcBorders>
              <w:bottom w:val="single" w:sz="8" w:color="E5E5E5"/>
              <w:right w:val="single" w:sz="8" w:color="auto"/>
            </w:tcBorders>
            <w:shd w:val="clear" w:color="auto" w:fill="E5E5E5"/>
          </w:tcPr>
          <w:p>
            <w:pPr>
              <w:jc w:val="center"/>
              <w:ind w:right="492"/>
              <w:spacing w:after="0"/>
              <w:rPr>
                <w:sz w:val="20"/>
                <w:szCs w:val="20"/>
                <w:color w:val="auto"/>
              </w:rPr>
            </w:pPr>
            <w:r>
              <w:rPr>
                <w:rFonts w:ascii="Arial" w:cs="Arial" w:eastAsia="Arial" w:hAnsi="Arial"/>
                <w:sz w:val="14"/>
                <w:szCs w:val="14"/>
                <w:color w:val="auto"/>
              </w:rPr>
              <w:t>572,944</w:t>
            </w:r>
          </w:p>
        </w:tc>
        <w:tc>
          <w:tcPr>
            <w:tcW w:w="0" w:type="dxa"/>
            <w:vAlign w:val="bottom"/>
          </w:tcPr>
          <w:p>
            <w:pPr>
              <w:spacing w:after="0"/>
              <w:rPr>
                <w:sz w:val="1"/>
                <w:szCs w:val="1"/>
                <w:color w:val="auto"/>
              </w:rPr>
            </w:pPr>
          </w:p>
        </w:tc>
      </w:tr>
      <w:tr>
        <w:trPr>
          <w:trHeight w:val="20"/>
        </w:trPr>
        <w:tc>
          <w:tcPr>
            <w:tcW w:w="22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00" w:type="dxa"/>
            <w:vAlign w:val="bottom"/>
            <w:tcBorders>
              <w:right w:val="single" w:sz="8" w:color="auto"/>
            </w:tcBorders>
            <w:shd w:val="clear" w:color="auto" w:fill="000000"/>
          </w:tcPr>
          <w:p>
            <w:pPr>
              <w:spacing w:after="0" w:line="20" w:lineRule="exact"/>
              <w:rPr>
                <w:sz w:val="1"/>
                <w:szCs w:val="1"/>
                <w:color w:val="auto"/>
              </w:rPr>
            </w:pPr>
          </w:p>
        </w:tc>
        <w:tc>
          <w:tcPr>
            <w:tcW w:w="22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left="340" w:hanging="332"/>
        <w:spacing w:after="0" w:line="247" w:lineRule="auto"/>
        <w:tabs>
          <w:tab w:leader="none" w:pos="332" w:val="left"/>
        </w:tabs>
        <w:numPr>
          <w:ilvl w:val="0"/>
          <w:numId w:val="43"/>
        </w:numPr>
        <w:rPr>
          <w:rFonts w:ascii="Arial" w:cs="Arial" w:eastAsia="Arial" w:hAnsi="Arial"/>
          <w:sz w:val="13"/>
          <w:szCs w:val="13"/>
          <w:color w:val="auto"/>
        </w:rPr>
      </w:pPr>
      <w:r>
        <w:rPr>
          <w:rFonts w:ascii="Arial" w:cs="Arial" w:eastAsia="Arial" w:hAnsi="Arial"/>
          <w:sz w:val="13"/>
          <w:szCs w:val="13"/>
          <w:color w:val="auto"/>
        </w:rPr>
        <w:t>Value realized on exercise and value realized on vesting is based on the closing price of our common stock on the New York Stock Exchange on the date of exercise or vesting, as applicable. In connection with the vesting of stock awards, our NEOs surrendered shares to satisfy tax withholding requirements, which reduced the number of shares acquired and actual value they received upon vesting. The options exercised by Mr. Lowe in 2024 were scheduled to expire in 2025 if not exercised, and Mr. Lowe sold shares in connection with such option exercises solely to fund the exercise price and related income tax obligations.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NONQUALIFIED DEFERRED COMPENSATION</w:t>
      </w:r>
    </w:p>
    <w:p>
      <w:pPr>
        <w:spacing w:after="0" w:line="7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following table sets forth information relating to the SPX Supplemental Retirement Savings Plan (“SRSP”) for NEOs in 2024. Other members of senior-level management are also eligible to participate in the SRSP, a nonqualified deferred compensation plan that allows them to make pre-tax deferrals in excess of those permitted by the 401(k) Plan. Eligible executives may defer up to 50% of their base compensation (excluding annual bonuses) and up to 100% of their annual bonuses into the SRSP. Both base compensation and annual bonus deferral elections are made prior to the beginning of the year to which they relate.</w:t>
      </w:r>
    </w:p>
    <w:p>
      <w:pPr>
        <w:spacing w:after="0" w:line="31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 company match is made to the SRSP after the maximum company match has been made under the 401(k) Plan, and the deferrals and match are allocated to the fund(s) under the SRSP as selected by the participant.</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general, “eligible compensation” for purposes of the SRSP is the amount reported as wages on a participant’s Form W-2, (1) increased by (a) amounts contributed by the participant to the 401(k) Plan and the SPX Flexible Spending Account Plans, and (b) vacation and holiday pay paid after termination of employment; and (2) decreased by (a) reimbursements or other expense allowances, (b) fringe benefits (cash and non-cash), (c) moving expenses, (d) welfare benefits (provided that short-term disability payments are included and long-term disability payments are excluded), (e) employer-provided automobiles, mileage reimbursements, and car allowances for which no documentation is required, taxable and non-taxable tuition reimbursements, the taxable value of physical examinations, and group term life insurance coverage in excess of $50,000, (f) pay in lieu of notice, (g) deferred compensation, (h) the value of restricted shares and other equity awards, and (i) severance pay paid after termination of employment.</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All matching contributions into the SRSP are made in cash and invested according to the participant’s elections. All participant and matching contributions vest immediately. There is no minimum holding period. The SRSP is unfunded and earnings are credited on account balances based on participant direction within the similar investment choices available in the 401(k) Plan. All returns in the SRSP and the 401(k) Plan are at market rates. In-service distributions are not allowed under the SRSP. All amounts deferred under the SRSP after 2009 will be paid in a lump-sum payment six months following termination of employment. Participants may elect to receive their pre-2009 accounts in a lump sum, annual installments (two to ten years), or monthly installments (up to 120 months) upon separation from service, on a date that is a specified number of months after retirement or separation from service, or on a specified date following separation from service (no later than attainment of age 70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650875</wp:posOffset>
            </wp:positionV>
            <wp:extent cx="402590" cy="1454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0259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42</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48" w:name="page49"/>
    <w:bookmarkEnd w:id="48"/>
    <w:p>
      <w:pPr>
        <w:ind w:left="9220"/>
        <w:spacing w:after="0"/>
        <w:rPr>
          <w:sz w:val="20"/>
          <w:szCs w:val="20"/>
          <w:color w:val="auto"/>
        </w:rPr>
      </w:pPr>
      <w:r>
        <w:rPr>
          <w:rFonts w:ascii="Arial" w:cs="Arial" w:eastAsia="Arial" w:hAnsi="Arial"/>
          <w:sz w:val="14"/>
          <w:szCs w:val="14"/>
          <w:color w:val="004C9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220" w:type="dxa"/>
            <w:vAlign w:val="bottom"/>
            <w:tcBorders>
              <w:top w:val="single" w:sz="8" w:color="auto"/>
              <w:left w:val="single" w:sz="8" w:color="auto"/>
              <w:right w:val="single" w:sz="8" w:color="auto"/>
            </w:tcBorders>
            <w:shd w:val="clear" w:color="auto" w:fill="004C97"/>
          </w:tcPr>
          <w:p>
            <w:pPr>
              <w:spacing w:after="0"/>
              <w:rPr>
                <w:sz w:val="17"/>
                <w:szCs w:val="17"/>
                <w:color w:val="auto"/>
              </w:rPr>
            </w:pPr>
          </w:p>
        </w:tc>
        <w:tc>
          <w:tcPr>
            <w:tcW w:w="1540" w:type="dxa"/>
            <w:vAlign w:val="bottom"/>
            <w:tcBorders>
              <w:top w:val="single" w:sz="8" w:color="auto"/>
              <w:right w:val="single" w:sz="8" w:color="auto"/>
            </w:tcBorders>
            <w:shd w:val="clear" w:color="auto" w:fill="004C97"/>
          </w:tcPr>
          <w:p>
            <w:pPr>
              <w:spacing w:after="0"/>
              <w:rPr>
                <w:sz w:val="17"/>
                <w:szCs w:val="17"/>
                <w:color w:val="auto"/>
              </w:rPr>
            </w:pPr>
          </w:p>
        </w:tc>
        <w:tc>
          <w:tcPr>
            <w:tcW w:w="1540" w:type="dxa"/>
            <w:vAlign w:val="bottom"/>
            <w:tcBorders>
              <w:top w:val="single" w:sz="8" w:color="auto"/>
              <w:right w:val="single" w:sz="8" w:color="auto"/>
            </w:tcBorders>
            <w:shd w:val="clear" w:color="auto" w:fill="004C97"/>
          </w:tcPr>
          <w:p>
            <w:pPr>
              <w:spacing w:after="0"/>
              <w:rPr>
                <w:sz w:val="17"/>
                <w:szCs w:val="17"/>
                <w:color w:val="auto"/>
              </w:rPr>
            </w:pPr>
          </w:p>
        </w:tc>
        <w:tc>
          <w:tcPr>
            <w:tcW w:w="1240" w:type="dxa"/>
            <w:vAlign w:val="bottom"/>
            <w:tcBorders>
              <w:top w:val="single" w:sz="8" w:color="auto"/>
              <w:right w:val="single" w:sz="8" w:color="auto"/>
            </w:tcBorders>
            <w:shd w:val="clear" w:color="auto" w:fill="004C97"/>
          </w:tcPr>
          <w:p>
            <w:pPr>
              <w:spacing w:after="0"/>
              <w:rPr>
                <w:sz w:val="17"/>
                <w:szCs w:val="17"/>
                <w:color w:val="auto"/>
              </w:rPr>
            </w:pPr>
          </w:p>
        </w:tc>
        <w:tc>
          <w:tcPr>
            <w:tcW w:w="1460" w:type="dxa"/>
            <w:vAlign w:val="bottom"/>
            <w:tcBorders>
              <w:top w:val="single" w:sz="8" w:color="auto"/>
              <w:right w:val="single" w:sz="8" w:color="auto"/>
            </w:tcBorders>
            <w:shd w:val="clear" w:color="auto" w:fill="004C97"/>
          </w:tcPr>
          <w:p>
            <w:pPr>
              <w:spacing w:after="0"/>
              <w:rPr>
                <w:sz w:val="17"/>
                <w:szCs w:val="17"/>
                <w:color w:val="auto"/>
              </w:rPr>
            </w:pPr>
          </w:p>
        </w:tc>
        <w:tc>
          <w:tcPr>
            <w:tcW w:w="126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Aggregate</w:t>
            </w:r>
          </w:p>
        </w:tc>
      </w:tr>
      <w:tr>
        <w:trPr>
          <w:trHeight w:val="176"/>
        </w:trPr>
        <w:tc>
          <w:tcPr>
            <w:tcW w:w="4220" w:type="dxa"/>
            <w:vAlign w:val="bottom"/>
            <w:tcBorders>
              <w:left w:val="single" w:sz="8" w:color="auto"/>
              <w:right w:val="single" w:sz="8" w:color="auto"/>
            </w:tcBorders>
            <w:shd w:val="clear" w:color="auto" w:fill="004C97"/>
          </w:tcPr>
          <w:p>
            <w:pPr>
              <w:spacing w:after="0"/>
              <w:rPr>
                <w:sz w:val="15"/>
                <w:szCs w:val="15"/>
                <w:color w:val="auto"/>
              </w:rPr>
            </w:pPr>
          </w:p>
        </w:tc>
        <w:tc>
          <w:tcPr>
            <w:tcW w:w="154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Executive</w:t>
            </w:r>
          </w:p>
        </w:tc>
        <w:tc>
          <w:tcPr>
            <w:tcW w:w="154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Registrant</w:t>
            </w:r>
          </w:p>
        </w:tc>
        <w:tc>
          <w:tcPr>
            <w:tcW w:w="124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Aggregate</w:t>
            </w:r>
          </w:p>
        </w:tc>
        <w:tc>
          <w:tcPr>
            <w:tcW w:w="146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Aggregate</w:t>
            </w:r>
          </w:p>
        </w:tc>
        <w:tc>
          <w:tcPr>
            <w:tcW w:w="126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Balance at Last</w:t>
            </w:r>
          </w:p>
        </w:tc>
      </w:tr>
      <w:tr>
        <w:trPr>
          <w:trHeight w:val="162"/>
        </w:trPr>
        <w:tc>
          <w:tcPr>
            <w:tcW w:w="4220" w:type="dxa"/>
            <w:vAlign w:val="bottom"/>
            <w:tcBorders>
              <w:left w:val="single" w:sz="8" w:color="auto"/>
              <w:right w:val="single" w:sz="8" w:color="auto"/>
            </w:tcBorders>
            <w:shd w:val="clear" w:color="auto" w:fill="004C97"/>
          </w:tcPr>
          <w:p>
            <w:pPr>
              <w:spacing w:after="0"/>
              <w:rPr>
                <w:sz w:val="14"/>
                <w:szCs w:val="14"/>
                <w:color w:val="auto"/>
              </w:rPr>
            </w:pPr>
          </w:p>
        </w:tc>
        <w:tc>
          <w:tcPr>
            <w:tcW w:w="154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Contributions in Last</w:t>
            </w:r>
          </w:p>
        </w:tc>
        <w:tc>
          <w:tcPr>
            <w:tcW w:w="154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Contributions in Last</w:t>
            </w:r>
          </w:p>
        </w:tc>
        <w:tc>
          <w:tcPr>
            <w:tcW w:w="124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Earnings in Last</w:t>
            </w:r>
          </w:p>
        </w:tc>
        <w:tc>
          <w:tcPr>
            <w:tcW w:w="146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Withdrawals/</w:t>
            </w:r>
          </w:p>
        </w:tc>
        <w:tc>
          <w:tcPr>
            <w:tcW w:w="126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FYE</w:t>
            </w:r>
          </w:p>
        </w:tc>
      </w:tr>
      <w:tr>
        <w:trPr>
          <w:trHeight w:val="212"/>
        </w:trPr>
        <w:tc>
          <w:tcPr>
            <w:tcW w:w="4220" w:type="dxa"/>
            <w:vAlign w:val="bottom"/>
            <w:tcBorders>
              <w:left w:val="single" w:sz="8" w:color="auto"/>
              <w:bottom w:val="single" w:sz="8" w:color="auto"/>
              <w:right w:val="single" w:sz="8" w:color="auto"/>
            </w:tcBorders>
            <w:shd w:val="clear" w:color="auto" w:fill="004C97"/>
          </w:tcPr>
          <w:p>
            <w:pPr>
              <w:ind w:left="1920"/>
              <w:spacing w:after="0"/>
              <w:rPr>
                <w:sz w:val="20"/>
                <w:szCs w:val="20"/>
                <w:color w:val="auto"/>
              </w:rPr>
            </w:pPr>
            <w:r>
              <w:rPr>
                <w:rFonts w:ascii="Arial" w:cs="Arial" w:eastAsia="Arial" w:hAnsi="Arial"/>
                <w:sz w:val="14"/>
                <w:szCs w:val="14"/>
                <w:b w:val="1"/>
                <w:bCs w:val="1"/>
                <w:color w:val="FFFFFF"/>
              </w:rPr>
              <w:t>Name</w:t>
            </w:r>
          </w:p>
        </w:tc>
        <w:tc>
          <w:tcPr>
            <w:tcW w:w="154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w w:val="93"/>
              </w:rPr>
              <w:t>FY ($)</w:t>
            </w:r>
            <w:r>
              <w:rPr>
                <w:rFonts w:ascii="Arial" w:cs="Arial" w:eastAsia="Arial" w:hAnsi="Arial"/>
                <w:sz w:val="18"/>
                <w:szCs w:val="18"/>
                <w:b w:val="1"/>
                <w:bCs w:val="1"/>
                <w:color w:val="FFFFFF"/>
                <w:w w:val="93"/>
                <w:vertAlign w:val="superscript"/>
              </w:rPr>
              <w:t>(1)</w:t>
            </w:r>
          </w:p>
        </w:tc>
        <w:tc>
          <w:tcPr>
            <w:tcW w:w="154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w w:val="93"/>
              </w:rPr>
              <w:t>FY ($)</w:t>
            </w:r>
            <w:r>
              <w:rPr>
                <w:rFonts w:ascii="Arial" w:cs="Arial" w:eastAsia="Arial" w:hAnsi="Arial"/>
                <w:sz w:val="18"/>
                <w:szCs w:val="18"/>
                <w:b w:val="1"/>
                <w:bCs w:val="1"/>
                <w:color w:val="FFFFFF"/>
                <w:w w:val="93"/>
                <w:vertAlign w:val="superscript"/>
              </w:rPr>
              <w:t>(2)</w:t>
            </w:r>
          </w:p>
        </w:tc>
        <w:tc>
          <w:tcPr>
            <w:tcW w:w="124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w w:val="97"/>
              </w:rPr>
              <w:t>FY ($)</w:t>
            </w:r>
            <w:r>
              <w:rPr>
                <w:rFonts w:ascii="Arial" w:cs="Arial" w:eastAsia="Arial" w:hAnsi="Arial"/>
                <w:sz w:val="18"/>
                <w:szCs w:val="18"/>
                <w:b w:val="1"/>
                <w:bCs w:val="1"/>
                <w:color w:val="FFFFFF"/>
                <w:w w:val="97"/>
                <w:vertAlign w:val="superscript"/>
              </w:rPr>
              <w:t>(3)</w:t>
            </w:r>
          </w:p>
        </w:tc>
        <w:tc>
          <w:tcPr>
            <w:tcW w:w="146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Distributions ($)</w:t>
            </w:r>
          </w:p>
        </w:tc>
        <w:tc>
          <w:tcPr>
            <w:tcW w:w="126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w:t>
            </w:r>
          </w:p>
        </w:tc>
      </w:tr>
      <w:tr>
        <w:trPr>
          <w:trHeight w:val="228"/>
        </w:trPr>
        <w:tc>
          <w:tcPr>
            <w:tcW w:w="4220" w:type="dxa"/>
            <w:vAlign w:val="bottom"/>
            <w:tcBorders>
              <w:left w:val="single" w:sz="8" w:color="auto"/>
              <w:bottom w:val="single" w:sz="8" w:color="E5E5E5"/>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Eugene J. Lowe, III</w:t>
            </w:r>
          </w:p>
        </w:tc>
        <w:tc>
          <w:tcPr>
            <w:tcW w:w="154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150,619</w:t>
            </w:r>
          </w:p>
        </w:tc>
        <w:tc>
          <w:tcPr>
            <w:tcW w:w="154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135,557</w:t>
            </w:r>
          </w:p>
        </w:tc>
        <w:tc>
          <w:tcPr>
            <w:tcW w:w="124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555,047</w:t>
            </w:r>
          </w:p>
        </w:tc>
        <w:tc>
          <w:tcPr>
            <w:tcW w:w="1460" w:type="dxa"/>
            <w:vAlign w:val="bottom"/>
            <w:tcBorders>
              <w:bottom w:val="single" w:sz="8" w:color="E5E5E5"/>
              <w:right w:val="single" w:sz="8" w:color="auto"/>
            </w:tcBorders>
            <w:shd w:val="clear" w:color="auto" w:fill="E5E5E5"/>
          </w:tcPr>
          <w:p>
            <w:pPr>
              <w:ind w:left="12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2,937,008</w:t>
            </w:r>
          </w:p>
        </w:tc>
      </w:tr>
      <w:tr>
        <w:trPr>
          <w:trHeight w:val="202"/>
        </w:trPr>
        <w:tc>
          <w:tcPr>
            <w:tcW w:w="42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Mark A. Carano</w:t>
            </w:r>
          </w:p>
        </w:tc>
        <w:tc>
          <w:tcPr>
            <w:tcW w:w="154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25,546</w:t>
            </w:r>
          </w:p>
        </w:tc>
        <w:tc>
          <w:tcPr>
            <w:tcW w:w="154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21,288</w:t>
            </w:r>
          </w:p>
        </w:tc>
        <w:tc>
          <w:tcPr>
            <w:tcW w:w="124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1,930</w:t>
            </w:r>
          </w:p>
        </w:tc>
        <w:tc>
          <w:tcPr>
            <w:tcW w:w="1460" w:type="dxa"/>
            <w:vAlign w:val="bottom"/>
            <w:tcBorders>
              <w:top w:val="single" w:sz="8" w:color="auto"/>
              <w:right w:val="single" w:sz="8" w:color="auto"/>
            </w:tcBorders>
          </w:tcPr>
          <w:p>
            <w:pPr>
              <w:ind w:left="122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48,764</w:t>
            </w:r>
          </w:p>
        </w:tc>
      </w:tr>
      <w:tr>
        <w:trPr>
          <w:trHeight w:val="22"/>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20" w:type="dxa"/>
            <w:vAlign w:val="bottom"/>
            <w:tcBorders>
              <w:left w:val="single" w:sz="8" w:color="auto"/>
              <w:bottom w:val="single" w:sz="8" w:color="E5E5E5"/>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J. Randall Data</w:t>
            </w:r>
          </w:p>
        </w:tc>
        <w:tc>
          <w:tcPr>
            <w:tcW w:w="154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27,587</w:t>
            </w:r>
          </w:p>
        </w:tc>
        <w:tc>
          <w:tcPr>
            <w:tcW w:w="154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22,989</w:t>
            </w:r>
          </w:p>
        </w:tc>
        <w:tc>
          <w:tcPr>
            <w:tcW w:w="124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132,387</w:t>
            </w:r>
          </w:p>
        </w:tc>
        <w:tc>
          <w:tcPr>
            <w:tcW w:w="1460" w:type="dxa"/>
            <w:vAlign w:val="bottom"/>
            <w:tcBorders>
              <w:bottom w:val="single" w:sz="8" w:color="E5E5E5"/>
              <w:right w:val="single" w:sz="8" w:color="auto"/>
            </w:tcBorders>
            <w:shd w:val="clear" w:color="auto" w:fill="E5E5E5"/>
          </w:tcPr>
          <w:p>
            <w:pPr>
              <w:ind w:left="12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698,389</w:t>
            </w:r>
          </w:p>
        </w:tc>
      </w:tr>
      <w:tr>
        <w:trPr>
          <w:trHeight w:val="201"/>
        </w:trPr>
        <w:tc>
          <w:tcPr>
            <w:tcW w:w="42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John W. Swann, III</w:t>
            </w:r>
          </w:p>
        </w:tc>
        <w:tc>
          <w:tcPr>
            <w:tcW w:w="154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54,417</w:t>
            </w:r>
          </w:p>
        </w:tc>
        <w:tc>
          <w:tcPr>
            <w:tcW w:w="154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45,347</w:t>
            </w:r>
          </w:p>
        </w:tc>
        <w:tc>
          <w:tcPr>
            <w:tcW w:w="1240" w:type="dxa"/>
            <w:vAlign w:val="bottom"/>
            <w:tcBorders>
              <w:top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145,910</w:t>
            </w:r>
          </w:p>
        </w:tc>
        <w:tc>
          <w:tcPr>
            <w:tcW w:w="1460" w:type="dxa"/>
            <w:vAlign w:val="bottom"/>
            <w:tcBorders>
              <w:top w:val="single" w:sz="8" w:color="auto"/>
              <w:right w:val="single" w:sz="8" w:color="auto"/>
            </w:tcBorders>
          </w:tcPr>
          <w:p>
            <w:pPr>
              <w:ind w:left="122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1,408,111</w:t>
            </w:r>
          </w:p>
        </w:tc>
      </w:tr>
      <w:tr>
        <w:trPr>
          <w:trHeight w:val="22"/>
        </w:trPr>
        <w:tc>
          <w:tcPr>
            <w:tcW w:w="42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03"/>
        </w:trPr>
        <w:tc>
          <w:tcPr>
            <w:tcW w:w="4220" w:type="dxa"/>
            <w:vAlign w:val="bottom"/>
            <w:tcBorders>
              <w:left w:val="single" w:sz="8" w:color="auto"/>
              <w:bottom w:val="single" w:sz="8" w:color="E5E5E5"/>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Sean McClenaghan</w:t>
            </w:r>
          </w:p>
        </w:tc>
        <w:tc>
          <w:tcPr>
            <w:tcW w:w="154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E5E5E5"/>
              <w:right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E5E5E5"/>
              <w:right w:val="single" w:sz="8" w:color="auto"/>
            </w:tcBorders>
            <w:shd w:val="clear" w:color="auto" w:fill="E5E5E5"/>
          </w:tcPr>
          <w:p>
            <w:pPr>
              <w:ind w:left="12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r>
      <w:tr>
        <w:trPr>
          <w:trHeight w:val="20"/>
        </w:trPr>
        <w:tc>
          <w:tcPr>
            <w:tcW w:w="4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r>
    </w:tbl>
    <w:p>
      <w:pPr>
        <w:spacing w:after="0" w:line="185"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Contributions to the SRSP consisted of deferrals from 2024 base salary and 2023 bonus payout.</w:t>
      </w:r>
    </w:p>
    <w:p>
      <w:pPr>
        <w:spacing w:after="0" w:line="132" w:lineRule="exact"/>
        <w:rPr>
          <w:sz w:val="20"/>
          <w:szCs w:val="20"/>
          <w:color w:val="auto"/>
        </w:rPr>
      </w:pPr>
    </w:p>
    <w:tbl>
      <w:tblPr>
        <w:tblLayout w:type="fixed"/>
        <w:tblInd w:w="350" w:type="dxa"/>
        <w:tblCellMar>
          <w:top w:w="0" w:type="dxa"/>
          <w:left w:w="0" w:type="dxa"/>
          <w:bottom w:w="0" w:type="dxa"/>
          <w:right w:w="0" w:type="dxa"/>
        </w:tblCellMar>
      </w:tblPr>
      <w:tr>
        <w:trPr>
          <w:trHeight w:val="207"/>
        </w:trPr>
        <w:tc>
          <w:tcPr>
            <w:tcW w:w="4880" w:type="dxa"/>
            <w:vAlign w:val="bottom"/>
            <w:tcBorders>
              <w:top w:val="single" w:sz="8" w:color="auto"/>
              <w:left w:val="single" w:sz="8" w:color="auto"/>
              <w:right w:val="single" w:sz="8" w:color="auto"/>
            </w:tcBorders>
            <w:shd w:val="clear" w:color="auto" w:fill="004C97"/>
          </w:tcPr>
          <w:p>
            <w:pPr>
              <w:spacing w:after="0"/>
              <w:rPr>
                <w:sz w:val="17"/>
                <w:szCs w:val="17"/>
                <w:color w:val="auto"/>
              </w:rPr>
            </w:pPr>
          </w:p>
        </w:tc>
        <w:tc>
          <w:tcPr>
            <w:tcW w:w="2700" w:type="dxa"/>
            <w:vAlign w:val="bottom"/>
            <w:tcBorders>
              <w:top w:val="single" w:sz="8" w:color="auto"/>
              <w:right w:val="single" w:sz="8" w:color="929292"/>
            </w:tcBorders>
            <w:shd w:val="clear" w:color="auto" w:fill="004C97"/>
          </w:tcPr>
          <w:p>
            <w:pPr>
              <w:spacing w:after="0"/>
              <w:rPr>
                <w:sz w:val="17"/>
                <w:szCs w:val="17"/>
                <w:color w:val="auto"/>
              </w:rPr>
            </w:pPr>
          </w:p>
        </w:tc>
        <w:tc>
          <w:tcPr>
            <w:tcW w:w="2960" w:type="dxa"/>
            <w:vAlign w:val="bottom"/>
            <w:tcBorders>
              <w:top w:val="single" w:sz="8" w:color="auto"/>
              <w:right w:val="single" w:sz="8" w:color="929292"/>
            </w:tcBorders>
            <w:shd w:val="clear" w:color="auto" w:fill="004C97"/>
          </w:tcPr>
          <w:p>
            <w:pPr>
              <w:jc w:val="right"/>
              <w:ind w:right="528"/>
              <w:spacing w:after="0"/>
              <w:rPr>
                <w:sz w:val="20"/>
                <w:szCs w:val="20"/>
                <w:color w:val="auto"/>
              </w:rPr>
            </w:pPr>
            <w:r>
              <w:rPr>
                <w:rFonts w:ascii="Arial" w:cs="Arial" w:eastAsia="Arial" w:hAnsi="Arial"/>
                <w:sz w:val="14"/>
                <w:szCs w:val="14"/>
                <w:b w:val="1"/>
                <w:bCs w:val="1"/>
                <w:color w:val="FFFFFF"/>
              </w:rPr>
              <w:t>2023 Non-Equity Incentive</w:t>
            </w:r>
          </w:p>
        </w:tc>
      </w:tr>
      <w:tr>
        <w:trPr>
          <w:trHeight w:val="205"/>
        </w:trPr>
        <w:tc>
          <w:tcPr>
            <w:tcW w:w="4880" w:type="dxa"/>
            <w:vAlign w:val="bottom"/>
            <w:tcBorders>
              <w:left w:val="single" w:sz="8" w:color="auto"/>
              <w:bottom w:val="single" w:sz="8" w:color="auto"/>
              <w:right w:val="single" w:sz="8" w:color="auto"/>
            </w:tcBorders>
            <w:shd w:val="clear" w:color="auto" w:fill="004C97"/>
          </w:tcPr>
          <w:p>
            <w:pPr>
              <w:ind w:left="2240"/>
              <w:spacing w:after="0"/>
              <w:rPr>
                <w:sz w:val="20"/>
                <w:szCs w:val="20"/>
                <w:color w:val="auto"/>
              </w:rPr>
            </w:pPr>
            <w:r>
              <w:rPr>
                <w:rFonts w:ascii="Arial" w:cs="Arial" w:eastAsia="Arial" w:hAnsi="Arial"/>
                <w:sz w:val="14"/>
                <w:szCs w:val="14"/>
                <w:b w:val="1"/>
                <w:bCs w:val="1"/>
                <w:color w:val="FFFFFF"/>
              </w:rPr>
              <w:t>Name</w:t>
            </w:r>
          </w:p>
        </w:tc>
        <w:tc>
          <w:tcPr>
            <w:tcW w:w="2700" w:type="dxa"/>
            <w:vAlign w:val="bottom"/>
            <w:tcBorders>
              <w:bottom w:val="single" w:sz="8" w:color="auto"/>
              <w:right w:val="single" w:sz="8" w:color="929292"/>
            </w:tcBorders>
            <w:shd w:val="clear" w:color="auto" w:fill="004C97"/>
          </w:tcPr>
          <w:p>
            <w:pPr>
              <w:jc w:val="right"/>
              <w:ind w:right="788"/>
              <w:spacing w:after="0"/>
              <w:rPr>
                <w:sz w:val="20"/>
                <w:szCs w:val="20"/>
                <w:color w:val="auto"/>
              </w:rPr>
            </w:pPr>
            <w:r>
              <w:rPr>
                <w:rFonts w:ascii="Arial" w:cs="Arial" w:eastAsia="Arial" w:hAnsi="Arial"/>
                <w:sz w:val="14"/>
                <w:szCs w:val="14"/>
                <w:b w:val="1"/>
                <w:bCs w:val="1"/>
                <w:color w:val="FFFFFF"/>
              </w:rPr>
              <w:t>2024 Salary ($)</w:t>
            </w:r>
          </w:p>
        </w:tc>
        <w:tc>
          <w:tcPr>
            <w:tcW w:w="2960" w:type="dxa"/>
            <w:vAlign w:val="bottom"/>
            <w:tcBorders>
              <w:bottom w:val="single" w:sz="8" w:color="auto"/>
              <w:right w:val="single" w:sz="8" w:color="929292"/>
            </w:tcBorders>
            <w:shd w:val="clear" w:color="auto" w:fill="004C97"/>
          </w:tcPr>
          <w:p>
            <w:pPr>
              <w:jc w:val="right"/>
              <w:ind w:right="648"/>
              <w:spacing w:after="0"/>
              <w:rPr>
                <w:sz w:val="20"/>
                <w:szCs w:val="20"/>
                <w:color w:val="auto"/>
              </w:rPr>
            </w:pPr>
            <w:r>
              <w:rPr>
                <w:rFonts w:ascii="Arial" w:cs="Arial" w:eastAsia="Arial" w:hAnsi="Arial"/>
                <w:sz w:val="14"/>
                <w:szCs w:val="14"/>
                <w:b w:val="1"/>
                <w:bCs w:val="1"/>
                <w:color w:val="FFFFFF"/>
              </w:rPr>
              <w:t>Plan Compensation ($)</w:t>
            </w:r>
          </w:p>
        </w:tc>
      </w:tr>
      <w:tr>
        <w:trPr>
          <w:trHeight w:val="235"/>
        </w:trPr>
        <w:tc>
          <w:tcPr>
            <w:tcW w:w="4880" w:type="dxa"/>
            <w:vAlign w:val="bottom"/>
            <w:tcBorders>
              <w:left w:val="single" w:sz="8" w:color="auto"/>
              <w:bottom w:val="single" w:sz="8" w:color="E5E5E5"/>
              <w:right w:val="single" w:sz="8" w:color="929292"/>
            </w:tcBorders>
            <w:shd w:val="clear" w:color="auto" w:fill="E5E5E5"/>
          </w:tcPr>
          <w:p>
            <w:pPr>
              <w:ind w:left="100"/>
              <w:spacing w:after="0"/>
              <w:rPr>
                <w:sz w:val="20"/>
                <w:szCs w:val="20"/>
                <w:color w:val="auto"/>
              </w:rPr>
            </w:pPr>
            <w:r>
              <w:rPr>
                <w:rFonts w:ascii="Arial" w:cs="Arial" w:eastAsia="Arial" w:hAnsi="Arial"/>
                <w:sz w:val="14"/>
                <w:szCs w:val="14"/>
                <w:color w:val="auto"/>
              </w:rPr>
              <w:t>Eugene J. Lowe, III</w:t>
            </w:r>
          </w:p>
        </w:tc>
        <w:tc>
          <w:tcPr>
            <w:tcW w:w="2700" w:type="dxa"/>
            <w:vAlign w:val="bottom"/>
            <w:tcBorders>
              <w:bottom w:val="single" w:sz="8" w:color="E5E5E5"/>
              <w:right w:val="single" w:sz="8" w:color="929292"/>
            </w:tcBorders>
            <w:shd w:val="clear" w:color="auto" w:fill="E5E5E5"/>
          </w:tcPr>
          <w:p>
            <w:pPr>
              <w:jc w:val="right"/>
              <w:ind w:right="8"/>
              <w:spacing w:after="0"/>
              <w:rPr>
                <w:sz w:val="20"/>
                <w:szCs w:val="20"/>
                <w:color w:val="auto"/>
              </w:rPr>
            </w:pPr>
            <w:r>
              <w:rPr>
                <w:rFonts w:ascii="Arial" w:cs="Arial" w:eastAsia="Arial" w:hAnsi="Arial"/>
                <w:sz w:val="14"/>
                <w:szCs w:val="14"/>
                <w:color w:val="auto"/>
              </w:rPr>
              <w:t>44,067</w:t>
            </w:r>
          </w:p>
        </w:tc>
        <w:tc>
          <w:tcPr>
            <w:tcW w:w="2960" w:type="dxa"/>
            <w:vAlign w:val="bottom"/>
            <w:tcBorders>
              <w:bottom w:val="single" w:sz="8" w:color="E5E5E5"/>
              <w:right w:val="single" w:sz="8" w:color="929292"/>
            </w:tcBorders>
            <w:shd w:val="clear" w:color="auto" w:fill="E5E5E5"/>
          </w:tcPr>
          <w:p>
            <w:pPr>
              <w:jc w:val="right"/>
              <w:ind w:right="8"/>
              <w:spacing w:after="0"/>
              <w:rPr>
                <w:sz w:val="20"/>
                <w:szCs w:val="20"/>
                <w:color w:val="auto"/>
              </w:rPr>
            </w:pPr>
            <w:r>
              <w:rPr>
                <w:rFonts w:ascii="Arial" w:cs="Arial" w:eastAsia="Arial" w:hAnsi="Arial"/>
                <w:sz w:val="14"/>
                <w:szCs w:val="14"/>
                <w:color w:val="auto"/>
              </w:rPr>
              <w:t>106,552</w:t>
            </w:r>
          </w:p>
        </w:tc>
      </w:tr>
      <w:tr>
        <w:trPr>
          <w:trHeight w:val="201"/>
        </w:trPr>
        <w:tc>
          <w:tcPr>
            <w:tcW w:w="4880" w:type="dxa"/>
            <w:vAlign w:val="bottom"/>
            <w:tcBorders>
              <w:top w:val="single" w:sz="8" w:color="auto"/>
              <w:left w:val="single" w:sz="8" w:color="auto"/>
              <w:right w:val="single" w:sz="8" w:color="929292"/>
            </w:tcBorders>
          </w:tcPr>
          <w:p>
            <w:pPr>
              <w:ind w:left="100"/>
              <w:spacing w:after="0"/>
              <w:rPr>
                <w:sz w:val="20"/>
                <w:szCs w:val="20"/>
                <w:color w:val="auto"/>
              </w:rPr>
            </w:pPr>
            <w:r>
              <w:rPr>
                <w:rFonts w:ascii="Arial" w:cs="Arial" w:eastAsia="Arial" w:hAnsi="Arial"/>
                <w:sz w:val="14"/>
                <w:szCs w:val="14"/>
                <w:color w:val="auto"/>
              </w:rPr>
              <w:t>Mark A. Carano</w:t>
            </w:r>
          </w:p>
        </w:tc>
        <w:tc>
          <w:tcPr>
            <w:tcW w:w="270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25,546</w:t>
            </w:r>
          </w:p>
        </w:tc>
        <w:tc>
          <w:tcPr>
            <w:tcW w:w="296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2"/>
        </w:trPr>
        <w:tc>
          <w:tcPr>
            <w:tcW w:w="4880" w:type="dxa"/>
            <w:vAlign w:val="bottom"/>
            <w:tcBorders>
              <w:left w:val="single" w:sz="8" w:color="auto"/>
              <w:bottom w:val="single" w:sz="8" w:color="auto"/>
              <w:right w:val="single" w:sz="8" w:color="929292"/>
            </w:tcBorders>
          </w:tcPr>
          <w:p>
            <w:pPr>
              <w:spacing w:after="0" w:line="20" w:lineRule="exact"/>
              <w:rPr>
                <w:sz w:val="1"/>
                <w:szCs w:val="1"/>
                <w:color w:val="auto"/>
              </w:rPr>
            </w:pPr>
          </w:p>
        </w:tc>
        <w:tc>
          <w:tcPr>
            <w:tcW w:w="2700" w:type="dxa"/>
            <w:vAlign w:val="bottom"/>
            <w:tcBorders>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880" w:type="dxa"/>
            <w:vAlign w:val="bottom"/>
            <w:tcBorders>
              <w:left w:val="single" w:sz="8" w:color="auto"/>
              <w:bottom w:val="single" w:sz="8" w:color="E5E5E5"/>
              <w:right w:val="single" w:sz="8" w:color="929292"/>
            </w:tcBorders>
            <w:shd w:val="clear" w:color="auto" w:fill="E5E5E5"/>
          </w:tcPr>
          <w:p>
            <w:pPr>
              <w:ind w:left="100"/>
              <w:spacing w:after="0"/>
              <w:rPr>
                <w:sz w:val="20"/>
                <w:szCs w:val="20"/>
                <w:color w:val="auto"/>
              </w:rPr>
            </w:pPr>
            <w:r>
              <w:rPr>
                <w:rFonts w:ascii="Arial" w:cs="Arial" w:eastAsia="Arial" w:hAnsi="Arial"/>
                <w:sz w:val="14"/>
                <w:szCs w:val="14"/>
                <w:color w:val="auto"/>
              </w:rPr>
              <w:t>J. Randall Data</w:t>
            </w:r>
          </w:p>
        </w:tc>
        <w:tc>
          <w:tcPr>
            <w:tcW w:w="270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27,587</w:t>
            </w:r>
          </w:p>
        </w:tc>
        <w:tc>
          <w:tcPr>
            <w:tcW w:w="296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r>
      <w:tr>
        <w:trPr>
          <w:trHeight w:val="202"/>
        </w:trPr>
        <w:tc>
          <w:tcPr>
            <w:tcW w:w="4880" w:type="dxa"/>
            <w:vAlign w:val="bottom"/>
            <w:tcBorders>
              <w:top w:val="single" w:sz="8" w:color="auto"/>
              <w:left w:val="single" w:sz="8" w:color="auto"/>
              <w:right w:val="single" w:sz="8" w:color="929292"/>
            </w:tcBorders>
          </w:tcPr>
          <w:p>
            <w:pPr>
              <w:ind w:left="100"/>
              <w:spacing w:after="0"/>
              <w:rPr>
                <w:sz w:val="20"/>
                <w:szCs w:val="20"/>
                <w:color w:val="auto"/>
              </w:rPr>
            </w:pPr>
            <w:r>
              <w:rPr>
                <w:rFonts w:ascii="Arial" w:cs="Arial" w:eastAsia="Arial" w:hAnsi="Arial"/>
                <w:sz w:val="14"/>
                <w:szCs w:val="14"/>
                <w:color w:val="auto"/>
              </w:rPr>
              <w:t>John W. Swann, III</w:t>
            </w:r>
          </w:p>
        </w:tc>
        <w:tc>
          <w:tcPr>
            <w:tcW w:w="2700" w:type="dxa"/>
            <w:vAlign w:val="bottom"/>
            <w:tcBorders>
              <w:top w:val="single" w:sz="8" w:color="auto"/>
              <w:right w:val="single" w:sz="8" w:color="929292"/>
            </w:tcBorders>
          </w:tcPr>
          <w:p>
            <w:pPr>
              <w:jc w:val="right"/>
              <w:ind w:right="8"/>
              <w:spacing w:after="0"/>
              <w:rPr>
                <w:sz w:val="20"/>
                <w:szCs w:val="20"/>
                <w:color w:val="auto"/>
              </w:rPr>
            </w:pPr>
            <w:r>
              <w:rPr>
                <w:rFonts w:ascii="Arial" w:cs="Arial" w:eastAsia="Arial" w:hAnsi="Arial"/>
                <w:sz w:val="14"/>
                <w:szCs w:val="14"/>
                <w:color w:val="auto"/>
              </w:rPr>
              <w:t>29,217</w:t>
            </w:r>
          </w:p>
        </w:tc>
        <w:tc>
          <w:tcPr>
            <w:tcW w:w="2960" w:type="dxa"/>
            <w:vAlign w:val="bottom"/>
            <w:tcBorders>
              <w:top w:val="single" w:sz="8" w:color="auto"/>
              <w:right w:val="single" w:sz="8" w:color="929292"/>
            </w:tcBorders>
          </w:tcPr>
          <w:p>
            <w:pPr>
              <w:jc w:val="right"/>
              <w:ind w:right="8"/>
              <w:spacing w:after="0"/>
              <w:rPr>
                <w:sz w:val="20"/>
                <w:szCs w:val="20"/>
                <w:color w:val="auto"/>
              </w:rPr>
            </w:pPr>
            <w:r>
              <w:rPr>
                <w:rFonts w:ascii="Arial" w:cs="Arial" w:eastAsia="Arial" w:hAnsi="Arial"/>
                <w:sz w:val="14"/>
                <w:szCs w:val="14"/>
                <w:color w:val="auto"/>
              </w:rPr>
              <w:t>25,200</w:t>
            </w:r>
          </w:p>
        </w:tc>
      </w:tr>
      <w:tr>
        <w:trPr>
          <w:trHeight w:val="22"/>
        </w:trPr>
        <w:tc>
          <w:tcPr>
            <w:tcW w:w="4880" w:type="dxa"/>
            <w:vAlign w:val="bottom"/>
            <w:tcBorders>
              <w:left w:val="single" w:sz="8" w:color="auto"/>
              <w:bottom w:val="single" w:sz="8" w:color="auto"/>
              <w:right w:val="single" w:sz="8" w:color="929292"/>
            </w:tcBorders>
          </w:tcPr>
          <w:p>
            <w:pPr>
              <w:spacing w:after="0" w:line="20" w:lineRule="exact"/>
              <w:rPr>
                <w:sz w:val="1"/>
                <w:szCs w:val="1"/>
                <w:color w:val="auto"/>
              </w:rPr>
            </w:pPr>
          </w:p>
        </w:tc>
        <w:tc>
          <w:tcPr>
            <w:tcW w:w="2700" w:type="dxa"/>
            <w:vAlign w:val="bottom"/>
            <w:tcBorders>
              <w:bottom w:val="single" w:sz="8" w:color="auto"/>
              <w:right w:val="single" w:sz="8" w:color="929292"/>
            </w:tcBorders>
          </w:tcPr>
          <w:p>
            <w:pPr>
              <w:spacing w:after="0" w:line="20" w:lineRule="exact"/>
              <w:rPr>
                <w:sz w:val="1"/>
                <w:szCs w:val="1"/>
                <w:color w:val="auto"/>
              </w:rPr>
            </w:pPr>
          </w:p>
        </w:tc>
        <w:tc>
          <w:tcPr>
            <w:tcW w:w="2960" w:type="dxa"/>
            <w:vAlign w:val="bottom"/>
            <w:tcBorders>
              <w:bottom w:val="single" w:sz="8" w:color="auto"/>
              <w:right w:val="single" w:sz="8" w:color="929292"/>
            </w:tcBorders>
          </w:tcPr>
          <w:p>
            <w:pPr>
              <w:spacing w:after="0" w:line="20" w:lineRule="exact"/>
              <w:rPr>
                <w:sz w:val="1"/>
                <w:szCs w:val="1"/>
                <w:color w:val="auto"/>
              </w:rPr>
            </w:pPr>
          </w:p>
        </w:tc>
      </w:tr>
      <w:tr>
        <w:trPr>
          <w:trHeight w:val="203"/>
        </w:trPr>
        <w:tc>
          <w:tcPr>
            <w:tcW w:w="4880" w:type="dxa"/>
            <w:vAlign w:val="bottom"/>
            <w:tcBorders>
              <w:left w:val="single" w:sz="8" w:color="auto"/>
              <w:bottom w:val="single" w:sz="8" w:color="E5E5E5"/>
              <w:right w:val="single" w:sz="8" w:color="929292"/>
            </w:tcBorders>
            <w:shd w:val="clear" w:color="auto" w:fill="E5E5E5"/>
          </w:tcPr>
          <w:p>
            <w:pPr>
              <w:ind w:left="100"/>
              <w:spacing w:after="0"/>
              <w:rPr>
                <w:sz w:val="20"/>
                <w:szCs w:val="20"/>
                <w:color w:val="auto"/>
              </w:rPr>
            </w:pPr>
            <w:r>
              <w:rPr>
                <w:rFonts w:ascii="Arial" w:cs="Arial" w:eastAsia="Arial" w:hAnsi="Arial"/>
                <w:sz w:val="14"/>
                <w:szCs w:val="14"/>
                <w:color w:val="auto"/>
              </w:rPr>
              <w:t>Sean McClenaghan</w:t>
            </w:r>
          </w:p>
        </w:tc>
        <w:tc>
          <w:tcPr>
            <w:tcW w:w="2700" w:type="dxa"/>
            <w:vAlign w:val="bottom"/>
            <w:tcBorders>
              <w:bottom w:val="single" w:sz="8" w:color="E5E5E5"/>
              <w:right w:val="single" w:sz="8" w:color="929292"/>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2960" w:type="dxa"/>
            <w:vAlign w:val="bottom"/>
            <w:tcBorders>
              <w:bottom w:val="single" w:sz="8" w:color="E5E5E5"/>
              <w:right w:val="single" w:sz="8" w:color="929292"/>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r>
      <w:tr>
        <w:trPr>
          <w:trHeight w:val="20"/>
        </w:trPr>
        <w:tc>
          <w:tcPr>
            <w:tcW w:w="4880" w:type="dxa"/>
            <w:vAlign w:val="bottom"/>
            <w:tcBorders>
              <w:left w:val="single" w:sz="8" w:color="auto"/>
              <w:right w:val="single" w:sz="8" w:color="929292"/>
            </w:tcBorders>
            <w:shd w:val="clear" w:color="auto" w:fill="000000"/>
          </w:tcPr>
          <w:p>
            <w:pPr>
              <w:spacing w:after="0" w:line="20" w:lineRule="exact"/>
              <w:rPr>
                <w:sz w:val="1"/>
                <w:szCs w:val="1"/>
                <w:color w:val="auto"/>
              </w:rPr>
            </w:pPr>
          </w:p>
        </w:tc>
        <w:tc>
          <w:tcPr>
            <w:tcW w:w="2700" w:type="dxa"/>
            <w:vAlign w:val="bottom"/>
            <w:tcBorders>
              <w:right w:val="single" w:sz="8" w:color="929292"/>
            </w:tcBorders>
            <w:shd w:val="clear" w:color="auto" w:fill="000000"/>
          </w:tcPr>
          <w:p>
            <w:pPr>
              <w:spacing w:after="0" w:line="20" w:lineRule="exact"/>
              <w:rPr>
                <w:sz w:val="1"/>
                <w:szCs w:val="1"/>
                <w:color w:val="auto"/>
              </w:rPr>
            </w:pPr>
          </w:p>
        </w:tc>
        <w:tc>
          <w:tcPr>
            <w:tcW w:w="2960" w:type="dxa"/>
            <w:vAlign w:val="bottom"/>
            <w:tcBorders>
              <w:right w:val="single" w:sz="8" w:color="929292"/>
            </w:tcBorders>
            <w:shd w:val="clear" w:color="auto" w:fill="000000"/>
          </w:tcPr>
          <w:p>
            <w:pPr>
              <w:spacing w:after="0" w:line="20" w:lineRule="exact"/>
              <w:rPr>
                <w:sz w:val="1"/>
                <w:szCs w:val="1"/>
                <w:color w:val="auto"/>
              </w:rPr>
            </w:pPr>
          </w:p>
        </w:tc>
      </w:tr>
    </w:tbl>
    <w:p>
      <w:pPr>
        <w:spacing w:after="0" w:line="185"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Represents matching amounts contributed by SPX to the SRSP. These amounts have been included in the All Other Compensation column of the Summary Compensation Table.</w:t>
      </w:r>
    </w:p>
    <w:p>
      <w:pPr>
        <w:spacing w:after="0" w:line="53" w:lineRule="exact"/>
        <w:rPr>
          <w:rFonts w:ascii="Arial" w:cs="Arial" w:eastAsia="Arial" w:hAnsi="Arial"/>
          <w:sz w:val="13"/>
          <w:szCs w:val="13"/>
          <w:color w:val="auto"/>
        </w:rPr>
      </w:pPr>
    </w:p>
    <w:p>
      <w:pPr>
        <w:ind w:left="320" w:hanging="312"/>
        <w:spacing w:after="0"/>
        <w:tabs>
          <w:tab w:leader="none" w:pos="3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Aggregate earnings under the SRSP are not above market and, accordingly, are not included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601980</wp:posOffset>
            </wp:positionV>
            <wp:extent cx="403225" cy="146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0322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2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27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92" w:right="319" w:bottom="1440" w:gutter="0" w:footer="0" w:header="0"/>
        </w:sectPr>
      </w:pPr>
    </w:p>
    <w:bookmarkStart w:id="49" w:name="page50"/>
    <w:bookmarkEnd w:id="49"/>
    <w:p>
      <w:pPr>
        <w:ind w:left="20"/>
        <w:spacing w:after="0"/>
        <w:rPr>
          <w:sz w:val="20"/>
          <w:szCs w:val="20"/>
          <w:color w:val="auto"/>
        </w:rPr>
      </w:pPr>
      <w:r>
        <w:rPr>
          <w:rFonts w:ascii="Arial" w:cs="Arial" w:eastAsia="Arial" w:hAnsi="Arial"/>
          <w:sz w:val="14"/>
          <w:szCs w:val="14"/>
          <w:color w:val="004C9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POTENTIAL PAYMENTS UPON TERMINATION OR CHANGE-IN-CONTROL</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NEOs who are currently employees are covered by change-in-control agreements, severance agreements, and stock plan award agreements governing compensation in the event of a termination of employment or a change in control of our Company. In addition, we have entered into an employment agreement with Mr. Lowe in lieu of a severance agreement. The following tables set forth the expected benefits to be received by each current NEO in the event of their termination resulting from various scenarios, assuming a termination date of December 31, 2024 and a stock price of $145.52, our closing stock price on December 31, 2024. Assumptions and explanations of the numbers set forth in the tables below are set forth in the footnotes to, and in additional text following, the tables.</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200" w:type="dxa"/>
            <w:vAlign w:val="bottom"/>
            <w:tcBorders>
              <w:top w:val="single" w:sz="8" w:color="auto"/>
              <w:left w:val="single" w:sz="8" w:color="auto"/>
              <w:right w:val="single" w:sz="8" w:color="auto"/>
            </w:tcBorders>
            <w:shd w:val="clear" w:color="auto" w:fill="004C97"/>
          </w:tcPr>
          <w:p>
            <w:pPr>
              <w:spacing w:after="0"/>
              <w:rPr>
                <w:sz w:val="17"/>
                <w:szCs w:val="17"/>
                <w:color w:val="auto"/>
              </w:rPr>
            </w:pPr>
          </w:p>
        </w:tc>
        <w:tc>
          <w:tcPr>
            <w:tcW w:w="160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(a) Voluntary</w:t>
            </w:r>
          </w:p>
        </w:tc>
        <w:tc>
          <w:tcPr>
            <w:tcW w:w="1440" w:type="dxa"/>
            <w:vAlign w:val="bottom"/>
            <w:tcBorders>
              <w:top w:val="single" w:sz="8" w:color="auto"/>
            </w:tcBorders>
            <w:shd w:val="clear" w:color="auto" w:fill="004C97"/>
          </w:tcPr>
          <w:p>
            <w:pPr>
              <w:spacing w:after="0"/>
              <w:rPr>
                <w:sz w:val="17"/>
                <w:szCs w:val="17"/>
                <w:color w:val="auto"/>
              </w:rPr>
            </w:pPr>
          </w:p>
        </w:tc>
        <w:tc>
          <w:tcPr>
            <w:tcW w:w="180" w:type="dxa"/>
            <w:vAlign w:val="bottom"/>
            <w:tcBorders>
              <w:top w:val="single" w:sz="8" w:color="auto"/>
              <w:right w:val="single" w:sz="8" w:color="auto"/>
            </w:tcBorders>
            <w:shd w:val="clear" w:color="auto" w:fill="004C97"/>
          </w:tcPr>
          <w:p>
            <w:pPr>
              <w:spacing w:after="0"/>
              <w:rPr>
                <w:sz w:val="17"/>
                <w:szCs w:val="17"/>
                <w:color w:val="auto"/>
              </w:rPr>
            </w:pPr>
          </w:p>
        </w:tc>
        <w:tc>
          <w:tcPr>
            <w:tcW w:w="1600" w:type="dxa"/>
            <w:vAlign w:val="bottom"/>
            <w:tcBorders>
              <w:top w:val="single" w:sz="8" w:color="auto"/>
              <w:right w:val="single" w:sz="8" w:color="auto"/>
            </w:tcBorders>
            <w:shd w:val="clear" w:color="auto" w:fill="004C97"/>
          </w:tcPr>
          <w:p>
            <w:pPr>
              <w:spacing w:after="0"/>
              <w:rPr>
                <w:sz w:val="17"/>
                <w:szCs w:val="17"/>
                <w:color w:val="auto"/>
              </w:rPr>
            </w:pPr>
          </w:p>
        </w:tc>
        <w:tc>
          <w:tcPr>
            <w:tcW w:w="1600" w:type="dxa"/>
            <w:vAlign w:val="bottom"/>
            <w:tcBorders>
              <w:top w:val="single" w:sz="8" w:color="auto"/>
              <w:right w:val="single" w:sz="8" w:color="auto"/>
            </w:tcBorders>
            <w:shd w:val="clear" w:color="auto" w:fill="004C97"/>
          </w:tcPr>
          <w:p>
            <w:pPr>
              <w:spacing w:after="0"/>
              <w:rPr>
                <w:sz w:val="17"/>
                <w:szCs w:val="17"/>
                <w:color w:val="auto"/>
              </w:rPr>
            </w:pPr>
          </w:p>
        </w:tc>
        <w:tc>
          <w:tcPr>
            <w:tcW w:w="1440" w:type="dxa"/>
            <w:vAlign w:val="bottom"/>
            <w:tcBorders>
              <w:top w:val="single" w:sz="8" w:color="auto"/>
            </w:tcBorders>
            <w:shd w:val="clear" w:color="auto" w:fill="004C97"/>
          </w:tcPr>
          <w:p>
            <w:pPr>
              <w:spacing w:after="0"/>
              <w:rPr>
                <w:sz w:val="17"/>
                <w:szCs w:val="17"/>
                <w:color w:val="auto"/>
              </w:rPr>
            </w:pPr>
          </w:p>
        </w:tc>
        <w:tc>
          <w:tcPr>
            <w:tcW w:w="180" w:type="dxa"/>
            <w:vAlign w:val="bottom"/>
            <w:tcBorders>
              <w:top w:val="single" w:sz="8" w:color="auto"/>
              <w:right w:val="single" w:sz="8" w:color="auto"/>
            </w:tcBorders>
            <w:shd w:val="clear" w:color="auto" w:fill="004C97"/>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200" w:type="dxa"/>
            <w:vAlign w:val="bottom"/>
            <w:tcBorders>
              <w:left w:val="single" w:sz="8" w:color="auto"/>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Resignation or (b)</w:t>
            </w:r>
          </w:p>
        </w:tc>
        <w:tc>
          <w:tcPr>
            <w:tcW w:w="1440" w:type="dxa"/>
            <w:vAlign w:val="bottom"/>
            <w:shd w:val="clear" w:color="auto" w:fill="004C97"/>
          </w:tcPr>
          <w:p>
            <w:pPr>
              <w:spacing w:after="0"/>
              <w:rPr>
                <w:sz w:val="15"/>
                <w:szCs w:val="15"/>
                <w:color w:val="auto"/>
              </w:rPr>
            </w:pPr>
          </w:p>
        </w:tc>
        <w:tc>
          <w:tcPr>
            <w:tcW w:w="180" w:type="dxa"/>
            <w:vAlign w:val="bottom"/>
            <w:tcBorders>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Involuntary Without</w:t>
            </w:r>
          </w:p>
        </w:tc>
        <w:tc>
          <w:tcPr>
            <w:tcW w:w="1440" w:type="dxa"/>
            <w:vAlign w:val="bottom"/>
            <w:shd w:val="clear" w:color="auto" w:fill="004C97"/>
          </w:tcPr>
          <w:p>
            <w:pPr>
              <w:spacing w:after="0"/>
              <w:rPr>
                <w:sz w:val="15"/>
                <w:szCs w:val="15"/>
                <w:color w:val="auto"/>
              </w:rPr>
            </w:pPr>
          </w:p>
        </w:tc>
        <w:tc>
          <w:tcPr>
            <w:tcW w:w="180" w:type="dxa"/>
            <w:vAlign w:val="bottom"/>
            <w:tcBorders>
              <w:right w:val="single" w:sz="8" w:color="auto"/>
            </w:tcBorders>
            <w:shd w:val="clear" w:color="auto" w:fill="004C97"/>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00" w:type="dxa"/>
            <w:vAlign w:val="bottom"/>
            <w:tcBorders>
              <w:left w:val="single" w:sz="8" w:color="auto"/>
              <w:right w:val="single" w:sz="8" w:color="auto"/>
            </w:tcBorders>
            <w:shd w:val="clear" w:color="auto" w:fill="004C97"/>
          </w:tcPr>
          <w:p>
            <w:pPr>
              <w:spacing w:after="0"/>
              <w:rPr>
                <w:sz w:val="14"/>
                <w:szCs w:val="14"/>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Involuntary</w:t>
            </w:r>
          </w:p>
        </w:tc>
        <w:tc>
          <w:tcPr>
            <w:tcW w:w="1440" w:type="dxa"/>
            <w:vAlign w:val="bottom"/>
            <w:shd w:val="clear" w:color="auto" w:fill="004C97"/>
          </w:tcPr>
          <w:p>
            <w:pPr>
              <w:spacing w:after="0"/>
              <w:rPr>
                <w:sz w:val="14"/>
                <w:szCs w:val="14"/>
                <w:color w:val="auto"/>
              </w:rPr>
            </w:pPr>
          </w:p>
        </w:tc>
        <w:tc>
          <w:tcPr>
            <w:tcW w:w="180" w:type="dxa"/>
            <w:vAlign w:val="bottom"/>
            <w:tcBorders>
              <w:right w:val="single" w:sz="8" w:color="auto"/>
            </w:tcBorders>
            <w:shd w:val="clear" w:color="auto" w:fill="004C97"/>
          </w:tcPr>
          <w:p>
            <w:pPr>
              <w:spacing w:after="0"/>
              <w:rPr>
                <w:sz w:val="14"/>
                <w:szCs w:val="14"/>
                <w:color w:val="auto"/>
              </w:rPr>
            </w:pPr>
          </w:p>
        </w:tc>
        <w:tc>
          <w:tcPr>
            <w:tcW w:w="1600" w:type="dxa"/>
            <w:vAlign w:val="bottom"/>
            <w:tcBorders>
              <w:right w:val="single" w:sz="8" w:color="auto"/>
            </w:tcBorders>
            <w:shd w:val="clear" w:color="auto" w:fill="004C97"/>
          </w:tcPr>
          <w:p>
            <w:pPr>
              <w:spacing w:after="0"/>
              <w:rPr>
                <w:sz w:val="14"/>
                <w:szCs w:val="14"/>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Cause/ Voluntary</w:t>
            </w:r>
          </w:p>
        </w:tc>
        <w:tc>
          <w:tcPr>
            <w:tcW w:w="1440" w:type="dxa"/>
            <w:vAlign w:val="bottom"/>
            <w:shd w:val="clear" w:color="auto" w:fill="004C97"/>
          </w:tcPr>
          <w:p>
            <w:pPr>
              <w:spacing w:after="0"/>
              <w:rPr>
                <w:sz w:val="14"/>
                <w:szCs w:val="14"/>
                <w:color w:val="auto"/>
              </w:rPr>
            </w:pPr>
          </w:p>
        </w:tc>
        <w:tc>
          <w:tcPr>
            <w:tcW w:w="180" w:type="dxa"/>
            <w:vAlign w:val="bottom"/>
            <w:tcBorders>
              <w:right w:val="single" w:sz="8" w:color="auto"/>
            </w:tcBorders>
            <w:shd w:val="clear" w:color="auto" w:fill="004C97"/>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00" w:type="dxa"/>
            <w:vAlign w:val="bottom"/>
            <w:tcBorders>
              <w:left w:val="single" w:sz="8" w:color="auto"/>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Termination for Cause</w:t>
            </w:r>
          </w:p>
        </w:tc>
        <w:tc>
          <w:tcPr>
            <w:tcW w:w="1440" w:type="dxa"/>
            <w:vAlign w:val="bottom"/>
            <w:shd w:val="clear" w:color="auto" w:fill="004C97"/>
          </w:tcPr>
          <w:p>
            <w:pPr>
              <w:spacing w:after="0"/>
              <w:rPr>
                <w:sz w:val="15"/>
                <w:szCs w:val="15"/>
                <w:color w:val="auto"/>
              </w:rPr>
            </w:pPr>
          </w:p>
        </w:tc>
        <w:tc>
          <w:tcPr>
            <w:tcW w:w="180" w:type="dxa"/>
            <w:vAlign w:val="bottom"/>
            <w:tcBorders>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jc w:val="right"/>
              <w:ind w:right="548"/>
              <w:spacing w:after="0"/>
              <w:rPr>
                <w:sz w:val="20"/>
                <w:szCs w:val="20"/>
                <w:color w:val="auto"/>
              </w:rPr>
            </w:pPr>
            <w:r>
              <w:rPr>
                <w:rFonts w:ascii="Arial" w:cs="Arial" w:eastAsia="Arial" w:hAnsi="Arial"/>
                <w:sz w:val="14"/>
                <w:szCs w:val="14"/>
                <w:b w:val="1"/>
                <w:bCs w:val="1"/>
                <w:color w:val="FFFFFF"/>
              </w:rPr>
              <w:t>Death</w:t>
            </w: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Resignation for Good</w:t>
            </w:r>
          </w:p>
        </w:tc>
        <w:tc>
          <w:tcPr>
            <w:tcW w:w="1620" w:type="dxa"/>
            <w:vAlign w:val="bottom"/>
            <w:tcBorders>
              <w:right w:val="single" w:sz="8" w:color="auto"/>
            </w:tcBorders>
            <w:gridSpan w:val="2"/>
            <w:shd w:val="clear" w:color="auto" w:fill="004C97"/>
          </w:tcPr>
          <w:p>
            <w:pPr>
              <w:jc w:val="center"/>
              <w:spacing w:after="0"/>
              <w:rPr>
                <w:sz w:val="20"/>
                <w:szCs w:val="20"/>
                <w:color w:val="auto"/>
              </w:rPr>
            </w:pPr>
            <w:r>
              <w:rPr>
                <w:rFonts w:ascii="Arial" w:cs="Arial" w:eastAsia="Arial" w:hAnsi="Arial"/>
                <w:sz w:val="14"/>
                <w:szCs w:val="14"/>
                <w:b w:val="1"/>
                <w:bCs w:val="1"/>
                <w:color w:val="FFFFFF"/>
              </w:rPr>
              <w:t>Termination Following</w:t>
            </w:r>
          </w:p>
        </w:tc>
        <w:tc>
          <w:tcPr>
            <w:tcW w:w="0" w:type="dxa"/>
            <w:vAlign w:val="bottom"/>
          </w:tcPr>
          <w:p>
            <w:pPr>
              <w:spacing w:after="0"/>
              <w:rPr>
                <w:sz w:val="1"/>
                <w:szCs w:val="1"/>
                <w:color w:val="auto"/>
              </w:rPr>
            </w:pPr>
          </w:p>
        </w:tc>
      </w:tr>
      <w:tr>
        <w:trPr>
          <w:trHeight w:val="205"/>
        </w:trPr>
        <w:tc>
          <w:tcPr>
            <w:tcW w:w="3200" w:type="dxa"/>
            <w:vAlign w:val="bottom"/>
            <w:tcBorders>
              <w:left w:val="single" w:sz="8" w:color="auto"/>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Eugene J. Lowe, III</w:t>
            </w:r>
          </w:p>
        </w:tc>
        <w:tc>
          <w:tcPr>
            <w:tcW w:w="16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w:t>
            </w:r>
          </w:p>
        </w:tc>
        <w:tc>
          <w:tcPr>
            <w:tcW w:w="1440" w:type="dxa"/>
            <w:vAlign w:val="bottom"/>
            <w:tcBorders>
              <w:bottom w:val="single" w:sz="8" w:color="auto"/>
            </w:tcBorders>
            <w:shd w:val="clear" w:color="auto" w:fill="004C97"/>
          </w:tcPr>
          <w:p>
            <w:pPr>
              <w:jc w:val="center"/>
              <w:ind w:left="68"/>
              <w:spacing w:after="0"/>
              <w:rPr>
                <w:sz w:val="20"/>
                <w:szCs w:val="20"/>
                <w:color w:val="auto"/>
              </w:rPr>
            </w:pPr>
            <w:r>
              <w:rPr>
                <w:rFonts w:ascii="Arial" w:cs="Arial" w:eastAsia="Arial" w:hAnsi="Arial"/>
                <w:sz w:val="14"/>
                <w:szCs w:val="14"/>
                <w:b w:val="1"/>
                <w:bCs w:val="1"/>
                <w:color w:val="FFFFFF"/>
              </w:rPr>
              <w:t>Disability ($)</w:t>
            </w:r>
          </w:p>
        </w:tc>
        <w:tc>
          <w:tcPr>
            <w:tcW w:w="180" w:type="dxa"/>
            <w:vAlign w:val="bottom"/>
            <w:tcBorders>
              <w:bottom w:val="single" w:sz="8" w:color="auto"/>
              <w:right w:val="single" w:sz="8" w:color="auto"/>
            </w:tcBorders>
            <w:shd w:val="clear" w:color="auto" w:fill="004C97"/>
          </w:tcPr>
          <w:p>
            <w:pPr>
              <w:spacing w:after="0"/>
              <w:rPr>
                <w:sz w:val="17"/>
                <w:szCs w:val="17"/>
                <w:color w:val="auto"/>
              </w:rPr>
            </w:pPr>
          </w:p>
        </w:tc>
        <w:tc>
          <w:tcPr>
            <w:tcW w:w="1600" w:type="dxa"/>
            <w:vAlign w:val="bottom"/>
            <w:tcBorders>
              <w:bottom w:val="single" w:sz="8" w:color="auto"/>
              <w:right w:val="single" w:sz="8" w:color="auto"/>
            </w:tcBorders>
            <w:shd w:val="clear" w:color="auto" w:fill="004C97"/>
          </w:tcPr>
          <w:p>
            <w:pPr>
              <w:jc w:val="right"/>
              <w:ind w:right="148"/>
              <w:spacing w:after="0"/>
              <w:rPr>
                <w:sz w:val="20"/>
                <w:szCs w:val="20"/>
                <w:color w:val="auto"/>
              </w:rPr>
            </w:pPr>
            <w:r>
              <w:rPr>
                <w:rFonts w:ascii="Arial" w:cs="Arial" w:eastAsia="Arial" w:hAnsi="Arial"/>
                <w:sz w:val="14"/>
                <w:szCs w:val="14"/>
                <w:b w:val="1"/>
                <w:bCs w:val="1"/>
                <w:color w:val="FFFFFF"/>
              </w:rPr>
              <w:t>Pre-retirement ($)</w:t>
            </w:r>
          </w:p>
        </w:tc>
        <w:tc>
          <w:tcPr>
            <w:tcW w:w="16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Reason ($)</w:t>
            </w:r>
          </w:p>
        </w:tc>
        <w:tc>
          <w:tcPr>
            <w:tcW w:w="1620" w:type="dxa"/>
            <w:vAlign w:val="bottom"/>
            <w:tcBorders>
              <w:bottom w:val="single" w:sz="8" w:color="auto"/>
              <w:right w:val="single" w:sz="8" w:color="auto"/>
            </w:tcBorders>
            <w:gridSpan w:val="2"/>
            <w:shd w:val="clear" w:color="auto" w:fill="004C97"/>
          </w:tcPr>
          <w:p>
            <w:pPr>
              <w:jc w:val="center"/>
              <w:spacing w:after="0"/>
              <w:rPr>
                <w:sz w:val="20"/>
                <w:szCs w:val="20"/>
                <w:color w:val="auto"/>
              </w:rPr>
            </w:pPr>
            <w:r>
              <w:rPr>
                <w:rFonts w:ascii="Arial" w:cs="Arial" w:eastAsia="Arial" w:hAnsi="Arial"/>
                <w:sz w:val="14"/>
                <w:szCs w:val="14"/>
                <w:b w:val="1"/>
                <w:bCs w:val="1"/>
                <w:color w:val="FFFFFF"/>
              </w:rPr>
              <w:t>Change in Control ($)</w:t>
            </w:r>
          </w:p>
        </w:tc>
        <w:tc>
          <w:tcPr>
            <w:tcW w:w="0" w:type="dxa"/>
            <w:vAlign w:val="bottom"/>
          </w:tcPr>
          <w:p>
            <w:pPr>
              <w:spacing w:after="0"/>
              <w:rPr>
                <w:sz w:val="1"/>
                <w:szCs w:val="1"/>
                <w:color w:val="auto"/>
              </w:rPr>
            </w:pPr>
          </w:p>
        </w:tc>
      </w:tr>
      <w:tr>
        <w:trPr>
          <w:trHeight w:val="230"/>
        </w:trPr>
        <w:tc>
          <w:tcPr>
            <w:tcW w:w="3200" w:type="dxa"/>
            <w:vAlign w:val="bottom"/>
            <w:tcBorders>
              <w:left w:val="single" w:sz="8" w:color="auto"/>
              <w:bottom w:val="single" w:sz="8" w:color="auto"/>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Salary</w:t>
            </w:r>
          </w:p>
        </w:tc>
        <w:tc>
          <w:tcPr>
            <w:tcW w:w="1600" w:type="dxa"/>
            <w:vAlign w:val="bottom"/>
            <w:tcBorders>
              <w:bottom w:val="single" w:sz="8" w:color="auto"/>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E5E5E5"/>
          </w:tcPr>
          <w:p>
            <w:pPr>
              <w:jc w:val="right"/>
              <w:ind w:right="3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right w:val="single" w:sz="8" w:color="auto"/>
            </w:tcBorders>
            <w:shd w:val="clear" w:color="auto" w:fill="E5E5E5"/>
          </w:tcPr>
          <w:p>
            <w:pPr>
              <w:spacing w:after="0"/>
              <w:rPr>
                <w:sz w:val="19"/>
                <w:szCs w:val="19"/>
                <w:color w:val="auto"/>
              </w:rPr>
            </w:pPr>
          </w:p>
        </w:tc>
        <w:tc>
          <w:tcPr>
            <w:tcW w:w="1600" w:type="dxa"/>
            <w:vAlign w:val="bottom"/>
            <w:tcBorders>
              <w:bottom w:val="single" w:sz="8" w:color="auto"/>
              <w:right w:val="single" w:sz="8" w:color="auto"/>
            </w:tcBorders>
            <w:shd w:val="clear" w:color="auto" w:fill="E5E5E5"/>
          </w:tcPr>
          <w:p>
            <w:pPr>
              <w:jc w:val="right"/>
              <w:ind w:right="54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 xml:space="preserve">2,194,200 </w:t>
            </w:r>
            <w:r>
              <w:rPr>
                <w:rFonts w:ascii="Arial" w:cs="Arial" w:eastAsia="Arial" w:hAnsi="Arial"/>
                <w:sz w:val="18"/>
                <w:szCs w:val="18"/>
                <w:color w:val="auto"/>
                <w:vertAlign w:val="superscript"/>
              </w:rPr>
              <w:t>(1)</w:t>
            </w:r>
          </w:p>
        </w:tc>
        <w:tc>
          <w:tcPr>
            <w:tcW w:w="1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3,291,300</w:t>
            </w:r>
          </w:p>
        </w:tc>
        <w:tc>
          <w:tcPr>
            <w:tcW w:w="18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223"/>
        </w:trPr>
        <w:tc>
          <w:tcPr>
            <w:tcW w:w="3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Bonus</w:t>
            </w:r>
          </w:p>
        </w:tc>
        <w:tc>
          <w:tcPr>
            <w:tcW w:w="160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2,277,000</w:t>
            </w:r>
          </w:p>
        </w:tc>
        <w:tc>
          <w:tcPr>
            <w:tcW w:w="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9"/>
                <w:szCs w:val="9"/>
                <w:color w:val="auto"/>
              </w:rPr>
              <w:t>(3)</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xml:space="preserve">2,277,000 </w:t>
            </w:r>
            <w:r>
              <w:rPr>
                <w:rFonts w:ascii="Arial" w:cs="Arial" w:eastAsia="Arial" w:hAnsi="Arial"/>
                <w:sz w:val="18"/>
                <w:szCs w:val="18"/>
                <w:color w:val="auto"/>
                <w:vertAlign w:val="superscript"/>
              </w:rPr>
              <w:t>(3)</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xml:space="preserve">4,554,000 </w:t>
            </w:r>
            <w:r>
              <w:rPr>
                <w:rFonts w:ascii="Arial" w:cs="Arial" w:eastAsia="Arial" w:hAnsi="Arial"/>
                <w:sz w:val="18"/>
                <w:szCs w:val="18"/>
                <w:color w:val="auto"/>
                <w:vertAlign w:val="superscript"/>
              </w:rPr>
              <w:t>(4)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6,831,000</w:t>
            </w:r>
          </w:p>
        </w:tc>
        <w:tc>
          <w:tcPr>
            <w:tcW w:w="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223"/>
        </w:trPr>
        <w:tc>
          <w:tcPr>
            <w:tcW w:w="3200" w:type="dxa"/>
            <w:vAlign w:val="bottom"/>
            <w:tcBorders>
              <w:left w:val="single" w:sz="8" w:color="auto"/>
              <w:bottom w:val="single" w:sz="8" w:color="auto"/>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Value of Accelerated Equity</w:t>
            </w:r>
          </w:p>
        </w:tc>
        <w:tc>
          <w:tcPr>
            <w:tcW w:w="1600" w:type="dxa"/>
            <w:vAlign w:val="bottom"/>
            <w:tcBorders>
              <w:bottom w:val="single" w:sz="8" w:color="auto"/>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20,861,363</w:t>
            </w:r>
          </w:p>
        </w:tc>
        <w:tc>
          <w:tcPr>
            <w:tcW w:w="18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9"/>
                <w:szCs w:val="9"/>
                <w:color w:val="auto"/>
              </w:rPr>
              <w:t>(6)</w:t>
            </w:r>
          </w:p>
        </w:tc>
        <w:tc>
          <w:tcPr>
            <w:tcW w:w="160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 xml:space="preserve">20,861,363 </w:t>
            </w:r>
            <w:r>
              <w:rPr>
                <w:rFonts w:ascii="Arial" w:cs="Arial" w:eastAsia="Arial" w:hAnsi="Arial"/>
                <w:sz w:val="18"/>
                <w:szCs w:val="18"/>
                <w:color w:val="auto"/>
                <w:vertAlign w:val="superscript"/>
              </w:rPr>
              <w:t>(6)</w:t>
            </w:r>
          </w:p>
        </w:tc>
        <w:tc>
          <w:tcPr>
            <w:tcW w:w="160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 xml:space="preserve">8,957,037 </w:t>
            </w:r>
            <w:r>
              <w:rPr>
                <w:rFonts w:ascii="Arial" w:cs="Arial" w:eastAsia="Arial" w:hAnsi="Arial"/>
                <w:sz w:val="18"/>
                <w:szCs w:val="18"/>
                <w:color w:val="auto"/>
                <w:vertAlign w:val="superscript"/>
              </w:rPr>
              <w:t>(7)</w:t>
            </w:r>
          </w:p>
        </w:tc>
        <w:tc>
          <w:tcPr>
            <w:tcW w:w="1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20,861,363</w:t>
            </w:r>
          </w:p>
        </w:tc>
        <w:tc>
          <w:tcPr>
            <w:tcW w:w="18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9"/>
                <w:szCs w:val="9"/>
                <w:color w:val="auto"/>
              </w:rPr>
              <w:t>(6)</w:t>
            </w:r>
          </w:p>
        </w:tc>
        <w:tc>
          <w:tcPr>
            <w:tcW w:w="0" w:type="dxa"/>
            <w:vAlign w:val="bottom"/>
          </w:tcPr>
          <w:p>
            <w:pPr>
              <w:spacing w:after="0"/>
              <w:rPr>
                <w:sz w:val="1"/>
                <w:szCs w:val="1"/>
                <w:color w:val="auto"/>
              </w:rPr>
            </w:pPr>
          </w:p>
        </w:tc>
      </w:tr>
      <w:tr>
        <w:trPr>
          <w:trHeight w:val="223"/>
        </w:trPr>
        <w:tc>
          <w:tcPr>
            <w:tcW w:w="3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All Other Compensation</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xml:space="preserve">134,615 </w:t>
            </w:r>
            <w:r>
              <w:rPr>
                <w:rFonts w:ascii="Arial" w:cs="Arial" w:eastAsia="Arial" w:hAnsi="Arial"/>
                <w:sz w:val="18"/>
                <w:szCs w:val="18"/>
                <w:color w:val="auto"/>
                <w:vertAlign w:val="superscript"/>
              </w:rPr>
              <w:t>(8)</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134,615</w:t>
            </w:r>
          </w:p>
        </w:tc>
        <w:tc>
          <w:tcPr>
            <w:tcW w:w="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9"/>
                <w:szCs w:val="9"/>
                <w:color w:val="auto"/>
              </w:rPr>
              <w:t>(8)</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xml:space="preserve">134,615 </w:t>
            </w:r>
            <w:r>
              <w:rPr>
                <w:rFonts w:ascii="Arial" w:cs="Arial" w:eastAsia="Arial" w:hAnsi="Arial"/>
                <w:sz w:val="18"/>
                <w:szCs w:val="18"/>
                <w:color w:val="auto"/>
                <w:vertAlign w:val="superscript"/>
              </w:rPr>
              <w:t>(8)</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xml:space="preserve">308,741 </w:t>
            </w:r>
            <w:r>
              <w:rPr>
                <w:rFonts w:ascii="Arial" w:cs="Arial" w:eastAsia="Arial" w:hAnsi="Arial"/>
                <w:sz w:val="18"/>
                <w:szCs w:val="18"/>
                <w:color w:val="auto"/>
                <w:vertAlign w:val="superscript"/>
              </w:rPr>
              <w:t>(9)</w:t>
            </w:r>
          </w:p>
        </w:tc>
        <w:tc>
          <w:tcPr>
            <w:tcW w:w="16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4"/>
                <w:szCs w:val="14"/>
                <w:color w:val="auto"/>
              </w:rPr>
              <w:t xml:space="preserve">370,804 </w:t>
            </w:r>
            <w:r>
              <w:rPr>
                <w:rFonts w:ascii="Arial" w:cs="Arial" w:eastAsia="Arial" w:hAnsi="Arial"/>
                <w:sz w:val="18"/>
                <w:szCs w:val="18"/>
                <w:color w:val="auto"/>
                <w:vertAlign w:val="superscript"/>
              </w:rPr>
              <w:t>(10)</w:t>
            </w:r>
          </w:p>
        </w:tc>
        <w:tc>
          <w:tcPr>
            <w:tcW w:w="0" w:type="dxa"/>
            <w:vAlign w:val="bottom"/>
          </w:tcPr>
          <w:p>
            <w:pPr>
              <w:spacing w:after="0"/>
              <w:rPr>
                <w:sz w:val="1"/>
                <w:szCs w:val="1"/>
                <w:color w:val="auto"/>
              </w:rPr>
            </w:pPr>
          </w:p>
        </w:tc>
      </w:tr>
      <w:tr>
        <w:trPr>
          <w:trHeight w:val="228"/>
        </w:trPr>
        <w:tc>
          <w:tcPr>
            <w:tcW w:w="3200" w:type="dxa"/>
            <w:vAlign w:val="bottom"/>
            <w:tcBorders>
              <w:left w:val="single" w:sz="8" w:color="auto"/>
              <w:bottom w:val="single" w:sz="8" w:color="E5E5E5"/>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Total</w:t>
            </w:r>
          </w:p>
        </w:tc>
        <w:tc>
          <w:tcPr>
            <w:tcW w:w="1600" w:type="dxa"/>
            <w:vAlign w:val="bottom"/>
            <w:tcBorders>
              <w:bottom w:val="single" w:sz="8" w:color="E5E5E5"/>
              <w:right w:val="single" w:sz="8" w:color="auto"/>
            </w:tcBorders>
            <w:shd w:val="clear" w:color="auto" w:fill="E5E5E5"/>
          </w:tcPr>
          <w:p>
            <w:pPr>
              <w:jc w:val="right"/>
              <w:ind w:right="328"/>
              <w:spacing w:after="0"/>
              <w:rPr>
                <w:sz w:val="20"/>
                <w:szCs w:val="20"/>
                <w:color w:val="auto"/>
              </w:rPr>
            </w:pPr>
            <w:r>
              <w:rPr>
                <w:rFonts w:ascii="Arial" w:cs="Arial" w:eastAsia="Arial" w:hAnsi="Arial"/>
                <w:sz w:val="14"/>
                <w:szCs w:val="14"/>
                <w:color w:val="auto"/>
              </w:rPr>
              <w:t>134,615</w:t>
            </w:r>
          </w:p>
        </w:tc>
        <w:tc>
          <w:tcPr>
            <w:tcW w:w="1440" w:type="dxa"/>
            <w:vAlign w:val="bottom"/>
            <w:tcBorders>
              <w:bottom w:val="single" w:sz="8" w:color="E5E5E5"/>
            </w:tcBorders>
            <w:shd w:val="clear" w:color="auto" w:fill="E5E5E5"/>
          </w:tcPr>
          <w:p>
            <w:pPr>
              <w:jc w:val="right"/>
              <w:ind w:right="208"/>
              <w:spacing w:after="0"/>
              <w:rPr>
                <w:sz w:val="20"/>
                <w:szCs w:val="20"/>
                <w:color w:val="auto"/>
              </w:rPr>
            </w:pPr>
            <w:r>
              <w:rPr>
                <w:rFonts w:ascii="Arial" w:cs="Arial" w:eastAsia="Arial" w:hAnsi="Arial"/>
                <w:sz w:val="14"/>
                <w:szCs w:val="14"/>
                <w:color w:val="auto"/>
              </w:rPr>
              <w:t>23,272,978</w:t>
            </w:r>
          </w:p>
        </w:tc>
        <w:tc>
          <w:tcPr>
            <w:tcW w:w="180" w:type="dxa"/>
            <w:vAlign w:val="bottom"/>
            <w:tcBorders>
              <w:bottom w:val="single" w:sz="8" w:color="E5E5E5"/>
              <w:right w:val="single" w:sz="8" w:color="auto"/>
            </w:tcBorders>
            <w:shd w:val="clear" w:color="auto" w:fill="E5E5E5"/>
          </w:tcPr>
          <w:p>
            <w:pPr>
              <w:spacing w:after="0"/>
              <w:rPr>
                <w:sz w:val="19"/>
                <w:szCs w:val="19"/>
                <w:color w:val="auto"/>
              </w:rPr>
            </w:pPr>
          </w:p>
        </w:tc>
        <w:tc>
          <w:tcPr>
            <w:tcW w:w="1600" w:type="dxa"/>
            <w:vAlign w:val="bottom"/>
            <w:tcBorders>
              <w:bottom w:val="single" w:sz="8" w:color="E5E5E5"/>
              <w:right w:val="single" w:sz="8" w:color="auto"/>
            </w:tcBorders>
            <w:shd w:val="clear" w:color="auto" w:fill="E5E5E5"/>
          </w:tcPr>
          <w:p>
            <w:pPr>
              <w:jc w:val="right"/>
              <w:ind w:right="388"/>
              <w:spacing w:after="0"/>
              <w:rPr>
                <w:sz w:val="20"/>
                <w:szCs w:val="20"/>
                <w:color w:val="auto"/>
              </w:rPr>
            </w:pPr>
            <w:r>
              <w:rPr>
                <w:rFonts w:ascii="Arial" w:cs="Arial" w:eastAsia="Arial" w:hAnsi="Arial"/>
                <w:sz w:val="14"/>
                <w:szCs w:val="14"/>
                <w:color w:val="auto"/>
              </w:rPr>
              <w:t>23,272,978</w:t>
            </w:r>
          </w:p>
        </w:tc>
        <w:tc>
          <w:tcPr>
            <w:tcW w:w="1600" w:type="dxa"/>
            <w:vAlign w:val="bottom"/>
            <w:tcBorders>
              <w:bottom w:val="single" w:sz="8" w:color="E5E5E5"/>
              <w:right w:val="single" w:sz="8" w:color="auto"/>
            </w:tcBorders>
            <w:shd w:val="clear" w:color="auto" w:fill="E5E5E5"/>
          </w:tcPr>
          <w:p>
            <w:pPr>
              <w:jc w:val="center"/>
              <w:ind w:left="128"/>
              <w:spacing w:after="0"/>
              <w:rPr>
                <w:sz w:val="20"/>
                <w:szCs w:val="20"/>
                <w:color w:val="auto"/>
              </w:rPr>
            </w:pPr>
            <w:r>
              <w:rPr>
                <w:rFonts w:ascii="Arial" w:cs="Arial" w:eastAsia="Arial" w:hAnsi="Arial"/>
                <w:sz w:val="14"/>
                <w:szCs w:val="14"/>
                <w:color w:val="auto"/>
              </w:rPr>
              <w:t>16,013,978</w:t>
            </w:r>
          </w:p>
        </w:tc>
        <w:tc>
          <w:tcPr>
            <w:tcW w:w="1440" w:type="dxa"/>
            <w:vAlign w:val="bottom"/>
            <w:tcBorders>
              <w:bottom w:val="single" w:sz="8" w:color="E5E5E5"/>
            </w:tcBorders>
            <w:shd w:val="clear" w:color="auto" w:fill="E5E5E5"/>
          </w:tcPr>
          <w:p>
            <w:pPr>
              <w:jc w:val="center"/>
              <w:ind w:left="208"/>
              <w:spacing w:after="0"/>
              <w:rPr>
                <w:sz w:val="20"/>
                <w:szCs w:val="20"/>
                <w:color w:val="auto"/>
              </w:rPr>
            </w:pPr>
            <w:r>
              <w:rPr>
                <w:rFonts w:ascii="Arial" w:cs="Arial" w:eastAsia="Arial" w:hAnsi="Arial"/>
                <w:sz w:val="14"/>
                <w:szCs w:val="14"/>
                <w:color w:val="auto"/>
              </w:rPr>
              <w:t>31,354,467</w:t>
            </w:r>
          </w:p>
        </w:tc>
        <w:tc>
          <w:tcPr>
            <w:tcW w:w="180" w:type="dxa"/>
            <w:vAlign w:val="bottom"/>
            <w:tcBorders>
              <w:bottom w:val="single" w:sz="8" w:color="E5E5E5"/>
              <w:right w:val="single" w:sz="8" w:color="auto"/>
            </w:tcBorders>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3200" w:type="dxa"/>
            <w:vAlign w:val="bottom"/>
            <w:tcBorders>
              <w:top w:val="single" w:sz="8" w:color="auto"/>
              <w:bottom w:val="single" w:sz="8" w:color="auto"/>
            </w:tcBorders>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200" w:type="dxa"/>
            <w:vAlign w:val="bottom"/>
            <w:tcBorders>
              <w:left w:val="single" w:sz="8" w:color="auto"/>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(a) Voluntary</w:t>
            </w:r>
          </w:p>
        </w:tc>
        <w:tc>
          <w:tcPr>
            <w:tcW w:w="1440" w:type="dxa"/>
            <w:vAlign w:val="bottom"/>
            <w:shd w:val="clear" w:color="auto" w:fill="004C97"/>
          </w:tcPr>
          <w:p>
            <w:pPr>
              <w:spacing w:after="0"/>
              <w:rPr>
                <w:sz w:val="15"/>
                <w:szCs w:val="15"/>
                <w:color w:val="auto"/>
              </w:rPr>
            </w:pPr>
          </w:p>
        </w:tc>
        <w:tc>
          <w:tcPr>
            <w:tcW w:w="180" w:type="dxa"/>
            <w:vAlign w:val="bottom"/>
            <w:tcBorders>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spacing w:after="0"/>
              <w:rPr>
                <w:sz w:val="15"/>
                <w:szCs w:val="15"/>
                <w:color w:val="auto"/>
              </w:rPr>
            </w:pPr>
          </w:p>
        </w:tc>
        <w:tc>
          <w:tcPr>
            <w:tcW w:w="1440" w:type="dxa"/>
            <w:vAlign w:val="bottom"/>
            <w:shd w:val="clear" w:color="auto" w:fill="004C97"/>
          </w:tcPr>
          <w:p>
            <w:pPr>
              <w:spacing w:after="0"/>
              <w:rPr>
                <w:sz w:val="15"/>
                <w:szCs w:val="15"/>
                <w:color w:val="auto"/>
              </w:rPr>
            </w:pPr>
          </w:p>
        </w:tc>
        <w:tc>
          <w:tcPr>
            <w:tcW w:w="180" w:type="dxa"/>
            <w:vAlign w:val="bottom"/>
            <w:tcBorders>
              <w:right w:val="single" w:sz="8" w:color="auto"/>
            </w:tcBorders>
            <w:shd w:val="clear" w:color="auto" w:fill="004C97"/>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tcBorders>
              <w:left w:val="single" w:sz="8" w:color="auto"/>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Resignation or (b)</w:t>
            </w:r>
          </w:p>
        </w:tc>
        <w:tc>
          <w:tcPr>
            <w:tcW w:w="1440" w:type="dxa"/>
            <w:vAlign w:val="bottom"/>
            <w:shd w:val="clear" w:color="auto" w:fill="004C97"/>
          </w:tcPr>
          <w:p>
            <w:pPr>
              <w:spacing w:after="0"/>
              <w:rPr>
                <w:sz w:val="15"/>
                <w:szCs w:val="15"/>
                <w:color w:val="auto"/>
              </w:rPr>
            </w:pPr>
          </w:p>
        </w:tc>
        <w:tc>
          <w:tcPr>
            <w:tcW w:w="180" w:type="dxa"/>
            <w:vAlign w:val="bottom"/>
            <w:tcBorders>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Involuntary Without</w:t>
            </w:r>
          </w:p>
        </w:tc>
        <w:tc>
          <w:tcPr>
            <w:tcW w:w="1440" w:type="dxa"/>
            <w:vAlign w:val="bottom"/>
            <w:shd w:val="clear" w:color="auto" w:fill="004C97"/>
          </w:tcPr>
          <w:p>
            <w:pPr>
              <w:spacing w:after="0"/>
              <w:rPr>
                <w:sz w:val="15"/>
                <w:szCs w:val="15"/>
                <w:color w:val="auto"/>
              </w:rPr>
            </w:pPr>
          </w:p>
        </w:tc>
        <w:tc>
          <w:tcPr>
            <w:tcW w:w="180" w:type="dxa"/>
            <w:vAlign w:val="bottom"/>
            <w:tcBorders>
              <w:right w:val="single" w:sz="8" w:color="auto"/>
            </w:tcBorders>
            <w:shd w:val="clear" w:color="auto" w:fill="004C97"/>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tcBorders>
              <w:left w:val="single" w:sz="8" w:color="auto"/>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Involuntary</w:t>
            </w:r>
          </w:p>
        </w:tc>
        <w:tc>
          <w:tcPr>
            <w:tcW w:w="1440" w:type="dxa"/>
            <w:vAlign w:val="bottom"/>
            <w:shd w:val="clear" w:color="auto" w:fill="004C97"/>
          </w:tcPr>
          <w:p>
            <w:pPr>
              <w:spacing w:after="0"/>
              <w:rPr>
                <w:sz w:val="15"/>
                <w:szCs w:val="15"/>
                <w:color w:val="auto"/>
              </w:rPr>
            </w:pPr>
          </w:p>
        </w:tc>
        <w:tc>
          <w:tcPr>
            <w:tcW w:w="180" w:type="dxa"/>
            <w:vAlign w:val="bottom"/>
            <w:tcBorders>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Cause/ Voluntary</w:t>
            </w:r>
          </w:p>
        </w:tc>
        <w:tc>
          <w:tcPr>
            <w:tcW w:w="1440" w:type="dxa"/>
            <w:vAlign w:val="bottom"/>
            <w:shd w:val="clear" w:color="auto" w:fill="004C97"/>
          </w:tcPr>
          <w:p>
            <w:pPr>
              <w:spacing w:after="0"/>
              <w:rPr>
                <w:sz w:val="15"/>
                <w:szCs w:val="15"/>
                <w:color w:val="auto"/>
              </w:rPr>
            </w:pPr>
          </w:p>
        </w:tc>
        <w:tc>
          <w:tcPr>
            <w:tcW w:w="180" w:type="dxa"/>
            <w:vAlign w:val="bottom"/>
            <w:tcBorders>
              <w:right w:val="single" w:sz="8" w:color="auto"/>
            </w:tcBorders>
            <w:shd w:val="clear" w:color="auto" w:fill="004C97"/>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00" w:type="dxa"/>
            <w:vAlign w:val="bottom"/>
            <w:tcBorders>
              <w:left w:val="single" w:sz="8" w:color="auto"/>
              <w:right w:val="single" w:sz="8" w:color="auto"/>
            </w:tcBorders>
            <w:shd w:val="clear" w:color="auto" w:fill="004C97"/>
          </w:tcPr>
          <w:p>
            <w:pPr>
              <w:spacing w:after="0"/>
              <w:rPr>
                <w:sz w:val="14"/>
                <w:szCs w:val="14"/>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Termination for Cause</w:t>
            </w:r>
          </w:p>
        </w:tc>
        <w:tc>
          <w:tcPr>
            <w:tcW w:w="1440" w:type="dxa"/>
            <w:vAlign w:val="bottom"/>
            <w:shd w:val="clear" w:color="auto" w:fill="004C97"/>
          </w:tcPr>
          <w:p>
            <w:pPr>
              <w:spacing w:after="0"/>
              <w:rPr>
                <w:sz w:val="14"/>
                <w:szCs w:val="14"/>
                <w:color w:val="auto"/>
              </w:rPr>
            </w:pPr>
          </w:p>
        </w:tc>
        <w:tc>
          <w:tcPr>
            <w:tcW w:w="180" w:type="dxa"/>
            <w:vAlign w:val="bottom"/>
            <w:tcBorders>
              <w:right w:val="single" w:sz="8" w:color="auto"/>
            </w:tcBorders>
            <w:shd w:val="clear" w:color="auto" w:fill="004C97"/>
          </w:tcPr>
          <w:p>
            <w:pPr>
              <w:spacing w:after="0"/>
              <w:rPr>
                <w:sz w:val="14"/>
                <w:szCs w:val="14"/>
                <w:color w:val="auto"/>
              </w:rPr>
            </w:pPr>
          </w:p>
        </w:tc>
        <w:tc>
          <w:tcPr>
            <w:tcW w:w="1600" w:type="dxa"/>
            <w:vAlign w:val="bottom"/>
            <w:tcBorders>
              <w:right w:val="single" w:sz="8" w:color="auto"/>
            </w:tcBorders>
            <w:shd w:val="clear" w:color="auto" w:fill="004C97"/>
          </w:tcPr>
          <w:p>
            <w:pPr>
              <w:jc w:val="right"/>
              <w:ind w:right="548"/>
              <w:spacing w:after="0"/>
              <w:rPr>
                <w:sz w:val="20"/>
                <w:szCs w:val="20"/>
                <w:color w:val="auto"/>
              </w:rPr>
            </w:pPr>
            <w:r>
              <w:rPr>
                <w:rFonts w:ascii="Arial" w:cs="Arial" w:eastAsia="Arial" w:hAnsi="Arial"/>
                <w:sz w:val="14"/>
                <w:szCs w:val="14"/>
                <w:b w:val="1"/>
                <w:bCs w:val="1"/>
                <w:color w:val="FFFFFF"/>
              </w:rPr>
              <w:t>Death</w:t>
            </w: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Resignation for Good</w:t>
            </w:r>
          </w:p>
        </w:tc>
        <w:tc>
          <w:tcPr>
            <w:tcW w:w="1620" w:type="dxa"/>
            <w:vAlign w:val="bottom"/>
            <w:tcBorders>
              <w:right w:val="single" w:sz="8" w:color="auto"/>
            </w:tcBorders>
            <w:gridSpan w:val="2"/>
            <w:shd w:val="clear" w:color="auto" w:fill="004C97"/>
          </w:tcPr>
          <w:p>
            <w:pPr>
              <w:jc w:val="center"/>
              <w:spacing w:after="0"/>
              <w:rPr>
                <w:sz w:val="20"/>
                <w:szCs w:val="20"/>
                <w:color w:val="auto"/>
              </w:rPr>
            </w:pPr>
            <w:r>
              <w:rPr>
                <w:rFonts w:ascii="Arial" w:cs="Arial" w:eastAsia="Arial" w:hAnsi="Arial"/>
                <w:sz w:val="14"/>
                <w:szCs w:val="14"/>
                <w:b w:val="1"/>
                <w:bCs w:val="1"/>
                <w:color w:val="FFFFFF"/>
              </w:rPr>
              <w:t>Termination Following</w:t>
            </w:r>
          </w:p>
        </w:tc>
        <w:tc>
          <w:tcPr>
            <w:tcW w:w="0" w:type="dxa"/>
            <w:vAlign w:val="bottom"/>
          </w:tcPr>
          <w:p>
            <w:pPr>
              <w:spacing w:after="0"/>
              <w:rPr>
                <w:sz w:val="1"/>
                <w:szCs w:val="1"/>
                <w:color w:val="auto"/>
              </w:rPr>
            </w:pPr>
          </w:p>
        </w:tc>
      </w:tr>
      <w:tr>
        <w:trPr>
          <w:trHeight w:val="219"/>
        </w:trPr>
        <w:tc>
          <w:tcPr>
            <w:tcW w:w="3200" w:type="dxa"/>
            <w:vAlign w:val="bottom"/>
            <w:tcBorders>
              <w:left w:val="single" w:sz="8" w:color="auto"/>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Mark A. Carano</w:t>
            </w:r>
          </w:p>
        </w:tc>
        <w:tc>
          <w:tcPr>
            <w:tcW w:w="16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w:t>
            </w:r>
          </w:p>
        </w:tc>
        <w:tc>
          <w:tcPr>
            <w:tcW w:w="1440" w:type="dxa"/>
            <w:vAlign w:val="bottom"/>
            <w:tcBorders>
              <w:bottom w:val="single" w:sz="8" w:color="auto"/>
            </w:tcBorders>
            <w:shd w:val="clear" w:color="auto" w:fill="004C97"/>
          </w:tcPr>
          <w:p>
            <w:pPr>
              <w:jc w:val="center"/>
              <w:ind w:left="68"/>
              <w:spacing w:after="0"/>
              <w:rPr>
                <w:sz w:val="20"/>
                <w:szCs w:val="20"/>
                <w:color w:val="auto"/>
              </w:rPr>
            </w:pPr>
            <w:r>
              <w:rPr>
                <w:rFonts w:ascii="Arial" w:cs="Arial" w:eastAsia="Arial" w:hAnsi="Arial"/>
                <w:sz w:val="14"/>
                <w:szCs w:val="14"/>
                <w:b w:val="1"/>
                <w:bCs w:val="1"/>
                <w:color w:val="FFFFFF"/>
              </w:rPr>
              <w:t>Disability ($)</w:t>
            </w:r>
          </w:p>
        </w:tc>
        <w:tc>
          <w:tcPr>
            <w:tcW w:w="180" w:type="dxa"/>
            <w:vAlign w:val="bottom"/>
            <w:tcBorders>
              <w:bottom w:val="single" w:sz="8" w:color="auto"/>
              <w:right w:val="single" w:sz="8" w:color="auto"/>
            </w:tcBorders>
            <w:shd w:val="clear" w:color="auto" w:fill="004C97"/>
          </w:tcPr>
          <w:p>
            <w:pPr>
              <w:spacing w:after="0"/>
              <w:rPr>
                <w:sz w:val="19"/>
                <w:szCs w:val="19"/>
                <w:color w:val="auto"/>
              </w:rPr>
            </w:pPr>
          </w:p>
        </w:tc>
        <w:tc>
          <w:tcPr>
            <w:tcW w:w="1600" w:type="dxa"/>
            <w:vAlign w:val="bottom"/>
            <w:tcBorders>
              <w:bottom w:val="single" w:sz="8" w:color="auto"/>
              <w:right w:val="single" w:sz="8" w:color="auto"/>
            </w:tcBorders>
            <w:shd w:val="clear" w:color="auto" w:fill="004C97"/>
          </w:tcPr>
          <w:p>
            <w:pPr>
              <w:jc w:val="right"/>
              <w:ind w:right="148"/>
              <w:spacing w:after="0"/>
              <w:rPr>
                <w:sz w:val="20"/>
                <w:szCs w:val="20"/>
                <w:color w:val="auto"/>
              </w:rPr>
            </w:pPr>
            <w:r>
              <w:rPr>
                <w:rFonts w:ascii="Arial" w:cs="Arial" w:eastAsia="Arial" w:hAnsi="Arial"/>
                <w:sz w:val="14"/>
                <w:szCs w:val="14"/>
                <w:b w:val="1"/>
                <w:bCs w:val="1"/>
                <w:color w:val="FFFFFF"/>
              </w:rPr>
              <w:t>Pre-retirement ($)</w:t>
            </w:r>
          </w:p>
        </w:tc>
        <w:tc>
          <w:tcPr>
            <w:tcW w:w="16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Reason ($)</w:t>
            </w:r>
          </w:p>
        </w:tc>
        <w:tc>
          <w:tcPr>
            <w:tcW w:w="1620" w:type="dxa"/>
            <w:vAlign w:val="bottom"/>
            <w:tcBorders>
              <w:bottom w:val="single" w:sz="8" w:color="auto"/>
              <w:right w:val="single" w:sz="8" w:color="auto"/>
            </w:tcBorders>
            <w:gridSpan w:val="2"/>
            <w:shd w:val="clear" w:color="auto" w:fill="004C97"/>
          </w:tcPr>
          <w:p>
            <w:pPr>
              <w:jc w:val="center"/>
              <w:spacing w:after="0"/>
              <w:rPr>
                <w:sz w:val="20"/>
                <w:szCs w:val="20"/>
                <w:color w:val="auto"/>
              </w:rPr>
            </w:pPr>
            <w:r>
              <w:rPr>
                <w:rFonts w:ascii="Arial" w:cs="Arial" w:eastAsia="Arial" w:hAnsi="Arial"/>
                <w:sz w:val="14"/>
                <w:szCs w:val="14"/>
                <w:b w:val="1"/>
                <w:bCs w:val="1"/>
                <w:color w:val="FFFFFF"/>
              </w:rPr>
              <w:t>Change in Control ($)</w:t>
            </w:r>
          </w:p>
        </w:tc>
        <w:tc>
          <w:tcPr>
            <w:tcW w:w="0" w:type="dxa"/>
            <w:vAlign w:val="bottom"/>
          </w:tcPr>
          <w:p>
            <w:pPr>
              <w:spacing w:after="0"/>
              <w:rPr>
                <w:sz w:val="1"/>
                <w:szCs w:val="1"/>
                <w:color w:val="auto"/>
              </w:rPr>
            </w:pPr>
          </w:p>
        </w:tc>
      </w:tr>
      <w:tr>
        <w:trPr>
          <w:trHeight w:val="229"/>
        </w:trPr>
        <w:tc>
          <w:tcPr>
            <w:tcW w:w="3200" w:type="dxa"/>
            <w:vAlign w:val="bottom"/>
            <w:tcBorders>
              <w:left w:val="single" w:sz="8" w:color="auto"/>
              <w:bottom w:val="single" w:sz="8" w:color="auto"/>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Salary</w:t>
            </w:r>
          </w:p>
        </w:tc>
        <w:tc>
          <w:tcPr>
            <w:tcW w:w="1600" w:type="dxa"/>
            <w:vAlign w:val="bottom"/>
            <w:tcBorders>
              <w:bottom w:val="single" w:sz="8" w:color="auto"/>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E5E5E5"/>
          </w:tcPr>
          <w:p>
            <w:pPr>
              <w:jc w:val="right"/>
              <w:ind w:right="3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right w:val="single" w:sz="8" w:color="auto"/>
            </w:tcBorders>
            <w:shd w:val="clear" w:color="auto" w:fill="E5E5E5"/>
          </w:tcPr>
          <w:p>
            <w:pPr>
              <w:spacing w:after="0"/>
              <w:rPr>
                <w:sz w:val="19"/>
                <w:szCs w:val="19"/>
                <w:color w:val="auto"/>
              </w:rPr>
            </w:pPr>
          </w:p>
        </w:tc>
        <w:tc>
          <w:tcPr>
            <w:tcW w:w="1600" w:type="dxa"/>
            <w:vAlign w:val="bottom"/>
            <w:tcBorders>
              <w:bottom w:val="single" w:sz="8" w:color="auto"/>
              <w:right w:val="single" w:sz="8" w:color="auto"/>
            </w:tcBorders>
            <w:shd w:val="clear" w:color="auto" w:fill="E5E5E5"/>
          </w:tcPr>
          <w:p>
            <w:pPr>
              <w:jc w:val="right"/>
              <w:ind w:right="54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 xml:space="preserve">530,000 </w:t>
            </w:r>
            <w:r>
              <w:rPr>
                <w:rFonts w:ascii="Arial" w:cs="Arial" w:eastAsia="Arial" w:hAnsi="Arial"/>
                <w:sz w:val="18"/>
                <w:szCs w:val="18"/>
                <w:color w:val="auto"/>
                <w:vertAlign w:val="superscript"/>
              </w:rPr>
              <w:t>(11)</w:t>
            </w:r>
          </w:p>
        </w:tc>
        <w:tc>
          <w:tcPr>
            <w:tcW w:w="1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1,060,000</w:t>
            </w:r>
          </w:p>
        </w:tc>
        <w:tc>
          <w:tcPr>
            <w:tcW w:w="18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223"/>
        </w:trPr>
        <w:tc>
          <w:tcPr>
            <w:tcW w:w="3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Bonus</w:t>
            </w:r>
          </w:p>
        </w:tc>
        <w:tc>
          <w:tcPr>
            <w:tcW w:w="160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700,000</w:t>
            </w:r>
          </w:p>
        </w:tc>
        <w:tc>
          <w:tcPr>
            <w:tcW w:w="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9"/>
                <w:szCs w:val="9"/>
                <w:color w:val="auto"/>
              </w:rPr>
              <w:t>(3)</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xml:space="preserve">700,000 </w:t>
            </w:r>
            <w:r>
              <w:rPr>
                <w:rFonts w:ascii="Arial" w:cs="Arial" w:eastAsia="Arial" w:hAnsi="Arial"/>
                <w:sz w:val="18"/>
                <w:szCs w:val="18"/>
                <w:color w:val="auto"/>
                <w:vertAlign w:val="superscript"/>
              </w:rPr>
              <w:t>(3)</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xml:space="preserve">700,000 </w:t>
            </w:r>
            <w:r>
              <w:rPr>
                <w:rFonts w:ascii="Arial" w:cs="Arial" w:eastAsia="Arial" w:hAnsi="Arial"/>
                <w:sz w:val="18"/>
                <w:szCs w:val="18"/>
                <w:color w:val="auto"/>
                <w:vertAlign w:val="superscript"/>
              </w:rPr>
              <w:t>(12)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1,400,000</w:t>
            </w:r>
          </w:p>
        </w:tc>
        <w:tc>
          <w:tcPr>
            <w:tcW w:w="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223"/>
        </w:trPr>
        <w:tc>
          <w:tcPr>
            <w:tcW w:w="3200" w:type="dxa"/>
            <w:vAlign w:val="bottom"/>
            <w:tcBorders>
              <w:left w:val="single" w:sz="8" w:color="auto"/>
              <w:bottom w:val="single" w:sz="8" w:color="auto"/>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Value of Accelerated Equity</w:t>
            </w:r>
          </w:p>
        </w:tc>
        <w:tc>
          <w:tcPr>
            <w:tcW w:w="1600" w:type="dxa"/>
            <w:vAlign w:val="bottom"/>
            <w:tcBorders>
              <w:bottom w:val="single" w:sz="8" w:color="auto"/>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3,011,384</w:t>
            </w:r>
          </w:p>
        </w:tc>
        <w:tc>
          <w:tcPr>
            <w:tcW w:w="18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9"/>
                <w:szCs w:val="9"/>
                <w:color w:val="auto"/>
              </w:rPr>
              <w:t>(6)</w:t>
            </w:r>
          </w:p>
        </w:tc>
        <w:tc>
          <w:tcPr>
            <w:tcW w:w="160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 xml:space="preserve">3,011,384 </w:t>
            </w:r>
            <w:r>
              <w:rPr>
                <w:rFonts w:ascii="Arial" w:cs="Arial" w:eastAsia="Arial" w:hAnsi="Arial"/>
                <w:sz w:val="18"/>
                <w:szCs w:val="18"/>
                <w:color w:val="auto"/>
                <w:vertAlign w:val="superscript"/>
              </w:rPr>
              <w:t>(6)</w:t>
            </w:r>
          </w:p>
        </w:tc>
        <w:tc>
          <w:tcPr>
            <w:tcW w:w="160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 xml:space="preserve">53,827 </w:t>
            </w:r>
            <w:r>
              <w:rPr>
                <w:rFonts w:ascii="Arial" w:cs="Arial" w:eastAsia="Arial" w:hAnsi="Arial"/>
                <w:sz w:val="18"/>
                <w:szCs w:val="18"/>
                <w:color w:val="auto"/>
                <w:vertAlign w:val="superscript"/>
              </w:rPr>
              <w:t>(7)</w:t>
            </w:r>
          </w:p>
        </w:tc>
        <w:tc>
          <w:tcPr>
            <w:tcW w:w="1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3,011,384</w:t>
            </w:r>
          </w:p>
        </w:tc>
        <w:tc>
          <w:tcPr>
            <w:tcW w:w="18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9"/>
                <w:szCs w:val="9"/>
                <w:color w:val="auto"/>
              </w:rPr>
              <w:t>(6)</w:t>
            </w:r>
          </w:p>
        </w:tc>
        <w:tc>
          <w:tcPr>
            <w:tcW w:w="0" w:type="dxa"/>
            <w:vAlign w:val="bottom"/>
          </w:tcPr>
          <w:p>
            <w:pPr>
              <w:spacing w:after="0"/>
              <w:rPr>
                <w:sz w:val="1"/>
                <w:szCs w:val="1"/>
                <w:color w:val="auto"/>
              </w:rPr>
            </w:pPr>
          </w:p>
        </w:tc>
      </w:tr>
      <w:tr>
        <w:trPr>
          <w:trHeight w:val="223"/>
        </w:trPr>
        <w:tc>
          <w:tcPr>
            <w:tcW w:w="3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All Other Compensation</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xml:space="preserve">52,044 </w:t>
            </w:r>
            <w:r>
              <w:rPr>
                <w:rFonts w:ascii="Arial" w:cs="Arial" w:eastAsia="Arial" w:hAnsi="Arial"/>
                <w:sz w:val="18"/>
                <w:szCs w:val="18"/>
                <w:color w:val="auto"/>
                <w:vertAlign w:val="superscript"/>
              </w:rPr>
              <w:t>(8)</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52,044</w:t>
            </w:r>
          </w:p>
        </w:tc>
        <w:tc>
          <w:tcPr>
            <w:tcW w:w="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9"/>
                <w:szCs w:val="9"/>
                <w:color w:val="auto"/>
              </w:rPr>
              <w:t>(8)</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xml:space="preserve">52,044 </w:t>
            </w:r>
            <w:r>
              <w:rPr>
                <w:rFonts w:ascii="Arial" w:cs="Arial" w:eastAsia="Arial" w:hAnsi="Arial"/>
                <w:sz w:val="18"/>
                <w:szCs w:val="18"/>
                <w:color w:val="auto"/>
                <w:vertAlign w:val="superscript"/>
              </w:rPr>
              <w:t>(8)</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xml:space="preserve">109,548 </w:t>
            </w:r>
            <w:r>
              <w:rPr>
                <w:rFonts w:ascii="Arial" w:cs="Arial" w:eastAsia="Arial" w:hAnsi="Arial"/>
                <w:sz w:val="18"/>
                <w:szCs w:val="18"/>
                <w:color w:val="auto"/>
                <w:vertAlign w:val="superscript"/>
              </w:rPr>
              <w:t>(13)</w:t>
            </w:r>
          </w:p>
        </w:tc>
        <w:tc>
          <w:tcPr>
            <w:tcW w:w="16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4"/>
                <w:szCs w:val="14"/>
                <w:color w:val="auto"/>
              </w:rPr>
              <w:t xml:space="preserve">132,052 </w:t>
            </w:r>
            <w:r>
              <w:rPr>
                <w:rFonts w:ascii="Arial" w:cs="Arial" w:eastAsia="Arial" w:hAnsi="Arial"/>
                <w:sz w:val="18"/>
                <w:szCs w:val="18"/>
                <w:color w:val="auto"/>
                <w:vertAlign w:val="superscript"/>
              </w:rPr>
              <w:t>(14)</w:t>
            </w:r>
          </w:p>
        </w:tc>
        <w:tc>
          <w:tcPr>
            <w:tcW w:w="0" w:type="dxa"/>
            <w:vAlign w:val="bottom"/>
          </w:tcPr>
          <w:p>
            <w:pPr>
              <w:spacing w:after="0"/>
              <w:rPr>
                <w:sz w:val="1"/>
                <w:szCs w:val="1"/>
                <w:color w:val="auto"/>
              </w:rPr>
            </w:pPr>
          </w:p>
        </w:tc>
      </w:tr>
      <w:tr>
        <w:trPr>
          <w:trHeight w:val="228"/>
        </w:trPr>
        <w:tc>
          <w:tcPr>
            <w:tcW w:w="3200" w:type="dxa"/>
            <w:vAlign w:val="bottom"/>
            <w:tcBorders>
              <w:left w:val="single" w:sz="8" w:color="auto"/>
              <w:bottom w:val="single" w:sz="8" w:color="E5E5E5"/>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Total</w:t>
            </w:r>
          </w:p>
        </w:tc>
        <w:tc>
          <w:tcPr>
            <w:tcW w:w="1600" w:type="dxa"/>
            <w:vAlign w:val="bottom"/>
            <w:tcBorders>
              <w:bottom w:val="single" w:sz="8" w:color="E5E5E5"/>
              <w:right w:val="single" w:sz="8" w:color="auto"/>
            </w:tcBorders>
            <w:shd w:val="clear" w:color="auto" w:fill="E5E5E5"/>
          </w:tcPr>
          <w:p>
            <w:pPr>
              <w:jc w:val="right"/>
              <w:ind w:right="348"/>
              <w:spacing w:after="0"/>
              <w:rPr>
                <w:sz w:val="20"/>
                <w:szCs w:val="20"/>
                <w:color w:val="auto"/>
              </w:rPr>
            </w:pPr>
            <w:r>
              <w:rPr>
                <w:rFonts w:ascii="Arial" w:cs="Arial" w:eastAsia="Arial" w:hAnsi="Arial"/>
                <w:sz w:val="14"/>
                <w:szCs w:val="14"/>
                <w:color w:val="auto"/>
              </w:rPr>
              <w:t>52,044</w:t>
            </w:r>
          </w:p>
        </w:tc>
        <w:tc>
          <w:tcPr>
            <w:tcW w:w="1440" w:type="dxa"/>
            <w:vAlign w:val="bottom"/>
            <w:tcBorders>
              <w:bottom w:val="single" w:sz="8" w:color="E5E5E5"/>
            </w:tcBorders>
            <w:shd w:val="clear" w:color="auto" w:fill="E5E5E5"/>
          </w:tcPr>
          <w:p>
            <w:pPr>
              <w:jc w:val="right"/>
              <w:ind w:right="208"/>
              <w:spacing w:after="0"/>
              <w:rPr>
                <w:sz w:val="20"/>
                <w:szCs w:val="20"/>
                <w:color w:val="auto"/>
              </w:rPr>
            </w:pPr>
            <w:r>
              <w:rPr>
                <w:rFonts w:ascii="Arial" w:cs="Arial" w:eastAsia="Arial" w:hAnsi="Arial"/>
                <w:sz w:val="14"/>
                <w:szCs w:val="14"/>
                <w:color w:val="auto"/>
              </w:rPr>
              <w:t>3,763,428</w:t>
            </w:r>
          </w:p>
        </w:tc>
        <w:tc>
          <w:tcPr>
            <w:tcW w:w="180" w:type="dxa"/>
            <w:vAlign w:val="bottom"/>
            <w:tcBorders>
              <w:bottom w:val="single" w:sz="8" w:color="E5E5E5"/>
              <w:right w:val="single" w:sz="8" w:color="auto"/>
            </w:tcBorders>
            <w:shd w:val="clear" w:color="auto" w:fill="E5E5E5"/>
          </w:tcPr>
          <w:p>
            <w:pPr>
              <w:spacing w:after="0"/>
              <w:rPr>
                <w:sz w:val="19"/>
                <w:szCs w:val="19"/>
                <w:color w:val="auto"/>
              </w:rPr>
            </w:pPr>
          </w:p>
        </w:tc>
        <w:tc>
          <w:tcPr>
            <w:tcW w:w="1600" w:type="dxa"/>
            <w:vAlign w:val="bottom"/>
            <w:tcBorders>
              <w:bottom w:val="single" w:sz="8" w:color="E5E5E5"/>
              <w:right w:val="single" w:sz="8" w:color="auto"/>
            </w:tcBorders>
            <w:shd w:val="clear" w:color="auto" w:fill="E5E5E5"/>
          </w:tcPr>
          <w:p>
            <w:pPr>
              <w:jc w:val="right"/>
              <w:ind w:right="348"/>
              <w:spacing w:after="0"/>
              <w:rPr>
                <w:sz w:val="20"/>
                <w:szCs w:val="20"/>
                <w:color w:val="auto"/>
              </w:rPr>
            </w:pPr>
            <w:r>
              <w:rPr>
                <w:rFonts w:ascii="Arial" w:cs="Arial" w:eastAsia="Arial" w:hAnsi="Arial"/>
                <w:sz w:val="14"/>
                <w:szCs w:val="14"/>
                <w:color w:val="auto"/>
              </w:rPr>
              <w:t>3,763,428</w:t>
            </w:r>
          </w:p>
        </w:tc>
        <w:tc>
          <w:tcPr>
            <w:tcW w:w="1600" w:type="dxa"/>
            <w:vAlign w:val="bottom"/>
            <w:tcBorders>
              <w:bottom w:val="single" w:sz="8" w:color="E5E5E5"/>
              <w:right w:val="single" w:sz="8" w:color="auto"/>
            </w:tcBorders>
            <w:shd w:val="clear" w:color="auto" w:fill="E5E5E5"/>
          </w:tcPr>
          <w:p>
            <w:pPr>
              <w:jc w:val="center"/>
              <w:ind w:left="88"/>
              <w:spacing w:after="0"/>
              <w:rPr>
                <w:sz w:val="20"/>
                <w:szCs w:val="20"/>
                <w:color w:val="auto"/>
              </w:rPr>
            </w:pPr>
            <w:r>
              <w:rPr>
                <w:rFonts w:ascii="Arial" w:cs="Arial" w:eastAsia="Arial" w:hAnsi="Arial"/>
                <w:sz w:val="14"/>
                <w:szCs w:val="14"/>
                <w:color w:val="auto"/>
              </w:rPr>
              <w:t>1,393,375</w:t>
            </w:r>
          </w:p>
        </w:tc>
        <w:tc>
          <w:tcPr>
            <w:tcW w:w="1440" w:type="dxa"/>
            <w:vAlign w:val="bottom"/>
            <w:tcBorders>
              <w:bottom w:val="single" w:sz="8" w:color="E5E5E5"/>
            </w:tcBorders>
            <w:shd w:val="clear" w:color="auto" w:fill="E5E5E5"/>
          </w:tcPr>
          <w:p>
            <w:pPr>
              <w:jc w:val="center"/>
              <w:ind w:left="208"/>
              <w:spacing w:after="0"/>
              <w:rPr>
                <w:sz w:val="20"/>
                <w:szCs w:val="20"/>
                <w:color w:val="auto"/>
              </w:rPr>
            </w:pPr>
            <w:r>
              <w:rPr>
                <w:rFonts w:ascii="Arial" w:cs="Arial" w:eastAsia="Arial" w:hAnsi="Arial"/>
                <w:sz w:val="14"/>
                <w:szCs w:val="14"/>
                <w:color w:val="auto"/>
              </w:rPr>
              <w:t>5,603,436</w:t>
            </w:r>
          </w:p>
        </w:tc>
        <w:tc>
          <w:tcPr>
            <w:tcW w:w="180" w:type="dxa"/>
            <w:vAlign w:val="bottom"/>
            <w:tcBorders>
              <w:bottom w:val="single" w:sz="8" w:color="E5E5E5"/>
              <w:right w:val="single" w:sz="8" w:color="auto"/>
            </w:tcBorders>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3200" w:type="dxa"/>
            <w:vAlign w:val="bottom"/>
            <w:tcBorders>
              <w:top w:val="single" w:sz="8" w:color="auto"/>
              <w:bottom w:val="single" w:sz="8" w:color="auto"/>
            </w:tcBorders>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200" w:type="dxa"/>
            <w:vAlign w:val="bottom"/>
            <w:tcBorders>
              <w:left w:val="single" w:sz="8" w:color="auto"/>
              <w:right w:val="single" w:sz="8" w:color="auto"/>
            </w:tcBorders>
            <w:shd w:val="clear" w:color="auto" w:fill="004C97"/>
          </w:tcPr>
          <w:p>
            <w:pPr>
              <w:spacing w:after="0"/>
              <w:rPr>
                <w:sz w:val="16"/>
                <w:szCs w:val="16"/>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(a) Voluntary</w:t>
            </w:r>
          </w:p>
        </w:tc>
        <w:tc>
          <w:tcPr>
            <w:tcW w:w="1440" w:type="dxa"/>
            <w:vAlign w:val="bottom"/>
            <w:shd w:val="clear" w:color="auto" w:fill="004C97"/>
          </w:tcPr>
          <w:p>
            <w:pPr>
              <w:spacing w:after="0"/>
              <w:rPr>
                <w:sz w:val="16"/>
                <w:szCs w:val="16"/>
                <w:color w:val="auto"/>
              </w:rPr>
            </w:pPr>
          </w:p>
        </w:tc>
        <w:tc>
          <w:tcPr>
            <w:tcW w:w="180" w:type="dxa"/>
            <w:vAlign w:val="bottom"/>
            <w:tcBorders>
              <w:right w:val="single" w:sz="8" w:color="auto"/>
            </w:tcBorders>
            <w:shd w:val="clear" w:color="auto" w:fill="004C97"/>
          </w:tcPr>
          <w:p>
            <w:pPr>
              <w:spacing w:after="0"/>
              <w:rPr>
                <w:sz w:val="16"/>
                <w:szCs w:val="16"/>
                <w:color w:val="auto"/>
              </w:rPr>
            </w:pPr>
          </w:p>
        </w:tc>
        <w:tc>
          <w:tcPr>
            <w:tcW w:w="1600" w:type="dxa"/>
            <w:vAlign w:val="bottom"/>
            <w:tcBorders>
              <w:right w:val="single" w:sz="8" w:color="auto"/>
            </w:tcBorders>
            <w:shd w:val="clear" w:color="auto" w:fill="004C97"/>
          </w:tcPr>
          <w:p>
            <w:pPr>
              <w:spacing w:after="0"/>
              <w:rPr>
                <w:sz w:val="16"/>
                <w:szCs w:val="16"/>
                <w:color w:val="auto"/>
              </w:rPr>
            </w:pPr>
          </w:p>
        </w:tc>
        <w:tc>
          <w:tcPr>
            <w:tcW w:w="1600" w:type="dxa"/>
            <w:vAlign w:val="bottom"/>
            <w:tcBorders>
              <w:right w:val="single" w:sz="8" w:color="auto"/>
            </w:tcBorders>
            <w:shd w:val="clear" w:color="auto" w:fill="004C97"/>
          </w:tcPr>
          <w:p>
            <w:pPr>
              <w:spacing w:after="0"/>
              <w:rPr>
                <w:sz w:val="16"/>
                <w:szCs w:val="16"/>
                <w:color w:val="auto"/>
              </w:rPr>
            </w:pPr>
          </w:p>
        </w:tc>
        <w:tc>
          <w:tcPr>
            <w:tcW w:w="1440" w:type="dxa"/>
            <w:vAlign w:val="bottom"/>
            <w:shd w:val="clear" w:color="auto" w:fill="004C97"/>
          </w:tcPr>
          <w:p>
            <w:pPr>
              <w:spacing w:after="0"/>
              <w:rPr>
                <w:sz w:val="16"/>
                <w:szCs w:val="16"/>
                <w:color w:val="auto"/>
              </w:rPr>
            </w:pPr>
          </w:p>
        </w:tc>
        <w:tc>
          <w:tcPr>
            <w:tcW w:w="180" w:type="dxa"/>
            <w:vAlign w:val="bottom"/>
            <w:tcBorders>
              <w:right w:val="single" w:sz="8" w:color="auto"/>
            </w:tcBorders>
            <w:shd w:val="clear" w:color="auto" w:fill="004C97"/>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00" w:type="dxa"/>
            <w:vAlign w:val="bottom"/>
            <w:tcBorders>
              <w:left w:val="single" w:sz="8" w:color="auto"/>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Resignation or (b)</w:t>
            </w:r>
          </w:p>
        </w:tc>
        <w:tc>
          <w:tcPr>
            <w:tcW w:w="1440" w:type="dxa"/>
            <w:vAlign w:val="bottom"/>
            <w:shd w:val="clear" w:color="auto" w:fill="004C97"/>
          </w:tcPr>
          <w:p>
            <w:pPr>
              <w:spacing w:after="0"/>
              <w:rPr>
                <w:sz w:val="15"/>
                <w:szCs w:val="15"/>
                <w:color w:val="auto"/>
              </w:rPr>
            </w:pPr>
          </w:p>
        </w:tc>
        <w:tc>
          <w:tcPr>
            <w:tcW w:w="180" w:type="dxa"/>
            <w:vAlign w:val="bottom"/>
            <w:tcBorders>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Involuntary Without</w:t>
            </w:r>
          </w:p>
        </w:tc>
        <w:tc>
          <w:tcPr>
            <w:tcW w:w="1440" w:type="dxa"/>
            <w:vAlign w:val="bottom"/>
            <w:shd w:val="clear" w:color="auto" w:fill="004C97"/>
          </w:tcPr>
          <w:p>
            <w:pPr>
              <w:spacing w:after="0"/>
              <w:rPr>
                <w:sz w:val="15"/>
                <w:szCs w:val="15"/>
                <w:color w:val="auto"/>
              </w:rPr>
            </w:pPr>
          </w:p>
        </w:tc>
        <w:tc>
          <w:tcPr>
            <w:tcW w:w="180" w:type="dxa"/>
            <w:vAlign w:val="bottom"/>
            <w:tcBorders>
              <w:right w:val="single" w:sz="8" w:color="auto"/>
            </w:tcBorders>
            <w:shd w:val="clear" w:color="auto" w:fill="004C97"/>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tcBorders>
              <w:left w:val="single" w:sz="8" w:color="auto"/>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Involuntary</w:t>
            </w:r>
          </w:p>
        </w:tc>
        <w:tc>
          <w:tcPr>
            <w:tcW w:w="1440" w:type="dxa"/>
            <w:vAlign w:val="bottom"/>
            <w:shd w:val="clear" w:color="auto" w:fill="004C97"/>
          </w:tcPr>
          <w:p>
            <w:pPr>
              <w:spacing w:after="0"/>
              <w:rPr>
                <w:sz w:val="15"/>
                <w:szCs w:val="15"/>
                <w:color w:val="auto"/>
              </w:rPr>
            </w:pPr>
          </w:p>
        </w:tc>
        <w:tc>
          <w:tcPr>
            <w:tcW w:w="180" w:type="dxa"/>
            <w:vAlign w:val="bottom"/>
            <w:tcBorders>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vMerge w:val="restart"/>
            <w:shd w:val="clear" w:color="auto" w:fill="004C97"/>
          </w:tcPr>
          <w:p>
            <w:pPr>
              <w:jc w:val="right"/>
              <w:ind w:right="548"/>
              <w:spacing w:after="0"/>
              <w:rPr>
                <w:sz w:val="20"/>
                <w:szCs w:val="20"/>
                <w:color w:val="auto"/>
              </w:rPr>
            </w:pPr>
            <w:r>
              <w:rPr>
                <w:rFonts w:ascii="Arial" w:cs="Arial" w:eastAsia="Arial" w:hAnsi="Arial"/>
                <w:sz w:val="14"/>
                <w:szCs w:val="14"/>
                <w:b w:val="1"/>
                <w:bCs w:val="1"/>
                <w:color w:val="FFFFFF"/>
              </w:rPr>
              <w:t>Death</w:t>
            </w: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Cause/ Voluntary</w:t>
            </w:r>
          </w:p>
        </w:tc>
        <w:tc>
          <w:tcPr>
            <w:tcW w:w="1620" w:type="dxa"/>
            <w:vAlign w:val="bottom"/>
            <w:tcBorders>
              <w:right w:val="single" w:sz="8" w:color="auto"/>
            </w:tcBorders>
            <w:gridSpan w:val="2"/>
            <w:vMerge w:val="restart"/>
            <w:shd w:val="clear" w:color="auto" w:fill="004C97"/>
          </w:tcPr>
          <w:p>
            <w:pPr>
              <w:jc w:val="center"/>
              <w:spacing w:after="0"/>
              <w:rPr>
                <w:sz w:val="20"/>
                <w:szCs w:val="20"/>
                <w:color w:val="auto"/>
              </w:rPr>
            </w:pPr>
            <w:r>
              <w:rPr>
                <w:rFonts w:ascii="Arial" w:cs="Arial" w:eastAsia="Arial" w:hAnsi="Arial"/>
                <w:sz w:val="14"/>
                <w:szCs w:val="14"/>
                <w:b w:val="1"/>
                <w:bCs w:val="1"/>
                <w:color w:val="FFFFFF"/>
              </w:rPr>
              <w:t>Termination Following</w:t>
            </w:r>
          </w:p>
        </w:tc>
        <w:tc>
          <w:tcPr>
            <w:tcW w:w="0" w:type="dxa"/>
            <w:vAlign w:val="bottom"/>
          </w:tcPr>
          <w:p>
            <w:pPr>
              <w:spacing w:after="0"/>
              <w:rPr>
                <w:sz w:val="1"/>
                <w:szCs w:val="1"/>
                <w:color w:val="auto"/>
              </w:rPr>
            </w:pPr>
          </w:p>
        </w:tc>
      </w:tr>
      <w:tr>
        <w:trPr>
          <w:trHeight w:val="162"/>
        </w:trPr>
        <w:tc>
          <w:tcPr>
            <w:tcW w:w="3200" w:type="dxa"/>
            <w:vAlign w:val="bottom"/>
            <w:tcBorders>
              <w:left w:val="single" w:sz="8" w:color="auto"/>
              <w:right w:val="single" w:sz="8" w:color="auto"/>
            </w:tcBorders>
            <w:shd w:val="clear" w:color="auto" w:fill="004C97"/>
          </w:tcPr>
          <w:p>
            <w:pPr>
              <w:spacing w:after="0"/>
              <w:rPr>
                <w:sz w:val="14"/>
                <w:szCs w:val="14"/>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Termination for Cause</w:t>
            </w:r>
          </w:p>
        </w:tc>
        <w:tc>
          <w:tcPr>
            <w:tcW w:w="1440" w:type="dxa"/>
            <w:vAlign w:val="bottom"/>
            <w:shd w:val="clear" w:color="auto" w:fill="004C97"/>
          </w:tcPr>
          <w:p>
            <w:pPr>
              <w:spacing w:after="0"/>
              <w:rPr>
                <w:sz w:val="14"/>
                <w:szCs w:val="14"/>
                <w:color w:val="auto"/>
              </w:rPr>
            </w:pPr>
          </w:p>
        </w:tc>
        <w:tc>
          <w:tcPr>
            <w:tcW w:w="180" w:type="dxa"/>
            <w:vAlign w:val="bottom"/>
            <w:tcBorders>
              <w:right w:val="single" w:sz="8" w:color="auto"/>
            </w:tcBorders>
            <w:shd w:val="clear" w:color="auto" w:fill="004C97"/>
          </w:tcPr>
          <w:p>
            <w:pPr>
              <w:spacing w:after="0"/>
              <w:rPr>
                <w:sz w:val="14"/>
                <w:szCs w:val="14"/>
                <w:color w:val="auto"/>
              </w:rPr>
            </w:pPr>
          </w:p>
        </w:tc>
        <w:tc>
          <w:tcPr>
            <w:tcW w:w="1600" w:type="dxa"/>
            <w:vAlign w:val="bottom"/>
            <w:tcBorders>
              <w:right w:val="single" w:sz="8" w:color="auto"/>
            </w:tcBorders>
            <w:vMerge w:val="continue"/>
            <w:shd w:val="clear" w:color="auto" w:fill="004C97"/>
          </w:tcPr>
          <w:p>
            <w:pPr>
              <w:spacing w:after="0"/>
              <w:rPr>
                <w:sz w:val="14"/>
                <w:szCs w:val="14"/>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Resignation for Good</w:t>
            </w:r>
          </w:p>
        </w:tc>
        <w:tc>
          <w:tcPr>
            <w:tcW w:w="1620" w:type="dxa"/>
            <w:vAlign w:val="bottom"/>
            <w:tcBorders>
              <w:right w:val="single" w:sz="8" w:color="auto"/>
            </w:tcBorders>
            <w:gridSpan w:val="2"/>
            <w:vMerge w:val="continue"/>
            <w:shd w:val="clear" w:color="auto" w:fill="004C97"/>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200" w:type="dxa"/>
            <w:vAlign w:val="bottom"/>
            <w:tcBorders>
              <w:left w:val="single" w:sz="8" w:color="auto"/>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J. Randall Data</w:t>
            </w:r>
          </w:p>
        </w:tc>
        <w:tc>
          <w:tcPr>
            <w:tcW w:w="16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w:t>
            </w:r>
          </w:p>
        </w:tc>
        <w:tc>
          <w:tcPr>
            <w:tcW w:w="1440" w:type="dxa"/>
            <w:vAlign w:val="bottom"/>
            <w:tcBorders>
              <w:bottom w:val="single" w:sz="8" w:color="auto"/>
            </w:tcBorders>
            <w:shd w:val="clear" w:color="auto" w:fill="004C97"/>
          </w:tcPr>
          <w:p>
            <w:pPr>
              <w:jc w:val="center"/>
              <w:ind w:left="68"/>
              <w:spacing w:after="0"/>
              <w:rPr>
                <w:sz w:val="20"/>
                <w:szCs w:val="20"/>
                <w:color w:val="auto"/>
              </w:rPr>
            </w:pPr>
            <w:r>
              <w:rPr>
                <w:rFonts w:ascii="Arial" w:cs="Arial" w:eastAsia="Arial" w:hAnsi="Arial"/>
                <w:sz w:val="14"/>
                <w:szCs w:val="14"/>
                <w:b w:val="1"/>
                <w:bCs w:val="1"/>
                <w:color w:val="FFFFFF"/>
              </w:rPr>
              <w:t>Disability ($)</w:t>
            </w:r>
          </w:p>
        </w:tc>
        <w:tc>
          <w:tcPr>
            <w:tcW w:w="180" w:type="dxa"/>
            <w:vAlign w:val="bottom"/>
            <w:tcBorders>
              <w:bottom w:val="single" w:sz="8" w:color="auto"/>
              <w:right w:val="single" w:sz="8" w:color="auto"/>
            </w:tcBorders>
            <w:shd w:val="clear" w:color="auto" w:fill="004C97"/>
          </w:tcPr>
          <w:p>
            <w:pPr>
              <w:spacing w:after="0"/>
              <w:rPr>
                <w:sz w:val="18"/>
                <w:szCs w:val="18"/>
                <w:color w:val="auto"/>
              </w:rPr>
            </w:pPr>
          </w:p>
        </w:tc>
        <w:tc>
          <w:tcPr>
            <w:tcW w:w="1600" w:type="dxa"/>
            <w:vAlign w:val="bottom"/>
            <w:tcBorders>
              <w:bottom w:val="single" w:sz="8" w:color="auto"/>
              <w:right w:val="single" w:sz="8" w:color="auto"/>
            </w:tcBorders>
            <w:shd w:val="clear" w:color="auto" w:fill="004C97"/>
          </w:tcPr>
          <w:p>
            <w:pPr>
              <w:jc w:val="right"/>
              <w:ind w:right="148"/>
              <w:spacing w:after="0"/>
              <w:rPr>
                <w:sz w:val="20"/>
                <w:szCs w:val="20"/>
                <w:color w:val="auto"/>
              </w:rPr>
            </w:pPr>
            <w:r>
              <w:rPr>
                <w:rFonts w:ascii="Arial" w:cs="Arial" w:eastAsia="Arial" w:hAnsi="Arial"/>
                <w:sz w:val="14"/>
                <w:szCs w:val="14"/>
                <w:b w:val="1"/>
                <w:bCs w:val="1"/>
                <w:color w:val="FFFFFF"/>
              </w:rPr>
              <w:t>Pre-retirement ($)</w:t>
            </w:r>
          </w:p>
        </w:tc>
        <w:tc>
          <w:tcPr>
            <w:tcW w:w="16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Reason ($)</w:t>
            </w:r>
          </w:p>
        </w:tc>
        <w:tc>
          <w:tcPr>
            <w:tcW w:w="1620" w:type="dxa"/>
            <w:vAlign w:val="bottom"/>
            <w:tcBorders>
              <w:bottom w:val="single" w:sz="8" w:color="auto"/>
              <w:right w:val="single" w:sz="8" w:color="auto"/>
            </w:tcBorders>
            <w:gridSpan w:val="2"/>
            <w:shd w:val="clear" w:color="auto" w:fill="004C97"/>
          </w:tcPr>
          <w:p>
            <w:pPr>
              <w:jc w:val="center"/>
              <w:spacing w:after="0"/>
              <w:rPr>
                <w:sz w:val="20"/>
                <w:szCs w:val="20"/>
                <w:color w:val="auto"/>
              </w:rPr>
            </w:pPr>
            <w:r>
              <w:rPr>
                <w:rFonts w:ascii="Arial" w:cs="Arial" w:eastAsia="Arial" w:hAnsi="Arial"/>
                <w:sz w:val="14"/>
                <w:szCs w:val="14"/>
                <w:b w:val="1"/>
                <w:bCs w:val="1"/>
                <w:color w:val="FFFFFF"/>
              </w:rPr>
              <w:t>Change in Control ($)</w:t>
            </w:r>
          </w:p>
        </w:tc>
        <w:tc>
          <w:tcPr>
            <w:tcW w:w="0" w:type="dxa"/>
            <w:vAlign w:val="bottom"/>
          </w:tcPr>
          <w:p>
            <w:pPr>
              <w:spacing w:after="0"/>
              <w:rPr>
                <w:sz w:val="1"/>
                <w:szCs w:val="1"/>
                <w:color w:val="auto"/>
              </w:rPr>
            </w:pPr>
          </w:p>
        </w:tc>
      </w:tr>
      <w:tr>
        <w:trPr>
          <w:trHeight w:val="229"/>
        </w:trPr>
        <w:tc>
          <w:tcPr>
            <w:tcW w:w="3200" w:type="dxa"/>
            <w:vAlign w:val="bottom"/>
            <w:tcBorders>
              <w:left w:val="single" w:sz="8" w:color="auto"/>
              <w:bottom w:val="single" w:sz="8" w:color="E5E5E5"/>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Salary</w:t>
            </w:r>
          </w:p>
        </w:tc>
        <w:tc>
          <w:tcPr>
            <w:tcW w:w="160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E5E5E5"/>
            </w:tcBorders>
            <w:shd w:val="clear" w:color="auto" w:fill="E5E5E5"/>
          </w:tcPr>
          <w:p>
            <w:pPr>
              <w:jc w:val="right"/>
              <w:ind w:right="3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E5E5E5"/>
              <w:right w:val="single" w:sz="8" w:color="auto"/>
            </w:tcBorders>
            <w:shd w:val="clear" w:color="auto" w:fill="E5E5E5"/>
          </w:tcPr>
          <w:p>
            <w:pPr>
              <w:spacing w:after="0"/>
              <w:rPr>
                <w:sz w:val="19"/>
                <w:szCs w:val="19"/>
                <w:color w:val="auto"/>
              </w:rPr>
            </w:pPr>
          </w:p>
        </w:tc>
        <w:tc>
          <w:tcPr>
            <w:tcW w:w="1600" w:type="dxa"/>
            <w:vAlign w:val="bottom"/>
            <w:tcBorders>
              <w:bottom w:val="single" w:sz="8" w:color="E5E5E5"/>
              <w:right w:val="single" w:sz="8" w:color="auto"/>
            </w:tcBorders>
            <w:shd w:val="clear" w:color="auto" w:fill="E5E5E5"/>
          </w:tcPr>
          <w:p>
            <w:pPr>
              <w:jc w:val="right"/>
              <w:ind w:right="54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 xml:space="preserve">571,850 </w:t>
            </w:r>
            <w:r>
              <w:rPr>
                <w:rFonts w:ascii="Arial" w:cs="Arial" w:eastAsia="Arial" w:hAnsi="Arial"/>
                <w:sz w:val="9"/>
                <w:szCs w:val="9"/>
                <w:color w:val="auto"/>
              </w:rPr>
              <w:t>(11)</w:t>
            </w:r>
          </w:p>
        </w:tc>
        <w:tc>
          <w:tcPr>
            <w:tcW w:w="14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1,143,700</w:t>
            </w:r>
          </w:p>
        </w:tc>
        <w:tc>
          <w:tcPr>
            <w:tcW w:w="18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201"/>
        </w:trPr>
        <w:tc>
          <w:tcPr>
            <w:tcW w:w="32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Bonus</w:t>
            </w:r>
          </w:p>
        </w:tc>
        <w:tc>
          <w:tcPr>
            <w:tcW w:w="160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762,467</w:t>
            </w:r>
          </w:p>
        </w:tc>
        <w:tc>
          <w:tcPr>
            <w:tcW w:w="1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9"/>
                <w:szCs w:val="9"/>
                <w:color w:val="auto"/>
              </w:rPr>
              <w:t>(3)</w:t>
            </w:r>
          </w:p>
        </w:tc>
        <w:tc>
          <w:tcPr>
            <w:tcW w:w="16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xml:space="preserve">762,467 </w:t>
            </w:r>
            <w:r>
              <w:rPr>
                <w:rFonts w:ascii="Arial" w:cs="Arial" w:eastAsia="Arial" w:hAnsi="Arial"/>
                <w:sz w:val="9"/>
                <w:szCs w:val="9"/>
                <w:color w:val="auto"/>
              </w:rPr>
              <w:t>(3)</w:t>
            </w:r>
          </w:p>
        </w:tc>
        <w:tc>
          <w:tcPr>
            <w:tcW w:w="16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xml:space="preserve">762,467 </w:t>
            </w:r>
            <w:r>
              <w:rPr>
                <w:rFonts w:ascii="Arial" w:cs="Arial" w:eastAsia="Arial" w:hAnsi="Arial"/>
                <w:sz w:val="9"/>
                <w:szCs w:val="9"/>
                <w:color w:val="auto"/>
              </w:rPr>
              <w:t>(12)</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1,524,933</w:t>
            </w:r>
          </w:p>
        </w:tc>
        <w:tc>
          <w:tcPr>
            <w:tcW w:w="1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22"/>
        </w:trPr>
        <w:tc>
          <w:tcPr>
            <w:tcW w:w="3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200" w:type="dxa"/>
            <w:vAlign w:val="bottom"/>
            <w:tcBorders>
              <w:left w:val="single" w:sz="8" w:color="auto"/>
              <w:bottom w:val="single" w:sz="8" w:color="E5E5E5"/>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Value of Accelerated Equity</w:t>
            </w:r>
          </w:p>
        </w:tc>
        <w:tc>
          <w:tcPr>
            <w:tcW w:w="160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4,507,576</w:t>
            </w:r>
          </w:p>
        </w:tc>
        <w:tc>
          <w:tcPr>
            <w:tcW w:w="18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9"/>
                <w:szCs w:val="9"/>
                <w:color w:val="auto"/>
              </w:rPr>
              <w:t>(6)</w:t>
            </w:r>
          </w:p>
        </w:tc>
        <w:tc>
          <w:tcPr>
            <w:tcW w:w="160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 xml:space="preserve">4,507,576 </w:t>
            </w:r>
            <w:r>
              <w:rPr>
                <w:rFonts w:ascii="Arial" w:cs="Arial" w:eastAsia="Arial" w:hAnsi="Arial"/>
                <w:sz w:val="9"/>
                <w:szCs w:val="9"/>
                <w:color w:val="auto"/>
              </w:rPr>
              <w:t>(6)</w:t>
            </w:r>
          </w:p>
        </w:tc>
        <w:tc>
          <w:tcPr>
            <w:tcW w:w="160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 xml:space="preserve">453,874 </w:t>
            </w:r>
            <w:r>
              <w:rPr>
                <w:rFonts w:ascii="Arial" w:cs="Arial" w:eastAsia="Arial" w:hAnsi="Arial"/>
                <w:sz w:val="9"/>
                <w:szCs w:val="9"/>
                <w:color w:val="auto"/>
              </w:rPr>
              <w:t>(7)</w:t>
            </w:r>
          </w:p>
        </w:tc>
        <w:tc>
          <w:tcPr>
            <w:tcW w:w="14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4,507,576</w:t>
            </w:r>
          </w:p>
        </w:tc>
        <w:tc>
          <w:tcPr>
            <w:tcW w:w="18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9"/>
                <w:szCs w:val="9"/>
                <w:color w:val="auto"/>
              </w:rPr>
              <w:t>(6)</w:t>
            </w:r>
          </w:p>
        </w:tc>
        <w:tc>
          <w:tcPr>
            <w:tcW w:w="0" w:type="dxa"/>
            <w:vAlign w:val="bottom"/>
          </w:tcPr>
          <w:p>
            <w:pPr>
              <w:spacing w:after="0"/>
              <w:rPr>
                <w:sz w:val="1"/>
                <w:szCs w:val="1"/>
                <w:color w:val="auto"/>
              </w:rPr>
            </w:pPr>
          </w:p>
        </w:tc>
      </w:tr>
      <w:tr>
        <w:trPr>
          <w:trHeight w:val="201"/>
        </w:trPr>
        <w:tc>
          <w:tcPr>
            <w:tcW w:w="32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All Other Compensation</w:t>
            </w:r>
          </w:p>
        </w:tc>
        <w:tc>
          <w:tcPr>
            <w:tcW w:w="16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xml:space="preserve">31,458 </w:t>
            </w:r>
            <w:r>
              <w:rPr>
                <w:rFonts w:ascii="Arial" w:cs="Arial" w:eastAsia="Arial" w:hAnsi="Arial"/>
                <w:sz w:val="9"/>
                <w:szCs w:val="9"/>
                <w:color w:val="auto"/>
              </w:rPr>
              <w:t>(8)</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31,458</w:t>
            </w:r>
          </w:p>
        </w:tc>
        <w:tc>
          <w:tcPr>
            <w:tcW w:w="1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9"/>
                <w:szCs w:val="9"/>
                <w:color w:val="auto"/>
              </w:rPr>
              <w:t>(8)</w:t>
            </w:r>
          </w:p>
        </w:tc>
        <w:tc>
          <w:tcPr>
            <w:tcW w:w="16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xml:space="preserve">31,458 </w:t>
            </w:r>
            <w:r>
              <w:rPr>
                <w:rFonts w:ascii="Arial" w:cs="Arial" w:eastAsia="Arial" w:hAnsi="Arial"/>
                <w:sz w:val="9"/>
                <w:szCs w:val="9"/>
                <w:color w:val="auto"/>
              </w:rPr>
              <w:t>(8)</w:t>
            </w:r>
          </w:p>
        </w:tc>
        <w:tc>
          <w:tcPr>
            <w:tcW w:w="16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xml:space="preserve">105,399 </w:t>
            </w:r>
            <w:r>
              <w:rPr>
                <w:rFonts w:ascii="Arial" w:cs="Arial" w:eastAsia="Arial" w:hAnsi="Arial"/>
                <w:sz w:val="9"/>
                <w:szCs w:val="9"/>
                <w:color w:val="auto"/>
              </w:rPr>
              <w:t>(13)</w:t>
            </w:r>
          </w:p>
        </w:tc>
        <w:tc>
          <w:tcPr>
            <w:tcW w:w="1620" w:type="dxa"/>
            <w:vAlign w:val="bottom"/>
            <w:tcBorders>
              <w:top w:val="single" w:sz="8" w:color="auto"/>
              <w:right w:val="single" w:sz="8" w:color="auto"/>
            </w:tcBorders>
            <w:gridSpan w:val="2"/>
          </w:tcPr>
          <w:p>
            <w:pPr>
              <w:jc w:val="right"/>
              <w:spacing w:after="0"/>
              <w:rPr>
                <w:sz w:val="20"/>
                <w:szCs w:val="20"/>
                <w:color w:val="auto"/>
              </w:rPr>
            </w:pPr>
            <w:r>
              <w:rPr>
                <w:rFonts w:ascii="Arial" w:cs="Arial" w:eastAsia="Arial" w:hAnsi="Arial"/>
                <w:sz w:val="14"/>
                <w:szCs w:val="14"/>
                <w:color w:val="auto"/>
              </w:rPr>
              <w:t>144,340</w:t>
            </w:r>
            <w:r>
              <w:rPr>
                <w:rFonts w:ascii="Arial" w:cs="Arial" w:eastAsia="Arial" w:hAnsi="Arial"/>
                <w:sz w:val="9"/>
                <w:szCs w:val="9"/>
                <w:color w:val="auto"/>
              </w:rPr>
              <w:t>(14)</w:t>
            </w:r>
          </w:p>
        </w:tc>
        <w:tc>
          <w:tcPr>
            <w:tcW w:w="0" w:type="dxa"/>
            <w:vAlign w:val="bottom"/>
          </w:tcPr>
          <w:p>
            <w:pPr>
              <w:spacing w:after="0"/>
              <w:rPr>
                <w:sz w:val="1"/>
                <w:szCs w:val="1"/>
                <w:color w:val="auto"/>
              </w:rPr>
            </w:pPr>
          </w:p>
        </w:tc>
      </w:tr>
      <w:tr>
        <w:trPr>
          <w:trHeight w:val="22"/>
        </w:trPr>
        <w:tc>
          <w:tcPr>
            <w:tcW w:w="3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200" w:type="dxa"/>
            <w:vAlign w:val="bottom"/>
            <w:tcBorders>
              <w:left w:val="single" w:sz="8" w:color="auto"/>
              <w:bottom w:val="single" w:sz="8" w:color="E5E5E5"/>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Total</w:t>
            </w:r>
          </w:p>
        </w:tc>
        <w:tc>
          <w:tcPr>
            <w:tcW w:w="1600" w:type="dxa"/>
            <w:vAlign w:val="bottom"/>
            <w:tcBorders>
              <w:bottom w:val="single" w:sz="8" w:color="E5E5E5"/>
              <w:right w:val="single" w:sz="8" w:color="auto"/>
            </w:tcBorders>
            <w:shd w:val="clear" w:color="auto" w:fill="E5E5E5"/>
          </w:tcPr>
          <w:p>
            <w:pPr>
              <w:jc w:val="right"/>
              <w:ind w:right="328"/>
              <w:spacing w:after="0"/>
              <w:rPr>
                <w:sz w:val="20"/>
                <w:szCs w:val="20"/>
                <w:color w:val="auto"/>
              </w:rPr>
            </w:pPr>
            <w:r>
              <w:rPr>
                <w:rFonts w:ascii="Arial" w:cs="Arial" w:eastAsia="Arial" w:hAnsi="Arial"/>
                <w:sz w:val="14"/>
                <w:szCs w:val="14"/>
                <w:color w:val="auto"/>
              </w:rPr>
              <w:t>31,458</w:t>
            </w:r>
          </w:p>
        </w:tc>
        <w:tc>
          <w:tcPr>
            <w:tcW w:w="1440" w:type="dxa"/>
            <w:vAlign w:val="bottom"/>
            <w:tcBorders>
              <w:bottom w:val="single" w:sz="8" w:color="E5E5E5"/>
            </w:tcBorders>
            <w:shd w:val="clear" w:color="auto" w:fill="E5E5E5"/>
          </w:tcPr>
          <w:p>
            <w:pPr>
              <w:jc w:val="center"/>
              <w:ind w:left="88"/>
              <w:spacing w:after="0"/>
              <w:rPr>
                <w:sz w:val="20"/>
                <w:szCs w:val="20"/>
                <w:color w:val="auto"/>
              </w:rPr>
            </w:pPr>
            <w:r>
              <w:rPr>
                <w:rFonts w:ascii="Arial" w:cs="Arial" w:eastAsia="Arial" w:hAnsi="Arial"/>
                <w:sz w:val="14"/>
                <w:szCs w:val="14"/>
                <w:color w:val="auto"/>
              </w:rPr>
              <w:t>5,301,501</w:t>
            </w:r>
          </w:p>
        </w:tc>
        <w:tc>
          <w:tcPr>
            <w:tcW w:w="180" w:type="dxa"/>
            <w:vAlign w:val="bottom"/>
            <w:tcBorders>
              <w:bottom w:val="single" w:sz="8" w:color="E5E5E5"/>
              <w:right w:val="single" w:sz="8" w:color="auto"/>
            </w:tcBorders>
            <w:shd w:val="clear" w:color="auto" w:fill="E5E5E5"/>
          </w:tcPr>
          <w:p>
            <w:pPr>
              <w:spacing w:after="0"/>
              <w:rPr>
                <w:sz w:val="17"/>
                <w:szCs w:val="17"/>
                <w:color w:val="auto"/>
              </w:rPr>
            </w:pPr>
          </w:p>
        </w:tc>
        <w:tc>
          <w:tcPr>
            <w:tcW w:w="1600" w:type="dxa"/>
            <w:vAlign w:val="bottom"/>
            <w:tcBorders>
              <w:bottom w:val="single" w:sz="8" w:color="E5E5E5"/>
              <w:right w:val="single" w:sz="8" w:color="auto"/>
            </w:tcBorders>
            <w:shd w:val="clear" w:color="auto" w:fill="E5E5E5"/>
          </w:tcPr>
          <w:p>
            <w:pPr>
              <w:jc w:val="right"/>
              <w:ind w:right="428"/>
              <w:spacing w:after="0"/>
              <w:rPr>
                <w:sz w:val="20"/>
                <w:szCs w:val="20"/>
                <w:color w:val="auto"/>
              </w:rPr>
            </w:pPr>
            <w:r>
              <w:rPr>
                <w:rFonts w:ascii="Arial" w:cs="Arial" w:eastAsia="Arial" w:hAnsi="Arial"/>
                <w:sz w:val="14"/>
                <w:szCs w:val="14"/>
                <w:color w:val="auto"/>
              </w:rPr>
              <w:t>5,301,501</w:t>
            </w:r>
          </w:p>
        </w:tc>
        <w:tc>
          <w:tcPr>
            <w:tcW w:w="1600" w:type="dxa"/>
            <w:vAlign w:val="bottom"/>
            <w:tcBorders>
              <w:bottom w:val="single" w:sz="8" w:color="E5E5E5"/>
              <w:right w:val="single" w:sz="8" w:color="auto"/>
            </w:tcBorders>
            <w:shd w:val="clear" w:color="auto" w:fill="E5E5E5"/>
          </w:tcPr>
          <w:p>
            <w:pPr>
              <w:jc w:val="center"/>
              <w:ind w:left="88"/>
              <w:spacing w:after="0"/>
              <w:rPr>
                <w:sz w:val="20"/>
                <w:szCs w:val="20"/>
                <w:color w:val="auto"/>
              </w:rPr>
            </w:pPr>
            <w:r>
              <w:rPr>
                <w:rFonts w:ascii="Arial" w:cs="Arial" w:eastAsia="Arial" w:hAnsi="Arial"/>
                <w:sz w:val="14"/>
                <w:szCs w:val="14"/>
                <w:color w:val="auto"/>
              </w:rPr>
              <w:t>1,893,590</w:t>
            </w:r>
          </w:p>
        </w:tc>
        <w:tc>
          <w:tcPr>
            <w:tcW w:w="1440" w:type="dxa"/>
            <w:vAlign w:val="bottom"/>
            <w:tcBorders>
              <w:bottom w:val="single" w:sz="8" w:color="E5E5E5"/>
            </w:tcBorders>
            <w:shd w:val="clear" w:color="auto" w:fill="E5E5E5"/>
          </w:tcPr>
          <w:p>
            <w:pPr>
              <w:jc w:val="center"/>
              <w:ind w:left="208"/>
              <w:spacing w:after="0"/>
              <w:rPr>
                <w:sz w:val="20"/>
                <w:szCs w:val="20"/>
                <w:color w:val="auto"/>
              </w:rPr>
            </w:pPr>
            <w:r>
              <w:rPr>
                <w:rFonts w:ascii="Arial" w:cs="Arial" w:eastAsia="Arial" w:hAnsi="Arial"/>
                <w:sz w:val="14"/>
                <w:szCs w:val="14"/>
                <w:color w:val="auto"/>
              </w:rPr>
              <w:t>7,320,549</w:t>
            </w:r>
          </w:p>
        </w:tc>
        <w:tc>
          <w:tcPr>
            <w:tcW w:w="180" w:type="dxa"/>
            <w:vAlign w:val="bottom"/>
            <w:tcBorders>
              <w:bottom w:val="single" w:sz="8" w:color="E5E5E5"/>
              <w:right w:val="single" w:sz="8" w:color="auto"/>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0" w:type="dxa"/>
            <w:vAlign w:val="bottom"/>
            <w:tcBorders>
              <w:right w:val="single" w:sz="8" w:color="auto"/>
            </w:tcBorders>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0" w:type="dxa"/>
            <w:vAlign w:val="bottom"/>
            <w:tcBorders>
              <w:right w:val="single" w:sz="8" w:color="auto"/>
            </w:tcBorders>
            <w:shd w:val="clear" w:color="auto" w:fill="000000"/>
          </w:tcPr>
          <w:p>
            <w:pPr>
              <w:spacing w:after="0" w:line="20" w:lineRule="exact"/>
              <w:rPr>
                <w:sz w:val="1"/>
                <w:szCs w:val="1"/>
                <w:color w:val="auto"/>
              </w:rPr>
            </w:pPr>
          </w:p>
        </w:tc>
        <w:tc>
          <w:tcPr>
            <w:tcW w:w="1600" w:type="dxa"/>
            <w:vAlign w:val="bottom"/>
            <w:tcBorders>
              <w:right w:val="single" w:sz="8" w:color="auto"/>
            </w:tcBorders>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754380</wp:posOffset>
            </wp:positionV>
            <wp:extent cx="402590" cy="145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0259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44</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50" w:name="page51"/>
    <w:bookmarkEnd w:id="50"/>
    <w:p>
      <w:pPr>
        <w:ind w:left="9220"/>
        <w:spacing w:after="0"/>
        <w:rPr>
          <w:sz w:val="20"/>
          <w:szCs w:val="20"/>
          <w:color w:val="auto"/>
        </w:rPr>
      </w:pPr>
      <w:r>
        <w:rPr>
          <w:rFonts w:ascii="Arial" w:cs="Arial" w:eastAsia="Arial" w:hAnsi="Arial"/>
          <w:sz w:val="14"/>
          <w:szCs w:val="14"/>
          <w:color w:val="004C9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200" w:type="dxa"/>
            <w:vAlign w:val="bottom"/>
            <w:tcBorders>
              <w:top w:val="single" w:sz="8" w:color="auto"/>
              <w:left w:val="single" w:sz="8" w:color="auto"/>
              <w:right w:val="single" w:sz="8" w:color="auto"/>
            </w:tcBorders>
            <w:shd w:val="clear" w:color="auto" w:fill="004C97"/>
          </w:tcPr>
          <w:p>
            <w:pPr>
              <w:spacing w:after="0"/>
              <w:rPr>
                <w:sz w:val="17"/>
                <w:szCs w:val="17"/>
                <w:color w:val="auto"/>
              </w:rPr>
            </w:pPr>
          </w:p>
        </w:tc>
        <w:tc>
          <w:tcPr>
            <w:tcW w:w="160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(a) Voluntary</w:t>
            </w:r>
          </w:p>
        </w:tc>
        <w:tc>
          <w:tcPr>
            <w:tcW w:w="1440" w:type="dxa"/>
            <w:vAlign w:val="bottom"/>
            <w:tcBorders>
              <w:top w:val="single" w:sz="8" w:color="auto"/>
            </w:tcBorders>
            <w:shd w:val="clear" w:color="auto" w:fill="004C97"/>
          </w:tcPr>
          <w:p>
            <w:pPr>
              <w:spacing w:after="0"/>
              <w:rPr>
                <w:sz w:val="17"/>
                <w:szCs w:val="17"/>
                <w:color w:val="auto"/>
              </w:rPr>
            </w:pPr>
          </w:p>
        </w:tc>
        <w:tc>
          <w:tcPr>
            <w:tcW w:w="180" w:type="dxa"/>
            <w:vAlign w:val="bottom"/>
            <w:tcBorders>
              <w:top w:val="single" w:sz="8" w:color="auto"/>
              <w:right w:val="single" w:sz="8" w:color="auto"/>
            </w:tcBorders>
            <w:shd w:val="clear" w:color="auto" w:fill="004C97"/>
          </w:tcPr>
          <w:p>
            <w:pPr>
              <w:spacing w:after="0"/>
              <w:rPr>
                <w:sz w:val="17"/>
                <w:szCs w:val="17"/>
                <w:color w:val="auto"/>
              </w:rPr>
            </w:pPr>
          </w:p>
        </w:tc>
        <w:tc>
          <w:tcPr>
            <w:tcW w:w="1600" w:type="dxa"/>
            <w:vAlign w:val="bottom"/>
            <w:tcBorders>
              <w:top w:val="single" w:sz="8" w:color="auto"/>
              <w:right w:val="single" w:sz="8" w:color="auto"/>
            </w:tcBorders>
            <w:shd w:val="clear" w:color="auto" w:fill="004C97"/>
          </w:tcPr>
          <w:p>
            <w:pPr>
              <w:spacing w:after="0"/>
              <w:rPr>
                <w:sz w:val="17"/>
                <w:szCs w:val="17"/>
                <w:color w:val="auto"/>
              </w:rPr>
            </w:pPr>
          </w:p>
        </w:tc>
        <w:tc>
          <w:tcPr>
            <w:tcW w:w="1600" w:type="dxa"/>
            <w:vAlign w:val="bottom"/>
            <w:tcBorders>
              <w:top w:val="single" w:sz="8" w:color="auto"/>
              <w:right w:val="single" w:sz="8" w:color="auto"/>
            </w:tcBorders>
            <w:shd w:val="clear" w:color="auto" w:fill="004C97"/>
          </w:tcPr>
          <w:p>
            <w:pPr>
              <w:spacing w:after="0"/>
              <w:rPr>
                <w:sz w:val="17"/>
                <w:szCs w:val="17"/>
                <w:color w:val="auto"/>
              </w:rPr>
            </w:pPr>
          </w:p>
        </w:tc>
        <w:tc>
          <w:tcPr>
            <w:tcW w:w="1440" w:type="dxa"/>
            <w:vAlign w:val="bottom"/>
            <w:tcBorders>
              <w:top w:val="single" w:sz="8" w:color="auto"/>
            </w:tcBorders>
            <w:shd w:val="clear" w:color="auto" w:fill="004C97"/>
          </w:tcPr>
          <w:p>
            <w:pPr>
              <w:spacing w:after="0"/>
              <w:rPr>
                <w:sz w:val="17"/>
                <w:szCs w:val="17"/>
                <w:color w:val="auto"/>
              </w:rPr>
            </w:pPr>
          </w:p>
        </w:tc>
        <w:tc>
          <w:tcPr>
            <w:tcW w:w="180" w:type="dxa"/>
            <w:vAlign w:val="bottom"/>
            <w:tcBorders>
              <w:top w:val="single" w:sz="8" w:color="auto"/>
              <w:right w:val="single" w:sz="8" w:color="auto"/>
            </w:tcBorders>
            <w:shd w:val="clear" w:color="auto" w:fill="004C97"/>
          </w:tcPr>
          <w:p>
            <w:pPr>
              <w:spacing w:after="0"/>
              <w:rPr>
                <w:sz w:val="17"/>
                <w:szCs w:val="17"/>
                <w:color w:val="auto"/>
              </w:rPr>
            </w:pPr>
          </w:p>
        </w:tc>
      </w:tr>
      <w:tr>
        <w:trPr>
          <w:trHeight w:val="176"/>
        </w:trPr>
        <w:tc>
          <w:tcPr>
            <w:tcW w:w="3200" w:type="dxa"/>
            <w:vAlign w:val="bottom"/>
            <w:tcBorders>
              <w:left w:val="single" w:sz="8" w:color="auto"/>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Resignation or (b)</w:t>
            </w:r>
          </w:p>
        </w:tc>
        <w:tc>
          <w:tcPr>
            <w:tcW w:w="1440" w:type="dxa"/>
            <w:vAlign w:val="bottom"/>
            <w:shd w:val="clear" w:color="auto" w:fill="004C97"/>
          </w:tcPr>
          <w:p>
            <w:pPr>
              <w:spacing w:after="0"/>
              <w:rPr>
                <w:sz w:val="15"/>
                <w:szCs w:val="15"/>
                <w:color w:val="auto"/>
              </w:rPr>
            </w:pPr>
          </w:p>
        </w:tc>
        <w:tc>
          <w:tcPr>
            <w:tcW w:w="180" w:type="dxa"/>
            <w:vAlign w:val="bottom"/>
            <w:tcBorders>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Involuntary Without</w:t>
            </w:r>
          </w:p>
        </w:tc>
        <w:tc>
          <w:tcPr>
            <w:tcW w:w="1440" w:type="dxa"/>
            <w:vAlign w:val="bottom"/>
            <w:shd w:val="clear" w:color="auto" w:fill="004C97"/>
          </w:tcPr>
          <w:p>
            <w:pPr>
              <w:spacing w:after="0"/>
              <w:rPr>
                <w:sz w:val="15"/>
                <w:szCs w:val="15"/>
                <w:color w:val="auto"/>
              </w:rPr>
            </w:pPr>
          </w:p>
        </w:tc>
        <w:tc>
          <w:tcPr>
            <w:tcW w:w="180" w:type="dxa"/>
            <w:vAlign w:val="bottom"/>
            <w:tcBorders>
              <w:right w:val="single" w:sz="8" w:color="auto"/>
            </w:tcBorders>
            <w:shd w:val="clear" w:color="auto" w:fill="004C97"/>
          </w:tcPr>
          <w:p>
            <w:pPr>
              <w:spacing w:after="0"/>
              <w:rPr>
                <w:sz w:val="15"/>
                <w:szCs w:val="15"/>
                <w:color w:val="auto"/>
              </w:rPr>
            </w:pPr>
          </w:p>
        </w:tc>
      </w:tr>
      <w:tr>
        <w:trPr>
          <w:trHeight w:val="162"/>
        </w:trPr>
        <w:tc>
          <w:tcPr>
            <w:tcW w:w="3200" w:type="dxa"/>
            <w:vAlign w:val="bottom"/>
            <w:tcBorders>
              <w:left w:val="single" w:sz="8" w:color="auto"/>
              <w:right w:val="single" w:sz="8" w:color="auto"/>
            </w:tcBorders>
            <w:shd w:val="clear" w:color="auto" w:fill="004C97"/>
          </w:tcPr>
          <w:p>
            <w:pPr>
              <w:spacing w:after="0"/>
              <w:rPr>
                <w:sz w:val="14"/>
                <w:szCs w:val="14"/>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Involuntary</w:t>
            </w:r>
          </w:p>
        </w:tc>
        <w:tc>
          <w:tcPr>
            <w:tcW w:w="1440" w:type="dxa"/>
            <w:vAlign w:val="bottom"/>
            <w:shd w:val="clear" w:color="auto" w:fill="004C97"/>
          </w:tcPr>
          <w:p>
            <w:pPr>
              <w:spacing w:after="0"/>
              <w:rPr>
                <w:sz w:val="14"/>
                <w:szCs w:val="14"/>
                <w:color w:val="auto"/>
              </w:rPr>
            </w:pPr>
          </w:p>
        </w:tc>
        <w:tc>
          <w:tcPr>
            <w:tcW w:w="180" w:type="dxa"/>
            <w:vAlign w:val="bottom"/>
            <w:tcBorders>
              <w:right w:val="single" w:sz="8" w:color="auto"/>
            </w:tcBorders>
            <w:shd w:val="clear" w:color="auto" w:fill="004C97"/>
          </w:tcPr>
          <w:p>
            <w:pPr>
              <w:spacing w:after="0"/>
              <w:rPr>
                <w:sz w:val="14"/>
                <w:szCs w:val="14"/>
                <w:color w:val="auto"/>
              </w:rPr>
            </w:pPr>
          </w:p>
        </w:tc>
        <w:tc>
          <w:tcPr>
            <w:tcW w:w="1600" w:type="dxa"/>
            <w:vAlign w:val="bottom"/>
            <w:tcBorders>
              <w:right w:val="single" w:sz="8" w:color="auto"/>
            </w:tcBorders>
            <w:shd w:val="clear" w:color="auto" w:fill="004C97"/>
          </w:tcPr>
          <w:p>
            <w:pPr>
              <w:spacing w:after="0"/>
              <w:rPr>
                <w:sz w:val="14"/>
                <w:szCs w:val="14"/>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Cause/ Voluntary</w:t>
            </w:r>
          </w:p>
        </w:tc>
        <w:tc>
          <w:tcPr>
            <w:tcW w:w="1440" w:type="dxa"/>
            <w:vAlign w:val="bottom"/>
            <w:shd w:val="clear" w:color="auto" w:fill="004C97"/>
          </w:tcPr>
          <w:p>
            <w:pPr>
              <w:spacing w:after="0"/>
              <w:rPr>
                <w:sz w:val="14"/>
                <w:szCs w:val="14"/>
                <w:color w:val="auto"/>
              </w:rPr>
            </w:pPr>
          </w:p>
        </w:tc>
        <w:tc>
          <w:tcPr>
            <w:tcW w:w="180" w:type="dxa"/>
            <w:vAlign w:val="bottom"/>
            <w:tcBorders>
              <w:right w:val="single" w:sz="8" w:color="auto"/>
            </w:tcBorders>
            <w:shd w:val="clear" w:color="auto" w:fill="004C97"/>
          </w:tcPr>
          <w:p>
            <w:pPr>
              <w:spacing w:after="0"/>
              <w:rPr>
                <w:sz w:val="14"/>
                <w:szCs w:val="14"/>
                <w:color w:val="auto"/>
              </w:rPr>
            </w:pPr>
          </w:p>
        </w:tc>
      </w:tr>
      <w:tr>
        <w:trPr>
          <w:trHeight w:val="176"/>
        </w:trPr>
        <w:tc>
          <w:tcPr>
            <w:tcW w:w="3200" w:type="dxa"/>
            <w:vAlign w:val="bottom"/>
            <w:tcBorders>
              <w:left w:val="single" w:sz="8" w:color="auto"/>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Termination for Cause</w:t>
            </w:r>
          </w:p>
        </w:tc>
        <w:tc>
          <w:tcPr>
            <w:tcW w:w="1440" w:type="dxa"/>
            <w:vAlign w:val="bottom"/>
            <w:shd w:val="clear" w:color="auto" w:fill="004C97"/>
          </w:tcPr>
          <w:p>
            <w:pPr>
              <w:spacing w:after="0"/>
              <w:rPr>
                <w:sz w:val="15"/>
                <w:szCs w:val="15"/>
                <w:color w:val="auto"/>
              </w:rPr>
            </w:pPr>
          </w:p>
        </w:tc>
        <w:tc>
          <w:tcPr>
            <w:tcW w:w="180" w:type="dxa"/>
            <w:vAlign w:val="bottom"/>
            <w:tcBorders>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Death</w:t>
            </w: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Resignation for Good</w:t>
            </w:r>
          </w:p>
        </w:tc>
        <w:tc>
          <w:tcPr>
            <w:tcW w:w="1620" w:type="dxa"/>
            <w:vAlign w:val="bottom"/>
            <w:tcBorders>
              <w:right w:val="single" w:sz="8" w:color="auto"/>
            </w:tcBorders>
            <w:gridSpan w:val="2"/>
            <w:shd w:val="clear" w:color="auto" w:fill="004C97"/>
          </w:tcPr>
          <w:p>
            <w:pPr>
              <w:jc w:val="center"/>
              <w:spacing w:after="0"/>
              <w:rPr>
                <w:sz w:val="20"/>
                <w:szCs w:val="20"/>
                <w:color w:val="auto"/>
              </w:rPr>
            </w:pPr>
            <w:r>
              <w:rPr>
                <w:rFonts w:ascii="Arial" w:cs="Arial" w:eastAsia="Arial" w:hAnsi="Arial"/>
                <w:sz w:val="14"/>
                <w:szCs w:val="14"/>
                <w:b w:val="1"/>
                <w:bCs w:val="1"/>
                <w:color w:val="FFFFFF"/>
              </w:rPr>
              <w:t>Termination Following</w:t>
            </w:r>
          </w:p>
        </w:tc>
      </w:tr>
      <w:tr>
        <w:trPr>
          <w:trHeight w:val="205"/>
        </w:trPr>
        <w:tc>
          <w:tcPr>
            <w:tcW w:w="3200" w:type="dxa"/>
            <w:vAlign w:val="bottom"/>
            <w:tcBorders>
              <w:left w:val="single" w:sz="8" w:color="auto"/>
              <w:bottom w:val="single" w:sz="8" w:color="auto"/>
              <w:right w:val="single" w:sz="8" w:color="auto"/>
            </w:tcBorders>
            <w:shd w:val="clear" w:color="auto" w:fill="004C97"/>
          </w:tcPr>
          <w:p>
            <w:pPr>
              <w:ind w:left="980"/>
              <w:spacing w:after="0"/>
              <w:rPr>
                <w:sz w:val="20"/>
                <w:szCs w:val="20"/>
                <w:color w:val="auto"/>
              </w:rPr>
            </w:pPr>
            <w:r>
              <w:rPr>
                <w:rFonts w:ascii="Arial" w:cs="Arial" w:eastAsia="Arial" w:hAnsi="Arial"/>
                <w:sz w:val="14"/>
                <w:szCs w:val="14"/>
                <w:b w:val="1"/>
                <w:bCs w:val="1"/>
                <w:color w:val="FFFFFF"/>
              </w:rPr>
              <w:t>John W. Swann, III</w:t>
            </w:r>
          </w:p>
        </w:tc>
        <w:tc>
          <w:tcPr>
            <w:tcW w:w="16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w:t>
            </w:r>
          </w:p>
        </w:tc>
        <w:tc>
          <w:tcPr>
            <w:tcW w:w="1440" w:type="dxa"/>
            <w:vAlign w:val="bottom"/>
            <w:tcBorders>
              <w:bottom w:val="single" w:sz="8" w:color="auto"/>
            </w:tcBorders>
            <w:shd w:val="clear" w:color="auto" w:fill="004C97"/>
          </w:tcPr>
          <w:p>
            <w:pPr>
              <w:jc w:val="right"/>
              <w:ind w:right="148"/>
              <w:spacing w:after="0"/>
              <w:rPr>
                <w:sz w:val="20"/>
                <w:szCs w:val="20"/>
                <w:color w:val="auto"/>
              </w:rPr>
            </w:pPr>
            <w:r>
              <w:rPr>
                <w:rFonts w:ascii="Arial" w:cs="Arial" w:eastAsia="Arial" w:hAnsi="Arial"/>
                <w:sz w:val="14"/>
                <w:szCs w:val="14"/>
                <w:b w:val="1"/>
                <w:bCs w:val="1"/>
                <w:color w:val="FFFFFF"/>
              </w:rPr>
              <w:t>Disability ($)</w:t>
            </w:r>
          </w:p>
        </w:tc>
        <w:tc>
          <w:tcPr>
            <w:tcW w:w="180" w:type="dxa"/>
            <w:vAlign w:val="bottom"/>
            <w:tcBorders>
              <w:bottom w:val="single" w:sz="8" w:color="auto"/>
              <w:right w:val="single" w:sz="8" w:color="auto"/>
            </w:tcBorders>
            <w:shd w:val="clear" w:color="auto" w:fill="004C97"/>
          </w:tcPr>
          <w:p>
            <w:pPr>
              <w:spacing w:after="0"/>
              <w:rPr>
                <w:sz w:val="17"/>
                <w:szCs w:val="17"/>
                <w:color w:val="auto"/>
              </w:rPr>
            </w:pPr>
          </w:p>
        </w:tc>
        <w:tc>
          <w:tcPr>
            <w:tcW w:w="16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Pre-retirement ($)</w:t>
            </w:r>
          </w:p>
        </w:tc>
        <w:tc>
          <w:tcPr>
            <w:tcW w:w="16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Reason ($)</w:t>
            </w:r>
          </w:p>
        </w:tc>
        <w:tc>
          <w:tcPr>
            <w:tcW w:w="1620" w:type="dxa"/>
            <w:vAlign w:val="bottom"/>
            <w:tcBorders>
              <w:bottom w:val="single" w:sz="8" w:color="auto"/>
              <w:right w:val="single" w:sz="8" w:color="auto"/>
            </w:tcBorders>
            <w:gridSpan w:val="2"/>
            <w:shd w:val="clear" w:color="auto" w:fill="004C97"/>
          </w:tcPr>
          <w:p>
            <w:pPr>
              <w:jc w:val="center"/>
              <w:spacing w:after="0"/>
              <w:rPr>
                <w:sz w:val="20"/>
                <w:szCs w:val="20"/>
                <w:color w:val="auto"/>
              </w:rPr>
            </w:pPr>
            <w:r>
              <w:rPr>
                <w:rFonts w:ascii="Arial" w:cs="Arial" w:eastAsia="Arial" w:hAnsi="Arial"/>
                <w:sz w:val="14"/>
                <w:szCs w:val="14"/>
                <w:b w:val="1"/>
                <w:bCs w:val="1"/>
                <w:color w:val="FFFFFF"/>
              </w:rPr>
              <w:t>Change in Control ($)</w:t>
            </w:r>
          </w:p>
        </w:tc>
      </w:tr>
      <w:tr>
        <w:trPr>
          <w:trHeight w:val="230"/>
        </w:trPr>
        <w:tc>
          <w:tcPr>
            <w:tcW w:w="3200" w:type="dxa"/>
            <w:vAlign w:val="bottom"/>
            <w:tcBorders>
              <w:left w:val="single" w:sz="8" w:color="auto"/>
              <w:bottom w:val="single" w:sz="8" w:color="auto"/>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Salary</w:t>
            </w:r>
          </w:p>
        </w:tc>
        <w:tc>
          <w:tcPr>
            <w:tcW w:w="1600" w:type="dxa"/>
            <w:vAlign w:val="bottom"/>
            <w:tcBorders>
              <w:bottom w:val="single" w:sz="8" w:color="auto"/>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E5E5E5"/>
          </w:tcPr>
          <w:p>
            <w:pPr>
              <w:jc w:val="right"/>
              <w:ind w:right="3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right w:val="single" w:sz="8" w:color="auto"/>
            </w:tcBorders>
            <w:shd w:val="clear" w:color="auto" w:fill="E5E5E5"/>
          </w:tcPr>
          <w:p>
            <w:pPr>
              <w:spacing w:after="0"/>
              <w:rPr>
                <w:sz w:val="19"/>
                <w:szCs w:val="19"/>
                <w:color w:val="auto"/>
              </w:rPr>
            </w:pPr>
          </w:p>
        </w:tc>
        <w:tc>
          <w:tcPr>
            <w:tcW w:w="1600" w:type="dxa"/>
            <w:vAlign w:val="bottom"/>
            <w:tcBorders>
              <w:bottom w:val="single" w:sz="8" w:color="auto"/>
              <w:right w:val="single" w:sz="8" w:color="auto"/>
            </w:tcBorders>
            <w:shd w:val="clear" w:color="auto" w:fill="E5E5E5"/>
          </w:tcPr>
          <w:p>
            <w:pPr>
              <w:jc w:val="right"/>
              <w:ind w:right="54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 xml:space="preserve">605,640 </w:t>
            </w:r>
            <w:r>
              <w:rPr>
                <w:rFonts w:ascii="Arial" w:cs="Arial" w:eastAsia="Arial" w:hAnsi="Arial"/>
                <w:sz w:val="18"/>
                <w:szCs w:val="18"/>
                <w:color w:val="auto"/>
                <w:vertAlign w:val="superscript"/>
              </w:rPr>
              <w:t>(11)</w:t>
            </w:r>
          </w:p>
        </w:tc>
        <w:tc>
          <w:tcPr>
            <w:tcW w:w="1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1,211,280</w:t>
            </w:r>
          </w:p>
        </w:tc>
        <w:tc>
          <w:tcPr>
            <w:tcW w:w="18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9"/>
                <w:szCs w:val="9"/>
                <w:color w:val="auto"/>
              </w:rPr>
              <w:t>(1)</w:t>
            </w:r>
          </w:p>
        </w:tc>
      </w:tr>
      <w:tr>
        <w:trPr>
          <w:trHeight w:val="223"/>
        </w:trPr>
        <w:tc>
          <w:tcPr>
            <w:tcW w:w="3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Bonus</w:t>
            </w:r>
          </w:p>
        </w:tc>
        <w:tc>
          <w:tcPr>
            <w:tcW w:w="160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654,071</w:t>
            </w:r>
          </w:p>
        </w:tc>
        <w:tc>
          <w:tcPr>
            <w:tcW w:w="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9"/>
                <w:szCs w:val="9"/>
                <w:color w:val="auto"/>
              </w:rPr>
              <w:t>(3)</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xml:space="preserve">654,071 </w:t>
            </w:r>
            <w:r>
              <w:rPr>
                <w:rFonts w:ascii="Arial" w:cs="Arial" w:eastAsia="Arial" w:hAnsi="Arial"/>
                <w:sz w:val="18"/>
                <w:szCs w:val="18"/>
                <w:color w:val="auto"/>
                <w:vertAlign w:val="superscript"/>
              </w:rPr>
              <w:t>(3)</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xml:space="preserve">780,395 </w:t>
            </w:r>
            <w:r>
              <w:rPr>
                <w:rFonts w:ascii="Arial" w:cs="Arial" w:eastAsia="Arial" w:hAnsi="Arial"/>
                <w:sz w:val="18"/>
                <w:szCs w:val="18"/>
                <w:color w:val="auto"/>
                <w:vertAlign w:val="superscript"/>
              </w:rPr>
              <w:t>(12)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1,560,789</w:t>
            </w:r>
          </w:p>
        </w:tc>
        <w:tc>
          <w:tcPr>
            <w:tcW w:w="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9"/>
                <w:szCs w:val="9"/>
                <w:color w:val="auto"/>
              </w:rPr>
              <w:t>(4)</w:t>
            </w:r>
          </w:p>
        </w:tc>
      </w:tr>
      <w:tr>
        <w:trPr>
          <w:trHeight w:val="223"/>
        </w:trPr>
        <w:tc>
          <w:tcPr>
            <w:tcW w:w="3200" w:type="dxa"/>
            <w:vAlign w:val="bottom"/>
            <w:tcBorders>
              <w:left w:val="single" w:sz="8" w:color="auto"/>
              <w:bottom w:val="single" w:sz="8" w:color="auto"/>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Value of Accelerated Equity</w:t>
            </w:r>
          </w:p>
        </w:tc>
        <w:tc>
          <w:tcPr>
            <w:tcW w:w="1600" w:type="dxa"/>
            <w:vAlign w:val="bottom"/>
            <w:tcBorders>
              <w:bottom w:val="single" w:sz="8" w:color="auto"/>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3,655,837</w:t>
            </w:r>
          </w:p>
        </w:tc>
        <w:tc>
          <w:tcPr>
            <w:tcW w:w="18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9"/>
                <w:szCs w:val="9"/>
                <w:color w:val="auto"/>
              </w:rPr>
              <w:t>(6)</w:t>
            </w:r>
          </w:p>
        </w:tc>
        <w:tc>
          <w:tcPr>
            <w:tcW w:w="160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 xml:space="preserve">3,655,837 </w:t>
            </w:r>
            <w:r>
              <w:rPr>
                <w:rFonts w:ascii="Arial" w:cs="Arial" w:eastAsia="Arial" w:hAnsi="Arial"/>
                <w:sz w:val="18"/>
                <w:szCs w:val="18"/>
                <w:color w:val="auto"/>
                <w:vertAlign w:val="superscript"/>
              </w:rPr>
              <w:t>(6)</w:t>
            </w:r>
          </w:p>
        </w:tc>
        <w:tc>
          <w:tcPr>
            <w:tcW w:w="160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 xml:space="preserve">409,258 </w:t>
            </w:r>
            <w:r>
              <w:rPr>
                <w:rFonts w:ascii="Arial" w:cs="Arial" w:eastAsia="Arial" w:hAnsi="Arial"/>
                <w:sz w:val="18"/>
                <w:szCs w:val="18"/>
                <w:color w:val="auto"/>
                <w:vertAlign w:val="superscript"/>
              </w:rPr>
              <w:t>(7)</w:t>
            </w:r>
          </w:p>
        </w:tc>
        <w:tc>
          <w:tcPr>
            <w:tcW w:w="1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3,655,837</w:t>
            </w:r>
          </w:p>
        </w:tc>
        <w:tc>
          <w:tcPr>
            <w:tcW w:w="18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9"/>
                <w:szCs w:val="9"/>
                <w:color w:val="auto"/>
              </w:rPr>
              <w:t>(6)</w:t>
            </w:r>
          </w:p>
        </w:tc>
      </w:tr>
      <w:tr>
        <w:trPr>
          <w:trHeight w:val="223"/>
        </w:trPr>
        <w:tc>
          <w:tcPr>
            <w:tcW w:w="3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All Other Compensation</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xml:space="preserve">70,996 </w:t>
            </w:r>
            <w:r>
              <w:rPr>
                <w:rFonts w:ascii="Arial" w:cs="Arial" w:eastAsia="Arial" w:hAnsi="Arial"/>
                <w:sz w:val="18"/>
                <w:szCs w:val="18"/>
                <w:color w:val="auto"/>
                <w:vertAlign w:val="superscript"/>
              </w:rPr>
              <w:t>(8)</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70,996</w:t>
            </w:r>
          </w:p>
        </w:tc>
        <w:tc>
          <w:tcPr>
            <w:tcW w:w="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9"/>
                <w:szCs w:val="9"/>
                <w:color w:val="auto"/>
              </w:rPr>
              <w:t>(8)</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xml:space="preserve">70,996 </w:t>
            </w:r>
            <w:r>
              <w:rPr>
                <w:rFonts w:ascii="Arial" w:cs="Arial" w:eastAsia="Arial" w:hAnsi="Arial"/>
                <w:sz w:val="18"/>
                <w:szCs w:val="18"/>
                <w:color w:val="auto"/>
                <w:vertAlign w:val="superscript"/>
              </w:rPr>
              <w:t>(8)</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xml:space="preserve">154,705 </w:t>
            </w:r>
            <w:r>
              <w:rPr>
                <w:rFonts w:ascii="Arial" w:cs="Arial" w:eastAsia="Arial" w:hAnsi="Arial"/>
                <w:sz w:val="18"/>
                <w:szCs w:val="18"/>
                <w:color w:val="auto"/>
                <w:vertAlign w:val="superscript"/>
              </w:rPr>
              <w:t>(13)</w:t>
            </w:r>
          </w:p>
        </w:tc>
        <w:tc>
          <w:tcPr>
            <w:tcW w:w="16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4"/>
                <w:szCs w:val="14"/>
                <w:color w:val="auto"/>
              </w:rPr>
              <w:t xml:space="preserve">203,413 </w:t>
            </w:r>
            <w:r>
              <w:rPr>
                <w:rFonts w:ascii="Arial" w:cs="Arial" w:eastAsia="Arial" w:hAnsi="Arial"/>
                <w:sz w:val="18"/>
                <w:szCs w:val="18"/>
                <w:color w:val="auto"/>
                <w:vertAlign w:val="superscript"/>
              </w:rPr>
              <w:t>(14)</w:t>
            </w:r>
          </w:p>
        </w:tc>
      </w:tr>
      <w:tr>
        <w:trPr>
          <w:trHeight w:val="228"/>
        </w:trPr>
        <w:tc>
          <w:tcPr>
            <w:tcW w:w="3200" w:type="dxa"/>
            <w:vAlign w:val="bottom"/>
            <w:tcBorders>
              <w:left w:val="single" w:sz="8" w:color="auto"/>
              <w:bottom w:val="single" w:sz="8" w:color="E5E5E5"/>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Total</w:t>
            </w:r>
          </w:p>
        </w:tc>
        <w:tc>
          <w:tcPr>
            <w:tcW w:w="1600" w:type="dxa"/>
            <w:vAlign w:val="bottom"/>
            <w:tcBorders>
              <w:bottom w:val="single" w:sz="8" w:color="E5E5E5"/>
              <w:right w:val="single" w:sz="8" w:color="auto"/>
            </w:tcBorders>
            <w:shd w:val="clear" w:color="auto" w:fill="E5E5E5"/>
          </w:tcPr>
          <w:p>
            <w:pPr>
              <w:jc w:val="right"/>
              <w:ind w:right="328"/>
              <w:spacing w:after="0"/>
              <w:rPr>
                <w:sz w:val="20"/>
                <w:szCs w:val="20"/>
                <w:color w:val="auto"/>
              </w:rPr>
            </w:pPr>
            <w:r>
              <w:rPr>
                <w:rFonts w:ascii="Arial" w:cs="Arial" w:eastAsia="Arial" w:hAnsi="Arial"/>
                <w:sz w:val="14"/>
                <w:szCs w:val="14"/>
                <w:color w:val="auto"/>
              </w:rPr>
              <w:t>70,996</w:t>
            </w:r>
          </w:p>
        </w:tc>
        <w:tc>
          <w:tcPr>
            <w:tcW w:w="1440" w:type="dxa"/>
            <w:vAlign w:val="bottom"/>
            <w:tcBorders>
              <w:bottom w:val="single" w:sz="8" w:color="E5E5E5"/>
            </w:tcBorders>
            <w:shd w:val="clear" w:color="auto" w:fill="E5E5E5"/>
          </w:tcPr>
          <w:p>
            <w:pPr>
              <w:jc w:val="right"/>
              <w:ind w:right="188"/>
              <w:spacing w:after="0"/>
              <w:rPr>
                <w:sz w:val="20"/>
                <w:szCs w:val="20"/>
                <w:color w:val="auto"/>
              </w:rPr>
            </w:pPr>
            <w:r>
              <w:rPr>
                <w:rFonts w:ascii="Arial" w:cs="Arial" w:eastAsia="Arial" w:hAnsi="Arial"/>
                <w:sz w:val="14"/>
                <w:szCs w:val="14"/>
                <w:color w:val="auto"/>
              </w:rPr>
              <w:t>4,380,904</w:t>
            </w:r>
          </w:p>
        </w:tc>
        <w:tc>
          <w:tcPr>
            <w:tcW w:w="180" w:type="dxa"/>
            <w:vAlign w:val="bottom"/>
            <w:tcBorders>
              <w:bottom w:val="single" w:sz="8" w:color="E5E5E5"/>
              <w:right w:val="single" w:sz="8" w:color="auto"/>
            </w:tcBorders>
            <w:shd w:val="clear" w:color="auto" w:fill="E5E5E5"/>
          </w:tcPr>
          <w:p>
            <w:pPr>
              <w:spacing w:after="0"/>
              <w:rPr>
                <w:sz w:val="19"/>
                <w:szCs w:val="19"/>
                <w:color w:val="auto"/>
              </w:rPr>
            </w:pPr>
          </w:p>
        </w:tc>
        <w:tc>
          <w:tcPr>
            <w:tcW w:w="160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4,380,904</w:t>
            </w:r>
          </w:p>
        </w:tc>
        <w:tc>
          <w:tcPr>
            <w:tcW w:w="1600" w:type="dxa"/>
            <w:vAlign w:val="bottom"/>
            <w:tcBorders>
              <w:bottom w:val="single" w:sz="8" w:color="E5E5E5"/>
              <w:right w:val="single" w:sz="8" w:color="auto"/>
            </w:tcBorders>
            <w:shd w:val="clear" w:color="auto" w:fill="E5E5E5"/>
          </w:tcPr>
          <w:p>
            <w:pPr>
              <w:jc w:val="right"/>
              <w:ind w:right="328"/>
              <w:spacing w:after="0"/>
              <w:rPr>
                <w:sz w:val="20"/>
                <w:szCs w:val="20"/>
                <w:color w:val="auto"/>
              </w:rPr>
            </w:pPr>
            <w:r>
              <w:rPr>
                <w:rFonts w:ascii="Arial" w:cs="Arial" w:eastAsia="Arial" w:hAnsi="Arial"/>
                <w:sz w:val="14"/>
                <w:szCs w:val="14"/>
                <w:color w:val="auto"/>
              </w:rPr>
              <w:t>1,949,998</w:t>
            </w:r>
          </w:p>
        </w:tc>
        <w:tc>
          <w:tcPr>
            <w:tcW w:w="1440" w:type="dxa"/>
            <w:vAlign w:val="bottom"/>
            <w:tcBorders>
              <w:bottom w:val="single" w:sz="8" w:color="E5E5E5"/>
            </w:tcBorders>
            <w:shd w:val="clear" w:color="auto" w:fill="E5E5E5"/>
          </w:tcPr>
          <w:p>
            <w:pPr>
              <w:jc w:val="right"/>
              <w:ind w:right="148"/>
              <w:spacing w:after="0"/>
              <w:rPr>
                <w:sz w:val="20"/>
                <w:szCs w:val="20"/>
                <w:color w:val="auto"/>
              </w:rPr>
            </w:pPr>
            <w:r>
              <w:rPr>
                <w:rFonts w:ascii="Arial" w:cs="Arial" w:eastAsia="Arial" w:hAnsi="Arial"/>
                <w:sz w:val="14"/>
                <w:szCs w:val="14"/>
                <w:color w:val="auto"/>
              </w:rPr>
              <w:t>6,631,319</w:t>
            </w:r>
          </w:p>
        </w:tc>
        <w:tc>
          <w:tcPr>
            <w:tcW w:w="180" w:type="dxa"/>
            <w:vAlign w:val="bottom"/>
            <w:tcBorders>
              <w:bottom w:val="single" w:sz="8" w:color="E5E5E5"/>
              <w:right w:val="single" w:sz="8" w:color="auto"/>
            </w:tcBorders>
            <w:shd w:val="clear" w:color="auto" w:fill="E5E5E5"/>
          </w:tcPr>
          <w:p>
            <w:pPr>
              <w:spacing w:after="0"/>
              <w:rPr>
                <w:sz w:val="19"/>
                <w:szCs w:val="19"/>
                <w:color w:val="auto"/>
              </w:rPr>
            </w:pPr>
          </w:p>
        </w:tc>
      </w:tr>
      <w:tr>
        <w:trPr>
          <w:trHeight w:val="385"/>
        </w:trPr>
        <w:tc>
          <w:tcPr>
            <w:tcW w:w="3200" w:type="dxa"/>
            <w:vAlign w:val="bottom"/>
            <w:tcBorders>
              <w:top w:val="single" w:sz="8" w:color="auto"/>
              <w:bottom w:val="single" w:sz="8" w:color="auto"/>
            </w:tcBorders>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r>
      <w:tr>
        <w:trPr>
          <w:trHeight w:val="173"/>
        </w:trPr>
        <w:tc>
          <w:tcPr>
            <w:tcW w:w="3200" w:type="dxa"/>
            <w:vAlign w:val="bottom"/>
            <w:tcBorders>
              <w:left w:val="single" w:sz="8" w:color="auto"/>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(a) Voluntary</w:t>
            </w:r>
          </w:p>
        </w:tc>
        <w:tc>
          <w:tcPr>
            <w:tcW w:w="1440" w:type="dxa"/>
            <w:vAlign w:val="bottom"/>
            <w:shd w:val="clear" w:color="auto" w:fill="004C97"/>
          </w:tcPr>
          <w:p>
            <w:pPr>
              <w:spacing w:after="0"/>
              <w:rPr>
                <w:sz w:val="15"/>
                <w:szCs w:val="15"/>
                <w:color w:val="auto"/>
              </w:rPr>
            </w:pPr>
          </w:p>
        </w:tc>
        <w:tc>
          <w:tcPr>
            <w:tcW w:w="180" w:type="dxa"/>
            <w:vAlign w:val="bottom"/>
            <w:tcBorders>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spacing w:after="0"/>
              <w:rPr>
                <w:sz w:val="15"/>
                <w:szCs w:val="15"/>
                <w:color w:val="auto"/>
              </w:rPr>
            </w:pPr>
          </w:p>
        </w:tc>
        <w:tc>
          <w:tcPr>
            <w:tcW w:w="1440" w:type="dxa"/>
            <w:vAlign w:val="bottom"/>
            <w:shd w:val="clear" w:color="auto" w:fill="004C97"/>
          </w:tcPr>
          <w:p>
            <w:pPr>
              <w:spacing w:after="0"/>
              <w:rPr>
                <w:sz w:val="15"/>
                <w:szCs w:val="15"/>
                <w:color w:val="auto"/>
              </w:rPr>
            </w:pPr>
          </w:p>
        </w:tc>
        <w:tc>
          <w:tcPr>
            <w:tcW w:w="180" w:type="dxa"/>
            <w:vAlign w:val="bottom"/>
            <w:tcBorders>
              <w:right w:val="single" w:sz="8" w:color="auto"/>
            </w:tcBorders>
            <w:shd w:val="clear" w:color="auto" w:fill="004C97"/>
          </w:tcPr>
          <w:p>
            <w:pPr>
              <w:spacing w:after="0"/>
              <w:rPr>
                <w:sz w:val="15"/>
                <w:szCs w:val="15"/>
                <w:color w:val="auto"/>
              </w:rPr>
            </w:pPr>
          </w:p>
        </w:tc>
      </w:tr>
      <w:tr>
        <w:trPr>
          <w:trHeight w:val="175"/>
        </w:trPr>
        <w:tc>
          <w:tcPr>
            <w:tcW w:w="3200" w:type="dxa"/>
            <w:vAlign w:val="bottom"/>
            <w:tcBorders>
              <w:left w:val="single" w:sz="8" w:color="auto"/>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Resignation or (b)</w:t>
            </w:r>
          </w:p>
        </w:tc>
        <w:tc>
          <w:tcPr>
            <w:tcW w:w="1440" w:type="dxa"/>
            <w:vAlign w:val="bottom"/>
            <w:shd w:val="clear" w:color="auto" w:fill="004C97"/>
          </w:tcPr>
          <w:p>
            <w:pPr>
              <w:spacing w:after="0"/>
              <w:rPr>
                <w:sz w:val="15"/>
                <w:szCs w:val="15"/>
                <w:color w:val="auto"/>
              </w:rPr>
            </w:pPr>
          </w:p>
        </w:tc>
        <w:tc>
          <w:tcPr>
            <w:tcW w:w="180" w:type="dxa"/>
            <w:vAlign w:val="bottom"/>
            <w:tcBorders>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Involuntary Without</w:t>
            </w:r>
          </w:p>
        </w:tc>
        <w:tc>
          <w:tcPr>
            <w:tcW w:w="1440" w:type="dxa"/>
            <w:vAlign w:val="bottom"/>
            <w:shd w:val="clear" w:color="auto" w:fill="004C97"/>
          </w:tcPr>
          <w:p>
            <w:pPr>
              <w:spacing w:after="0"/>
              <w:rPr>
                <w:sz w:val="15"/>
                <w:szCs w:val="15"/>
                <w:color w:val="auto"/>
              </w:rPr>
            </w:pPr>
          </w:p>
        </w:tc>
        <w:tc>
          <w:tcPr>
            <w:tcW w:w="180" w:type="dxa"/>
            <w:vAlign w:val="bottom"/>
            <w:tcBorders>
              <w:right w:val="single" w:sz="8" w:color="auto"/>
            </w:tcBorders>
            <w:shd w:val="clear" w:color="auto" w:fill="004C97"/>
          </w:tcPr>
          <w:p>
            <w:pPr>
              <w:spacing w:after="0"/>
              <w:rPr>
                <w:sz w:val="15"/>
                <w:szCs w:val="15"/>
                <w:color w:val="auto"/>
              </w:rPr>
            </w:pPr>
          </w:p>
        </w:tc>
      </w:tr>
      <w:tr>
        <w:trPr>
          <w:trHeight w:val="176"/>
        </w:trPr>
        <w:tc>
          <w:tcPr>
            <w:tcW w:w="3200" w:type="dxa"/>
            <w:vAlign w:val="bottom"/>
            <w:tcBorders>
              <w:left w:val="single" w:sz="8" w:color="auto"/>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Involuntary</w:t>
            </w:r>
          </w:p>
        </w:tc>
        <w:tc>
          <w:tcPr>
            <w:tcW w:w="1440" w:type="dxa"/>
            <w:vAlign w:val="bottom"/>
            <w:shd w:val="clear" w:color="auto" w:fill="004C97"/>
          </w:tcPr>
          <w:p>
            <w:pPr>
              <w:spacing w:after="0"/>
              <w:rPr>
                <w:sz w:val="15"/>
                <w:szCs w:val="15"/>
                <w:color w:val="auto"/>
              </w:rPr>
            </w:pPr>
          </w:p>
        </w:tc>
        <w:tc>
          <w:tcPr>
            <w:tcW w:w="180" w:type="dxa"/>
            <w:vAlign w:val="bottom"/>
            <w:tcBorders>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spacing w:after="0"/>
              <w:rPr>
                <w:sz w:val="15"/>
                <w:szCs w:val="15"/>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Cause/ Voluntary</w:t>
            </w:r>
          </w:p>
        </w:tc>
        <w:tc>
          <w:tcPr>
            <w:tcW w:w="1440" w:type="dxa"/>
            <w:vAlign w:val="bottom"/>
            <w:shd w:val="clear" w:color="auto" w:fill="004C97"/>
          </w:tcPr>
          <w:p>
            <w:pPr>
              <w:spacing w:after="0"/>
              <w:rPr>
                <w:sz w:val="15"/>
                <w:szCs w:val="15"/>
                <w:color w:val="auto"/>
              </w:rPr>
            </w:pPr>
          </w:p>
        </w:tc>
        <w:tc>
          <w:tcPr>
            <w:tcW w:w="180" w:type="dxa"/>
            <w:vAlign w:val="bottom"/>
            <w:tcBorders>
              <w:right w:val="single" w:sz="8" w:color="auto"/>
            </w:tcBorders>
            <w:shd w:val="clear" w:color="auto" w:fill="004C97"/>
          </w:tcPr>
          <w:p>
            <w:pPr>
              <w:spacing w:after="0"/>
              <w:rPr>
                <w:sz w:val="15"/>
                <w:szCs w:val="15"/>
                <w:color w:val="auto"/>
              </w:rPr>
            </w:pPr>
          </w:p>
        </w:tc>
      </w:tr>
      <w:tr>
        <w:trPr>
          <w:trHeight w:val="162"/>
        </w:trPr>
        <w:tc>
          <w:tcPr>
            <w:tcW w:w="3200" w:type="dxa"/>
            <w:vAlign w:val="bottom"/>
            <w:tcBorders>
              <w:left w:val="single" w:sz="8" w:color="auto"/>
              <w:right w:val="single" w:sz="8" w:color="auto"/>
            </w:tcBorders>
            <w:shd w:val="clear" w:color="auto" w:fill="004C97"/>
          </w:tcPr>
          <w:p>
            <w:pPr>
              <w:spacing w:after="0"/>
              <w:rPr>
                <w:sz w:val="14"/>
                <w:szCs w:val="14"/>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Termination for Cause</w:t>
            </w:r>
          </w:p>
        </w:tc>
        <w:tc>
          <w:tcPr>
            <w:tcW w:w="1440" w:type="dxa"/>
            <w:vAlign w:val="bottom"/>
            <w:shd w:val="clear" w:color="auto" w:fill="004C97"/>
          </w:tcPr>
          <w:p>
            <w:pPr>
              <w:spacing w:after="0"/>
              <w:rPr>
                <w:sz w:val="14"/>
                <w:szCs w:val="14"/>
                <w:color w:val="auto"/>
              </w:rPr>
            </w:pPr>
          </w:p>
        </w:tc>
        <w:tc>
          <w:tcPr>
            <w:tcW w:w="180" w:type="dxa"/>
            <w:vAlign w:val="bottom"/>
            <w:tcBorders>
              <w:right w:val="single" w:sz="8" w:color="auto"/>
            </w:tcBorders>
            <w:shd w:val="clear" w:color="auto" w:fill="004C97"/>
          </w:tcPr>
          <w:p>
            <w:pPr>
              <w:spacing w:after="0"/>
              <w:rPr>
                <w:sz w:val="14"/>
                <w:szCs w:val="14"/>
                <w:color w:val="auto"/>
              </w:rPr>
            </w:pP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Death</w:t>
            </w:r>
          </w:p>
        </w:tc>
        <w:tc>
          <w:tcPr>
            <w:tcW w:w="1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Resignation for Good</w:t>
            </w:r>
          </w:p>
        </w:tc>
        <w:tc>
          <w:tcPr>
            <w:tcW w:w="1620" w:type="dxa"/>
            <w:vAlign w:val="bottom"/>
            <w:tcBorders>
              <w:right w:val="single" w:sz="8" w:color="auto"/>
            </w:tcBorders>
            <w:gridSpan w:val="2"/>
            <w:shd w:val="clear" w:color="auto" w:fill="004C97"/>
          </w:tcPr>
          <w:p>
            <w:pPr>
              <w:jc w:val="center"/>
              <w:spacing w:after="0"/>
              <w:rPr>
                <w:sz w:val="20"/>
                <w:szCs w:val="20"/>
                <w:color w:val="auto"/>
              </w:rPr>
            </w:pPr>
            <w:r>
              <w:rPr>
                <w:rFonts w:ascii="Arial" w:cs="Arial" w:eastAsia="Arial" w:hAnsi="Arial"/>
                <w:sz w:val="14"/>
                <w:szCs w:val="14"/>
                <w:b w:val="1"/>
                <w:bCs w:val="1"/>
                <w:color w:val="FFFFFF"/>
              </w:rPr>
              <w:t>Termination Following</w:t>
            </w:r>
          </w:p>
        </w:tc>
      </w:tr>
      <w:tr>
        <w:trPr>
          <w:trHeight w:val="219"/>
        </w:trPr>
        <w:tc>
          <w:tcPr>
            <w:tcW w:w="3200" w:type="dxa"/>
            <w:vAlign w:val="bottom"/>
            <w:tcBorders>
              <w:left w:val="single" w:sz="8" w:color="auto"/>
              <w:bottom w:val="single" w:sz="8" w:color="auto"/>
              <w:right w:val="single" w:sz="8" w:color="auto"/>
            </w:tcBorders>
            <w:shd w:val="clear" w:color="auto" w:fill="004C97"/>
          </w:tcPr>
          <w:p>
            <w:pPr>
              <w:ind w:left="940"/>
              <w:spacing w:after="0"/>
              <w:rPr>
                <w:sz w:val="20"/>
                <w:szCs w:val="20"/>
                <w:color w:val="auto"/>
              </w:rPr>
            </w:pPr>
            <w:r>
              <w:rPr>
                <w:rFonts w:ascii="Arial" w:cs="Arial" w:eastAsia="Arial" w:hAnsi="Arial"/>
                <w:sz w:val="14"/>
                <w:szCs w:val="14"/>
                <w:b w:val="1"/>
                <w:bCs w:val="1"/>
                <w:color w:val="FFFFFF"/>
              </w:rPr>
              <w:t>Sean McClenaghan</w:t>
            </w:r>
          </w:p>
        </w:tc>
        <w:tc>
          <w:tcPr>
            <w:tcW w:w="16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w:t>
            </w:r>
          </w:p>
        </w:tc>
        <w:tc>
          <w:tcPr>
            <w:tcW w:w="1440" w:type="dxa"/>
            <w:vAlign w:val="bottom"/>
            <w:tcBorders>
              <w:bottom w:val="single" w:sz="8" w:color="auto"/>
            </w:tcBorders>
            <w:shd w:val="clear" w:color="auto" w:fill="004C97"/>
          </w:tcPr>
          <w:p>
            <w:pPr>
              <w:jc w:val="right"/>
              <w:ind w:right="148"/>
              <w:spacing w:after="0"/>
              <w:rPr>
                <w:sz w:val="20"/>
                <w:szCs w:val="20"/>
                <w:color w:val="auto"/>
              </w:rPr>
            </w:pPr>
            <w:r>
              <w:rPr>
                <w:rFonts w:ascii="Arial" w:cs="Arial" w:eastAsia="Arial" w:hAnsi="Arial"/>
                <w:sz w:val="14"/>
                <w:szCs w:val="14"/>
                <w:b w:val="1"/>
                <w:bCs w:val="1"/>
                <w:color w:val="FFFFFF"/>
              </w:rPr>
              <w:t>Disability ($)</w:t>
            </w:r>
          </w:p>
        </w:tc>
        <w:tc>
          <w:tcPr>
            <w:tcW w:w="180" w:type="dxa"/>
            <w:vAlign w:val="bottom"/>
            <w:tcBorders>
              <w:bottom w:val="single" w:sz="8" w:color="auto"/>
              <w:right w:val="single" w:sz="8" w:color="auto"/>
            </w:tcBorders>
            <w:shd w:val="clear" w:color="auto" w:fill="004C97"/>
          </w:tcPr>
          <w:p>
            <w:pPr>
              <w:spacing w:after="0"/>
              <w:rPr>
                <w:sz w:val="19"/>
                <w:szCs w:val="19"/>
                <w:color w:val="auto"/>
              </w:rPr>
            </w:pPr>
          </w:p>
        </w:tc>
        <w:tc>
          <w:tcPr>
            <w:tcW w:w="16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Pre-retirement ($)</w:t>
            </w:r>
          </w:p>
        </w:tc>
        <w:tc>
          <w:tcPr>
            <w:tcW w:w="16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Reason ($)</w:t>
            </w:r>
          </w:p>
        </w:tc>
        <w:tc>
          <w:tcPr>
            <w:tcW w:w="1620" w:type="dxa"/>
            <w:vAlign w:val="bottom"/>
            <w:tcBorders>
              <w:bottom w:val="single" w:sz="8" w:color="auto"/>
              <w:right w:val="single" w:sz="8" w:color="auto"/>
            </w:tcBorders>
            <w:gridSpan w:val="2"/>
            <w:shd w:val="clear" w:color="auto" w:fill="004C97"/>
          </w:tcPr>
          <w:p>
            <w:pPr>
              <w:jc w:val="center"/>
              <w:spacing w:after="0"/>
              <w:rPr>
                <w:sz w:val="20"/>
                <w:szCs w:val="20"/>
                <w:color w:val="auto"/>
              </w:rPr>
            </w:pPr>
            <w:r>
              <w:rPr>
                <w:rFonts w:ascii="Arial" w:cs="Arial" w:eastAsia="Arial" w:hAnsi="Arial"/>
                <w:sz w:val="14"/>
                <w:szCs w:val="14"/>
                <w:b w:val="1"/>
                <w:bCs w:val="1"/>
                <w:color w:val="FFFFFF"/>
              </w:rPr>
              <w:t>Change in Control ($)</w:t>
            </w:r>
          </w:p>
        </w:tc>
      </w:tr>
      <w:tr>
        <w:trPr>
          <w:trHeight w:val="229"/>
        </w:trPr>
        <w:tc>
          <w:tcPr>
            <w:tcW w:w="3200" w:type="dxa"/>
            <w:vAlign w:val="bottom"/>
            <w:tcBorders>
              <w:left w:val="single" w:sz="8" w:color="auto"/>
              <w:bottom w:val="single" w:sz="8" w:color="auto"/>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Salary</w:t>
            </w:r>
          </w:p>
        </w:tc>
        <w:tc>
          <w:tcPr>
            <w:tcW w:w="1600" w:type="dxa"/>
            <w:vAlign w:val="bottom"/>
            <w:tcBorders>
              <w:bottom w:val="single" w:sz="8" w:color="auto"/>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E5E5E5"/>
          </w:tcPr>
          <w:p>
            <w:pPr>
              <w:jc w:val="right"/>
              <w:ind w:right="3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right w:val="single" w:sz="8" w:color="auto"/>
            </w:tcBorders>
            <w:shd w:val="clear" w:color="auto" w:fill="E5E5E5"/>
          </w:tcPr>
          <w:p>
            <w:pPr>
              <w:spacing w:after="0"/>
              <w:rPr>
                <w:sz w:val="19"/>
                <w:szCs w:val="19"/>
                <w:color w:val="auto"/>
              </w:rPr>
            </w:pPr>
          </w:p>
        </w:tc>
        <w:tc>
          <w:tcPr>
            <w:tcW w:w="1600" w:type="dxa"/>
            <w:vAlign w:val="bottom"/>
            <w:tcBorders>
              <w:bottom w:val="single" w:sz="8" w:color="auto"/>
              <w:right w:val="single" w:sz="8" w:color="auto"/>
            </w:tcBorders>
            <w:shd w:val="clear" w:color="auto" w:fill="E5E5E5"/>
          </w:tcPr>
          <w:p>
            <w:pPr>
              <w:jc w:val="right"/>
              <w:ind w:right="54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 xml:space="preserve">605,640 </w:t>
            </w:r>
            <w:r>
              <w:rPr>
                <w:rFonts w:ascii="Arial" w:cs="Arial" w:eastAsia="Arial" w:hAnsi="Arial"/>
                <w:sz w:val="18"/>
                <w:szCs w:val="18"/>
                <w:color w:val="auto"/>
                <w:vertAlign w:val="superscript"/>
              </w:rPr>
              <w:t>(11)</w:t>
            </w:r>
          </w:p>
        </w:tc>
        <w:tc>
          <w:tcPr>
            <w:tcW w:w="1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1,211,280</w:t>
            </w:r>
          </w:p>
        </w:tc>
        <w:tc>
          <w:tcPr>
            <w:tcW w:w="18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9"/>
                <w:szCs w:val="9"/>
                <w:color w:val="auto"/>
              </w:rPr>
              <w:t>(1)</w:t>
            </w:r>
          </w:p>
        </w:tc>
      </w:tr>
      <w:tr>
        <w:trPr>
          <w:trHeight w:val="223"/>
        </w:trPr>
        <w:tc>
          <w:tcPr>
            <w:tcW w:w="3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Bonus</w:t>
            </w:r>
          </w:p>
        </w:tc>
        <w:tc>
          <w:tcPr>
            <w:tcW w:w="160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792,207</w:t>
            </w:r>
          </w:p>
        </w:tc>
        <w:tc>
          <w:tcPr>
            <w:tcW w:w="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9"/>
                <w:szCs w:val="9"/>
                <w:color w:val="auto"/>
              </w:rPr>
              <w:t>(3)</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xml:space="preserve">792,207 </w:t>
            </w:r>
            <w:r>
              <w:rPr>
                <w:rFonts w:ascii="Arial" w:cs="Arial" w:eastAsia="Arial" w:hAnsi="Arial"/>
                <w:sz w:val="18"/>
                <w:szCs w:val="18"/>
                <w:color w:val="auto"/>
                <w:vertAlign w:val="superscript"/>
              </w:rPr>
              <w:t>(3)</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xml:space="preserve">792,207 </w:t>
            </w:r>
            <w:r>
              <w:rPr>
                <w:rFonts w:ascii="Arial" w:cs="Arial" w:eastAsia="Arial" w:hAnsi="Arial"/>
                <w:sz w:val="18"/>
                <w:szCs w:val="18"/>
                <w:color w:val="auto"/>
                <w:vertAlign w:val="superscript"/>
              </w:rPr>
              <w:t>(12)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1,584,415</w:t>
            </w:r>
          </w:p>
        </w:tc>
        <w:tc>
          <w:tcPr>
            <w:tcW w:w="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9"/>
                <w:szCs w:val="9"/>
                <w:color w:val="auto"/>
              </w:rPr>
              <w:t>(4)</w:t>
            </w:r>
          </w:p>
        </w:tc>
      </w:tr>
      <w:tr>
        <w:trPr>
          <w:trHeight w:val="223"/>
        </w:trPr>
        <w:tc>
          <w:tcPr>
            <w:tcW w:w="3200" w:type="dxa"/>
            <w:vAlign w:val="bottom"/>
            <w:tcBorders>
              <w:left w:val="single" w:sz="8" w:color="auto"/>
              <w:bottom w:val="single" w:sz="8" w:color="auto"/>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Value of Accelerated Equity</w:t>
            </w:r>
          </w:p>
        </w:tc>
        <w:tc>
          <w:tcPr>
            <w:tcW w:w="1600" w:type="dxa"/>
            <w:vAlign w:val="bottom"/>
            <w:tcBorders>
              <w:bottom w:val="single" w:sz="8" w:color="auto"/>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3,501,808</w:t>
            </w:r>
          </w:p>
        </w:tc>
        <w:tc>
          <w:tcPr>
            <w:tcW w:w="18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9"/>
                <w:szCs w:val="9"/>
                <w:color w:val="auto"/>
              </w:rPr>
              <w:t>(6)</w:t>
            </w:r>
          </w:p>
        </w:tc>
        <w:tc>
          <w:tcPr>
            <w:tcW w:w="160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 xml:space="preserve">3,501,808 </w:t>
            </w:r>
            <w:r>
              <w:rPr>
                <w:rFonts w:ascii="Arial" w:cs="Arial" w:eastAsia="Arial" w:hAnsi="Arial"/>
                <w:sz w:val="18"/>
                <w:szCs w:val="18"/>
                <w:color w:val="auto"/>
                <w:vertAlign w:val="superscript"/>
              </w:rPr>
              <w:t>(6)</w:t>
            </w:r>
          </w:p>
        </w:tc>
        <w:tc>
          <w:tcPr>
            <w:tcW w:w="160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 xml:space="preserve">757,837 </w:t>
            </w:r>
            <w:r>
              <w:rPr>
                <w:rFonts w:ascii="Arial" w:cs="Arial" w:eastAsia="Arial" w:hAnsi="Arial"/>
                <w:sz w:val="18"/>
                <w:szCs w:val="18"/>
                <w:color w:val="auto"/>
                <w:vertAlign w:val="superscript"/>
              </w:rPr>
              <w:t>(7)</w:t>
            </w:r>
          </w:p>
        </w:tc>
        <w:tc>
          <w:tcPr>
            <w:tcW w:w="1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3,501,808</w:t>
            </w:r>
          </w:p>
        </w:tc>
        <w:tc>
          <w:tcPr>
            <w:tcW w:w="18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Arial" w:cs="Arial" w:eastAsia="Arial" w:hAnsi="Arial"/>
                <w:sz w:val="9"/>
                <w:szCs w:val="9"/>
                <w:color w:val="auto"/>
              </w:rPr>
              <w:t>(6)</w:t>
            </w:r>
          </w:p>
        </w:tc>
      </w:tr>
      <w:tr>
        <w:trPr>
          <w:trHeight w:val="223"/>
        </w:trPr>
        <w:tc>
          <w:tcPr>
            <w:tcW w:w="32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All Other Compensation</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xml:space="preserve">4,860 </w:t>
            </w:r>
            <w:r>
              <w:rPr>
                <w:rFonts w:ascii="Arial" w:cs="Arial" w:eastAsia="Arial" w:hAnsi="Arial"/>
                <w:sz w:val="18"/>
                <w:szCs w:val="18"/>
                <w:color w:val="auto"/>
                <w:vertAlign w:val="superscript"/>
              </w:rPr>
              <w:t>(8)</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4,860</w:t>
            </w:r>
          </w:p>
        </w:tc>
        <w:tc>
          <w:tcPr>
            <w:tcW w:w="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9"/>
                <w:szCs w:val="9"/>
                <w:color w:val="auto"/>
              </w:rPr>
              <w:t>(8)</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xml:space="preserve">4,860 </w:t>
            </w:r>
            <w:r>
              <w:rPr>
                <w:rFonts w:ascii="Arial" w:cs="Arial" w:eastAsia="Arial" w:hAnsi="Arial"/>
                <w:sz w:val="18"/>
                <w:szCs w:val="18"/>
                <w:color w:val="auto"/>
                <w:vertAlign w:val="superscript"/>
              </w:rPr>
              <w:t>(8)</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 xml:space="preserve">74,119 </w:t>
            </w:r>
            <w:r>
              <w:rPr>
                <w:rFonts w:ascii="Arial" w:cs="Arial" w:eastAsia="Arial" w:hAnsi="Arial"/>
                <w:sz w:val="18"/>
                <w:szCs w:val="18"/>
                <w:color w:val="auto"/>
                <w:vertAlign w:val="superscript"/>
              </w:rPr>
              <w:t>(13)</w:t>
            </w:r>
          </w:p>
        </w:tc>
        <w:tc>
          <w:tcPr>
            <w:tcW w:w="16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4"/>
                <w:szCs w:val="14"/>
                <w:color w:val="auto"/>
              </w:rPr>
              <w:t>108,379</w:t>
            </w:r>
            <w:r>
              <w:rPr>
                <w:rFonts w:ascii="Arial" w:cs="Arial" w:eastAsia="Arial" w:hAnsi="Arial"/>
                <w:sz w:val="18"/>
                <w:szCs w:val="18"/>
                <w:color w:val="auto"/>
                <w:vertAlign w:val="superscript"/>
              </w:rPr>
              <w:t>(14)</w:t>
            </w:r>
          </w:p>
        </w:tc>
      </w:tr>
      <w:tr>
        <w:trPr>
          <w:trHeight w:val="203"/>
        </w:trPr>
        <w:tc>
          <w:tcPr>
            <w:tcW w:w="3200" w:type="dxa"/>
            <w:vAlign w:val="bottom"/>
            <w:tcBorders>
              <w:left w:val="single" w:sz="8" w:color="auto"/>
              <w:bottom w:val="single" w:sz="8" w:color="E5E5E5"/>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Total</w:t>
            </w:r>
          </w:p>
        </w:tc>
        <w:tc>
          <w:tcPr>
            <w:tcW w:w="1600" w:type="dxa"/>
            <w:vAlign w:val="bottom"/>
            <w:tcBorders>
              <w:bottom w:val="single" w:sz="8" w:color="E5E5E5"/>
              <w:right w:val="single" w:sz="8" w:color="auto"/>
            </w:tcBorders>
            <w:shd w:val="clear" w:color="auto" w:fill="E5E5E5"/>
          </w:tcPr>
          <w:p>
            <w:pPr>
              <w:jc w:val="right"/>
              <w:ind w:right="308"/>
              <w:spacing w:after="0"/>
              <w:rPr>
                <w:sz w:val="20"/>
                <w:szCs w:val="20"/>
                <w:color w:val="auto"/>
              </w:rPr>
            </w:pPr>
            <w:r>
              <w:rPr>
                <w:rFonts w:ascii="Arial" w:cs="Arial" w:eastAsia="Arial" w:hAnsi="Arial"/>
                <w:sz w:val="14"/>
                <w:szCs w:val="14"/>
                <w:color w:val="auto"/>
              </w:rPr>
              <w:t>4,860</w:t>
            </w:r>
          </w:p>
        </w:tc>
        <w:tc>
          <w:tcPr>
            <w:tcW w:w="1440" w:type="dxa"/>
            <w:vAlign w:val="bottom"/>
            <w:tcBorders>
              <w:bottom w:val="single" w:sz="8" w:color="E5E5E5"/>
            </w:tcBorders>
            <w:shd w:val="clear" w:color="auto" w:fill="E5E5E5"/>
          </w:tcPr>
          <w:p>
            <w:pPr>
              <w:jc w:val="right"/>
              <w:ind w:right="148"/>
              <w:spacing w:after="0"/>
              <w:rPr>
                <w:sz w:val="20"/>
                <w:szCs w:val="20"/>
                <w:color w:val="auto"/>
              </w:rPr>
            </w:pPr>
            <w:r>
              <w:rPr>
                <w:rFonts w:ascii="Arial" w:cs="Arial" w:eastAsia="Arial" w:hAnsi="Arial"/>
                <w:sz w:val="14"/>
                <w:szCs w:val="14"/>
                <w:color w:val="auto"/>
              </w:rPr>
              <w:t>4,298,875</w:t>
            </w:r>
          </w:p>
        </w:tc>
        <w:tc>
          <w:tcPr>
            <w:tcW w:w="180" w:type="dxa"/>
            <w:vAlign w:val="bottom"/>
            <w:tcBorders>
              <w:bottom w:val="single" w:sz="8" w:color="E5E5E5"/>
              <w:right w:val="single" w:sz="8" w:color="auto"/>
            </w:tcBorders>
            <w:shd w:val="clear" w:color="auto" w:fill="E5E5E5"/>
          </w:tcPr>
          <w:p>
            <w:pPr>
              <w:spacing w:after="0"/>
              <w:rPr>
                <w:sz w:val="17"/>
                <w:szCs w:val="17"/>
                <w:color w:val="auto"/>
              </w:rPr>
            </w:pPr>
          </w:p>
        </w:tc>
        <w:tc>
          <w:tcPr>
            <w:tcW w:w="1600" w:type="dxa"/>
            <w:vAlign w:val="bottom"/>
            <w:tcBorders>
              <w:bottom w:val="single" w:sz="8" w:color="E5E5E5"/>
              <w:right w:val="single" w:sz="8" w:color="auto"/>
            </w:tcBorders>
            <w:shd w:val="clear" w:color="auto" w:fill="E5E5E5"/>
          </w:tcPr>
          <w:p>
            <w:pPr>
              <w:jc w:val="right"/>
              <w:ind w:right="348"/>
              <w:spacing w:after="0"/>
              <w:rPr>
                <w:sz w:val="20"/>
                <w:szCs w:val="20"/>
                <w:color w:val="auto"/>
              </w:rPr>
            </w:pPr>
            <w:r>
              <w:rPr>
                <w:rFonts w:ascii="Arial" w:cs="Arial" w:eastAsia="Arial" w:hAnsi="Arial"/>
                <w:sz w:val="14"/>
                <w:szCs w:val="14"/>
                <w:color w:val="auto"/>
              </w:rPr>
              <w:t>4,298,875</w:t>
            </w:r>
          </w:p>
        </w:tc>
        <w:tc>
          <w:tcPr>
            <w:tcW w:w="1600" w:type="dxa"/>
            <w:vAlign w:val="bottom"/>
            <w:tcBorders>
              <w:bottom w:val="single" w:sz="8" w:color="E5E5E5"/>
              <w:right w:val="single" w:sz="8" w:color="auto"/>
            </w:tcBorders>
            <w:shd w:val="clear" w:color="auto" w:fill="E5E5E5"/>
          </w:tcPr>
          <w:p>
            <w:pPr>
              <w:jc w:val="right"/>
              <w:ind w:right="328"/>
              <w:spacing w:after="0"/>
              <w:rPr>
                <w:sz w:val="20"/>
                <w:szCs w:val="20"/>
                <w:color w:val="auto"/>
              </w:rPr>
            </w:pPr>
            <w:r>
              <w:rPr>
                <w:rFonts w:ascii="Arial" w:cs="Arial" w:eastAsia="Arial" w:hAnsi="Arial"/>
                <w:sz w:val="14"/>
                <w:szCs w:val="14"/>
                <w:color w:val="auto"/>
              </w:rPr>
              <w:t>2,229,803</w:t>
            </w:r>
          </w:p>
        </w:tc>
        <w:tc>
          <w:tcPr>
            <w:tcW w:w="1440" w:type="dxa"/>
            <w:vAlign w:val="bottom"/>
            <w:tcBorders>
              <w:bottom w:val="single" w:sz="8" w:color="E5E5E5"/>
            </w:tcBorders>
            <w:shd w:val="clear" w:color="auto" w:fill="E5E5E5"/>
          </w:tcPr>
          <w:p>
            <w:pPr>
              <w:jc w:val="right"/>
              <w:ind w:right="148"/>
              <w:spacing w:after="0"/>
              <w:rPr>
                <w:sz w:val="20"/>
                <w:szCs w:val="20"/>
                <w:color w:val="auto"/>
              </w:rPr>
            </w:pPr>
            <w:r>
              <w:rPr>
                <w:rFonts w:ascii="Arial" w:cs="Arial" w:eastAsia="Arial" w:hAnsi="Arial"/>
                <w:sz w:val="14"/>
                <w:szCs w:val="14"/>
                <w:color w:val="auto"/>
              </w:rPr>
              <w:t>6,405,882</w:t>
            </w:r>
          </w:p>
        </w:tc>
        <w:tc>
          <w:tcPr>
            <w:tcW w:w="180" w:type="dxa"/>
            <w:vAlign w:val="bottom"/>
            <w:tcBorders>
              <w:bottom w:val="single" w:sz="8" w:color="E5E5E5"/>
              <w:right w:val="single" w:sz="8" w:color="auto"/>
            </w:tcBorders>
            <w:shd w:val="clear" w:color="auto" w:fill="E5E5E5"/>
          </w:tcPr>
          <w:p>
            <w:pPr>
              <w:spacing w:after="0"/>
              <w:rPr>
                <w:sz w:val="17"/>
                <w:szCs w:val="17"/>
                <w:color w:val="auto"/>
              </w:rPr>
            </w:pPr>
          </w:p>
        </w:tc>
      </w:tr>
      <w:tr>
        <w:trPr>
          <w:trHeight w:val="20"/>
        </w:trPr>
        <w:tc>
          <w:tcPr>
            <w:tcW w:w="3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0" w:type="dxa"/>
            <w:vAlign w:val="bottom"/>
            <w:tcBorders>
              <w:right w:val="single" w:sz="8" w:color="auto"/>
            </w:tcBorders>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0" w:type="dxa"/>
            <w:vAlign w:val="bottom"/>
            <w:tcBorders>
              <w:right w:val="single" w:sz="8" w:color="auto"/>
            </w:tcBorders>
            <w:shd w:val="clear" w:color="auto" w:fill="000000"/>
          </w:tcPr>
          <w:p>
            <w:pPr>
              <w:spacing w:after="0" w:line="20" w:lineRule="exact"/>
              <w:rPr>
                <w:sz w:val="1"/>
                <w:szCs w:val="1"/>
                <w:color w:val="auto"/>
              </w:rPr>
            </w:pPr>
          </w:p>
        </w:tc>
        <w:tc>
          <w:tcPr>
            <w:tcW w:w="1600" w:type="dxa"/>
            <w:vAlign w:val="bottom"/>
            <w:tcBorders>
              <w:right w:val="single" w:sz="8" w:color="auto"/>
            </w:tcBorders>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r>
    </w:tbl>
    <w:p>
      <w:pPr>
        <w:spacing w:after="0" w:line="171"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Two times current base salary.</w:t>
      </w:r>
    </w:p>
    <w:p>
      <w:pPr>
        <w:spacing w:after="0" w:line="66" w:lineRule="exact"/>
        <w:rPr>
          <w:rFonts w:ascii="Arial" w:cs="Arial" w:eastAsia="Arial" w:hAnsi="Arial"/>
          <w:sz w:val="13"/>
          <w:szCs w:val="13"/>
          <w:color w:val="auto"/>
        </w:rPr>
      </w:pPr>
    </w:p>
    <w:p>
      <w:pPr>
        <w:ind w:left="320" w:hanging="312"/>
        <w:spacing w:after="0"/>
        <w:tabs>
          <w:tab w:leader="none" w:pos="3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Three times current base salary.</w:t>
      </w:r>
    </w:p>
    <w:p>
      <w:pPr>
        <w:spacing w:after="0" w:line="53" w:lineRule="exact"/>
        <w:rPr>
          <w:rFonts w:ascii="Arial" w:cs="Arial" w:eastAsia="Arial" w:hAnsi="Arial"/>
          <w:sz w:val="13"/>
          <w:szCs w:val="13"/>
          <w:color w:val="auto"/>
        </w:rPr>
      </w:pPr>
    </w:p>
    <w:p>
      <w:pPr>
        <w:ind w:left="320" w:hanging="312"/>
        <w:spacing w:after="0"/>
        <w:tabs>
          <w:tab w:leader="none" w:pos="3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Reflects annual bonus, which is equal to a pro-rated portion of the highest of actual bonus for year preceding termination or current-year target bonus.</w:t>
      </w:r>
    </w:p>
    <w:p>
      <w:pPr>
        <w:spacing w:after="0" w:line="53" w:lineRule="exact"/>
        <w:rPr>
          <w:rFonts w:ascii="Arial" w:cs="Arial" w:eastAsia="Arial" w:hAnsi="Arial"/>
          <w:sz w:val="13"/>
          <w:szCs w:val="13"/>
          <w:color w:val="auto"/>
        </w:rPr>
      </w:pPr>
    </w:p>
    <w:p>
      <w:pPr>
        <w:jc w:val="both"/>
        <w:ind w:left="340" w:hanging="332"/>
        <w:spacing w:after="0" w:line="251" w:lineRule="auto"/>
        <w:tabs>
          <w:tab w:leader="none" w:pos="332" w:val="left"/>
        </w:tabs>
        <w:numPr>
          <w:ilvl w:val="0"/>
          <w:numId w:val="46"/>
        </w:numPr>
        <w:rPr>
          <w:rFonts w:ascii="Arial" w:cs="Arial" w:eastAsia="Arial" w:hAnsi="Arial"/>
          <w:sz w:val="13"/>
          <w:szCs w:val="13"/>
          <w:color w:val="auto"/>
        </w:rPr>
      </w:pPr>
      <w:r>
        <w:rPr>
          <w:rFonts w:ascii="Arial" w:cs="Arial" w:eastAsia="Arial" w:hAnsi="Arial"/>
          <w:sz w:val="13"/>
          <w:szCs w:val="13"/>
          <w:color w:val="auto"/>
        </w:rPr>
        <w:t>Two times annual bonus, which is equal to the highest of actual bonus for year preceding termination or current-year target bonus plus the amount, if any, that the bonus that would have been paid to the executive for the bonus plan year in which such termination of employment occurs, based on the performance level actually attained, exceeds the amount payable under the highest of prior actual or current target bonus.</w:t>
      </w:r>
    </w:p>
    <w:p>
      <w:pPr>
        <w:spacing w:after="0" w:line="30" w:lineRule="exact"/>
        <w:rPr>
          <w:rFonts w:ascii="Arial" w:cs="Arial" w:eastAsia="Arial" w:hAnsi="Arial"/>
          <w:sz w:val="13"/>
          <w:szCs w:val="13"/>
          <w:color w:val="auto"/>
        </w:rPr>
      </w:pPr>
    </w:p>
    <w:p>
      <w:pPr>
        <w:jc w:val="both"/>
        <w:ind w:left="340" w:right="20" w:hanging="332"/>
        <w:spacing w:after="0" w:line="262" w:lineRule="auto"/>
        <w:tabs>
          <w:tab w:leader="none" w:pos="332"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Three times annual bonus, which is equal to the highest of actual bonus for year preceding termination or current year target bonus plus the amount, if any, that the bonus that would have been paid to the executive for the bonus plan year in which such termination of employment occurs, based on the performance level actually attained, exceeds the amount payable under the highest of prior actual or current target bonus.</w:t>
      </w:r>
    </w:p>
    <w:p>
      <w:pPr>
        <w:spacing w:after="0" w:line="23" w:lineRule="exact"/>
        <w:rPr>
          <w:rFonts w:ascii="Arial" w:cs="Arial" w:eastAsia="Arial" w:hAnsi="Arial"/>
          <w:sz w:val="13"/>
          <w:szCs w:val="13"/>
          <w:color w:val="auto"/>
        </w:rPr>
      </w:pPr>
    </w:p>
    <w:p>
      <w:pPr>
        <w:ind w:left="320" w:hanging="312"/>
        <w:spacing w:after="0"/>
        <w:tabs>
          <w:tab w:leader="none" w:pos="3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Represents the accelerated vesting of all unvested PSUs (at assumed target performance level), RSUs, and Options.</w:t>
      </w:r>
    </w:p>
    <w:p>
      <w:pPr>
        <w:spacing w:after="0" w:line="53" w:lineRule="exact"/>
        <w:rPr>
          <w:rFonts w:ascii="Arial" w:cs="Arial" w:eastAsia="Arial" w:hAnsi="Arial"/>
          <w:sz w:val="13"/>
          <w:szCs w:val="13"/>
          <w:color w:val="auto"/>
        </w:rPr>
      </w:pPr>
    </w:p>
    <w:p>
      <w:pPr>
        <w:ind w:left="340" w:hanging="332"/>
        <w:spacing w:after="0" w:line="264" w:lineRule="auto"/>
        <w:tabs>
          <w:tab w:leader="none" w:pos="332"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Represents the accelerated vesting of all unvested PSUs (at assumed target performance level), RSUs, and Options, which would have otherwise vested within two years of termination for Mr. Lowe and within one year for Mr. Carano, Mr. Data, Mr. Swann, and Mr. McClenaghan.</w:t>
      </w:r>
    </w:p>
    <w:p>
      <w:pPr>
        <w:spacing w:after="0" w:line="35" w:lineRule="exact"/>
        <w:rPr>
          <w:rFonts w:ascii="Arial" w:cs="Arial" w:eastAsia="Arial" w:hAnsi="Arial"/>
          <w:sz w:val="13"/>
          <w:szCs w:val="13"/>
          <w:color w:val="auto"/>
        </w:rPr>
      </w:pPr>
    </w:p>
    <w:p>
      <w:pPr>
        <w:ind w:left="340" w:right="20" w:hanging="332"/>
        <w:spacing w:after="0" w:line="264" w:lineRule="auto"/>
        <w:tabs>
          <w:tab w:leader="none" w:pos="332" w:val="left"/>
        </w:tabs>
        <w:numPr>
          <w:ilvl w:val="0"/>
          <w:numId w:val="46"/>
        </w:numPr>
        <w:rPr>
          <w:rFonts w:ascii="Arial" w:cs="Arial" w:eastAsia="Arial" w:hAnsi="Arial"/>
          <w:sz w:val="13"/>
          <w:szCs w:val="13"/>
          <w:color w:val="auto"/>
        </w:rPr>
      </w:pPr>
      <w:r>
        <w:rPr>
          <w:rFonts w:ascii="Arial" w:cs="Arial" w:eastAsia="Arial" w:hAnsi="Arial"/>
          <w:sz w:val="13"/>
          <w:szCs w:val="13"/>
          <w:color w:val="auto"/>
        </w:rPr>
        <w:t>Other compensation includes a payout, in lieu of unused vacation accrued through December 2024, as a result of a change in paid time-off policies affecting all relevant employees, which change was adopted in December 2022.</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Sum of other compensation for Mr. Lowe includes:</w:t>
      </w:r>
    </w:p>
    <w:p>
      <w:pPr>
        <w:spacing w:after="0" w:line="53" w:lineRule="exact"/>
        <w:rPr>
          <w:rFonts w:ascii="Arial" w:cs="Arial" w:eastAsia="Arial" w:hAnsi="Arial"/>
          <w:sz w:val="13"/>
          <w:szCs w:val="13"/>
          <w:color w:val="auto"/>
        </w:rPr>
      </w:pPr>
    </w:p>
    <w:p>
      <w:pPr>
        <w:ind w:left="500" w:hanging="168"/>
        <w:spacing w:after="0" w:line="264" w:lineRule="auto"/>
        <w:tabs>
          <w:tab w:leader="none" w:pos="490" w:val="left"/>
        </w:tabs>
        <w:numPr>
          <w:ilvl w:val="1"/>
          <w:numId w:val="46"/>
        </w:numPr>
        <w:rPr>
          <w:rFonts w:ascii="Arial" w:cs="Arial" w:eastAsia="Arial" w:hAnsi="Arial"/>
          <w:sz w:val="13"/>
          <w:szCs w:val="13"/>
          <w:color w:val="auto"/>
        </w:rPr>
      </w:pPr>
      <w:r>
        <w:rPr>
          <w:rFonts w:ascii="Arial" w:cs="Arial" w:eastAsia="Arial" w:hAnsi="Arial"/>
          <w:sz w:val="13"/>
          <w:szCs w:val="13"/>
          <w:color w:val="auto"/>
        </w:rPr>
        <w:t>Payout in lieu of unused vacation accrued through December 2024 as a result of a change in paid time-off policies affecting all relevant employees, which change was adopted in December 2022.</w:t>
      </w:r>
    </w:p>
    <w:p>
      <w:pPr>
        <w:spacing w:after="0" w:line="35" w:lineRule="exact"/>
        <w:rPr>
          <w:rFonts w:ascii="Arial" w:cs="Arial" w:eastAsia="Arial" w:hAnsi="Arial"/>
          <w:sz w:val="13"/>
          <w:szCs w:val="13"/>
          <w:color w:val="auto"/>
        </w:rPr>
      </w:pPr>
    </w:p>
    <w:p>
      <w:pPr>
        <w:ind w:left="480" w:hanging="148"/>
        <w:spacing w:after="0"/>
        <w:tabs>
          <w:tab w:leader="none" w:pos="480" w:val="left"/>
        </w:tabs>
        <w:numPr>
          <w:ilvl w:val="1"/>
          <w:numId w:val="46"/>
        </w:numPr>
        <w:rPr>
          <w:rFonts w:ascii="Arial" w:cs="Arial" w:eastAsia="Arial" w:hAnsi="Arial"/>
          <w:sz w:val="13"/>
          <w:szCs w:val="13"/>
          <w:color w:val="auto"/>
        </w:rPr>
      </w:pPr>
      <w:r>
        <w:rPr>
          <w:rFonts w:ascii="Arial" w:cs="Arial" w:eastAsia="Arial" w:hAnsi="Arial"/>
          <w:sz w:val="13"/>
          <w:szCs w:val="13"/>
          <w:color w:val="auto"/>
        </w:rPr>
        <w:t>Maximum outplacement benefit for involuntary termination of $50,000.</w:t>
      </w:r>
    </w:p>
    <w:p>
      <w:pPr>
        <w:spacing w:after="0" w:line="53" w:lineRule="exact"/>
        <w:rPr>
          <w:rFonts w:ascii="Arial" w:cs="Arial" w:eastAsia="Arial" w:hAnsi="Arial"/>
          <w:sz w:val="13"/>
          <w:szCs w:val="13"/>
          <w:color w:val="auto"/>
        </w:rPr>
      </w:pPr>
    </w:p>
    <w:p>
      <w:pPr>
        <w:ind w:left="480" w:hanging="148"/>
        <w:spacing w:after="0"/>
        <w:tabs>
          <w:tab w:leader="none" w:pos="480" w:val="left"/>
        </w:tabs>
        <w:numPr>
          <w:ilvl w:val="1"/>
          <w:numId w:val="46"/>
        </w:numPr>
        <w:rPr>
          <w:rFonts w:ascii="Arial" w:cs="Arial" w:eastAsia="Arial" w:hAnsi="Arial"/>
          <w:sz w:val="13"/>
          <w:szCs w:val="13"/>
          <w:color w:val="auto"/>
        </w:rPr>
      </w:pPr>
      <w:r>
        <w:rPr>
          <w:rFonts w:ascii="Arial" w:cs="Arial" w:eastAsia="Arial" w:hAnsi="Arial"/>
          <w:sz w:val="13"/>
          <w:szCs w:val="13"/>
          <w:color w:val="auto"/>
        </w:rPr>
        <w:t>The Company will reimburse premiums paid over benefit continuation period. Value shown represents group term life imputed income in year preceding termination.</w:t>
      </w:r>
    </w:p>
    <w:p>
      <w:pPr>
        <w:spacing w:after="0" w:line="53" w:lineRule="exact"/>
        <w:rPr>
          <w:rFonts w:ascii="Arial" w:cs="Arial" w:eastAsia="Arial" w:hAnsi="Arial"/>
          <w:sz w:val="13"/>
          <w:szCs w:val="13"/>
          <w:color w:val="auto"/>
        </w:rPr>
      </w:pPr>
    </w:p>
    <w:p>
      <w:pPr>
        <w:ind w:left="480" w:hanging="148"/>
        <w:spacing w:after="0"/>
        <w:tabs>
          <w:tab w:leader="none" w:pos="480" w:val="left"/>
        </w:tabs>
        <w:numPr>
          <w:ilvl w:val="1"/>
          <w:numId w:val="46"/>
        </w:numPr>
        <w:rPr>
          <w:rFonts w:ascii="Arial" w:cs="Arial" w:eastAsia="Arial" w:hAnsi="Arial"/>
          <w:sz w:val="13"/>
          <w:szCs w:val="13"/>
          <w:color w:val="auto"/>
        </w:rPr>
      </w:pPr>
      <w:r>
        <w:rPr>
          <w:rFonts w:ascii="Arial" w:cs="Arial" w:eastAsia="Arial" w:hAnsi="Arial"/>
          <w:sz w:val="13"/>
          <w:szCs w:val="13"/>
          <w:color w:val="auto"/>
        </w:rPr>
        <w:t>The Company cost of health and welfare benefit continuation for 2 years.</w:t>
      </w:r>
    </w:p>
    <w:p>
      <w:pPr>
        <w:spacing w:after="0" w:line="53" w:lineRule="exact"/>
        <w:rPr>
          <w:rFonts w:ascii="Arial" w:cs="Arial" w:eastAsia="Arial" w:hAnsi="Arial"/>
          <w:sz w:val="13"/>
          <w:szCs w:val="13"/>
          <w:color w:val="auto"/>
        </w:rPr>
      </w:pPr>
    </w:p>
    <w:p>
      <w:pPr>
        <w:ind w:left="480" w:hanging="148"/>
        <w:spacing w:after="0"/>
        <w:tabs>
          <w:tab w:leader="none" w:pos="480" w:val="left"/>
        </w:tabs>
        <w:numPr>
          <w:ilvl w:val="1"/>
          <w:numId w:val="46"/>
        </w:numPr>
        <w:rPr>
          <w:rFonts w:ascii="Arial" w:cs="Arial" w:eastAsia="Arial" w:hAnsi="Arial"/>
          <w:sz w:val="13"/>
          <w:szCs w:val="13"/>
          <w:color w:val="auto"/>
        </w:rPr>
      </w:pPr>
      <w:r>
        <w:rPr>
          <w:rFonts w:ascii="Arial" w:cs="Arial" w:eastAsia="Arial" w:hAnsi="Arial"/>
          <w:sz w:val="13"/>
          <w:szCs w:val="13"/>
          <w:color w:val="auto"/>
        </w:rPr>
        <w:t>The value of perquisites (annual physical, financial planning, and tax preparation) on the same basis as the executive was receiving in the year preceding termination for 2 years.</w:t>
      </w:r>
    </w:p>
    <w:p>
      <w:pPr>
        <w:spacing w:after="0" w:line="53" w:lineRule="exact"/>
        <w:rPr>
          <w:rFonts w:ascii="Arial" w:cs="Arial" w:eastAsia="Arial" w:hAnsi="Arial"/>
          <w:sz w:val="13"/>
          <w:szCs w:val="13"/>
          <w:color w:val="auto"/>
        </w:rPr>
      </w:pPr>
    </w:p>
    <w:p>
      <w:pPr>
        <w:ind w:left="320" w:hanging="312"/>
        <w:spacing w:after="0"/>
        <w:tabs>
          <w:tab w:leader="none" w:pos="3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Sum of other compensation for Mr. Lowe includes:</w:t>
      </w:r>
    </w:p>
    <w:p>
      <w:pPr>
        <w:spacing w:after="0" w:line="53" w:lineRule="exact"/>
        <w:rPr>
          <w:rFonts w:ascii="Arial" w:cs="Arial" w:eastAsia="Arial" w:hAnsi="Arial"/>
          <w:sz w:val="13"/>
          <w:szCs w:val="13"/>
          <w:color w:val="auto"/>
        </w:rPr>
      </w:pPr>
    </w:p>
    <w:p>
      <w:pPr>
        <w:ind w:left="500" w:hanging="168"/>
        <w:spacing w:after="0" w:line="286" w:lineRule="auto"/>
        <w:tabs>
          <w:tab w:leader="none" w:pos="490" w:val="left"/>
        </w:tabs>
        <w:numPr>
          <w:ilvl w:val="1"/>
          <w:numId w:val="46"/>
        </w:numPr>
        <w:rPr>
          <w:rFonts w:ascii="Arial" w:cs="Arial" w:eastAsia="Arial" w:hAnsi="Arial"/>
          <w:sz w:val="13"/>
          <w:szCs w:val="13"/>
          <w:color w:val="auto"/>
        </w:rPr>
      </w:pPr>
      <w:r>
        <w:rPr>
          <w:rFonts w:ascii="Arial" w:cs="Arial" w:eastAsia="Arial" w:hAnsi="Arial"/>
          <w:sz w:val="13"/>
          <w:szCs w:val="13"/>
          <w:color w:val="auto"/>
        </w:rPr>
        <w:t>Payout in lieu of unused vacation accrued through December 2024 as a result of a change in paid time-off policies affecting all relevant employees, which change was adopted in December 2022.</w:t>
      </w:r>
    </w:p>
    <w:p>
      <w:pPr>
        <w:spacing w:after="0" w:line="8" w:lineRule="exact"/>
        <w:rPr>
          <w:rFonts w:ascii="Arial" w:cs="Arial" w:eastAsia="Arial" w:hAnsi="Arial"/>
          <w:sz w:val="13"/>
          <w:szCs w:val="13"/>
          <w:color w:val="auto"/>
        </w:rPr>
      </w:pPr>
    </w:p>
    <w:p>
      <w:pPr>
        <w:ind w:left="480" w:hanging="148"/>
        <w:spacing w:after="0"/>
        <w:tabs>
          <w:tab w:leader="none" w:pos="480" w:val="left"/>
        </w:tabs>
        <w:numPr>
          <w:ilvl w:val="1"/>
          <w:numId w:val="46"/>
        </w:numPr>
        <w:rPr>
          <w:rFonts w:ascii="Arial" w:cs="Arial" w:eastAsia="Arial" w:hAnsi="Arial"/>
          <w:sz w:val="13"/>
          <w:szCs w:val="13"/>
          <w:color w:val="auto"/>
        </w:rPr>
      </w:pPr>
      <w:r>
        <w:rPr>
          <w:rFonts w:ascii="Arial" w:cs="Arial" w:eastAsia="Arial" w:hAnsi="Arial"/>
          <w:sz w:val="13"/>
          <w:szCs w:val="13"/>
          <w:color w:val="auto"/>
        </w:rPr>
        <w:t>Maximum outplacement benefit for involuntary termination of $50,000.</w:t>
      </w:r>
    </w:p>
    <w:p>
      <w:pPr>
        <w:spacing w:after="0" w:line="53" w:lineRule="exact"/>
        <w:rPr>
          <w:rFonts w:ascii="Arial" w:cs="Arial" w:eastAsia="Arial" w:hAnsi="Arial"/>
          <w:sz w:val="13"/>
          <w:szCs w:val="13"/>
          <w:color w:val="auto"/>
        </w:rPr>
      </w:pPr>
    </w:p>
    <w:p>
      <w:pPr>
        <w:ind w:left="480" w:hanging="148"/>
        <w:spacing w:after="0"/>
        <w:tabs>
          <w:tab w:leader="none" w:pos="480" w:val="left"/>
        </w:tabs>
        <w:numPr>
          <w:ilvl w:val="1"/>
          <w:numId w:val="46"/>
        </w:numPr>
        <w:rPr>
          <w:rFonts w:ascii="Arial" w:cs="Arial" w:eastAsia="Arial" w:hAnsi="Arial"/>
          <w:sz w:val="13"/>
          <w:szCs w:val="13"/>
          <w:color w:val="auto"/>
        </w:rPr>
      </w:pPr>
      <w:r>
        <w:rPr>
          <w:rFonts w:ascii="Arial" w:cs="Arial" w:eastAsia="Arial" w:hAnsi="Arial"/>
          <w:sz w:val="13"/>
          <w:szCs w:val="13"/>
          <w:color w:val="auto"/>
        </w:rPr>
        <w:t>The Company will reimburse premiums paid over benefit continuation period. Value shown represents group term life imputed income in year preceding termination.</w:t>
      </w:r>
    </w:p>
    <w:p>
      <w:pPr>
        <w:spacing w:after="0" w:line="53" w:lineRule="exact"/>
        <w:rPr>
          <w:rFonts w:ascii="Arial" w:cs="Arial" w:eastAsia="Arial" w:hAnsi="Arial"/>
          <w:sz w:val="13"/>
          <w:szCs w:val="13"/>
          <w:color w:val="auto"/>
        </w:rPr>
      </w:pPr>
    </w:p>
    <w:p>
      <w:pPr>
        <w:ind w:left="480" w:hanging="148"/>
        <w:spacing w:after="0"/>
        <w:tabs>
          <w:tab w:leader="none" w:pos="480" w:val="left"/>
        </w:tabs>
        <w:numPr>
          <w:ilvl w:val="1"/>
          <w:numId w:val="46"/>
        </w:numPr>
        <w:rPr>
          <w:rFonts w:ascii="Arial" w:cs="Arial" w:eastAsia="Arial" w:hAnsi="Arial"/>
          <w:sz w:val="13"/>
          <w:szCs w:val="13"/>
          <w:color w:val="auto"/>
        </w:rPr>
      </w:pPr>
      <w:r>
        <w:rPr>
          <w:rFonts w:ascii="Arial" w:cs="Arial" w:eastAsia="Arial" w:hAnsi="Arial"/>
          <w:sz w:val="13"/>
          <w:szCs w:val="13"/>
          <w:color w:val="auto"/>
        </w:rPr>
        <w:t>The full cost of health and welfare and vision benefit continuation for 3 years.</w:t>
      </w:r>
    </w:p>
    <w:p>
      <w:pPr>
        <w:spacing w:after="0" w:line="53" w:lineRule="exact"/>
        <w:rPr>
          <w:rFonts w:ascii="Arial" w:cs="Arial" w:eastAsia="Arial" w:hAnsi="Arial"/>
          <w:sz w:val="13"/>
          <w:szCs w:val="13"/>
          <w:color w:val="auto"/>
        </w:rPr>
      </w:pPr>
    </w:p>
    <w:p>
      <w:pPr>
        <w:ind w:left="480" w:hanging="148"/>
        <w:spacing w:after="0"/>
        <w:tabs>
          <w:tab w:leader="none" w:pos="480" w:val="left"/>
        </w:tabs>
        <w:numPr>
          <w:ilvl w:val="1"/>
          <w:numId w:val="46"/>
        </w:numPr>
        <w:rPr>
          <w:rFonts w:ascii="Arial" w:cs="Arial" w:eastAsia="Arial" w:hAnsi="Arial"/>
          <w:sz w:val="13"/>
          <w:szCs w:val="13"/>
          <w:color w:val="auto"/>
        </w:rPr>
      </w:pPr>
      <w:r>
        <w:rPr>
          <w:rFonts w:ascii="Arial" w:cs="Arial" w:eastAsia="Arial" w:hAnsi="Arial"/>
          <w:sz w:val="13"/>
          <w:szCs w:val="13"/>
          <w:color w:val="auto"/>
        </w:rPr>
        <w:t>The value of perquisites (annual physical, financial planning, and tax preparation) on the same basis as the executive was receiving in the year preceding termination for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610870</wp:posOffset>
            </wp:positionV>
            <wp:extent cx="403225" cy="146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0322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2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45</w:t>
            </w:r>
          </w:p>
        </w:tc>
      </w:tr>
      <w:tr>
        <w:trPr>
          <w:trHeight w:val="27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51" w:name="page52"/>
    <w:bookmarkEnd w:id="51"/>
    <w:p>
      <w:pPr>
        <w:ind w:left="20"/>
        <w:spacing w:after="0"/>
        <w:rPr>
          <w:sz w:val="20"/>
          <w:szCs w:val="20"/>
          <w:color w:val="auto"/>
        </w:rPr>
      </w:pPr>
      <w:r>
        <w:rPr>
          <w:rFonts w:ascii="Arial" w:cs="Arial" w:eastAsia="Arial" w:hAnsi="Arial"/>
          <w:sz w:val="14"/>
          <w:szCs w:val="14"/>
          <w:color w:val="004C9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One times current base salary.</w:t>
      </w:r>
    </w:p>
    <w:p>
      <w:pPr>
        <w:spacing w:after="0" w:line="53" w:lineRule="exact"/>
        <w:rPr>
          <w:rFonts w:ascii="Arial" w:cs="Arial" w:eastAsia="Arial" w:hAnsi="Arial"/>
          <w:sz w:val="13"/>
          <w:szCs w:val="13"/>
          <w:color w:val="auto"/>
        </w:rPr>
      </w:pPr>
    </w:p>
    <w:p>
      <w:pPr>
        <w:jc w:val="both"/>
        <w:ind w:left="340" w:hanging="332"/>
        <w:spacing w:after="0" w:line="262" w:lineRule="auto"/>
        <w:tabs>
          <w:tab w:leader="none" w:pos="334" w:val="left"/>
        </w:tabs>
        <w:numPr>
          <w:ilvl w:val="0"/>
          <w:numId w:val="47"/>
        </w:numPr>
        <w:rPr>
          <w:rFonts w:ascii="Arial" w:cs="Arial" w:eastAsia="Arial" w:hAnsi="Arial"/>
          <w:sz w:val="13"/>
          <w:szCs w:val="13"/>
          <w:color w:val="auto"/>
        </w:rPr>
      </w:pPr>
      <w:r>
        <w:rPr>
          <w:rFonts w:ascii="Arial" w:cs="Arial" w:eastAsia="Arial" w:hAnsi="Arial"/>
          <w:sz w:val="13"/>
          <w:szCs w:val="13"/>
          <w:color w:val="auto"/>
        </w:rPr>
        <w:t>One times annual bonus, which is equal to the highest of actual bonus for year preceding termination or current year target bonus plus the amount, if any, that the bonus that would have been paid to the executive for the bonus plan year in which such termination of employment occurs, based on the performance level actually attained, exceeds the amount payable under the highest of prior actual or current target bonus.</w:t>
      </w:r>
    </w:p>
    <w:p>
      <w:pPr>
        <w:spacing w:after="0" w:line="23" w:lineRule="exact"/>
        <w:rPr>
          <w:rFonts w:ascii="Arial" w:cs="Arial" w:eastAsia="Arial" w:hAnsi="Arial"/>
          <w:sz w:val="13"/>
          <w:szCs w:val="13"/>
          <w:color w:val="auto"/>
        </w:rPr>
      </w:pPr>
    </w:p>
    <w:p>
      <w:pPr>
        <w:ind w:left="320" w:hanging="312"/>
        <w:spacing w:after="0"/>
        <w:tabs>
          <w:tab w:leader="none" w:pos="3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Sum of other compensation for Mr. Carano, Mr. Data, Mr. Swann, and Mr. McClenaghan includes:</w:t>
      </w:r>
    </w:p>
    <w:p>
      <w:pPr>
        <w:spacing w:after="0" w:line="53" w:lineRule="exact"/>
        <w:rPr>
          <w:rFonts w:ascii="Arial" w:cs="Arial" w:eastAsia="Arial" w:hAnsi="Arial"/>
          <w:sz w:val="13"/>
          <w:szCs w:val="13"/>
          <w:color w:val="auto"/>
        </w:rPr>
      </w:pPr>
    </w:p>
    <w:p>
      <w:pPr>
        <w:ind w:left="500" w:hanging="168"/>
        <w:spacing w:after="0" w:line="264" w:lineRule="auto"/>
        <w:tabs>
          <w:tab w:leader="none" w:pos="490" w:val="left"/>
        </w:tabs>
        <w:numPr>
          <w:ilvl w:val="1"/>
          <w:numId w:val="47"/>
        </w:numPr>
        <w:rPr>
          <w:rFonts w:ascii="Arial" w:cs="Arial" w:eastAsia="Arial" w:hAnsi="Arial"/>
          <w:sz w:val="13"/>
          <w:szCs w:val="13"/>
          <w:color w:val="auto"/>
        </w:rPr>
      </w:pPr>
      <w:r>
        <w:rPr>
          <w:rFonts w:ascii="Arial" w:cs="Arial" w:eastAsia="Arial" w:hAnsi="Arial"/>
          <w:sz w:val="13"/>
          <w:szCs w:val="13"/>
          <w:color w:val="auto"/>
        </w:rPr>
        <w:t>Payout in lieu of unused vacation accrued through December 2024 as a result of a change in paid time-off policies affecting all relevant employees, which change was adopted in December 2022.</w:t>
      </w:r>
    </w:p>
    <w:p>
      <w:pPr>
        <w:spacing w:after="0" w:line="22" w:lineRule="exact"/>
        <w:rPr>
          <w:rFonts w:ascii="Arial" w:cs="Arial" w:eastAsia="Arial" w:hAnsi="Arial"/>
          <w:sz w:val="13"/>
          <w:szCs w:val="13"/>
          <w:color w:val="auto"/>
        </w:rPr>
      </w:pPr>
    </w:p>
    <w:p>
      <w:pPr>
        <w:ind w:left="480" w:hanging="148"/>
        <w:spacing w:after="0"/>
        <w:tabs>
          <w:tab w:leader="none" w:pos="480" w:val="left"/>
        </w:tabs>
        <w:numPr>
          <w:ilvl w:val="1"/>
          <w:numId w:val="47"/>
        </w:numPr>
        <w:rPr>
          <w:rFonts w:ascii="Arial" w:cs="Arial" w:eastAsia="Arial" w:hAnsi="Arial"/>
          <w:sz w:val="13"/>
          <w:szCs w:val="13"/>
          <w:color w:val="auto"/>
        </w:rPr>
      </w:pPr>
      <w:r>
        <w:rPr>
          <w:rFonts w:ascii="Arial" w:cs="Arial" w:eastAsia="Arial" w:hAnsi="Arial"/>
          <w:sz w:val="13"/>
          <w:szCs w:val="13"/>
          <w:color w:val="auto"/>
        </w:rPr>
        <w:t>Maximum outplacement benefit for involuntary termination of $35,000.</w:t>
      </w:r>
    </w:p>
    <w:p>
      <w:pPr>
        <w:spacing w:after="0" w:line="66" w:lineRule="exact"/>
        <w:rPr>
          <w:rFonts w:ascii="Arial" w:cs="Arial" w:eastAsia="Arial" w:hAnsi="Arial"/>
          <w:sz w:val="13"/>
          <w:szCs w:val="13"/>
          <w:color w:val="auto"/>
        </w:rPr>
      </w:pPr>
    </w:p>
    <w:p>
      <w:pPr>
        <w:ind w:left="480" w:hanging="148"/>
        <w:spacing w:after="0"/>
        <w:tabs>
          <w:tab w:leader="none" w:pos="480" w:val="left"/>
        </w:tabs>
        <w:numPr>
          <w:ilvl w:val="1"/>
          <w:numId w:val="47"/>
        </w:numPr>
        <w:rPr>
          <w:rFonts w:ascii="Arial" w:cs="Arial" w:eastAsia="Arial" w:hAnsi="Arial"/>
          <w:sz w:val="13"/>
          <w:szCs w:val="13"/>
          <w:color w:val="auto"/>
        </w:rPr>
      </w:pPr>
      <w:r>
        <w:rPr>
          <w:rFonts w:ascii="Arial" w:cs="Arial" w:eastAsia="Arial" w:hAnsi="Arial"/>
          <w:sz w:val="13"/>
          <w:szCs w:val="13"/>
          <w:color w:val="auto"/>
        </w:rPr>
        <w:t>The Company will reimburse premiums paid over benefit continuation period. Value shown represents group term life imputed income in year preceding termination.</w:t>
      </w:r>
    </w:p>
    <w:p>
      <w:pPr>
        <w:spacing w:after="0" w:line="53" w:lineRule="exact"/>
        <w:rPr>
          <w:rFonts w:ascii="Arial" w:cs="Arial" w:eastAsia="Arial" w:hAnsi="Arial"/>
          <w:sz w:val="13"/>
          <w:szCs w:val="13"/>
          <w:color w:val="auto"/>
        </w:rPr>
      </w:pPr>
    </w:p>
    <w:p>
      <w:pPr>
        <w:ind w:left="480" w:hanging="148"/>
        <w:spacing w:after="0"/>
        <w:tabs>
          <w:tab w:leader="none" w:pos="480" w:val="left"/>
        </w:tabs>
        <w:numPr>
          <w:ilvl w:val="1"/>
          <w:numId w:val="47"/>
        </w:numPr>
        <w:rPr>
          <w:rFonts w:ascii="Arial" w:cs="Arial" w:eastAsia="Arial" w:hAnsi="Arial"/>
          <w:sz w:val="13"/>
          <w:szCs w:val="13"/>
          <w:color w:val="auto"/>
        </w:rPr>
      </w:pPr>
      <w:r>
        <w:rPr>
          <w:rFonts w:ascii="Arial" w:cs="Arial" w:eastAsia="Arial" w:hAnsi="Arial"/>
          <w:sz w:val="13"/>
          <w:szCs w:val="13"/>
          <w:color w:val="auto"/>
        </w:rPr>
        <w:t>The Company cost of health and welfare benefit continuation for 1 year.</w:t>
      </w:r>
    </w:p>
    <w:p>
      <w:pPr>
        <w:spacing w:after="0" w:line="53" w:lineRule="exact"/>
        <w:rPr>
          <w:rFonts w:ascii="Arial" w:cs="Arial" w:eastAsia="Arial" w:hAnsi="Arial"/>
          <w:sz w:val="13"/>
          <w:szCs w:val="13"/>
          <w:color w:val="auto"/>
        </w:rPr>
      </w:pPr>
    </w:p>
    <w:p>
      <w:pPr>
        <w:ind w:left="480" w:hanging="148"/>
        <w:spacing w:after="0"/>
        <w:tabs>
          <w:tab w:leader="none" w:pos="480" w:val="left"/>
        </w:tabs>
        <w:numPr>
          <w:ilvl w:val="1"/>
          <w:numId w:val="47"/>
        </w:numPr>
        <w:rPr>
          <w:rFonts w:ascii="Arial" w:cs="Arial" w:eastAsia="Arial" w:hAnsi="Arial"/>
          <w:sz w:val="13"/>
          <w:szCs w:val="13"/>
          <w:color w:val="auto"/>
        </w:rPr>
      </w:pPr>
      <w:r>
        <w:rPr>
          <w:rFonts w:ascii="Arial" w:cs="Arial" w:eastAsia="Arial" w:hAnsi="Arial"/>
          <w:sz w:val="13"/>
          <w:szCs w:val="13"/>
          <w:color w:val="auto"/>
        </w:rPr>
        <w:t>The value of perquisites (annual physical, financial planning, and tax preparation) on the same basis as the executive was receiving in the year preceding termination for 1 year.</w:t>
      </w:r>
    </w:p>
    <w:p>
      <w:pPr>
        <w:spacing w:after="0" w:line="53" w:lineRule="exact"/>
        <w:rPr>
          <w:rFonts w:ascii="Arial" w:cs="Arial" w:eastAsia="Arial" w:hAnsi="Arial"/>
          <w:sz w:val="13"/>
          <w:szCs w:val="13"/>
          <w:color w:val="auto"/>
        </w:rPr>
      </w:pPr>
    </w:p>
    <w:p>
      <w:pPr>
        <w:ind w:left="320" w:hanging="312"/>
        <w:spacing w:after="0"/>
        <w:tabs>
          <w:tab w:leader="none" w:pos="3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Sum of other compensation for Mr. Carano, Mr. Data, Mr. Swann, and Mr. McClenaghan includes:</w:t>
      </w:r>
    </w:p>
    <w:p>
      <w:pPr>
        <w:spacing w:after="0" w:line="53" w:lineRule="exact"/>
        <w:rPr>
          <w:rFonts w:ascii="Arial" w:cs="Arial" w:eastAsia="Arial" w:hAnsi="Arial"/>
          <w:sz w:val="13"/>
          <w:szCs w:val="13"/>
          <w:color w:val="auto"/>
        </w:rPr>
      </w:pPr>
    </w:p>
    <w:p>
      <w:pPr>
        <w:ind w:left="500" w:hanging="168"/>
        <w:spacing w:after="0" w:line="264" w:lineRule="auto"/>
        <w:tabs>
          <w:tab w:leader="none" w:pos="490" w:val="left"/>
        </w:tabs>
        <w:numPr>
          <w:ilvl w:val="1"/>
          <w:numId w:val="47"/>
        </w:numPr>
        <w:rPr>
          <w:rFonts w:ascii="Arial" w:cs="Arial" w:eastAsia="Arial" w:hAnsi="Arial"/>
          <w:sz w:val="13"/>
          <w:szCs w:val="13"/>
          <w:color w:val="auto"/>
        </w:rPr>
      </w:pPr>
      <w:r>
        <w:rPr>
          <w:rFonts w:ascii="Arial" w:cs="Arial" w:eastAsia="Arial" w:hAnsi="Arial"/>
          <w:sz w:val="13"/>
          <w:szCs w:val="13"/>
          <w:color w:val="auto"/>
        </w:rPr>
        <w:t>Payout in lieu of unused vacation accrued through December 2024 as a result of a change in paid time-off policies affecting all relevant employees, which change was adopted in December 2022.</w:t>
      </w:r>
    </w:p>
    <w:p>
      <w:pPr>
        <w:spacing w:after="0" w:line="35" w:lineRule="exact"/>
        <w:rPr>
          <w:rFonts w:ascii="Arial" w:cs="Arial" w:eastAsia="Arial" w:hAnsi="Arial"/>
          <w:sz w:val="13"/>
          <w:szCs w:val="13"/>
          <w:color w:val="auto"/>
        </w:rPr>
      </w:pPr>
    </w:p>
    <w:p>
      <w:pPr>
        <w:ind w:left="480" w:hanging="148"/>
        <w:spacing w:after="0"/>
        <w:tabs>
          <w:tab w:leader="none" w:pos="480" w:val="left"/>
        </w:tabs>
        <w:numPr>
          <w:ilvl w:val="1"/>
          <w:numId w:val="47"/>
        </w:numPr>
        <w:rPr>
          <w:rFonts w:ascii="Arial" w:cs="Arial" w:eastAsia="Arial" w:hAnsi="Arial"/>
          <w:sz w:val="13"/>
          <w:szCs w:val="13"/>
          <w:color w:val="auto"/>
        </w:rPr>
      </w:pPr>
      <w:r>
        <w:rPr>
          <w:rFonts w:ascii="Arial" w:cs="Arial" w:eastAsia="Arial" w:hAnsi="Arial"/>
          <w:sz w:val="13"/>
          <w:szCs w:val="13"/>
          <w:color w:val="auto"/>
        </w:rPr>
        <w:t>Maximum outplacement benefit for involuntary termination of $35,000.</w:t>
      </w:r>
    </w:p>
    <w:p>
      <w:pPr>
        <w:spacing w:after="0" w:line="53" w:lineRule="exact"/>
        <w:rPr>
          <w:rFonts w:ascii="Arial" w:cs="Arial" w:eastAsia="Arial" w:hAnsi="Arial"/>
          <w:sz w:val="13"/>
          <w:szCs w:val="13"/>
          <w:color w:val="auto"/>
        </w:rPr>
      </w:pPr>
    </w:p>
    <w:p>
      <w:pPr>
        <w:ind w:left="480" w:hanging="148"/>
        <w:spacing w:after="0"/>
        <w:tabs>
          <w:tab w:leader="none" w:pos="480" w:val="left"/>
        </w:tabs>
        <w:numPr>
          <w:ilvl w:val="1"/>
          <w:numId w:val="47"/>
        </w:numPr>
        <w:rPr>
          <w:rFonts w:ascii="Arial" w:cs="Arial" w:eastAsia="Arial" w:hAnsi="Arial"/>
          <w:sz w:val="13"/>
          <w:szCs w:val="13"/>
          <w:color w:val="auto"/>
        </w:rPr>
      </w:pPr>
      <w:r>
        <w:rPr>
          <w:rFonts w:ascii="Arial" w:cs="Arial" w:eastAsia="Arial" w:hAnsi="Arial"/>
          <w:sz w:val="13"/>
          <w:szCs w:val="13"/>
          <w:color w:val="auto"/>
        </w:rPr>
        <w:t>The Company will reimburse premiums paid over benefit continuation period. Value shown represents group term life imputed income in year preceding termination.</w:t>
      </w:r>
    </w:p>
    <w:p>
      <w:pPr>
        <w:spacing w:after="0" w:line="53" w:lineRule="exact"/>
        <w:rPr>
          <w:rFonts w:ascii="Arial" w:cs="Arial" w:eastAsia="Arial" w:hAnsi="Arial"/>
          <w:sz w:val="13"/>
          <w:szCs w:val="13"/>
          <w:color w:val="auto"/>
        </w:rPr>
      </w:pPr>
    </w:p>
    <w:p>
      <w:pPr>
        <w:ind w:left="480" w:hanging="148"/>
        <w:spacing w:after="0"/>
        <w:tabs>
          <w:tab w:leader="none" w:pos="480" w:val="left"/>
        </w:tabs>
        <w:numPr>
          <w:ilvl w:val="1"/>
          <w:numId w:val="47"/>
        </w:numPr>
        <w:rPr>
          <w:rFonts w:ascii="Arial" w:cs="Arial" w:eastAsia="Arial" w:hAnsi="Arial"/>
          <w:sz w:val="13"/>
          <w:szCs w:val="13"/>
          <w:color w:val="auto"/>
        </w:rPr>
      </w:pPr>
      <w:r>
        <w:rPr>
          <w:rFonts w:ascii="Arial" w:cs="Arial" w:eastAsia="Arial" w:hAnsi="Arial"/>
          <w:sz w:val="13"/>
          <w:szCs w:val="13"/>
          <w:color w:val="auto"/>
        </w:rPr>
        <w:t>The full cost of health and welfare and vision benefit continuation for 2 years.</w:t>
      </w:r>
    </w:p>
    <w:p>
      <w:pPr>
        <w:spacing w:after="0" w:line="53" w:lineRule="exact"/>
        <w:rPr>
          <w:rFonts w:ascii="Arial" w:cs="Arial" w:eastAsia="Arial" w:hAnsi="Arial"/>
          <w:sz w:val="13"/>
          <w:szCs w:val="13"/>
          <w:color w:val="auto"/>
        </w:rPr>
      </w:pPr>
    </w:p>
    <w:p>
      <w:pPr>
        <w:ind w:left="480" w:hanging="148"/>
        <w:spacing w:after="0"/>
        <w:tabs>
          <w:tab w:leader="none" w:pos="480" w:val="left"/>
        </w:tabs>
        <w:numPr>
          <w:ilvl w:val="1"/>
          <w:numId w:val="47"/>
        </w:numPr>
        <w:rPr>
          <w:rFonts w:ascii="Arial" w:cs="Arial" w:eastAsia="Arial" w:hAnsi="Arial"/>
          <w:sz w:val="13"/>
          <w:szCs w:val="13"/>
          <w:color w:val="auto"/>
        </w:rPr>
      </w:pPr>
      <w:r>
        <w:rPr>
          <w:rFonts w:ascii="Arial" w:cs="Arial" w:eastAsia="Arial" w:hAnsi="Arial"/>
          <w:sz w:val="13"/>
          <w:szCs w:val="13"/>
          <w:color w:val="auto"/>
        </w:rPr>
        <w:t>The value of perquisites (annual physical, financial planning, and tax preparation) on the same basis as the executive was receiving in the year preceding termination for 2 years.</w:t>
      </w:r>
    </w:p>
    <w:p>
      <w:pPr>
        <w:spacing w:after="0" w:line="30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SEC rules require that we present a ratio of the total compensation of our CEO for 2024 to the total compensation received for 2024 by an identified median-compensated employee. These rules do not prescribe a particular method for identifying the median-compensated employee and permit companies to use reasonable methods for determining the median-compensated employee for the basis of presenting this ratio.</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2024 annual total compensation for the identified median-compensated employee was $65,381 and the annual total compensation of our CEO was $9,305,169. Based on this information, for 2024 the ratio of the annual total compensation of our CEO to that of the identified median-compensated employee was 142.3 to 1.</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To identify the median-compensated employee in 2024, we conducted a full analysis of our total employee population as of December 31, 2024, without the use of statistical sampling. We determined our median-compensated employee using “total compensation” paid during the full year 2024. “Total compensation” for this purpose consisted of gross wages which included base wages, overtime, shift differential, incentives, paid time off, and perquisites, as applicable. We did not annualize gross wages for employees who were not employed for the full year in 2024. For those employees located outside of the US, currencies were converted to US Dollars using the posted Bloomberg market rates as of December 31, 2024. In determining the pay ratio for 2024, we calculated the total compensation of the median-compensated employee using the same method used in calculating the total compensation of our CEO, as reported in the “Summary Compensation Table” on page 37.</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This pay ratio is a reasonable estimate calculated in a manner consistent with the applicable SEC rules using the data and method summarized above. As noted above, SEC rules for identifying the median-compensated employee allow companies to adopt a variety of methods to apply certain exclusions, and to make reasonable estimates and assumptions that reflect their compensation practices. As such, the median employee compensation amount and CEO pay ratio reported by other companies may not be comparable to the amount and ratio reported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650240</wp:posOffset>
            </wp:positionV>
            <wp:extent cx="402590" cy="146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0259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46</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52" w:name="page53"/>
    <w:bookmarkEnd w:id="52"/>
    <w:p>
      <w:pPr>
        <w:ind w:left="9220"/>
        <w:spacing w:after="0"/>
        <w:rPr>
          <w:sz w:val="20"/>
          <w:szCs w:val="20"/>
          <w:color w:val="auto"/>
        </w:rPr>
      </w:pPr>
      <w:r>
        <w:rPr>
          <w:rFonts w:ascii="Arial" w:cs="Arial" w:eastAsia="Arial" w:hAnsi="Arial"/>
          <w:sz w:val="14"/>
          <w:szCs w:val="14"/>
          <w:color w:val="004C9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4"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In accordance with rules adopted by the SEC pursuant to the Dodd-Frank Wall Street Reform and Consumer Protection Act of 2010, we provide the following disclosure regarding executive “Compensation Actually Paid” calculated in a manner prescribed by applicable SEC Rules and certain Company performance for the fiscal years listed below. As identified in the footnotes to the table, the determination of Compensation Actually Paid includes adjustments to reflect, among other things, period-to-period changes in the value of unvested equity awards. Accordingly, such amounts do not reflect the value of compensation actually delivered to, or received by, our executive officers in the period reported in the table, as the amount of actual compensation received by any executive officers depends on whether the executive officer satisfies the conditions for vesting of any such award, the extent to which performance conditions for performance-based awards are satisfied, and the value of our common stock on the date such awards vest (or, with respect to options, on the date that vested options are exercised). You should refer to “Compensation Discussion and Analysis” for a complete description of how executive compensation relates to Company performance and how the Compensation Committee makes its decisions.</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585"/>
        </w:trPr>
        <w:tc>
          <w:tcPr>
            <w:tcW w:w="780" w:type="dxa"/>
            <w:vAlign w:val="bottom"/>
            <w:tcBorders>
              <w:top w:val="single" w:sz="8" w:color="auto"/>
              <w:left w:val="single" w:sz="8" w:color="auto"/>
              <w:right w:val="single" w:sz="8" w:color="auto"/>
            </w:tcBorders>
            <w:shd w:val="clear" w:color="auto" w:fill="004C97"/>
          </w:tcPr>
          <w:p>
            <w:pPr>
              <w:spacing w:after="0"/>
              <w:rPr>
                <w:sz w:val="24"/>
                <w:szCs w:val="24"/>
                <w:color w:val="auto"/>
              </w:rPr>
            </w:pPr>
          </w:p>
        </w:tc>
        <w:tc>
          <w:tcPr>
            <w:tcW w:w="1420" w:type="dxa"/>
            <w:vAlign w:val="bottom"/>
            <w:tcBorders>
              <w:top w:val="single" w:sz="8" w:color="auto"/>
              <w:right w:val="single" w:sz="8" w:color="auto"/>
            </w:tcBorders>
            <w:shd w:val="clear" w:color="auto" w:fill="004C97"/>
          </w:tcPr>
          <w:p>
            <w:pPr>
              <w:spacing w:after="0"/>
              <w:rPr>
                <w:sz w:val="24"/>
                <w:szCs w:val="24"/>
                <w:color w:val="auto"/>
              </w:rPr>
            </w:pPr>
          </w:p>
        </w:tc>
        <w:tc>
          <w:tcPr>
            <w:tcW w:w="1440" w:type="dxa"/>
            <w:vAlign w:val="bottom"/>
            <w:tcBorders>
              <w:top w:val="single" w:sz="8" w:color="auto"/>
              <w:right w:val="single" w:sz="8" w:color="auto"/>
            </w:tcBorders>
            <w:shd w:val="clear" w:color="auto" w:fill="004C97"/>
          </w:tcPr>
          <w:p>
            <w:pPr>
              <w:spacing w:after="0"/>
              <w:rPr>
                <w:sz w:val="24"/>
                <w:szCs w:val="24"/>
                <w:color w:val="auto"/>
              </w:rPr>
            </w:pPr>
          </w:p>
        </w:tc>
        <w:tc>
          <w:tcPr>
            <w:tcW w:w="1440" w:type="dxa"/>
            <w:vAlign w:val="bottom"/>
            <w:tcBorders>
              <w:top w:val="single" w:sz="8" w:color="auto"/>
              <w:right w:val="single" w:sz="8" w:color="auto"/>
            </w:tcBorders>
            <w:shd w:val="clear" w:color="auto" w:fill="004C97"/>
          </w:tcPr>
          <w:p>
            <w:pPr>
              <w:spacing w:after="0"/>
              <w:rPr>
                <w:sz w:val="24"/>
                <w:szCs w:val="24"/>
                <w:color w:val="auto"/>
              </w:rPr>
            </w:pPr>
          </w:p>
        </w:tc>
        <w:tc>
          <w:tcPr>
            <w:tcW w:w="1440" w:type="dxa"/>
            <w:vAlign w:val="bottom"/>
            <w:tcBorders>
              <w:top w:val="single" w:sz="8" w:color="auto"/>
              <w:right w:val="single" w:sz="8" w:color="auto"/>
            </w:tcBorders>
            <w:shd w:val="clear" w:color="auto" w:fill="004C97"/>
          </w:tcPr>
          <w:p>
            <w:pPr>
              <w:spacing w:after="0"/>
              <w:rPr>
                <w:sz w:val="24"/>
                <w:szCs w:val="24"/>
                <w:color w:val="auto"/>
              </w:rPr>
            </w:pPr>
          </w:p>
        </w:tc>
        <w:tc>
          <w:tcPr>
            <w:tcW w:w="2520" w:type="dxa"/>
            <w:vAlign w:val="bottom"/>
            <w:tcBorders>
              <w:top w:val="single" w:sz="8" w:color="auto"/>
              <w:right w:val="single" w:sz="8" w:color="auto"/>
            </w:tcBorders>
            <w:gridSpan w:val="2"/>
            <w:shd w:val="clear" w:color="auto" w:fill="004C97"/>
          </w:tcPr>
          <w:p>
            <w:pPr>
              <w:jc w:val="center"/>
              <w:spacing w:after="0"/>
              <w:rPr>
                <w:sz w:val="20"/>
                <w:szCs w:val="20"/>
                <w:color w:val="auto"/>
              </w:rPr>
            </w:pPr>
            <w:r>
              <w:rPr>
                <w:rFonts w:ascii="Arial" w:cs="Arial" w:eastAsia="Arial" w:hAnsi="Arial"/>
                <w:sz w:val="14"/>
                <w:szCs w:val="14"/>
                <w:b w:val="1"/>
                <w:bCs w:val="1"/>
                <w:color w:val="FFFFFF"/>
              </w:rPr>
              <w:t>Value of Initial Fixed $100</w:t>
            </w:r>
          </w:p>
        </w:tc>
        <w:tc>
          <w:tcPr>
            <w:tcW w:w="1000" w:type="dxa"/>
            <w:vAlign w:val="bottom"/>
            <w:tcBorders>
              <w:top w:val="single" w:sz="8" w:color="auto"/>
              <w:right w:val="single" w:sz="8" w:color="auto"/>
            </w:tcBorders>
            <w:shd w:val="clear" w:color="auto" w:fill="004C97"/>
          </w:tcPr>
          <w:p>
            <w:pPr>
              <w:spacing w:after="0"/>
              <w:rPr>
                <w:sz w:val="24"/>
                <w:szCs w:val="24"/>
                <w:color w:val="auto"/>
              </w:rPr>
            </w:pPr>
          </w:p>
        </w:tc>
        <w:tc>
          <w:tcPr>
            <w:tcW w:w="1220" w:type="dxa"/>
            <w:vAlign w:val="bottom"/>
            <w:tcBorders>
              <w:top w:val="single" w:sz="8" w:color="auto"/>
              <w:right w:val="single" w:sz="8" w:color="auto"/>
            </w:tcBorders>
            <w:shd w:val="clear" w:color="auto" w:fill="004C97"/>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780" w:type="dxa"/>
            <w:vAlign w:val="bottom"/>
            <w:tcBorders>
              <w:left w:val="single" w:sz="8" w:color="auto"/>
              <w:bottom w:val="single" w:sz="8" w:color="004C97"/>
              <w:right w:val="single" w:sz="8" w:color="auto"/>
            </w:tcBorders>
            <w:shd w:val="clear" w:color="auto" w:fill="004C97"/>
          </w:tcPr>
          <w:p>
            <w:pPr>
              <w:spacing w:after="0"/>
              <w:rPr>
                <w:sz w:val="22"/>
                <w:szCs w:val="22"/>
                <w:color w:val="auto"/>
              </w:rPr>
            </w:pPr>
          </w:p>
        </w:tc>
        <w:tc>
          <w:tcPr>
            <w:tcW w:w="1420" w:type="dxa"/>
            <w:vAlign w:val="bottom"/>
            <w:tcBorders>
              <w:bottom w:val="single" w:sz="8" w:color="004C97"/>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Summary</w:t>
            </w:r>
          </w:p>
        </w:tc>
        <w:tc>
          <w:tcPr>
            <w:tcW w:w="1440" w:type="dxa"/>
            <w:vAlign w:val="bottom"/>
            <w:tcBorders>
              <w:bottom w:val="single" w:sz="8" w:color="004C97"/>
              <w:right w:val="single" w:sz="8" w:color="auto"/>
            </w:tcBorders>
            <w:shd w:val="clear" w:color="auto" w:fill="004C97"/>
          </w:tcPr>
          <w:p>
            <w:pPr>
              <w:spacing w:after="0"/>
              <w:rPr>
                <w:sz w:val="22"/>
                <w:szCs w:val="22"/>
                <w:color w:val="auto"/>
              </w:rPr>
            </w:pPr>
          </w:p>
        </w:tc>
        <w:tc>
          <w:tcPr>
            <w:tcW w:w="1440" w:type="dxa"/>
            <w:vAlign w:val="bottom"/>
            <w:tcBorders>
              <w:bottom w:val="single" w:sz="8" w:color="004C97"/>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Average Summary</w:t>
            </w:r>
          </w:p>
        </w:tc>
        <w:tc>
          <w:tcPr>
            <w:tcW w:w="1440" w:type="dxa"/>
            <w:vAlign w:val="bottom"/>
            <w:tcBorders>
              <w:bottom w:val="single" w:sz="8" w:color="004C97"/>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Average</w:t>
            </w:r>
          </w:p>
        </w:tc>
        <w:tc>
          <w:tcPr>
            <w:tcW w:w="2520" w:type="dxa"/>
            <w:vAlign w:val="bottom"/>
            <w:tcBorders>
              <w:bottom w:val="single" w:sz="8" w:color="004C97"/>
              <w:right w:val="single" w:sz="8" w:color="auto"/>
            </w:tcBorders>
            <w:gridSpan w:val="2"/>
            <w:shd w:val="clear" w:color="auto" w:fill="004C97"/>
          </w:tcPr>
          <w:p>
            <w:pPr>
              <w:jc w:val="center"/>
              <w:spacing w:after="0"/>
              <w:rPr>
                <w:sz w:val="20"/>
                <w:szCs w:val="20"/>
                <w:color w:val="auto"/>
              </w:rPr>
            </w:pPr>
            <w:r>
              <w:rPr>
                <w:rFonts w:ascii="Arial" w:cs="Arial" w:eastAsia="Arial" w:hAnsi="Arial"/>
                <w:sz w:val="14"/>
                <w:szCs w:val="14"/>
                <w:b w:val="1"/>
                <w:bCs w:val="1"/>
                <w:color w:val="FFFFFF"/>
              </w:rPr>
              <w:t>Investment Based On:</w:t>
            </w:r>
          </w:p>
        </w:tc>
        <w:tc>
          <w:tcPr>
            <w:tcW w:w="1000" w:type="dxa"/>
            <w:vAlign w:val="bottom"/>
            <w:tcBorders>
              <w:bottom w:val="single" w:sz="8" w:color="004C97"/>
              <w:right w:val="single" w:sz="8" w:color="auto"/>
            </w:tcBorders>
            <w:shd w:val="clear" w:color="auto" w:fill="004C97"/>
          </w:tcPr>
          <w:p>
            <w:pPr>
              <w:spacing w:after="0"/>
              <w:rPr>
                <w:sz w:val="22"/>
                <w:szCs w:val="22"/>
                <w:color w:val="auto"/>
              </w:rPr>
            </w:pPr>
          </w:p>
        </w:tc>
        <w:tc>
          <w:tcPr>
            <w:tcW w:w="1220" w:type="dxa"/>
            <w:vAlign w:val="bottom"/>
            <w:tcBorders>
              <w:bottom w:val="single" w:sz="8" w:color="004C97"/>
              <w:right w:val="single" w:sz="8" w:color="auto"/>
            </w:tcBorders>
            <w:shd w:val="clear" w:color="auto" w:fill="004C97"/>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780" w:type="dxa"/>
            <w:vAlign w:val="bottom"/>
            <w:tcBorders>
              <w:top w:val="single" w:sz="8" w:color="004C97"/>
              <w:left w:val="single" w:sz="8" w:color="auto"/>
              <w:right w:val="single" w:sz="8" w:color="auto"/>
            </w:tcBorders>
            <w:shd w:val="clear" w:color="auto" w:fill="004C97"/>
          </w:tcPr>
          <w:p>
            <w:pPr>
              <w:spacing w:after="0"/>
              <w:rPr>
                <w:sz w:val="4"/>
                <w:szCs w:val="4"/>
                <w:color w:val="auto"/>
              </w:rPr>
            </w:pPr>
          </w:p>
        </w:tc>
        <w:tc>
          <w:tcPr>
            <w:tcW w:w="1420" w:type="dxa"/>
            <w:vAlign w:val="bottom"/>
            <w:tcBorders>
              <w:top w:val="single" w:sz="8" w:color="004C97"/>
              <w:right w:val="single" w:sz="8" w:color="auto"/>
            </w:tcBorders>
            <w:vMerge w:val="restart"/>
            <w:shd w:val="clear" w:color="auto" w:fill="004C97"/>
          </w:tcPr>
          <w:p>
            <w:pPr>
              <w:jc w:val="center"/>
              <w:spacing w:after="0"/>
              <w:rPr>
                <w:sz w:val="20"/>
                <w:szCs w:val="20"/>
                <w:color w:val="auto"/>
              </w:rPr>
            </w:pPr>
            <w:r>
              <w:rPr>
                <w:rFonts w:ascii="Arial" w:cs="Arial" w:eastAsia="Arial" w:hAnsi="Arial"/>
                <w:sz w:val="14"/>
                <w:szCs w:val="14"/>
                <w:b w:val="1"/>
                <w:bCs w:val="1"/>
                <w:color w:val="FFFFFF"/>
              </w:rPr>
              <w:t>Compensation</w:t>
            </w:r>
          </w:p>
        </w:tc>
        <w:tc>
          <w:tcPr>
            <w:tcW w:w="1440" w:type="dxa"/>
            <w:vAlign w:val="bottom"/>
            <w:tcBorders>
              <w:top w:val="single" w:sz="8" w:color="004C97"/>
              <w:right w:val="single" w:sz="8" w:color="auto"/>
            </w:tcBorders>
            <w:vMerge w:val="restart"/>
            <w:shd w:val="clear" w:color="auto" w:fill="004C97"/>
          </w:tcPr>
          <w:p>
            <w:pPr>
              <w:jc w:val="center"/>
              <w:spacing w:after="0"/>
              <w:rPr>
                <w:sz w:val="20"/>
                <w:szCs w:val="20"/>
                <w:color w:val="auto"/>
              </w:rPr>
            </w:pPr>
            <w:r>
              <w:rPr>
                <w:rFonts w:ascii="Arial" w:cs="Arial" w:eastAsia="Arial" w:hAnsi="Arial"/>
                <w:sz w:val="14"/>
                <w:szCs w:val="14"/>
                <w:b w:val="1"/>
                <w:bCs w:val="1"/>
                <w:color w:val="FFFFFF"/>
              </w:rPr>
              <w:t>Compensation</w:t>
            </w:r>
          </w:p>
        </w:tc>
        <w:tc>
          <w:tcPr>
            <w:tcW w:w="1440" w:type="dxa"/>
            <w:vAlign w:val="bottom"/>
            <w:tcBorders>
              <w:top w:val="single" w:sz="8" w:color="004C97"/>
              <w:right w:val="single" w:sz="8" w:color="auto"/>
            </w:tcBorders>
            <w:vMerge w:val="restart"/>
            <w:shd w:val="clear" w:color="auto" w:fill="004C97"/>
          </w:tcPr>
          <w:p>
            <w:pPr>
              <w:jc w:val="center"/>
              <w:spacing w:after="0"/>
              <w:rPr>
                <w:sz w:val="20"/>
                <w:szCs w:val="20"/>
                <w:color w:val="auto"/>
              </w:rPr>
            </w:pPr>
            <w:r>
              <w:rPr>
                <w:rFonts w:ascii="Arial" w:cs="Arial" w:eastAsia="Arial" w:hAnsi="Arial"/>
                <w:sz w:val="14"/>
                <w:szCs w:val="14"/>
                <w:b w:val="1"/>
                <w:bCs w:val="1"/>
                <w:color w:val="FFFFFF"/>
              </w:rPr>
              <w:t>Compensation</w:t>
            </w:r>
          </w:p>
        </w:tc>
        <w:tc>
          <w:tcPr>
            <w:tcW w:w="1440" w:type="dxa"/>
            <w:vAlign w:val="bottom"/>
            <w:tcBorders>
              <w:top w:val="single" w:sz="8" w:color="004C97"/>
              <w:right w:val="single" w:sz="8" w:color="auto"/>
            </w:tcBorders>
            <w:shd w:val="clear" w:color="auto" w:fill="004C97"/>
          </w:tcPr>
          <w:p>
            <w:pPr>
              <w:jc w:val="center"/>
              <w:spacing w:after="0" w:line="54" w:lineRule="exact"/>
              <w:rPr>
                <w:sz w:val="20"/>
                <w:szCs w:val="20"/>
                <w:color w:val="auto"/>
              </w:rPr>
            </w:pPr>
            <w:r>
              <w:rPr>
                <w:rFonts w:ascii="Arial" w:cs="Arial" w:eastAsia="Arial" w:hAnsi="Arial"/>
                <w:sz w:val="6"/>
                <w:szCs w:val="6"/>
                <w:b w:val="1"/>
                <w:bCs w:val="1"/>
                <w:color w:val="FFFFFF"/>
              </w:rPr>
              <w:t>Compensation</w:t>
            </w:r>
          </w:p>
        </w:tc>
        <w:tc>
          <w:tcPr>
            <w:tcW w:w="1400" w:type="dxa"/>
            <w:vAlign w:val="bottom"/>
            <w:tcBorders>
              <w:top w:val="single" w:sz="8" w:color="auto"/>
              <w:right w:val="single" w:sz="8" w:color="auto"/>
            </w:tcBorders>
            <w:shd w:val="clear" w:color="auto" w:fill="004C97"/>
          </w:tcPr>
          <w:p>
            <w:pPr>
              <w:spacing w:after="0"/>
              <w:rPr>
                <w:sz w:val="4"/>
                <w:szCs w:val="4"/>
                <w:color w:val="auto"/>
              </w:rPr>
            </w:pPr>
          </w:p>
        </w:tc>
        <w:tc>
          <w:tcPr>
            <w:tcW w:w="1120" w:type="dxa"/>
            <w:vAlign w:val="bottom"/>
            <w:tcBorders>
              <w:top w:val="single" w:sz="8" w:color="auto"/>
              <w:right w:val="single" w:sz="8" w:color="auto"/>
            </w:tcBorders>
            <w:vMerge w:val="restart"/>
            <w:shd w:val="clear" w:color="auto" w:fill="004C97"/>
          </w:tcPr>
          <w:p>
            <w:pPr>
              <w:jc w:val="center"/>
              <w:spacing w:after="0"/>
              <w:rPr>
                <w:sz w:val="20"/>
                <w:szCs w:val="20"/>
                <w:color w:val="auto"/>
              </w:rPr>
            </w:pPr>
            <w:r>
              <w:rPr>
                <w:rFonts w:ascii="Arial" w:cs="Arial" w:eastAsia="Arial" w:hAnsi="Arial"/>
                <w:sz w:val="14"/>
                <w:szCs w:val="14"/>
                <w:b w:val="1"/>
                <w:bCs w:val="1"/>
                <w:color w:val="FFFFFF"/>
              </w:rPr>
              <w:t>S&amp;P 1500</w:t>
            </w:r>
          </w:p>
        </w:tc>
        <w:tc>
          <w:tcPr>
            <w:tcW w:w="1000" w:type="dxa"/>
            <w:vAlign w:val="bottom"/>
            <w:tcBorders>
              <w:top w:val="single" w:sz="8" w:color="004C97"/>
              <w:right w:val="single" w:sz="8" w:color="auto"/>
            </w:tcBorders>
            <w:shd w:val="clear" w:color="auto" w:fill="004C97"/>
          </w:tcPr>
          <w:p>
            <w:pPr>
              <w:spacing w:after="0"/>
              <w:rPr>
                <w:sz w:val="4"/>
                <w:szCs w:val="4"/>
                <w:color w:val="auto"/>
              </w:rPr>
            </w:pPr>
          </w:p>
        </w:tc>
        <w:tc>
          <w:tcPr>
            <w:tcW w:w="1220" w:type="dxa"/>
            <w:vAlign w:val="bottom"/>
            <w:tcBorders>
              <w:top w:val="single" w:sz="8" w:color="004C97"/>
              <w:right w:val="single" w:sz="8" w:color="auto"/>
            </w:tcBorders>
            <w:shd w:val="clear" w:color="auto" w:fill="004C97"/>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780" w:type="dxa"/>
            <w:vAlign w:val="bottom"/>
            <w:tcBorders>
              <w:left w:val="single" w:sz="8" w:color="auto"/>
              <w:right w:val="single" w:sz="8" w:color="auto"/>
            </w:tcBorders>
            <w:shd w:val="clear" w:color="auto" w:fill="004C97"/>
          </w:tcPr>
          <w:p>
            <w:pPr>
              <w:spacing w:after="0"/>
              <w:rPr>
                <w:sz w:val="12"/>
                <w:szCs w:val="12"/>
                <w:color w:val="auto"/>
              </w:rPr>
            </w:pPr>
          </w:p>
        </w:tc>
        <w:tc>
          <w:tcPr>
            <w:tcW w:w="1420" w:type="dxa"/>
            <w:vAlign w:val="bottom"/>
            <w:tcBorders>
              <w:right w:val="single" w:sz="8" w:color="auto"/>
            </w:tcBorders>
            <w:vMerge w:val="continue"/>
            <w:shd w:val="clear" w:color="auto" w:fill="004C97"/>
          </w:tcPr>
          <w:p>
            <w:pPr>
              <w:spacing w:after="0"/>
              <w:rPr>
                <w:sz w:val="12"/>
                <w:szCs w:val="12"/>
                <w:color w:val="auto"/>
              </w:rPr>
            </w:pPr>
          </w:p>
        </w:tc>
        <w:tc>
          <w:tcPr>
            <w:tcW w:w="1440" w:type="dxa"/>
            <w:vAlign w:val="bottom"/>
            <w:tcBorders>
              <w:right w:val="single" w:sz="8" w:color="auto"/>
            </w:tcBorders>
            <w:vMerge w:val="continue"/>
            <w:shd w:val="clear" w:color="auto" w:fill="004C97"/>
          </w:tcPr>
          <w:p>
            <w:pPr>
              <w:spacing w:after="0"/>
              <w:rPr>
                <w:sz w:val="12"/>
                <w:szCs w:val="12"/>
                <w:color w:val="auto"/>
              </w:rPr>
            </w:pPr>
          </w:p>
        </w:tc>
        <w:tc>
          <w:tcPr>
            <w:tcW w:w="1440" w:type="dxa"/>
            <w:vAlign w:val="bottom"/>
            <w:tcBorders>
              <w:right w:val="single" w:sz="8" w:color="auto"/>
            </w:tcBorders>
            <w:vMerge w:val="continue"/>
            <w:shd w:val="clear" w:color="auto" w:fill="004C97"/>
          </w:tcPr>
          <w:p>
            <w:pPr>
              <w:spacing w:after="0"/>
              <w:rPr>
                <w:sz w:val="12"/>
                <w:szCs w:val="12"/>
                <w:color w:val="auto"/>
              </w:rPr>
            </w:pPr>
          </w:p>
        </w:tc>
        <w:tc>
          <w:tcPr>
            <w:tcW w:w="1440" w:type="dxa"/>
            <w:vAlign w:val="bottom"/>
            <w:tcBorders>
              <w:right w:val="single" w:sz="8" w:color="auto"/>
            </w:tcBorders>
            <w:shd w:val="clear" w:color="auto" w:fill="004C97"/>
          </w:tcPr>
          <w:p>
            <w:pPr>
              <w:jc w:val="center"/>
              <w:spacing w:after="0" w:line="145" w:lineRule="exact"/>
              <w:rPr>
                <w:sz w:val="20"/>
                <w:szCs w:val="20"/>
                <w:color w:val="auto"/>
              </w:rPr>
            </w:pPr>
            <w:r>
              <w:rPr>
                <w:rFonts w:ascii="Arial" w:cs="Arial" w:eastAsia="Arial" w:hAnsi="Arial"/>
                <w:sz w:val="14"/>
                <w:szCs w:val="14"/>
                <w:b w:val="1"/>
                <w:bCs w:val="1"/>
                <w:color w:val="FFFFFF"/>
              </w:rPr>
              <w:t>Actually Paid to</w:t>
            </w:r>
          </w:p>
        </w:tc>
        <w:tc>
          <w:tcPr>
            <w:tcW w:w="140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4"/>
                <w:szCs w:val="14"/>
                <w:b w:val="1"/>
                <w:bCs w:val="1"/>
                <w:color w:val="FFFFFF"/>
              </w:rPr>
              <w:t>SPX Technologies,</w:t>
            </w:r>
          </w:p>
        </w:tc>
        <w:tc>
          <w:tcPr>
            <w:tcW w:w="1120" w:type="dxa"/>
            <w:vAlign w:val="bottom"/>
            <w:tcBorders>
              <w:right w:val="single" w:sz="8" w:color="auto"/>
            </w:tcBorders>
            <w:vMerge w:val="continue"/>
            <w:shd w:val="clear" w:color="auto" w:fill="004C97"/>
          </w:tcPr>
          <w:p>
            <w:pPr>
              <w:spacing w:after="0"/>
              <w:rPr>
                <w:sz w:val="12"/>
                <w:szCs w:val="12"/>
                <w:color w:val="auto"/>
              </w:rPr>
            </w:pPr>
          </w:p>
        </w:tc>
        <w:tc>
          <w:tcPr>
            <w:tcW w:w="100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4"/>
                <w:szCs w:val="14"/>
                <w:b w:val="1"/>
                <w:bCs w:val="1"/>
                <w:color w:val="FFFFFF"/>
              </w:rPr>
              <w:t>Net Income</w:t>
            </w:r>
          </w:p>
        </w:tc>
        <w:tc>
          <w:tcPr>
            <w:tcW w:w="1220" w:type="dxa"/>
            <w:vAlign w:val="bottom"/>
            <w:tcBorders>
              <w:right w:val="single" w:sz="8" w:color="auto"/>
            </w:tcBorders>
            <w:vMerge w:val="restart"/>
            <w:shd w:val="clear" w:color="auto" w:fill="004C97"/>
          </w:tcPr>
          <w:p>
            <w:pPr>
              <w:jc w:val="center"/>
              <w:spacing w:after="0"/>
              <w:rPr>
                <w:sz w:val="20"/>
                <w:szCs w:val="20"/>
                <w:color w:val="auto"/>
              </w:rPr>
            </w:pPr>
            <w:r>
              <w:rPr>
                <w:rFonts w:ascii="Arial" w:cs="Arial" w:eastAsia="Arial" w:hAnsi="Arial"/>
                <w:sz w:val="14"/>
                <w:szCs w:val="14"/>
                <w:b w:val="1"/>
                <w:bCs w:val="1"/>
                <w:color w:val="FFFFFF"/>
              </w:rPr>
              <w:t>Adj. EBITDA</w:t>
            </w:r>
          </w:p>
        </w:tc>
        <w:tc>
          <w:tcPr>
            <w:tcW w:w="0" w:type="dxa"/>
            <w:vAlign w:val="bottom"/>
          </w:tcPr>
          <w:p>
            <w:pPr>
              <w:spacing w:after="0"/>
              <w:rPr>
                <w:sz w:val="1"/>
                <w:szCs w:val="1"/>
                <w:color w:val="auto"/>
              </w:rPr>
            </w:pPr>
          </w:p>
        </w:tc>
      </w:tr>
      <w:tr>
        <w:trPr>
          <w:trHeight w:val="145"/>
        </w:trPr>
        <w:tc>
          <w:tcPr>
            <w:tcW w:w="780" w:type="dxa"/>
            <w:vAlign w:val="bottom"/>
            <w:tcBorders>
              <w:left w:val="single" w:sz="8" w:color="auto"/>
              <w:right w:val="single" w:sz="8" w:color="auto"/>
            </w:tcBorders>
            <w:vMerge w:val="restart"/>
            <w:shd w:val="clear" w:color="auto" w:fill="004C97"/>
          </w:tcPr>
          <w:p>
            <w:pPr>
              <w:jc w:val="center"/>
              <w:spacing w:after="0"/>
              <w:rPr>
                <w:sz w:val="20"/>
                <w:szCs w:val="20"/>
                <w:color w:val="auto"/>
              </w:rPr>
            </w:pPr>
            <w:r>
              <w:rPr>
                <w:rFonts w:ascii="Arial" w:cs="Arial" w:eastAsia="Arial" w:hAnsi="Arial"/>
                <w:sz w:val="14"/>
                <w:szCs w:val="14"/>
                <w:b w:val="1"/>
                <w:bCs w:val="1"/>
                <w:color w:val="FFFFFF"/>
                <w:w w:val="98"/>
              </w:rPr>
              <w:t>Year</w:t>
            </w:r>
          </w:p>
        </w:tc>
        <w:tc>
          <w:tcPr>
            <w:tcW w:w="1420" w:type="dxa"/>
            <w:vAlign w:val="bottom"/>
            <w:tcBorders>
              <w:right w:val="single" w:sz="8" w:color="auto"/>
            </w:tcBorders>
            <w:shd w:val="clear" w:color="auto" w:fill="004C97"/>
          </w:tcPr>
          <w:p>
            <w:pPr>
              <w:jc w:val="center"/>
              <w:spacing w:after="0" w:line="145" w:lineRule="exact"/>
              <w:rPr>
                <w:sz w:val="20"/>
                <w:szCs w:val="20"/>
                <w:color w:val="auto"/>
              </w:rPr>
            </w:pPr>
            <w:r>
              <w:rPr>
                <w:rFonts w:ascii="Arial" w:cs="Arial" w:eastAsia="Arial" w:hAnsi="Arial"/>
                <w:sz w:val="14"/>
                <w:szCs w:val="14"/>
                <w:b w:val="1"/>
                <w:bCs w:val="1"/>
                <w:color w:val="FFFFFF"/>
              </w:rPr>
              <w:t>Table Total for</w:t>
            </w:r>
          </w:p>
        </w:tc>
        <w:tc>
          <w:tcPr>
            <w:tcW w:w="1440" w:type="dxa"/>
            <w:vAlign w:val="bottom"/>
            <w:tcBorders>
              <w:right w:val="single" w:sz="8" w:color="auto"/>
            </w:tcBorders>
            <w:shd w:val="clear" w:color="auto" w:fill="004C97"/>
          </w:tcPr>
          <w:p>
            <w:pPr>
              <w:jc w:val="center"/>
              <w:spacing w:after="0" w:line="145" w:lineRule="exact"/>
              <w:rPr>
                <w:sz w:val="20"/>
                <w:szCs w:val="20"/>
                <w:color w:val="auto"/>
              </w:rPr>
            </w:pPr>
            <w:r>
              <w:rPr>
                <w:rFonts w:ascii="Arial" w:cs="Arial" w:eastAsia="Arial" w:hAnsi="Arial"/>
                <w:sz w:val="14"/>
                <w:szCs w:val="14"/>
                <w:b w:val="1"/>
                <w:bCs w:val="1"/>
                <w:color w:val="FFFFFF"/>
              </w:rPr>
              <w:t>Actually Paid to</w:t>
            </w:r>
          </w:p>
        </w:tc>
        <w:tc>
          <w:tcPr>
            <w:tcW w:w="1440" w:type="dxa"/>
            <w:vAlign w:val="bottom"/>
            <w:tcBorders>
              <w:right w:val="single" w:sz="8" w:color="auto"/>
            </w:tcBorders>
            <w:shd w:val="clear" w:color="auto" w:fill="004C97"/>
          </w:tcPr>
          <w:p>
            <w:pPr>
              <w:jc w:val="center"/>
              <w:spacing w:after="0" w:line="145" w:lineRule="exact"/>
              <w:rPr>
                <w:sz w:val="20"/>
                <w:szCs w:val="20"/>
                <w:color w:val="auto"/>
              </w:rPr>
            </w:pPr>
            <w:r>
              <w:rPr>
                <w:rFonts w:ascii="Arial" w:cs="Arial" w:eastAsia="Arial" w:hAnsi="Arial"/>
                <w:sz w:val="14"/>
                <w:szCs w:val="14"/>
                <w:b w:val="1"/>
                <w:bCs w:val="1"/>
                <w:color w:val="FFFFFF"/>
              </w:rPr>
              <w:t>Table Total for Non-</w:t>
            </w:r>
          </w:p>
        </w:tc>
        <w:tc>
          <w:tcPr>
            <w:tcW w:w="1440" w:type="dxa"/>
            <w:vAlign w:val="bottom"/>
            <w:tcBorders>
              <w:right w:val="single" w:sz="8" w:color="auto"/>
            </w:tcBorders>
            <w:shd w:val="clear" w:color="auto" w:fill="004C97"/>
          </w:tcPr>
          <w:p>
            <w:pPr>
              <w:jc w:val="center"/>
              <w:spacing w:after="0" w:line="145" w:lineRule="exact"/>
              <w:rPr>
                <w:sz w:val="20"/>
                <w:szCs w:val="20"/>
                <w:color w:val="auto"/>
              </w:rPr>
            </w:pPr>
            <w:r>
              <w:rPr>
                <w:rFonts w:ascii="Arial" w:cs="Arial" w:eastAsia="Arial" w:hAnsi="Arial"/>
                <w:sz w:val="13"/>
                <w:szCs w:val="13"/>
                <w:b w:val="1"/>
                <w:bCs w:val="1"/>
                <w:color w:val="FFFFFF"/>
              </w:rPr>
              <w:t>Non-PEO NEOs</w:t>
            </w:r>
            <w:r>
              <w:rPr>
                <w:rFonts w:ascii="Arial" w:cs="Arial" w:eastAsia="Arial" w:hAnsi="Arial"/>
                <w:sz w:val="16"/>
                <w:szCs w:val="16"/>
                <w:b w:val="1"/>
                <w:bCs w:val="1"/>
                <w:color w:val="FFFFFF"/>
                <w:vertAlign w:val="superscript"/>
              </w:rPr>
              <w:t>(2)(3)</w:t>
            </w:r>
          </w:p>
        </w:tc>
        <w:tc>
          <w:tcPr>
            <w:tcW w:w="1400" w:type="dxa"/>
            <w:vAlign w:val="bottom"/>
            <w:tcBorders>
              <w:right w:val="single" w:sz="8" w:color="auto"/>
            </w:tcBorders>
            <w:vMerge w:val="continue"/>
            <w:shd w:val="clear" w:color="auto" w:fill="004C97"/>
          </w:tcPr>
          <w:p>
            <w:pPr>
              <w:spacing w:after="0"/>
              <w:rPr>
                <w:sz w:val="12"/>
                <w:szCs w:val="12"/>
                <w:color w:val="auto"/>
              </w:rPr>
            </w:pPr>
          </w:p>
        </w:tc>
        <w:tc>
          <w:tcPr>
            <w:tcW w:w="1120" w:type="dxa"/>
            <w:vAlign w:val="bottom"/>
            <w:tcBorders>
              <w:right w:val="single" w:sz="8" w:color="auto"/>
            </w:tcBorders>
            <w:shd w:val="clear" w:color="auto" w:fill="004C97"/>
          </w:tcPr>
          <w:p>
            <w:pPr>
              <w:jc w:val="center"/>
              <w:spacing w:after="0" w:line="145" w:lineRule="exact"/>
              <w:rPr>
                <w:sz w:val="20"/>
                <w:szCs w:val="20"/>
                <w:color w:val="auto"/>
              </w:rPr>
            </w:pPr>
            <w:r>
              <w:rPr>
                <w:rFonts w:ascii="Arial" w:cs="Arial" w:eastAsia="Arial" w:hAnsi="Arial"/>
                <w:sz w:val="14"/>
                <w:szCs w:val="14"/>
                <w:b w:val="1"/>
                <w:bCs w:val="1"/>
                <w:color w:val="FFFFFF"/>
              </w:rPr>
              <w:t>Industrials</w:t>
            </w:r>
          </w:p>
        </w:tc>
        <w:tc>
          <w:tcPr>
            <w:tcW w:w="1000" w:type="dxa"/>
            <w:vAlign w:val="bottom"/>
            <w:tcBorders>
              <w:right w:val="single" w:sz="8" w:color="auto"/>
            </w:tcBorders>
            <w:vMerge w:val="continue"/>
            <w:shd w:val="clear" w:color="auto" w:fill="004C97"/>
          </w:tcPr>
          <w:p>
            <w:pPr>
              <w:spacing w:after="0"/>
              <w:rPr>
                <w:sz w:val="12"/>
                <w:szCs w:val="12"/>
                <w:color w:val="auto"/>
              </w:rPr>
            </w:pPr>
          </w:p>
        </w:tc>
        <w:tc>
          <w:tcPr>
            <w:tcW w:w="1220" w:type="dxa"/>
            <w:vAlign w:val="bottom"/>
            <w:tcBorders>
              <w:right w:val="single" w:sz="8" w:color="auto"/>
            </w:tcBorders>
            <w:vMerge w:val="continue"/>
            <w:shd w:val="clear" w:color="auto" w:fill="004C97"/>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80" w:type="dxa"/>
            <w:vAlign w:val="bottom"/>
            <w:tcBorders>
              <w:left w:val="single" w:sz="8" w:color="auto"/>
              <w:right w:val="single" w:sz="8" w:color="auto"/>
            </w:tcBorders>
            <w:vMerge w:val="continue"/>
            <w:shd w:val="clear" w:color="auto" w:fill="004C97"/>
          </w:tcPr>
          <w:p>
            <w:pPr>
              <w:spacing w:after="0"/>
              <w:rPr>
                <w:sz w:val="14"/>
                <w:szCs w:val="14"/>
                <w:color w:val="auto"/>
              </w:rPr>
            </w:pPr>
          </w:p>
        </w:tc>
        <w:tc>
          <w:tcPr>
            <w:tcW w:w="1420" w:type="dxa"/>
            <w:vAlign w:val="bottom"/>
            <w:tcBorders>
              <w:right w:val="single" w:sz="8" w:color="auto"/>
            </w:tcBorders>
            <w:shd w:val="clear" w:color="auto" w:fill="004C97"/>
          </w:tcPr>
          <w:p>
            <w:pPr>
              <w:jc w:val="center"/>
              <w:spacing w:after="0" w:line="170" w:lineRule="exact"/>
              <w:rPr>
                <w:sz w:val="20"/>
                <w:szCs w:val="20"/>
                <w:color w:val="auto"/>
              </w:rPr>
            </w:pPr>
            <w:r>
              <w:rPr>
                <w:rFonts w:ascii="Arial" w:cs="Arial" w:eastAsia="Arial" w:hAnsi="Arial"/>
                <w:sz w:val="14"/>
                <w:szCs w:val="14"/>
                <w:b w:val="1"/>
                <w:bCs w:val="1"/>
                <w:color w:val="FFFFFF"/>
                <w:w w:val="94"/>
              </w:rPr>
              <w:t>PEO</w:t>
            </w:r>
            <w:r>
              <w:rPr>
                <w:rFonts w:ascii="Arial" w:cs="Arial" w:eastAsia="Arial" w:hAnsi="Arial"/>
                <w:sz w:val="18"/>
                <w:szCs w:val="18"/>
                <w:b w:val="1"/>
                <w:bCs w:val="1"/>
                <w:color w:val="FFFFFF"/>
                <w:w w:val="94"/>
                <w:vertAlign w:val="superscript"/>
              </w:rPr>
              <w:t>(1)</w:t>
            </w:r>
          </w:p>
        </w:tc>
        <w:tc>
          <w:tcPr>
            <w:tcW w:w="1440" w:type="dxa"/>
            <w:vAlign w:val="bottom"/>
            <w:tcBorders>
              <w:right w:val="single" w:sz="8" w:color="auto"/>
            </w:tcBorders>
            <w:shd w:val="clear" w:color="auto" w:fill="004C97"/>
          </w:tcPr>
          <w:p>
            <w:pPr>
              <w:jc w:val="center"/>
              <w:spacing w:after="0" w:line="170" w:lineRule="exact"/>
              <w:rPr>
                <w:sz w:val="20"/>
                <w:szCs w:val="20"/>
                <w:color w:val="auto"/>
              </w:rPr>
            </w:pPr>
            <w:r>
              <w:rPr>
                <w:rFonts w:ascii="Arial" w:cs="Arial" w:eastAsia="Arial" w:hAnsi="Arial"/>
                <w:sz w:val="19"/>
                <w:szCs w:val="19"/>
                <w:b w:val="1"/>
                <w:bCs w:val="1"/>
                <w:color w:val="FFFFFF"/>
                <w:vertAlign w:val="subscript"/>
              </w:rPr>
              <w:t>PEO</w:t>
            </w:r>
            <w:r>
              <w:rPr>
                <w:rFonts w:ascii="Arial" w:cs="Arial" w:eastAsia="Arial" w:hAnsi="Arial"/>
                <w:sz w:val="8"/>
                <w:szCs w:val="8"/>
                <w:b w:val="1"/>
                <w:bCs w:val="1"/>
                <w:color w:val="FFFFFF"/>
              </w:rPr>
              <w:t>(2)(3)</w:t>
            </w:r>
          </w:p>
        </w:tc>
        <w:tc>
          <w:tcPr>
            <w:tcW w:w="1440" w:type="dxa"/>
            <w:vAlign w:val="bottom"/>
            <w:tcBorders>
              <w:right w:val="single" w:sz="8" w:color="auto"/>
            </w:tcBorders>
            <w:shd w:val="clear" w:color="auto" w:fill="004C97"/>
          </w:tcPr>
          <w:p>
            <w:pPr>
              <w:jc w:val="center"/>
              <w:spacing w:after="0" w:line="170" w:lineRule="exact"/>
              <w:rPr>
                <w:sz w:val="20"/>
                <w:szCs w:val="20"/>
                <w:color w:val="auto"/>
              </w:rPr>
            </w:pPr>
            <w:r>
              <w:rPr>
                <w:rFonts w:ascii="Arial" w:cs="Arial" w:eastAsia="Arial" w:hAnsi="Arial"/>
                <w:sz w:val="14"/>
                <w:szCs w:val="14"/>
                <w:b w:val="1"/>
                <w:bCs w:val="1"/>
                <w:color w:val="FFFFFF"/>
                <w:w w:val="97"/>
              </w:rPr>
              <w:t>PEO NEOs</w:t>
            </w:r>
            <w:r>
              <w:rPr>
                <w:rFonts w:ascii="Arial" w:cs="Arial" w:eastAsia="Arial" w:hAnsi="Arial"/>
                <w:sz w:val="18"/>
                <w:szCs w:val="18"/>
                <w:b w:val="1"/>
                <w:bCs w:val="1"/>
                <w:color w:val="FFFFFF"/>
                <w:w w:val="97"/>
                <w:vertAlign w:val="superscript"/>
              </w:rPr>
              <w:t>(3)</w:t>
            </w:r>
          </w:p>
        </w:tc>
        <w:tc>
          <w:tcPr>
            <w:tcW w:w="144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9"/>
                <w:szCs w:val="9"/>
                <w:b w:val="1"/>
                <w:bCs w:val="1"/>
                <w:color w:val="FFFFFF"/>
              </w:rPr>
              <w:t>(4)</w:t>
            </w:r>
          </w:p>
        </w:tc>
        <w:tc>
          <w:tcPr>
            <w:tcW w:w="14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w w:val="99"/>
              </w:rPr>
              <w:t>Inc.</w:t>
            </w:r>
          </w:p>
        </w:tc>
        <w:tc>
          <w:tcPr>
            <w:tcW w:w="112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(Sector)</w:t>
            </w:r>
            <w:r>
              <w:rPr>
                <w:rFonts w:ascii="Arial" w:cs="Arial" w:eastAsia="Arial" w:hAnsi="Arial"/>
                <w:sz w:val="9"/>
                <w:szCs w:val="9"/>
                <w:b w:val="1"/>
                <w:bCs w:val="1"/>
                <w:color w:val="FFFFFF"/>
              </w:rPr>
              <w:t>(5)</w:t>
            </w:r>
          </w:p>
        </w:tc>
        <w:tc>
          <w:tcPr>
            <w:tcW w:w="10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(in millions)</w:t>
            </w:r>
          </w:p>
        </w:tc>
        <w:tc>
          <w:tcPr>
            <w:tcW w:w="1220" w:type="dxa"/>
            <w:vAlign w:val="bottom"/>
            <w:tcBorders>
              <w:right w:val="single" w:sz="8" w:color="auto"/>
            </w:tcBorders>
            <w:shd w:val="clear" w:color="auto" w:fill="004C97"/>
          </w:tcPr>
          <w:p>
            <w:pPr>
              <w:jc w:val="center"/>
              <w:spacing w:after="0" w:line="170" w:lineRule="exact"/>
              <w:rPr>
                <w:sz w:val="20"/>
                <w:szCs w:val="20"/>
                <w:color w:val="auto"/>
              </w:rPr>
            </w:pPr>
            <w:r>
              <w:rPr>
                <w:rFonts w:ascii="Arial" w:cs="Arial" w:eastAsia="Arial" w:hAnsi="Arial"/>
                <w:sz w:val="14"/>
                <w:szCs w:val="14"/>
                <w:b w:val="1"/>
                <w:bCs w:val="1"/>
                <w:color w:val="FFFFFF"/>
                <w:w w:val="98"/>
              </w:rPr>
              <w:t>(in millions)</w:t>
            </w:r>
            <w:r>
              <w:rPr>
                <w:rFonts w:ascii="Arial" w:cs="Arial" w:eastAsia="Arial" w:hAnsi="Arial"/>
                <w:sz w:val="18"/>
                <w:szCs w:val="18"/>
                <w:b w:val="1"/>
                <w:bCs w:val="1"/>
                <w:color w:val="FFFFFF"/>
                <w:w w:val="98"/>
                <w:vertAlign w:val="superscript"/>
              </w:rPr>
              <w:t>(6)</w:t>
            </w:r>
          </w:p>
        </w:tc>
        <w:tc>
          <w:tcPr>
            <w:tcW w:w="0" w:type="dxa"/>
            <w:vAlign w:val="bottom"/>
          </w:tcPr>
          <w:p>
            <w:pPr>
              <w:spacing w:after="0"/>
              <w:rPr>
                <w:sz w:val="1"/>
                <w:szCs w:val="1"/>
                <w:color w:val="auto"/>
              </w:rPr>
            </w:pPr>
          </w:p>
        </w:tc>
      </w:tr>
      <w:tr>
        <w:trPr>
          <w:trHeight w:val="205"/>
        </w:trPr>
        <w:tc>
          <w:tcPr>
            <w:tcW w:w="780" w:type="dxa"/>
            <w:vAlign w:val="bottom"/>
            <w:tcBorders>
              <w:left w:val="single" w:sz="8" w:color="auto"/>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(a)</w:t>
            </w:r>
          </w:p>
        </w:tc>
        <w:tc>
          <w:tcPr>
            <w:tcW w:w="142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(b)</w:t>
            </w:r>
          </w:p>
        </w:tc>
        <w:tc>
          <w:tcPr>
            <w:tcW w:w="144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(c)</w:t>
            </w:r>
          </w:p>
        </w:tc>
        <w:tc>
          <w:tcPr>
            <w:tcW w:w="144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(d)</w:t>
            </w:r>
          </w:p>
        </w:tc>
        <w:tc>
          <w:tcPr>
            <w:tcW w:w="144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(e)</w:t>
            </w:r>
          </w:p>
        </w:tc>
        <w:tc>
          <w:tcPr>
            <w:tcW w:w="14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w w:val="99"/>
              </w:rPr>
              <w:t>(f)</w:t>
            </w:r>
          </w:p>
        </w:tc>
        <w:tc>
          <w:tcPr>
            <w:tcW w:w="112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(g)</w:t>
            </w:r>
          </w:p>
        </w:tc>
        <w:tc>
          <w:tcPr>
            <w:tcW w:w="10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(h)</w:t>
            </w:r>
          </w:p>
        </w:tc>
        <w:tc>
          <w:tcPr>
            <w:tcW w:w="122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(i)</w:t>
            </w:r>
          </w:p>
        </w:tc>
        <w:tc>
          <w:tcPr>
            <w:tcW w:w="0" w:type="dxa"/>
            <w:vAlign w:val="bottom"/>
          </w:tcPr>
          <w:p>
            <w:pPr>
              <w:spacing w:after="0"/>
              <w:rPr>
                <w:sz w:val="1"/>
                <w:szCs w:val="1"/>
                <w:color w:val="auto"/>
              </w:rPr>
            </w:pPr>
          </w:p>
        </w:tc>
      </w:tr>
      <w:tr>
        <w:trPr>
          <w:trHeight w:val="234"/>
        </w:trPr>
        <w:tc>
          <w:tcPr>
            <w:tcW w:w="780" w:type="dxa"/>
            <w:vAlign w:val="bottom"/>
            <w:tcBorders>
              <w:left w:val="single" w:sz="8" w:color="auto"/>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2024</w:t>
            </w:r>
          </w:p>
        </w:tc>
        <w:tc>
          <w:tcPr>
            <w:tcW w:w="14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$9,305,169</w:t>
            </w:r>
          </w:p>
        </w:tc>
        <w:tc>
          <w:tcPr>
            <w:tcW w:w="144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$20,667,725</w:t>
            </w:r>
          </w:p>
        </w:tc>
        <w:tc>
          <w:tcPr>
            <w:tcW w:w="144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$2,571,736</w:t>
            </w:r>
          </w:p>
        </w:tc>
        <w:tc>
          <w:tcPr>
            <w:tcW w:w="144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$4,500,331</w:t>
            </w:r>
          </w:p>
        </w:tc>
        <w:tc>
          <w:tcPr>
            <w:tcW w:w="140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$286</w:t>
            </w:r>
          </w:p>
        </w:tc>
        <w:tc>
          <w:tcPr>
            <w:tcW w:w="11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$180</w:t>
            </w:r>
          </w:p>
        </w:tc>
        <w:tc>
          <w:tcPr>
            <w:tcW w:w="100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$201</w:t>
            </w:r>
          </w:p>
        </w:tc>
        <w:tc>
          <w:tcPr>
            <w:tcW w:w="12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202"/>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2023</w:t>
            </w:r>
          </w:p>
        </w:tc>
        <w:tc>
          <w:tcPr>
            <w:tcW w:w="1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$7,658,614</w:t>
            </w: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$17,411,369</w:t>
            </w: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$1,831,612</w:t>
            </w: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$2,960,366</w:t>
            </w: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$199</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$154</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$90</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22"/>
        </w:trPr>
        <w:tc>
          <w:tcPr>
            <w:tcW w:w="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780" w:type="dxa"/>
            <w:vAlign w:val="bottom"/>
            <w:tcBorders>
              <w:left w:val="single" w:sz="8" w:color="auto"/>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2022</w:t>
            </w:r>
          </w:p>
        </w:tc>
        <w:tc>
          <w:tcPr>
            <w:tcW w:w="14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$6,584,075</w:t>
            </w:r>
          </w:p>
        </w:tc>
        <w:tc>
          <w:tcPr>
            <w:tcW w:w="144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$9,382,695</w:t>
            </w:r>
          </w:p>
        </w:tc>
        <w:tc>
          <w:tcPr>
            <w:tcW w:w="144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$1,455,245</w:t>
            </w:r>
          </w:p>
        </w:tc>
        <w:tc>
          <w:tcPr>
            <w:tcW w:w="144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$1,358,069</w:t>
            </w:r>
          </w:p>
        </w:tc>
        <w:tc>
          <w:tcPr>
            <w:tcW w:w="140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$129</w:t>
            </w:r>
          </w:p>
        </w:tc>
        <w:tc>
          <w:tcPr>
            <w:tcW w:w="11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$128</w:t>
            </w:r>
          </w:p>
        </w:tc>
        <w:tc>
          <w:tcPr>
            <w:tcW w:w="100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02"/>
        </w:trPr>
        <w:tc>
          <w:tcPr>
            <w:tcW w:w="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2021</w:t>
            </w:r>
          </w:p>
        </w:tc>
        <w:tc>
          <w:tcPr>
            <w:tcW w:w="1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$6,517,485</w:t>
            </w: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$6,074,728</w:t>
            </w: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$1,808,368</w:t>
            </w: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$1,622,435</w:t>
            </w: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$117</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$136</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$425</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1"/>
        </w:trPr>
        <w:tc>
          <w:tcPr>
            <w:tcW w:w="7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2020</w:t>
            </w:r>
          </w:p>
        </w:tc>
        <w:tc>
          <w:tcPr>
            <w:tcW w:w="14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w w:val="99"/>
              </w:rPr>
              <w:t>$6,117,525</w:t>
            </w:r>
          </w:p>
        </w:tc>
        <w:tc>
          <w:tcPr>
            <w:tcW w:w="144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$6,888,767</w:t>
            </w:r>
          </w:p>
        </w:tc>
        <w:tc>
          <w:tcPr>
            <w:tcW w:w="144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$1,530,729</w:t>
            </w:r>
          </w:p>
        </w:tc>
        <w:tc>
          <w:tcPr>
            <w:tcW w:w="144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$1,680,617</w:t>
            </w:r>
          </w:p>
        </w:tc>
        <w:tc>
          <w:tcPr>
            <w:tcW w:w="140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$107</w:t>
            </w:r>
          </w:p>
        </w:tc>
        <w:tc>
          <w:tcPr>
            <w:tcW w:w="11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$112</w:t>
            </w:r>
          </w:p>
        </w:tc>
        <w:tc>
          <w:tcPr>
            <w:tcW w:w="100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$99</w:t>
            </w:r>
          </w:p>
        </w:tc>
        <w:tc>
          <w:tcPr>
            <w:tcW w:w="122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0"/>
        </w:trPr>
        <w:tc>
          <w:tcPr>
            <w:tcW w:w="7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1440" w:type="dxa"/>
            <w:vAlign w:val="bottom"/>
            <w:tcBorders>
              <w:right w:val="single" w:sz="8" w:color="auto"/>
            </w:tcBorders>
            <w:shd w:val="clear" w:color="auto" w:fill="000000"/>
          </w:tcPr>
          <w:p>
            <w:pPr>
              <w:spacing w:after="0" w:line="20" w:lineRule="exact"/>
              <w:rPr>
                <w:sz w:val="1"/>
                <w:szCs w:val="1"/>
                <w:color w:val="auto"/>
              </w:rPr>
            </w:pPr>
          </w:p>
        </w:tc>
        <w:tc>
          <w:tcPr>
            <w:tcW w:w="1440" w:type="dxa"/>
            <w:vAlign w:val="bottom"/>
            <w:tcBorders>
              <w:right w:val="single" w:sz="8" w:color="auto"/>
            </w:tcBorders>
            <w:shd w:val="clear" w:color="auto" w:fill="000000"/>
          </w:tcPr>
          <w:p>
            <w:pPr>
              <w:spacing w:after="0" w:line="20" w:lineRule="exact"/>
              <w:rPr>
                <w:sz w:val="1"/>
                <w:szCs w:val="1"/>
                <w:color w:val="auto"/>
              </w:rPr>
            </w:pPr>
          </w:p>
        </w:tc>
        <w:tc>
          <w:tcPr>
            <w:tcW w:w="1440" w:type="dxa"/>
            <w:vAlign w:val="bottom"/>
            <w:tcBorders>
              <w:right w:val="single" w:sz="8" w:color="auto"/>
            </w:tcBorders>
            <w:shd w:val="clear" w:color="auto" w:fill="000000"/>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right="20" w:hanging="332"/>
        <w:spacing w:after="0" w:line="286" w:lineRule="auto"/>
        <w:tabs>
          <w:tab w:leader="none" w:pos="332"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dollar amounts reflect the total compensation reported for our CEO in the Summary Compensation Table for fiscal years 2024, 2023, 2022, 2021, and 2020. Eugene Lowe served as CEO for each of the years presented.</w:t>
      </w:r>
    </w:p>
    <w:p>
      <w:pPr>
        <w:spacing w:after="0" w:line="8" w:lineRule="exact"/>
        <w:rPr>
          <w:rFonts w:ascii="Arial" w:cs="Arial" w:eastAsia="Arial" w:hAnsi="Arial"/>
          <w:sz w:val="13"/>
          <w:szCs w:val="13"/>
          <w:color w:val="auto"/>
        </w:rPr>
      </w:pPr>
    </w:p>
    <w:p>
      <w:pPr>
        <w:ind w:left="320" w:hanging="312"/>
        <w:spacing w:after="0"/>
        <w:tabs>
          <w:tab w:leader="none" w:pos="3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Deductions from, and additions to, total compensation in the Summary Compensation Table by year to calculate Compensation Actually Paid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601980</wp:posOffset>
            </wp:positionV>
            <wp:extent cx="403225" cy="146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0322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2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47</w:t>
            </w:r>
          </w:p>
        </w:tc>
      </w:tr>
      <w:tr>
        <w:trPr>
          <w:trHeight w:val="27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92" w:right="319" w:bottom="1440" w:gutter="0" w:footer="0" w:header="0"/>
        </w:sectPr>
      </w:pPr>
    </w:p>
    <w:bookmarkStart w:id="53" w:name="page54"/>
    <w:bookmarkEnd w:id="53"/>
    <w:p>
      <w:pPr>
        <w:ind w:left="20"/>
        <w:spacing w:after="0"/>
        <w:rPr>
          <w:sz w:val="20"/>
          <w:szCs w:val="20"/>
          <w:color w:val="auto"/>
        </w:rPr>
      </w:pPr>
      <w:r>
        <w:rPr>
          <w:rFonts w:ascii="Arial" w:cs="Arial" w:eastAsia="Arial" w:hAnsi="Arial"/>
          <w:sz w:val="14"/>
          <w:szCs w:val="14"/>
          <w:color w:val="004C9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350" w:type="dxa"/>
        <w:tblCellMar>
          <w:top w:w="0" w:type="dxa"/>
          <w:left w:w="0" w:type="dxa"/>
          <w:bottom w:w="0" w:type="dxa"/>
          <w:right w:w="0" w:type="dxa"/>
        </w:tblCellMar>
      </w:tblPr>
      <w:tr>
        <w:trPr>
          <w:trHeight w:val="424"/>
        </w:trPr>
        <w:tc>
          <w:tcPr>
            <w:tcW w:w="7900" w:type="dxa"/>
            <w:vAlign w:val="bottom"/>
            <w:tcBorders>
              <w:top w:val="single" w:sz="8" w:color="auto"/>
              <w:left w:val="single" w:sz="8" w:color="auto"/>
              <w:bottom w:val="single" w:sz="8" w:color="004C97"/>
              <w:right w:val="single" w:sz="8" w:color="auto"/>
            </w:tcBorders>
            <w:shd w:val="clear" w:color="auto" w:fill="004C97"/>
          </w:tcPr>
          <w:p>
            <w:pPr>
              <w:spacing w:after="0"/>
              <w:rPr>
                <w:sz w:val="24"/>
                <w:szCs w:val="24"/>
                <w:color w:val="auto"/>
              </w:rPr>
            </w:pPr>
          </w:p>
        </w:tc>
        <w:tc>
          <w:tcPr>
            <w:tcW w:w="1060" w:type="dxa"/>
            <w:vAlign w:val="bottom"/>
            <w:tcBorders>
              <w:top w:val="single" w:sz="8" w:color="auto"/>
              <w:bottom w:val="single" w:sz="8" w:color="004C97"/>
            </w:tcBorders>
            <w:shd w:val="clear" w:color="auto" w:fill="004C97"/>
          </w:tcPr>
          <w:p>
            <w:pPr>
              <w:spacing w:after="0"/>
              <w:rPr>
                <w:sz w:val="24"/>
                <w:szCs w:val="24"/>
                <w:color w:val="auto"/>
              </w:rPr>
            </w:pPr>
          </w:p>
        </w:tc>
        <w:tc>
          <w:tcPr>
            <w:tcW w:w="1580" w:type="dxa"/>
            <w:vAlign w:val="bottom"/>
            <w:tcBorders>
              <w:top w:val="single" w:sz="8" w:color="auto"/>
              <w:bottom w:val="single" w:sz="8" w:color="004C97"/>
              <w:right w:val="single" w:sz="8" w:color="auto"/>
            </w:tcBorders>
            <w:gridSpan w:val="2"/>
            <w:shd w:val="clear" w:color="auto" w:fill="004C97"/>
          </w:tcPr>
          <w:p>
            <w:pPr>
              <w:jc w:val="right"/>
              <w:ind w:right="1137"/>
              <w:spacing w:after="0"/>
              <w:rPr>
                <w:sz w:val="20"/>
                <w:szCs w:val="20"/>
                <w:color w:val="auto"/>
              </w:rPr>
            </w:pPr>
            <w:r>
              <w:rPr>
                <w:rFonts w:ascii="Arial" w:cs="Arial" w:eastAsia="Arial" w:hAnsi="Arial"/>
                <w:sz w:val="13"/>
                <w:szCs w:val="13"/>
                <w:b w:val="1"/>
                <w:bCs w:val="1"/>
                <w:color w:val="FFFFFF"/>
              </w:rPr>
              <w:t>2024</w:t>
            </w:r>
          </w:p>
        </w:tc>
      </w:tr>
      <w:tr>
        <w:trPr>
          <w:trHeight w:val="381"/>
        </w:trPr>
        <w:tc>
          <w:tcPr>
            <w:tcW w:w="7900" w:type="dxa"/>
            <w:vAlign w:val="bottom"/>
            <w:tcBorders>
              <w:top w:val="single" w:sz="8" w:color="004C97"/>
              <w:left w:val="single" w:sz="8" w:color="auto"/>
              <w:right w:val="single" w:sz="8" w:color="auto"/>
            </w:tcBorders>
            <w:shd w:val="clear" w:color="auto" w:fill="004C97"/>
          </w:tcPr>
          <w:p>
            <w:pPr>
              <w:spacing w:after="0"/>
              <w:rPr>
                <w:sz w:val="24"/>
                <w:szCs w:val="24"/>
                <w:color w:val="auto"/>
              </w:rPr>
            </w:pPr>
          </w:p>
        </w:tc>
        <w:tc>
          <w:tcPr>
            <w:tcW w:w="1060" w:type="dxa"/>
            <w:vAlign w:val="bottom"/>
            <w:tcBorders>
              <w:top w:val="single" w:sz="8" w:color="auto"/>
            </w:tcBorders>
            <w:shd w:val="clear" w:color="auto" w:fill="004C97"/>
          </w:tcPr>
          <w:p>
            <w:pPr>
              <w:spacing w:after="0"/>
              <w:rPr>
                <w:sz w:val="24"/>
                <w:szCs w:val="24"/>
                <w:color w:val="auto"/>
              </w:rPr>
            </w:pPr>
          </w:p>
        </w:tc>
        <w:tc>
          <w:tcPr>
            <w:tcW w:w="200" w:type="dxa"/>
            <w:vAlign w:val="bottom"/>
            <w:tcBorders>
              <w:top w:val="single" w:sz="8" w:color="auto"/>
              <w:right w:val="single" w:sz="8" w:color="auto"/>
            </w:tcBorders>
            <w:shd w:val="clear" w:color="auto" w:fill="004C97"/>
          </w:tcPr>
          <w:p>
            <w:pPr>
              <w:spacing w:after="0"/>
              <w:rPr>
                <w:sz w:val="24"/>
                <w:szCs w:val="24"/>
                <w:color w:val="auto"/>
              </w:rPr>
            </w:pPr>
          </w:p>
        </w:tc>
        <w:tc>
          <w:tcPr>
            <w:tcW w:w="138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6"/>
              </w:rPr>
              <w:t>Average Non-</w:t>
            </w:r>
          </w:p>
        </w:tc>
      </w:tr>
      <w:tr>
        <w:trPr>
          <w:trHeight w:val="198"/>
        </w:trPr>
        <w:tc>
          <w:tcPr>
            <w:tcW w:w="7900" w:type="dxa"/>
            <w:vAlign w:val="bottom"/>
            <w:tcBorders>
              <w:left w:val="single" w:sz="8" w:color="auto"/>
              <w:bottom w:val="single" w:sz="8" w:color="004C97"/>
              <w:right w:val="single" w:sz="8" w:color="auto"/>
            </w:tcBorders>
            <w:shd w:val="clear" w:color="auto" w:fill="004C97"/>
          </w:tcPr>
          <w:p>
            <w:pPr>
              <w:spacing w:after="0"/>
              <w:rPr>
                <w:sz w:val="16"/>
                <w:szCs w:val="16"/>
                <w:color w:val="auto"/>
              </w:rPr>
            </w:pPr>
          </w:p>
        </w:tc>
        <w:tc>
          <w:tcPr>
            <w:tcW w:w="1060" w:type="dxa"/>
            <w:vAlign w:val="bottom"/>
            <w:tcBorders>
              <w:bottom w:val="single" w:sz="8" w:color="004C97"/>
            </w:tcBorders>
            <w:shd w:val="clear" w:color="auto" w:fill="004C97"/>
          </w:tcPr>
          <w:p>
            <w:pPr>
              <w:ind w:left="480"/>
              <w:spacing w:after="0"/>
              <w:rPr>
                <w:sz w:val="20"/>
                <w:szCs w:val="20"/>
                <w:color w:val="auto"/>
              </w:rPr>
            </w:pPr>
            <w:r>
              <w:rPr>
                <w:rFonts w:ascii="Arial" w:cs="Arial" w:eastAsia="Arial" w:hAnsi="Arial"/>
                <w:sz w:val="13"/>
                <w:szCs w:val="13"/>
                <w:b w:val="1"/>
                <w:bCs w:val="1"/>
                <w:color w:val="FFFFFF"/>
              </w:rPr>
              <w:t>PEO</w:t>
            </w:r>
          </w:p>
        </w:tc>
        <w:tc>
          <w:tcPr>
            <w:tcW w:w="200" w:type="dxa"/>
            <w:vAlign w:val="bottom"/>
            <w:tcBorders>
              <w:bottom w:val="single" w:sz="8" w:color="004C97"/>
              <w:right w:val="single" w:sz="8" w:color="auto"/>
            </w:tcBorders>
            <w:shd w:val="clear" w:color="auto" w:fill="004C97"/>
          </w:tcPr>
          <w:p>
            <w:pPr>
              <w:spacing w:after="0"/>
              <w:rPr>
                <w:sz w:val="16"/>
                <w:szCs w:val="16"/>
                <w:color w:val="auto"/>
              </w:rPr>
            </w:pPr>
          </w:p>
        </w:tc>
        <w:tc>
          <w:tcPr>
            <w:tcW w:w="1380" w:type="dxa"/>
            <w:vAlign w:val="bottom"/>
            <w:tcBorders>
              <w:bottom w:val="single" w:sz="8" w:color="004C97"/>
              <w:right w:val="single" w:sz="8" w:color="auto"/>
            </w:tcBorders>
            <w:shd w:val="clear" w:color="auto" w:fill="004C97"/>
          </w:tcPr>
          <w:p>
            <w:pPr>
              <w:jc w:val="center"/>
              <w:spacing w:after="0"/>
              <w:rPr>
                <w:sz w:val="20"/>
                <w:szCs w:val="20"/>
                <w:color w:val="auto"/>
              </w:rPr>
            </w:pPr>
            <w:r>
              <w:rPr>
                <w:rFonts w:ascii="Arial" w:cs="Arial" w:eastAsia="Arial" w:hAnsi="Arial"/>
                <w:sz w:val="13"/>
                <w:szCs w:val="13"/>
                <w:b w:val="1"/>
                <w:bCs w:val="1"/>
                <w:color w:val="FFFFFF"/>
                <w:w w:val="96"/>
              </w:rPr>
              <w:t>PEO NEOs</w:t>
            </w:r>
          </w:p>
        </w:tc>
      </w:tr>
      <w:tr>
        <w:trPr>
          <w:trHeight w:val="201"/>
        </w:trPr>
        <w:tc>
          <w:tcPr>
            <w:tcW w:w="7900" w:type="dxa"/>
            <w:vAlign w:val="bottom"/>
            <w:tcBorders>
              <w:top w:val="single" w:sz="8" w:color="auto"/>
              <w:left w:val="single" w:sz="8" w:color="auto"/>
              <w:bottom w:val="single" w:sz="8" w:color="E5E5E5"/>
              <w:right w:val="single" w:sz="8" w:color="auto"/>
            </w:tcBorders>
            <w:shd w:val="clear" w:color="auto" w:fill="E5E5E5"/>
          </w:tcPr>
          <w:p>
            <w:pPr>
              <w:ind w:left="100"/>
              <w:spacing w:after="0"/>
              <w:rPr>
                <w:sz w:val="20"/>
                <w:szCs w:val="20"/>
                <w:color w:val="auto"/>
              </w:rPr>
            </w:pPr>
            <w:r>
              <w:rPr>
                <w:rFonts w:ascii="Arial" w:cs="Arial" w:eastAsia="Arial" w:hAnsi="Arial"/>
                <w:sz w:val="13"/>
                <w:szCs w:val="13"/>
                <w:b w:val="1"/>
                <w:bCs w:val="1"/>
                <w:color w:val="auto"/>
              </w:rPr>
              <w:t>Total Compensation from Summary Compensation Table</w:t>
            </w:r>
          </w:p>
        </w:tc>
        <w:tc>
          <w:tcPr>
            <w:tcW w:w="1060" w:type="dxa"/>
            <w:vAlign w:val="bottom"/>
            <w:tcBorders>
              <w:top w:val="single" w:sz="8" w:color="auto"/>
              <w:bottom w:val="single" w:sz="8" w:color="E5E5E5"/>
            </w:tcBorders>
            <w:shd w:val="clear" w:color="auto" w:fill="E5E5E5"/>
          </w:tcPr>
          <w:p>
            <w:pPr>
              <w:jc w:val="center"/>
              <w:ind w:left="97"/>
              <w:spacing w:after="0"/>
              <w:rPr>
                <w:sz w:val="20"/>
                <w:szCs w:val="20"/>
                <w:color w:val="auto"/>
              </w:rPr>
            </w:pPr>
            <w:r>
              <w:rPr>
                <w:rFonts w:ascii="Arial" w:cs="Arial" w:eastAsia="Arial" w:hAnsi="Arial"/>
                <w:sz w:val="13"/>
                <w:szCs w:val="13"/>
                <w:color w:val="auto"/>
                <w:w w:val="95"/>
              </w:rPr>
              <w:t>$9,305,169</w:t>
            </w:r>
          </w:p>
        </w:tc>
        <w:tc>
          <w:tcPr>
            <w:tcW w:w="200" w:type="dxa"/>
            <w:vAlign w:val="bottom"/>
            <w:tcBorders>
              <w:top w:val="single" w:sz="8" w:color="auto"/>
              <w:bottom w:val="single" w:sz="8" w:color="E5E5E5"/>
              <w:right w:val="single" w:sz="8" w:color="auto"/>
            </w:tcBorders>
            <w:shd w:val="clear" w:color="auto" w:fill="E5E5E5"/>
          </w:tcPr>
          <w:p>
            <w:pPr>
              <w:spacing w:after="0"/>
              <w:rPr>
                <w:sz w:val="17"/>
                <w:szCs w:val="17"/>
                <w:color w:val="auto"/>
              </w:rPr>
            </w:pPr>
          </w:p>
        </w:tc>
        <w:tc>
          <w:tcPr>
            <w:tcW w:w="1380" w:type="dxa"/>
            <w:vAlign w:val="bottom"/>
            <w:tcBorders>
              <w:top w:val="single" w:sz="8" w:color="auto"/>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$2,571,736</w:t>
            </w:r>
          </w:p>
        </w:tc>
      </w:tr>
      <w:tr>
        <w:trPr>
          <w:trHeight w:val="174"/>
        </w:trPr>
        <w:tc>
          <w:tcPr>
            <w:tcW w:w="790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3"/>
                <w:szCs w:val="13"/>
                <w:b w:val="1"/>
                <w:bCs w:val="1"/>
                <w:color w:val="auto"/>
              </w:rPr>
              <w:t>Adjustments for Pension</w:t>
            </w:r>
          </w:p>
        </w:tc>
        <w:tc>
          <w:tcPr>
            <w:tcW w:w="10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80" w:type="dxa"/>
            <w:vAlign w:val="bottom"/>
            <w:tcBorders>
              <w:top w:val="single" w:sz="8" w:color="auto"/>
              <w:right w:val="single" w:sz="8" w:color="auto"/>
            </w:tcBorders>
          </w:tcPr>
          <w:p>
            <w:pPr>
              <w:spacing w:after="0"/>
              <w:rPr>
                <w:sz w:val="15"/>
                <w:szCs w:val="15"/>
                <w:color w:val="auto"/>
              </w:rPr>
            </w:pPr>
          </w:p>
        </w:tc>
      </w:tr>
      <w:tr>
        <w:trPr>
          <w:trHeight w:val="21"/>
        </w:trPr>
        <w:tc>
          <w:tcPr>
            <w:tcW w:w="790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201"/>
        </w:trPr>
        <w:tc>
          <w:tcPr>
            <w:tcW w:w="7900" w:type="dxa"/>
            <w:vAlign w:val="bottom"/>
            <w:tcBorders>
              <w:left w:val="single" w:sz="8" w:color="auto"/>
              <w:bottom w:val="single" w:sz="8" w:color="E5E5E5"/>
              <w:right w:val="single" w:sz="8" w:color="auto"/>
            </w:tcBorders>
            <w:shd w:val="clear" w:color="auto" w:fill="E5E5E5"/>
          </w:tcPr>
          <w:p>
            <w:pPr>
              <w:ind w:left="180"/>
              <w:spacing w:after="0"/>
              <w:rPr>
                <w:sz w:val="20"/>
                <w:szCs w:val="20"/>
                <w:color w:val="auto"/>
              </w:rPr>
            </w:pPr>
            <w:r>
              <w:rPr>
                <w:rFonts w:ascii="Arial" w:cs="Arial" w:eastAsia="Arial" w:hAnsi="Arial"/>
                <w:sz w:val="13"/>
                <w:szCs w:val="13"/>
                <w:b w:val="1"/>
                <w:bCs w:val="1"/>
                <w:color w:val="auto"/>
              </w:rPr>
              <w:t>Adjustment for Summary Compensation Table Pension</w:t>
            </w:r>
          </w:p>
        </w:tc>
        <w:tc>
          <w:tcPr>
            <w:tcW w:w="1060" w:type="dxa"/>
            <w:vAlign w:val="bottom"/>
            <w:tcBorders>
              <w:bottom w:val="single" w:sz="8" w:color="E5E5E5"/>
            </w:tcBorders>
            <w:shd w:val="clear" w:color="auto" w:fill="E5E5E5"/>
          </w:tcPr>
          <w:p>
            <w:pPr>
              <w:jc w:val="center"/>
              <w:ind w:left="97"/>
              <w:spacing w:after="0"/>
              <w:rPr>
                <w:sz w:val="20"/>
                <w:szCs w:val="20"/>
                <w:color w:val="auto"/>
              </w:rPr>
            </w:pPr>
            <w:r>
              <w:rPr>
                <w:rFonts w:ascii="Arial" w:cs="Arial" w:eastAsia="Arial" w:hAnsi="Arial"/>
                <w:sz w:val="13"/>
                <w:szCs w:val="13"/>
                <w:color w:val="auto"/>
                <w:w w:val="96"/>
              </w:rPr>
              <w:t>$0</w:t>
            </w:r>
          </w:p>
        </w:tc>
        <w:tc>
          <w:tcPr>
            <w:tcW w:w="200" w:type="dxa"/>
            <w:vAlign w:val="bottom"/>
            <w:tcBorders>
              <w:bottom w:val="single" w:sz="8" w:color="E5E5E5"/>
              <w:right w:val="single" w:sz="8" w:color="auto"/>
            </w:tcBorders>
            <w:shd w:val="clear" w:color="auto" w:fill="E5E5E5"/>
          </w:tcPr>
          <w:p>
            <w:pPr>
              <w:spacing w:after="0"/>
              <w:rPr>
                <w:sz w:val="17"/>
                <w:szCs w:val="17"/>
                <w:color w:val="auto"/>
              </w:rPr>
            </w:pPr>
          </w:p>
        </w:tc>
        <w:tc>
          <w:tcPr>
            <w:tcW w:w="138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6"/>
              </w:rPr>
              <w:t>$0</w:t>
            </w:r>
          </w:p>
        </w:tc>
      </w:tr>
      <w:tr>
        <w:trPr>
          <w:trHeight w:val="174"/>
        </w:trPr>
        <w:tc>
          <w:tcPr>
            <w:tcW w:w="790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rPr>
              <w:t>Amount added for current year service cost</w:t>
            </w:r>
          </w:p>
        </w:tc>
        <w:tc>
          <w:tcPr>
            <w:tcW w:w="1060" w:type="dxa"/>
            <w:vAlign w:val="bottom"/>
            <w:tcBorders>
              <w:top w:val="single" w:sz="8" w:color="auto"/>
            </w:tcBorders>
          </w:tcPr>
          <w:p>
            <w:pPr>
              <w:jc w:val="center"/>
              <w:ind w:left="97"/>
              <w:spacing w:after="0"/>
              <w:rPr>
                <w:sz w:val="20"/>
                <w:szCs w:val="20"/>
                <w:color w:val="auto"/>
              </w:rPr>
            </w:pPr>
            <w:r>
              <w:rPr>
                <w:rFonts w:ascii="Arial" w:cs="Arial" w:eastAsia="Arial" w:hAnsi="Arial"/>
                <w:sz w:val="13"/>
                <w:szCs w:val="13"/>
                <w:color w:val="auto"/>
                <w:w w:val="96"/>
              </w:rPr>
              <w:t>$0</w:t>
            </w:r>
          </w:p>
        </w:tc>
        <w:tc>
          <w:tcPr>
            <w:tcW w:w="200" w:type="dxa"/>
            <w:vAlign w:val="bottom"/>
            <w:tcBorders>
              <w:top w:val="single" w:sz="8" w:color="auto"/>
              <w:right w:val="single" w:sz="8" w:color="auto"/>
            </w:tcBorders>
          </w:tcPr>
          <w:p>
            <w:pPr>
              <w:spacing w:after="0"/>
              <w:rPr>
                <w:sz w:val="15"/>
                <w:szCs w:val="15"/>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$0</w:t>
            </w:r>
          </w:p>
        </w:tc>
      </w:tr>
      <w:tr>
        <w:trPr>
          <w:trHeight w:val="22"/>
        </w:trPr>
        <w:tc>
          <w:tcPr>
            <w:tcW w:w="7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201"/>
        </w:trPr>
        <w:tc>
          <w:tcPr>
            <w:tcW w:w="7900" w:type="dxa"/>
            <w:vAlign w:val="bottom"/>
            <w:tcBorders>
              <w:left w:val="single" w:sz="8" w:color="auto"/>
              <w:bottom w:val="single" w:sz="8" w:color="E5E5E5"/>
              <w:right w:val="single" w:sz="8" w:color="auto"/>
            </w:tcBorders>
            <w:shd w:val="clear" w:color="auto" w:fill="E5E5E5"/>
          </w:tcPr>
          <w:p>
            <w:pPr>
              <w:ind w:left="180"/>
              <w:spacing w:after="0"/>
              <w:rPr>
                <w:sz w:val="20"/>
                <w:szCs w:val="20"/>
                <w:color w:val="auto"/>
              </w:rPr>
            </w:pPr>
            <w:r>
              <w:rPr>
                <w:rFonts w:ascii="Arial" w:cs="Arial" w:eastAsia="Arial" w:hAnsi="Arial"/>
                <w:sz w:val="13"/>
                <w:szCs w:val="13"/>
                <w:b w:val="1"/>
                <w:bCs w:val="1"/>
                <w:color w:val="auto"/>
              </w:rPr>
              <w:t>Amount added for prior service cost impacting current year</w:t>
            </w:r>
          </w:p>
        </w:tc>
        <w:tc>
          <w:tcPr>
            <w:tcW w:w="1060" w:type="dxa"/>
            <w:vAlign w:val="bottom"/>
            <w:tcBorders>
              <w:bottom w:val="single" w:sz="8" w:color="E5E5E5"/>
            </w:tcBorders>
            <w:shd w:val="clear" w:color="auto" w:fill="E5E5E5"/>
          </w:tcPr>
          <w:p>
            <w:pPr>
              <w:jc w:val="center"/>
              <w:ind w:left="97"/>
              <w:spacing w:after="0"/>
              <w:rPr>
                <w:sz w:val="20"/>
                <w:szCs w:val="20"/>
                <w:color w:val="auto"/>
              </w:rPr>
            </w:pPr>
            <w:r>
              <w:rPr>
                <w:rFonts w:ascii="Arial" w:cs="Arial" w:eastAsia="Arial" w:hAnsi="Arial"/>
                <w:sz w:val="13"/>
                <w:szCs w:val="13"/>
                <w:color w:val="auto"/>
                <w:w w:val="96"/>
              </w:rPr>
              <w:t>$0</w:t>
            </w:r>
          </w:p>
        </w:tc>
        <w:tc>
          <w:tcPr>
            <w:tcW w:w="200" w:type="dxa"/>
            <w:vAlign w:val="bottom"/>
            <w:tcBorders>
              <w:bottom w:val="single" w:sz="8" w:color="E5E5E5"/>
              <w:right w:val="single" w:sz="8" w:color="auto"/>
            </w:tcBorders>
            <w:shd w:val="clear" w:color="auto" w:fill="E5E5E5"/>
          </w:tcPr>
          <w:p>
            <w:pPr>
              <w:spacing w:after="0"/>
              <w:rPr>
                <w:sz w:val="17"/>
                <w:szCs w:val="17"/>
                <w:color w:val="auto"/>
              </w:rPr>
            </w:pPr>
          </w:p>
        </w:tc>
        <w:tc>
          <w:tcPr>
            <w:tcW w:w="138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6"/>
              </w:rPr>
              <w:t>$0</w:t>
            </w:r>
          </w:p>
        </w:tc>
      </w:tr>
      <w:tr>
        <w:trPr>
          <w:trHeight w:val="175"/>
        </w:trPr>
        <w:tc>
          <w:tcPr>
            <w:tcW w:w="79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Total Adjustments for Pension</w:t>
            </w:r>
          </w:p>
        </w:tc>
        <w:tc>
          <w:tcPr>
            <w:tcW w:w="1060" w:type="dxa"/>
            <w:vAlign w:val="bottom"/>
            <w:tcBorders>
              <w:top w:val="single" w:sz="8" w:color="auto"/>
            </w:tcBorders>
          </w:tcPr>
          <w:p>
            <w:pPr>
              <w:jc w:val="center"/>
              <w:ind w:left="97"/>
              <w:spacing w:after="0"/>
              <w:rPr>
                <w:sz w:val="20"/>
                <w:szCs w:val="20"/>
                <w:color w:val="auto"/>
              </w:rPr>
            </w:pPr>
            <w:r>
              <w:rPr>
                <w:rFonts w:ascii="Arial" w:cs="Arial" w:eastAsia="Arial" w:hAnsi="Arial"/>
                <w:sz w:val="13"/>
                <w:szCs w:val="13"/>
                <w:color w:val="auto"/>
                <w:w w:val="96"/>
              </w:rPr>
              <w:t>$0</w:t>
            </w:r>
          </w:p>
        </w:tc>
        <w:tc>
          <w:tcPr>
            <w:tcW w:w="200" w:type="dxa"/>
            <w:vAlign w:val="bottom"/>
            <w:tcBorders>
              <w:top w:val="single" w:sz="8" w:color="auto"/>
              <w:right w:val="single" w:sz="8" w:color="auto"/>
            </w:tcBorders>
          </w:tcPr>
          <w:p>
            <w:pPr>
              <w:spacing w:after="0"/>
              <w:rPr>
                <w:sz w:val="15"/>
                <w:szCs w:val="15"/>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$0</w:t>
            </w:r>
          </w:p>
        </w:tc>
      </w:tr>
      <w:tr>
        <w:trPr>
          <w:trHeight w:val="22"/>
        </w:trPr>
        <w:tc>
          <w:tcPr>
            <w:tcW w:w="7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201"/>
        </w:trPr>
        <w:tc>
          <w:tcPr>
            <w:tcW w:w="7900" w:type="dxa"/>
            <w:vAlign w:val="bottom"/>
            <w:tcBorders>
              <w:left w:val="single" w:sz="8" w:color="auto"/>
              <w:bottom w:val="single" w:sz="8" w:color="E5E5E5"/>
              <w:right w:val="single" w:sz="8" w:color="E5E5E5"/>
            </w:tcBorders>
            <w:shd w:val="clear" w:color="auto" w:fill="E5E5E5"/>
          </w:tcPr>
          <w:p>
            <w:pPr>
              <w:ind w:left="100"/>
              <w:spacing w:after="0"/>
              <w:rPr>
                <w:sz w:val="20"/>
                <w:szCs w:val="20"/>
                <w:color w:val="auto"/>
              </w:rPr>
            </w:pPr>
            <w:r>
              <w:rPr>
                <w:rFonts w:ascii="Arial" w:cs="Arial" w:eastAsia="Arial" w:hAnsi="Arial"/>
                <w:sz w:val="13"/>
                <w:szCs w:val="13"/>
                <w:b w:val="1"/>
                <w:bCs w:val="1"/>
                <w:color w:val="auto"/>
              </w:rPr>
              <w:t>Adjustments for Equity Awards</w:t>
            </w:r>
          </w:p>
        </w:tc>
        <w:tc>
          <w:tcPr>
            <w:tcW w:w="1060" w:type="dxa"/>
            <w:vAlign w:val="bottom"/>
            <w:tcBorders>
              <w:bottom w:val="single" w:sz="8" w:color="E5E5E5"/>
            </w:tcBorders>
            <w:shd w:val="clear" w:color="auto" w:fill="E5E5E5"/>
          </w:tcPr>
          <w:p>
            <w:pPr>
              <w:spacing w:after="0"/>
              <w:rPr>
                <w:sz w:val="17"/>
                <w:szCs w:val="17"/>
                <w:color w:val="auto"/>
              </w:rPr>
            </w:pPr>
          </w:p>
        </w:tc>
        <w:tc>
          <w:tcPr>
            <w:tcW w:w="200" w:type="dxa"/>
            <w:vAlign w:val="bottom"/>
            <w:tcBorders>
              <w:bottom w:val="single" w:sz="8" w:color="E5E5E5"/>
              <w:right w:val="single" w:sz="8" w:color="E5E5E5"/>
            </w:tcBorders>
            <w:shd w:val="clear" w:color="auto" w:fill="E5E5E5"/>
          </w:tcPr>
          <w:p>
            <w:pPr>
              <w:spacing w:after="0"/>
              <w:rPr>
                <w:sz w:val="17"/>
                <w:szCs w:val="17"/>
                <w:color w:val="auto"/>
              </w:rPr>
            </w:pPr>
          </w:p>
        </w:tc>
        <w:tc>
          <w:tcPr>
            <w:tcW w:w="1380" w:type="dxa"/>
            <w:vAlign w:val="bottom"/>
            <w:tcBorders>
              <w:bottom w:val="single" w:sz="8" w:color="E5E5E5"/>
              <w:right w:val="single" w:sz="8" w:color="auto"/>
            </w:tcBorders>
            <w:shd w:val="clear" w:color="auto" w:fill="E5E5E5"/>
          </w:tcPr>
          <w:p>
            <w:pPr>
              <w:spacing w:after="0"/>
              <w:rPr>
                <w:sz w:val="17"/>
                <w:szCs w:val="17"/>
                <w:color w:val="auto"/>
              </w:rPr>
            </w:pPr>
          </w:p>
        </w:tc>
      </w:tr>
      <w:tr>
        <w:trPr>
          <w:trHeight w:val="169"/>
        </w:trPr>
        <w:tc>
          <w:tcPr>
            <w:tcW w:w="790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Adjustment for grant date values in the Summary Compensation Table</w:t>
            </w:r>
          </w:p>
        </w:tc>
        <w:tc>
          <w:tcPr>
            <w:tcW w:w="1060" w:type="dxa"/>
            <w:vAlign w:val="bottom"/>
            <w:tcBorders>
              <w:top w:val="single" w:sz="8" w:color="auto"/>
            </w:tcBorders>
          </w:tcPr>
          <w:p>
            <w:pPr>
              <w:jc w:val="center"/>
              <w:ind w:left="97"/>
              <w:spacing w:after="0"/>
              <w:rPr>
                <w:sz w:val="20"/>
                <w:szCs w:val="20"/>
                <w:color w:val="auto"/>
              </w:rPr>
            </w:pPr>
            <w:r>
              <w:rPr>
                <w:rFonts w:ascii="Arial" w:cs="Arial" w:eastAsia="Arial" w:hAnsi="Arial"/>
                <w:sz w:val="13"/>
                <w:szCs w:val="13"/>
                <w:color w:val="auto"/>
                <w:w w:val="94"/>
              </w:rPr>
              <w:t>$(5,829,506)</w:t>
            </w:r>
          </w:p>
        </w:tc>
        <w:tc>
          <w:tcPr>
            <w:tcW w:w="200" w:type="dxa"/>
            <w:vAlign w:val="bottom"/>
            <w:tcBorders>
              <w:top w:val="single" w:sz="8" w:color="auto"/>
              <w:right w:val="single" w:sz="8" w:color="auto"/>
            </w:tcBorders>
          </w:tcPr>
          <w:p>
            <w:pPr>
              <w:spacing w:after="0"/>
              <w:rPr>
                <w:sz w:val="14"/>
                <w:szCs w:val="14"/>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$(1,226,069)</w:t>
            </w:r>
          </w:p>
        </w:tc>
      </w:tr>
      <w:tr>
        <w:trPr>
          <w:trHeight w:val="28"/>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r>
      <w:tr>
        <w:trPr>
          <w:trHeight w:val="201"/>
        </w:trPr>
        <w:tc>
          <w:tcPr>
            <w:tcW w:w="7900" w:type="dxa"/>
            <w:vAlign w:val="bottom"/>
            <w:tcBorders>
              <w:left w:val="single" w:sz="8" w:color="auto"/>
              <w:bottom w:val="single" w:sz="8" w:color="E5E5E5"/>
              <w:right w:val="single" w:sz="8" w:color="auto"/>
            </w:tcBorders>
            <w:shd w:val="clear" w:color="auto" w:fill="E5E5E5"/>
          </w:tcPr>
          <w:p>
            <w:pPr>
              <w:ind w:left="180"/>
              <w:spacing w:after="0"/>
              <w:rPr>
                <w:sz w:val="20"/>
                <w:szCs w:val="20"/>
                <w:color w:val="auto"/>
              </w:rPr>
            </w:pPr>
            <w:r>
              <w:rPr>
                <w:rFonts w:ascii="Arial" w:cs="Arial" w:eastAsia="Arial" w:hAnsi="Arial"/>
                <w:sz w:val="13"/>
                <w:szCs w:val="13"/>
                <w:color w:val="auto"/>
              </w:rPr>
              <w:t>Year-end fair value of unvested awards granted in the current year</w:t>
            </w:r>
          </w:p>
        </w:tc>
        <w:tc>
          <w:tcPr>
            <w:tcW w:w="1060" w:type="dxa"/>
            <w:vAlign w:val="bottom"/>
            <w:tcBorders>
              <w:bottom w:val="single" w:sz="8" w:color="E5E5E5"/>
            </w:tcBorders>
            <w:shd w:val="clear" w:color="auto" w:fill="E5E5E5"/>
          </w:tcPr>
          <w:p>
            <w:pPr>
              <w:jc w:val="center"/>
              <w:ind w:left="97"/>
              <w:spacing w:after="0"/>
              <w:rPr>
                <w:sz w:val="20"/>
                <w:szCs w:val="20"/>
                <w:color w:val="auto"/>
              </w:rPr>
            </w:pPr>
            <w:r>
              <w:rPr>
                <w:rFonts w:ascii="Arial" w:cs="Arial" w:eastAsia="Arial" w:hAnsi="Arial"/>
                <w:sz w:val="13"/>
                <w:szCs w:val="13"/>
                <w:color w:val="auto"/>
                <w:w w:val="95"/>
              </w:rPr>
              <w:t>$8,200,615</w:t>
            </w:r>
          </w:p>
        </w:tc>
        <w:tc>
          <w:tcPr>
            <w:tcW w:w="200" w:type="dxa"/>
            <w:vAlign w:val="bottom"/>
            <w:tcBorders>
              <w:bottom w:val="single" w:sz="8" w:color="E5E5E5"/>
              <w:right w:val="single" w:sz="8" w:color="auto"/>
            </w:tcBorders>
            <w:shd w:val="clear" w:color="auto" w:fill="E5E5E5"/>
          </w:tcPr>
          <w:p>
            <w:pPr>
              <w:spacing w:after="0"/>
              <w:rPr>
                <w:sz w:val="17"/>
                <w:szCs w:val="17"/>
                <w:color w:val="auto"/>
              </w:rPr>
            </w:pPr>
          </w:p>
        </w:tc>
        <w:tc>
          <w:tcPr>
            <w:tcW w:w="138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$1,724,762</w:t>
            </w:r>
          </w:p>
        </w:tc>
      </w:tr>
      <w:tr>
        <w:trPr>
          <w:trHeight w:val="168"/>
        </w:trPr>
        <w:tc>
          <w:tcPr>
            <w:tcW w:w="790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Year-over-year difference of year-end fair values for unvested awards granted in prior years</w:t>
            </w:r>
          </w:p>
        </w:tc>
        <w:tc>
          <w:tcPr>
            <w:tcW w:w="1060" w:type="dxa"/>
            <w:vAlign w:val="bottom"/>
            <w:tcBorders>
              <w:top w:val="single" w:sz="8" w:color="auto"/>
            </w:tcBorders>
          </w:tcPr>
          <w:p>
            <w:pPr>
              <w:jc w:val="center"/>
              <w:ind w:left="97"/>
              <w:spacing w:after="0"/>
              <w:rPr>
                <w:sz w:val="20"/>
                <w:szCs w:val="20"/>
                <w:color w:val="auto"/>
              </w:rPr>
            </w:pPr>
            <w:r>
              <w:rPr>
                <w:rFonts w:ascii="Arial" w:cs="Arial" w:eastAsia="Arial" w:hAnsi="Arial"/>
                <w:sz w:val="13"/>
                <w:szCs w:val="13"/>
                <w:color w:val="auto"/>
                <w:w w:val="95"/>
              </w:rPr>
              <w:t>$7,779,544</w:t>
            </w:r>
          </w:p>
        </w:tc>
        <w:tc>
          <w:tcPr>
            <w:tcW w:w="200" w:type="dxa"/>
            <w:vAlign w:val="bottom"/>
            <w:tcBorders>
              <w:top w:val="single" w:sz="8" w:color="auto"/>
              <w:right w:val="single" w:sz="8" w:color="auto"/>
            </w:tcBorders>
          </w:tcPr>
          <w:p>
            <w:pPr>
              <w:spacing w:after="0"/>
              <w:rPr>
                <w:sz w:val="14"/>
                <w:szCs w:val="14"/>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$1,169,362</w:t>
            </w:r>
          </w:p>
        </w:tc>
      </w:tr>
      <w:tr>
        <w:trPr>
          <w:trHeight w:val="28"/>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r>
      <w:tr>
        <w:trPr>
          <w:trHeight w:val="201"/>
        </w:trPr>
        <w:tc>
          <w:tcPr>
            <w:tcW w:w="7900" w:type="dxa"/>
            <w:vAlign w:val="bottom"/>
            <w:tcBorders>
              <w:left w:val="single" w:sz="8" w:color="auto"/>
              <w:bottom w:val="single" w:sz="8" w:color="E5E5E5"/>
              <w:right w:val="single" w:sz="8" w:color="auto"/>
            </w:tcBorders>
            <w:shd w:val="clear" w:color="auto" w:fill="E5E5E5"/>
          </w:tcPr>
          <w:p>
            <w:pPr>
              <w:ind w:left="180"/>
              <w:spacing w:after="0"/>
              <w:rPr>
                <w:sz w:val="20"/>
                <w:szCs w:val="20"/>
                <w:color w:val="auto"/>
              </w:rPr>
            </w:pPr>
            <w:r>
              <w:rPr>
                <w:rFonts w:ascii="Arial" w:cs="Arial" w:eastAsia="Arial" w:hAnsi="Arial"/>
                <w:sz w:val="13"/>
                <w:szCs w:val="13"/>
                <w:color w:val="auto"/>
              </w:rPr>
              <w:t>Fair values at vest date for awards granted and vested in current year</w:t>
            </w:r>
          </w:p>
        </w:tc>
        <w:tc>
          <w:tcPr>
            <w:tcW w:w="1060" w:type="dxa"/>
            <w:vAlign w:val="bottom"/>
            <w:tcBorders>
              <w:bottom w:val="single" w:sz="8" w:color="E5E5E5"/>
            </w:tcBorders>
            <w:shd w:val="clear" w:color="auto" w:fill="E5E5E5"/>
          </w:tcPr>
          <w:p>
            <w:pPr>
              <w:jc w:val="center"/>
              <w:ind w:left="97"/>
              <w:spacing w:after="0"/>
              <w:rPr>
                <w:sz w:val="20"/>
                <w:szCs w:val="20"/>
                <w:color w:val="auto"/>
              </w:rPr>
            </w:pPr>
            <w:r>
              <w:rPr>
                <w:rFonts w:ascii="Arial" w:cs="Arial" w:eastAsia="Arial" w:hAnsi="Arial"/>
                <w:sz w:val="13"/>
                <w:szCs w:val="13"/>
                <w:color w:val="auto"/>
                <w:w w:val="96"/>
              </w:rPr>
              <w:t>$0</w:t>
            </w:r>
          </w:p>
        </w:tc>
        <w:tc>
          <w:tcPr>
            <w:tcW w:w="200" w:type="dxa"/>
            <w:vAlign w:val="bottom"/>
            <w:tcBorders>
              <w:bottom w:val="single" w:sz="8" w:color="E5E5E5"/>
              <w:right w:val="single" w:sz="8" w:color="auto"/>
            </w:tcBorders>
            <w:shd w:val="clear" w:color="auto" w:fill="E5E5E5"/>
          </w:tcPr>
          <w:p>
            <w:pPr>
              <w:spacing w:after="0"/>
              <w:rPr>
                <w:sz w:val="17"/>
                <w:szCs w:val="17"/>
                <w:color w:val="auto"/>
              </w:rPr>
            </w:pPr>
          </w:p>
        </w:tc>
        <w:tc>
          <w:tcPr>
            <w:tcW w:w="138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6"/>
              </w:rPr>
              <w:t>$0</w:t>
            </w:r>
          </w:p>
        </w:tc>
      </w:tr>
      <w:tr>
        <w:trPr>
          <w:trHeight w:val="168"/>
        </w:trPr>
        <w:tc>
          <w:tcPr>
            <w:tcW w:w="790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Difference in fair values between prior year-end fair values and vest date fair values for awards granted in prior years</w:t>
            </w:r>
          </w:p>
        </w:tc>
        <w:tc>
          <w:tcPr>
            <w:tcW w:w="1060" w:type="dxa"/>
            <w:vAlign w:val="bottom"/>
            <w:tcBorders>
              <w:top w:val="single" w:sz="8" w:color="auto"/>
            </w:tcBorders>
          </w:tcPr>
          <w:p>
            <w:pPr>
              <w:jc w:val="center"/>
              <w:ind w:left="97"/>
              <w:spacing w:after="0"/>
              <w:rPr>
                <w:sz w:val="20"/>
                <w:szCs w:val="20"/>
                <w:color w:val="auto"/>
              </w:rPr>
            </w:pPr>
            <w:r>
              <w:rPr>
                <w:rFonts w:ascii="Arial" w:cs="Arial" w:eastAsia="Arial" w:hAnsi="Arial"/>
                <w:sz w:val="13"/>
                <w:szCs w:val="13"/>
                <w:color w:val="auto"/>
                <w:w w:val="95"/>
              </w:rPr>
              <w:t>$1,211,903</w:t>
            </w:r>
          </w:p>
        </w:tc>
        <w:tc>
          <w:tcPr>
            <w:tcW w:w="200" w:type="dxa"/>
            <w:vAlign w:val="bottom"/>
            <w:tcBorders>
              <w:top w:val="single" w:sz="8" w:color="auto"/>
              <w:right w:val="single" w:sz="8" w:color="auto"/>
            </w:tcBorders>
          </w:tcPr>
          <w:p>
            <w:pPr>
              <w:spacing w:after="0"/>
              <w:rPr>
                <w:sz w:val="14"/>
                <w:szCs w:val="14"/>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$260,541</w:t>
            </w:r>
          </w:p>
        </w:tc>
      </w:tr>
      <w:tr>
        <w:trPr>
          <w:trHeight w:val="28"/>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r>
      <w:tr>
        <w:trPr>
          <w:trHeight w:val="201"/>
        </w:trPr>
        <w:tc>
          <w:tcPr>
            <w:tcW w:w="7900" w:type="dxa"/>
            <w:vAlign w:val="bottom"/>
            <w:tcBorders>
              <w:left w:val="single" w:sz="8" w:color="auto"/>
              <w:bottom w:val="single" w:sz="8" w:color="E5E5E5"/>
              <w:right w:val="single" w:sz="8" w:color="auto"/>
            </w:tcBorders>
            <w:shd w:val="clear" w:color="auto" w:fill="E5E5E5"/>
          </w:tcPr>
          <w:p>
            <w:pPr>
              <w:ind w:left="180"/>
              <w:spacing w:after="0"/>
              <w:rPr>
                <w:sz w:val="20"/>
                <w:szCs w:val="20"/>
                <w:color w:val="auto"/>
              </w:rPr>
            </w:pPr>
            <w:r>
              <w:rPr>
                <w:rFonts w:ascii="Arial" w:cs="Arial" w:eastAsia="Arial" w:hAnsi="Arial"/>
                <w:sz w:val="13"/>
                <w:szCs w:val="13"/>
                <w:color w:val="auto"/>
              </w:rPr>
              <w:t>Forfeitures during current year equal to prior year-end fair value</w:t>
            </w:r>
          </w:p>
        </w:tc>
        <w:tc>
          <w:tcPr>
            <w:tcW w:w="1060" w:type="dxa"/>
            <w:vAlign w:val="bottom"/>
            <w:tcBorders>
              <w:bottom w:val="single" w:sz="8" w:color="E5E5E5"/>
            </w:tcBorders>
            <w:shd w:val="clear" w:color="auto" w:fill="E5E5E5"/>
          </w:tcPr>
          <w:p>
            <w:pPr>
              <w:jc w:val="center"/>
              <w:ind w:left="97"/>
              <w:spacing w:after="0"/>
              <w:rPr>
                <w:sz w:val="20"/>
                <w:szCs w:val="20"/>
                <w:color w:val="auto"/>
              </w:rPr>
            </w:pPr>
            <w:r>
              <w:rPr>
                <w:rFonts w:ascii="Arial" w:cs="Arial" w:eastAsia="Arial" w:hAnsi="Arial"/>
                <w:sz w:val="13"/>
                <w:szCs w:val="13"/>
                <w:color w:val="auto"/>
                <w:w w:val="96"/>
              </w:rPr>
              <w:t>$0</w:t>
            </w:r>
          </w:p>
        </w:tc>
        <w:tc>
          <w:tcPr>
            <w:tcW w:w="200" w:type="dxa"/>
            <w:vAlign w:val="bottom"/>
            <w:tcBorders>
              <w:bottom w:val="single" w:sz="8" w:color="E5E5E5"/>
              <w:right w:val="single" w:sz="8" w:color="auto"/>
            </w:tcBorders>
            <w:shd w:val="clear" w:color="auto" w:fill="E5E5E5"/>
          </w:tcPr>
          <w:p>
            <w:pPr>
              <w:spacing w:after="0"/>
              <w:rPr>
                <w:sz w:val="17"/>
                <w:szCs w:val="17"/>
                <w:color w:val="auto"/>
              </w:rPr>
            </w:pPr>
          </w:p>
        </w:tc>
        <w:tc>
          <w:tcPr>
            <w:tcW w:w="138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6"/>
              </w:rPr>
              <w:t>$0</w:t>
            </w:r>
          </w:p>
        </w:tc>
      </w:tr>
      <w:tr>
        <w:trPr>
          <w:trHeight w:val="168"/>
        </w:trPr>
        <w:tc>
          <w:tcPr>
            <w:tcW w:w="790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Dividends or dividend equivalents not otherwise included in the total compensation</w:t>
            </w:r>
          </w:p>
        </w:tc>
        <w:tc>
          <w:tcPr>
            <w:tcW w:w="1060" w:type="dxa"/>
            <w:vAlign w:val="bottom"/>
            <w:tcBorders>
              <w:top w:val="single" w:sz="8" w:color="auto"/>
            </w:tcBorders>
          </w:tcPr>
          <w:p>
            <w:pPr>
              <w:jc w:val="center"/>
              <w:ind w:left="97"/>
              <w:spacing w:after="0"/>
              <w:rPr>
                <w:sz w:val="20"/>
                <w:szCs w:val="20"/>
                <w:color w:val="auto"/>
              </w:rPr>
            </w:pPr>
            <w:r>
              <w:rPr>
                <w:rFonts w:ascii="Arial" w:cs="Arial" w:eastAsia="Arial" w:hAnsi="Arial"/>
                <w:sz w:val="13"/>
                <w:szCs w:val="13"/>
                <w:color w:val="auto"/>
                <w:w w:val="96"/>
              </w:rPr>
              <w:t>$0</w:t>
            </w:r>
          </w:p>
        </w:tc>
        <w:tc>
          <w:tcPr>
            <w:tcW w:w="200" w:type="dxa"/>
            <w:vAlign w:val="bottom"/>
            <w:tcBorders>
              <w:top w:val="single" w:sz="8" w:color="auto"/>
              <w:right w:val="single" w:sz="8" w:color="auto"/>
            </w:tcBorders>
          </w:tcPr>
          <w:p>
            <w:pPr>
              <w:spacing w:after="0"/>
              <w:rPr>
                <w:sz w:val="14"/>
                <w:szCs w:val="14"/>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$0</w:t>
            </w:r>
          </w:p>
        </w:tc>
      </w:tr>
      <w:tr>
        <w:trPr>
          <w:trHeight w:val="28"/>
        </w:trPr>
        <w:tc>
          <w:tcPr>
            <w:tcW w:w="790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r>
      <w:tr>
        <w:trPr>
          <w:trHeight w:val="201"/>
        </w:trPr>
        <w:tc>
          <w:tcPr>
            <w:tcW w:w="7900" w:type="dxa"/>
            <w:vAlign w:val="bottom"/>
            <w:tcBorders>
              <w:left w:val="single" w:sz="8" w:color="auto"/>
              <w:bottom w:val="single" w:sz="8" w:color="E5E5E5"/>
              <w:right w:val="single" w:sz="8" w:color="auto"/>
            </w:tcBorders>
            <w:shd w:val="clear" w:color="auto" w:fill="E5E5E5"/>
          </w:tcPr>
          <w:p>
            <w:pPr>
              <w:ind w:left="100"/>
              <w:spacing w:after="0"/>
              <w:rPr>
                <w:sz w:val="20"/>
                <w:szCs w:val="20"/>
                <w:color w:val="auto"/>
              </w:rPr>
            </w:pPr>
            <w:r>
              <w:rPr>
                <w:rFonts w:ascii="Arial" w:cs="Arial" w:eastAsia="Arial" w:hAnsi="Arial"/>
                <w:sz w:val="13"/>
                <w:szCs w:val="13"/>
                <w:b w:val="1"/>
                <w:bCs w:val="1"/>
                <w:color w:val="auto"/>
              </w:rPr>
              <w:t>Total Adjustments for Equity Awards</w:t>
            </w:r>
          </w:p>
        </w:tc>
        <w:tc>
          <w:tcPr>
            <w:tcW w:w="1060" w:type="dxa"/>
            <w:vAlign w:val="bottom"/>
            <w:tcBorders>
              <w:bottom w:val="single" w:sz="8" w:color="E5E5E5"/>
            </w:tcBorders>
            <w:shd w:val="clear" w:color="auto" w:fill="E5E5E5"/>
          </w:tcPr>
          <w:p>
            <w:pPr>
              <w:jc w:val="center"/>
              <w:ind w:left="97"/>
              <w:spacing w:after="0"/>
              <w:rPr>
                <w:sz w:val="20"/>
                <w:szCs w:val="20"/>
                <w:color w:val="auto"/>
              </w:rPr>
            </w:pPr>
            <w:r>
              <w:rPr>
                <w:rFonts w:ascii="Arial" w:cs="Arial" w:eastAsia="Arial" w:hAnsi="Arial"/>
                <w:sz w:val="13"/>
                <w:szCs w:val="13"/>
                <w:color w:val="auto"/>
                <w:w w:val="96"/>
              </w:rPr>
              <w:t>$11,362,556</w:t>
            </w:r>
          </w:p>
        </w:tc>
        <w:tc>
          <w:tcPr>
            <w:tcW w:w="200" w:type="dxa"/>
            <w:vAlign w:val="bottom"/>
            <w:tcBorders>
              <w:bottom w:val="single" w:sz="8" w:color="E5E5E5"/>
              <w:right w:val="single" w:sz="8" w:color="auto"/>
            </w:tcBorders>
            <w:shd w:val="clear" w:color="auto" w:fill="E5E5E5"/>
          </w:tcPr>
          <w:p>
            <w:pPr>
              <w:spacing w:after="0"/>
              <w:rPr>
                <w:sz w:val="17"/>
                <w:szCs w:val="17"/>
                <w:color w:val="auto"/>
              </w:rPr>
            </w:pPr>
          </w:p>
        </w:tc>
        <w:tc>
          <w:tcPr>
            <w:tcW w:w="138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3"/>
                <w:szCs w:val="13"/>
                <w:color w:val="auto"/>
                <w:w w:val="95"/>
              </w:rPr>
              <w:t>$1,928,596</w:t>
            </w:r>
          </w:p>
        </w:tc>
      </w:tr>
      <w:tr>
        <w:trPr>
          <w:trHeight w:val="174"/>
        </w:trPr>
        <w:tc>
          <w:tcPr>
            <w:tcW w:w="79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Compensation Actually Paid (as calculated)</w:t>
            </w:r>
          </w:p>
        </w:tc>
        <w:tc>
          <w:tcPr>
            <w:tcW w:w="1060" w:type="dxa"/>
            <w:vAlign w:val="bottom"/>
            <w:tcBorders>
              <w:top w:val="single" w:sz="8" w:color="auto"/>
            </w:tcBorders>
          </w:tcPr>
          <w:p>
            <w:pPr>
              <w:jc w:val="center"/>
              <w:ind w:left="97"/>
              <w:spacing w:after="0"/>
              <w:rPr>
                <w:sz w:val="20"/>
                <w:szCs w:val="20"/>
                <w:color w:val="auto"/>
              </w:rPr>
            </w:pPr>
            <w:r>
              <w:rPr>
                <w:rFonts w:ascii="Arial" w:cs="Arial" w:eastAsia="Arial" w:hAnsi="Arial"/>
                <w:sz w:val="13"/>
                <w:szCs w:val="13"/>
                <w:color w:val="auto"/>
                <w:w w:val="96"/>
              </w:rPr>
              <w:t>$20,667,725</w:t>
            </w:r>
          </w:p>
        </w:tc>
        <w:tc>
          <w:tcPr>
            <w:tcW w:w="200" w:type="dxa"/>
            <w:vAlign w:val="bottom"/>
            <w:tcBorders>
              <w:top w:val="single" w:sz="8" w:color="auto"/>
              <w:right w:val="single" w:sz="8" w:color="auto"/>
            </w:tcBorders>
          </w:tcPr>
          <w:p>
            <w:pPr>
              <w:spacing w:after="0"/>
              <w:rPr>
                <w:sz w:val="15"/>
                <w:szCs w:val="15"/>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$4,500,331</w:t>
            </w:r>
          </w:p>
        </w:tc>
      </w:tr>
      <w:tr>
        <w:trPr>
          <w:trHeight w:val="22"/>
        </w:trPr>
        <w:tc>
          <w:tcPr>
            <w:tcW w:w="7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Equity valuations assumptions for calculating Compensation Actually Paid are not materially different from grant date valuation assumptions.</w:t>
      </w:r>
    </w:p>
    <w:p>
      <w:pPr>
        <w:spacing w:after="0" w:line="53" w:lineRule="exact"/>
        <w:rPr>
          <w:rFonts w:ascii="Arial" w:cs="Arial" w:eastAsia="Arial" w:hAnsi="Arial"/>
          <w:sz w:val="13"/>
          <w:szCs w:val="13"/>
          <w:color w:val="auto"/>
        </w:rPr>
      </w:pPr>
    </w:p>
    <w:p>
      <w:pPr>
        <w:ind w:left="320" w:hanging="312"/>
        <w:spacing w:after="0"/>
        <w:tabs>
          <w:tab w:leader="none" w:pos="3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Non-CEO NEOs reflect the average Summary Compensation Table total compensation and average Compensation Actually Paid for the following executives by year</w:t>
      </w:r>
    </w:p>
    <w:p>
      <w:pPr>
        <w:spacing w:after="0" w:line="53" w:lineRule="exact"/>
        <w:rPr>
          <w:rFonts w:ascii="Arial" w:cs="Arial" w:eastAsia="Arial" w:hAnsi="Arial"/>
          <w:sz w:val="13"/>
          <w:szCs w:val="13"/>
          <w:color w:val="auto"/>
        </w:rPr>
      </w:pPr>
    </w:p>
    <w:p>
      <w:pPr>
        <w:ind w:left="480" w:hanging="148"/>
        <w:spacing w:after="0"/>
        <w:tabs>
          <w:tab w:leader="none" w:pos="480" w:val="left"/>
        </w:tabs>
        <w:numPr>
          <w:ilvl w:val="1"/>
          <w:numId w:val="49"/>
        </w:numPr>
        <w:rPr>
          <w:rFonts w:ascii="Arial" w:cs="Arial" w:eastAsia="Arial" w:hAnsi="Arial"/>
          <w:sz w:val="13"/>
          <w:szCs w:val="13"/>
          <w:color w:val="auto"/>
        </w:rPr>
      </w:pPr>
      <w:r>
        <w:rPr>
          <w:rFonts w:ascii="Arial" w:cs="Arial" w:eastAsia="Arial" w:hAnsi="Arial"/>
          <w:sz w:val="13"/>
          <w:szCs w:val="13"/>
          <w:color w:val="auto"/>
        </w:rPr>
        <w:t>2024: Mark Carano, Randall Data, John Swann, Sean McClenaghan</w:t>
      </w:r>
    </w:p>
    <w:p>
      <w:pPr>
        <w:spacing w:after="0" w:line="53" w:lineRule="exact"/>
        <w:rPr>
          <w:rFonts w:ascii="Arial" w:cs="Arial" w:eastAsia="Arial" w:hAnsi="Arial"/>
          <w:sz w:val="13"/>
          <w:szCs w:val="13"/>
          <w:color w:val="auto"/>
        </w:rPr>
      </w:pPr>
    </w:p>
    <w:p>
      <w:pPr>
        <w:ind w:left="480" w:hanging="148"/>
        <w:spacing w:after="0"/>
        <w:tabs>
          <w:tab w:leader="none" w:pos="480" w:val="left"/>
        </w:tabs>
        <w:numPr>
          <w:ilvl w:val="1"/>
          <w:numId w:val="49"/>
        </w:numPr>
        <w:rPr>
          <w:rFonts w:ascii="Arial" w:cs="Arial" w:eastAsia="Arial" w:hAnsi="Arial"/>
          <w:sz w:val="13"/>
          <w:szCs w:val="13"/>
          <w:color w:val="auto"/>
        </w:rPr>
      </w:pPr>
      <w:r>
        <w:rPr>
          <w:rFonts w:ascii="Arial" w:cs="Arial" w:eastAsia="Arial" w:hAnsi="Arial"/>
          <w:sz w:val="13"/>
          <w:szCs w:val="13"/>
          <w:color w:val="auto"/>
        </w:rPr>
        <w:t>2023: Michael Reilly, Randall Data, John Swann, Sean McClenaghan, Mark Carano</w:t>
      </w:r>
    </w:p>
    <w:p>
      <w:pPr>
        <w:spacing w:after="0" w:line="53" w:lineRule="exact"/>
        <w:rPr>
          <w:rFonts w:ascii="Arial" w:cs="Arial" w:eastAsia="Arial" w:hAnsi="Arial"/>
          <w:sz w:val="13"/>
          <w:szCs w:val="13"/>
          <w:color w:val="auto"/>
        </w:rPr>
      </w:pPr>
    </w:p>
    <w:p>
      <w:pPr>
        <w:ind w:left="480" w:hanging="148"/>
        <w:spacing w:after="0"/>
        <w:tabs>
          <w:tab w:leader="none" w:pos="480" w:val="left"/>
        </w:tabs>
        <w:numPr>
          <w:ilvl w:val="1"/>
          <w:numId w:val="49"/>
        </w:numPr>
        <w:rPr>
          <w:rFonts w:ascii="Arial" w:cs="Arial" w:eastAsia="Arial" w:hAnsi="Arial"/>
          <w:sz w:val="13"/>
          <w:szCs w:val="13"/>
          <w:color w:val="auto"/>
        </w:rPr>
      </w:pPr>
      <w:r>
        <w:rPr>
          <w:rFonts w:ascii="Arial" w:cs="Arial" w:eastAsia="Arial" w:hAnsi="Arial"/>
          <w:sz w:val="13"/>
          <w:szCs w:val="13"/>
          <w:color w:val="auto"/>
        </w:rPr>
        <w:t>2022: Michael Reilly, Randall Data, John Swann, Sean McClenaghan, James Harris</w:t>
      </w:r>
    </w:p>
    <w:p>
      <w:pPr>
        <w:spacing w:after="0" w:line="66" w:lineRule="exact"/>
        <w:rPr>
          <w:rFonts w:ascii="Arial" w:cs="Arial" w:eastAsia="Arial" w:hAnsi="Arial"/>
          <w:sz w:val="13"/>
          <w:szCs w:val="13"/>
          <w:color w:val="auto"/>
        </w:rPr>
      </w:pPr>
    </w:p>
    <w:p>
      <w:pPr>
        <w:ind w:left="480" w:hanging="148"/>
        <w:spacing w:after="0"/>
        <w:tabs>
          <w:tab w:leader="none" w:pos="480" w:val="left"/>
        </w:tabs>
        <w:numPr>
          <w:ilvl w:val="1"/>
          <w:numId w:val="49"/>
        </w:numPr>
        <w:rPr>
          <w:rFonts w:ascii="Arial" w:cs="Arial" w:eastAsia="Arial" w:hAnsi="Arial"/>
          <w:sz w:val="13"/>
          <w:szCs w:val="13"/>
          <w:color w:val="auto"/>
        </w:rPr>
      </w:pPr>
      <w:r>
        <w:rPr>
          <w:rFonts w:ascii="Arial" w:cs="Arial" w:eastAsia="Arial" w:hAnsi="Arial"/>
          <w:sz w:val="13"/>
          <w:szCs w:val="13"/>
          <w:color w:val="auto"/>
        </w:rPr>
        <w:t>2021: Randall Data, John Swann, James Harris, Brian Mason, John Nurkin</w:t>
      </w:r>
    </w:p>
    <w:p>
      <w:pPr>
        <w:spacing w:after="0" w:line="53" w:lineRule="exact"/>
        <w:rPr>
          <w:rFonts w:ascii="Arial" w:cs="Arial" w:eastAsia="Arial" w:hAnsi="Arial"/>
          <w:sz w:val="13"/>
          <w:szCs w:val="13"/>
          <w:color w:val="auto"/>
        </w:rPr>
      </w:pPr>
    </w:p>
    <w:p>
      <w:pPr>
        <w:ind w:left="480" w:hanging="148"/>
        <w:spacing w:after="0"/>
        <w:tabs>
          <w:tab w:leader="none" w:pos="480" w:val="left"/>
        </w:tabs>
        <w:numPr>
          <w:ilvl w:val="1"/>
          <w:numId w:val="49"/>
        </w:numPr>
        <w:rPr>
          <w:rFonts w:ascii="Arial" w:cs="Arial" w:eastAsia="Arial" w:hAnsi="Arial"/>
          <w:sz w:val="13"/>
          <w:szCs w:val="13"/>
          <w:color w:val="auto"/>
        </w:rPr>
      </w:pPr>
      <w:r>
        <w:rPr>
          <w:rFonts w:ascii="Arial" w:cs="Arial" w:eastAsia="Arial" w:hAnsi="Arial"/>
          <w:sz w:val="13"/>
          <w:szCs w:val="13"/>
          <w:color w:val="auto"/>
        </w:rPr>
        <w:t>2020: Randall Data, John Swann, James Harris, Brian Mason, Scott Sproule</w:t>
      </w:r>
    </w:p>
    <w:p>
      <w:pPr>
        <w:spacing w:after="0" w:line="53" w:lineRule="exact"/>
        <w:rPr>
          <w:rFonts w:ascii="Arial" w:cs="Arial" w:eastAsia="Arial" w:hAnsi="Arial"/>
          <w:sz w:val="13"/>
          <w:szCs w:val="13"/>
          <w:color w:val="auto"/>
        </w:rPr>
      </w:pPr>
    </w:p>
    <w:p>
      <w:pPr>
        <w:ind w:left="320" w:hanging="312"/>
        <w:spacing w:after="0"/>
        <w:tabs>
          <w:tab w:leader="none" w:pos="3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peer group comprises the component companies of the S&amp;P 1500 Industrials Index.</w:t>
      </w:r>
    </w:p>
    <w:p>
      <w:pPr>
        <w:spacing w:after="0" w:line="53" w:lineRule="exact"/>
        <w:rPr>
          <w:rFonts w:ascii="Arial" w:cs="Arial" w:eastAsia="Arial" w:hAnsi="Arial"/>
          <w:sz w:val="13"/>
          <w:szCs w:val="13"/>
          <w:color w:val="auto"/>
        </w:rPr>
      </w:pPr>
    </w:p>
    <w:p>
      <w:pPr>
        <w:jc w:val="both"/>
        <w:ind w:left="340" w:hanging="332"/>
        <w:spacing w:after="0" w:line="262" w:lineRule="auto"/>
        <w:tabs>
          <w:tab w:leader="none" w:pos="332" w:val="left"/>
        </w:tabs>
        <w:numPr>
          <w:ilvl w:val="0"/>
          <w:numId w:val="49"/>
        </w:numPr>
        <w:rPr>
          <w:rFonts w:ascii="Arial" w:cs="Arial" w:eastAsia="Arial" w:hAnsi="Arial"/>
          <w:sz w:val="13"/>
          <w:szCs w:val="13"/>
          <w:color w:val="auto"/>
        </w:rPr>
      </w:pPr>
      <w:r>
        <w:rPr>
          <w:rFonts w:ascii="Arial" w:cs="Arial" w:eastAsia="Arial" w:hAnsi="Arial"/>
          <w:sz w:val="13"/>
          <w:szCs w:val="13"/>
          <w:color w:val="auto"/>
        </w:rPr>
        <w:t>We replaced the Adjusted Operating Income metric in the Executive Bonus Program with Adjusted EBITDA, beginning in 2024. As such, we have changed our most important performance measure used to link compensation actually paid to NEOs to company performance. For 2020, Adjusted EBITDA excludes businesses recorded as discontinued operations. Please refer to Appendix A in this proxy statement for a reconciliation of non-GAAP Adjusted EBITDA.</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TABULAR LIST OF FINANCIAL PERFORMANCE MEASURES</w:t>
      </w:r>
    </w:p>
    <w:p>
      <w:pPr>
        <w:spacing w:after="0" w:line="6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In our assessment, the most important financial performance measures used to link Compensation Actually Paid of our NEOs in 2024 to our performance were:</w:t>
      </w:r>
    </w:p>
    <w:p>
      <w:pPr>
        <w:spacing w:after="0" w:line="87" w:lineRule="exact"/>
        <w:rPr>
          <w:sz w:val="20"/>
          <w:szCs w:val="20"/>
          <w:color w:val="auto"/>
        </w:rPr>
      </w:pPr>
    </w:p>
    <w:p>
      <w:pPr>
        <w:ind w:left="200" w:hanging="192"/>
        <w:spacing w:after="0"/>
        <w:tabs>
          <w:tab w:leader="none" w:pos="2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adjusted EBITDA,</w:t>
      </w:r>
    </w:p>
    <w:p>
      <w:pPr>
        <w:spacing w:after="0" w:line="59" w:lineRule="exact"/>
        <w:rPr>
          <w:rFonts w:ascii="Arial" w:cs="Arial" w:eastAsia="Arial" w:hAnsi="Arial"/>
          <w:sz w:val="16"/>
          <w:szCs w:val="16"/>
          <w:color w:val="auto"/>
        </w:rPr>
      </w:pPr>
    </w:p>
    <w:p>
      <w:pPr>
        <w:ind w:left="200" w:hanging="192"/>
        <w:spacing w:after="0"/>
        <w:tabs>
          <w:tab w:leader="none" w:pos="2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adjusted free cash flow,</w:t>
      </w:r>
    </w:p>
    <w:p>
      <w:pPr>
        <w:spacing w:after="0" w:line="72" w:lineRule="exact"/>
        <w:rPr>
          <w:rFonts w:ascii="Arial" w:cs="Arial" w:eastAsia="Arial" w:hAnsi="Arial"/>
          <w:sz w:val="16"/>
          <w:szCs w:val="16"/>
          <w:color w:val="auto"/>
        </w:rPr>
      </w:pPr>
    </w:p>
    <w:p>
      <w:pPr>
        <w:ind w:left="200" w:hanging="192"/>
        <w:spacing w:after="0"/>
        <w:tabs>
          <w:tab w:leader="none" w:pos="2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revenue, and</w:t>
      </w:r>
    </w:p>
    <w:p>
      <w:pPr>
        <w:spacing w:after="0" w:line="59" w:lineRule="exact"/>
        <w:rPr>
          <w:rFonts w:ascii="Arial" w:cs="Arial" w:eastAsia="Arial" w:hAnsi="Arial"/>
          <w:sz w:val="16"/>
          <w:szCs w:val="16"/>
          <w:color w:val="auto"/>
        </w:rPr>
      </w:pPr>
    </w:p>
    <w:p>
      <w:pPr>
        <w:ind w:left="200" w:hanging="192"/>
        <w:spacing w:after="0"/>
        <w:tabs>
          <w:tab w:leader="none" w:pos="2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relative total shareholder return.</w:t>
      </w: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 VERSUS PERFORMANCE: GRAPHICAL DESCRIPTION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illustrations below provide a graphical description of Compensation Actually Paid and the following measures:</w:t>
      </w:r>
    </w:p>
    <w:p>
      <w:pPr>
        <w:spacing w:after="0" w:line="181" w:lineRule="exact"/>
        <w:rPr>
          <w:sz w:val="20"/>
          <w:szCs w:val="20"/>
          <w:color w:val="auto"/>
        </w:rPr>
      </w:pPr>
    </w:p>
    <w:p>
      <w:pPr>
        <w:ind w:left="200" w:hanging="192"/>
        <w:spacing w:after="0"/>
        <w:tabs>
          <w:tab w:leader="none" w:pos="2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Company’s cumulative TSR and the Peer Group’s cumulative TSR;</w:t>
      </w:r>
    </w:p>
    <w:p>
      <w:pPr>
        <w:spacing w:after="0" w:line="59" w:lineRule="exact"/>
        <w:rPr>
          <w:rFonts w:ascii="Arial" w:cs="Arial" w:eastAsia="Arial" w:hAnsi="Arial"/>
          <w:sz w:val="16"/>
          <w:szCs w:val="16"/>
          <w:color w:val="auto"/>
        </w:rPr>
      </w:pPr>
    </w:p>
    <w:p>
      <w:pPr>
        <w:ind w:left="200" w:hanging="192"/>
        <w:spacing w:after="0"/>
        <w:tabs>
          <w:tab w:leader="none" w:pos="2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Company’s net income; and</w:t>
      </w:r>
    </w:p>
    <w:p>
      <w:pPr>
        <w:spacing w:after="0" w:line="59" w:lineRule="exact"/>
        <w:rPr>
          <w:rFonts w:ascii="Arial" w:cs="Arial" w:eastAsia="Arial" w:hAnsi="Arial"/>
          <w:sz w:val="16"/>
          <w:szCs w:val="16"/>
          <w:color w:val="auto"/>
        </w:rPr>
      </w:pPr>
    </w:p>
    <w:p>
      <w:pPr>
        <w:ind w:left="200" w:hanging="192"/>
        <w:spacing w:after="0"/>
        <w:tabs>
          <w:tab w:leader="none" w:pos="2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 selected measure, which for SPX is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920750</wp:posOffset>
            </wp:positionV>
            <wp:extent cx="402590" cy="1454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0259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48</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54" w:name="page55"/>
    <w:bookmarkEnd w:id="54"/>
    <w:p>
      <w:pPr>
        <w:ind w:left="9220"/>
        <w:spacing w:after="0"/>
        <w:rPr>
          <w:sz w:val="20"/>
          <w:szCs w:val="20"/>
          <w:color w:val="auto"/>
        </w:rPr>
      </w:pPr>
      <w:r>
        <w:rPr>
          <w:rFonts w:ascii="Arial" w:cs="Arial" w:eastAsia="Arial" w:hAnsi="Arial"/>
          <w:sz w:val="14"/>
          <w:szCs w:val="14"/>
          <w:color w:val="004C9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C97"/>
        </w:rPr>
        <w:t>Compensation Actually Paid and Cumulative TSR / Cumulative TSR of Peer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17780</wp:posOffset>
            </wp:positionV>
            <wp:extent cx="5966460" cy="21774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646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C97"/>
        </w:rPr>
        <w:t>Compensation Actually Paid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17780</wp:posOffset>
            </wp:positionV>
            <wp:extent cx="5966460" cy="19716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646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C97"/>
        </w:rPr>
        <w:t>Compensation Actually Paid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17780</wp:posOffset>
            </wp:positionV>
            <wp:extent cx="5966460" cy="19716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6460" cy="197167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2812415</wp:posOffset>
            </wp:positionV>
            <wp:extent cx="403225" cy="1454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0322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2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49</w:t>
            </w:r>
          </w:p>
        </w:tc>
      </w:tr>
      <w:tr>
        <w:trPr>
          <w:trHeight w:val="265"/>
        </w:trPr>
        <w:tc>
          <w:tcPr>
            <w:tcW w:w="1032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55" w:name="page56"/>
    <w:bookmarkEnd w:id="55"/>
    <w:p>
      <w:pPr>
        <w:ind w:left="20"/>
        <w:spacing w:after="0"/>
        <w:rPr>
          <w:sz w:val="20"/>
          <w:szCs w:val="20"/>
          <w:color w:val="auto"/>
        </w:rPr>
      </w:pPr>
      <w:r>
        <w:rPr>
          <w:rFonts w:ascii="Arial" w:cs="Arial" w:eastAsia="Arial" w:hAnsi="Arial"/>
          <w:sz w:val="14"/>
          <w:szCs w:val="14"/>
          <w:color w:val="004C9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The following table provides information, as of December 31, 2024, about SPX common stock that may be issued upon the exercise of options and rights under all our existing equity compensation plans, each of which was approved by our stockholders. This plan includes the 2019 Stock Compensation.</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720" w:type="dxa"/>
            <w:vAlign w:val="bottom"/>
            <w:tcBorders>
              <w:top w:val="single" w:sz="8" w:color="auto"/>
              <w:left w:val="single" w:sz="8" w:color="auto"/>
              <w:right w:val="single" w:sz="8" w:color="auto"/>
            </w:tcBorders>
            <w:shd w:val="clear" w:color="auto" w:fill="004C97"/>
          </w:tcPr>
          <w:p>
            <w:pPr>
              <w:spacing w:after="0"/>
              <w:rPr>
                <w:sz w:val="17"/>
                <w:szCs w:val="17"/>
                <w:color w:val="auto"/>
              </w:rPr>
            </w:pPr>
          </w:p>
        </w:tc>
        <w:tc>
          <w:tcPr>
            <w:tcW w:w="2680" w:type="dxa"/>
            <w:vAlign w:val="bottom"/>
            <w:tcBorders>
              <w:top w:val="single" w:sz="8" w:color="auto"/>
              <w:right w:val="single" w:sz="8" w:color="auto"/>
            </w:tcBorders>
            <w:shd w:val="clear" w:color="auto" w:fill="004C97"/>
          </w:tcPr>
          <w:p>
            <w:pPr>
              <w:spacing w:after="0"/>
              <w:rPr>
                <w:sz w:val="17"/>
                <w:szCs w:val="17"/>
                <w:color w:val="auto"/>
              </w:rPr>
            </w:pPr>
          </w:p>
        </w:tc>
        <w:tc>
          <w:tcPr>
            <w:tcW w:w="2600" w:type="dxa"/>
            <w:vAlign w:val="bottom"/>
            <w:tcBorders>
              <w:top w:val="single" w:sz="8" w:color="auto"/>
              <w:right w:val="single" w:sz="8" w:color="auto"/>
            </w:tcBorders>
            <w:shd w:val="clear" w:color="auto" w:fill="004C97"/>
          </w:tcPr>
          <w:p>
            <w:pPr>
              <w:spacing w:after="0"/>
              <w:rPr>
                <w:sz w:val="17"/>
                <w:szCs w:val="17"/>
                <w:color w:val="auto"/>
              </w:rPr>
            </w:pPr>
          </w:p>
        </w:tc>
        <w:tc>
          <w:tcPr>
            <w:tcW w:w="326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Number of Securities Remaining Available for</w:t>
            </w:r>
          </w:p>
        </w:tc>
        <w:tc>
          <w:tcPr>
            <w:tcW w:w="0" w:type="dxa"/>
            <w:vAlign w:val="bottom"/>
          </w:tcPr>
          <w:p>
            <w:pPr>
              <w:spacing w:after="0"/>
              <w:rPr>
                <w:sz w:val="1"/>
                <w:szCs w:val="1"/>
                <w:color w:val="auto"/>
              </w:rPr>
            </w:pPr>
          </w:p>
        </w:tc>
      </w:tr>
      <w:tr>
        <w:trPr>
          <w:trHeight w:val="176"/>
        </w:trPr>
        <w:tc>
          <w:tcPr>
            <w:tcW w:w="2720" w:type="dxa"/>
            <w:vAlign w:val="bottom"/>
            <w:tcBorders>
              <w:left w:val="single" w:sz="8" w:color="auto"/>
              <w:right w:val="single" w:sz="8" w:color="auto"/>
            </w:tcBorders>
            <w:shd w:val="clear" w:color="auto" w:fill="004C97"/>
          </w:tcPr>
          <w:p>
            <w:pPr>
              <w:spacing w:after="0"/>
              <w:rPr>
                <w:sz w:val="15"/>
                <w:szCs w:val="15"/>
                <w:color w:val="auto"/>
              </w:rPr>
            </w:pPr>
          </w:p>
        </w:tc>
        <w:tc>
          <w:tcPr>
            <w:tcW w:w="268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Number of Securities to Be Issued</w:t>
            </w:r>
          </w:p>
        </w:tc>
        <w:tc>
          <w:tcPr>
            <w:tcW w:w="2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Weighted-Average Exercise</w:t>
            </w:r>
          </w:p>
        </w:tc>
        <w:tc>
          <w:tcPr>
            <w:tcW w:w="326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Future Issuance Under Equity Compensation</w:t>
            </w:r>
          </w:p>
        </w:tc>
        <w:tc>
          <w:tcPr>
            <w:tcW w:w="0" w:type="dxa"/>
            <w:vAlign w:val="bottom"/>
          </w:tcPr>
          <w:p>
            <w:pPr>
              <w:spacing w:after="0"/>
              <w:rPr>
                <w:sz w:val="1"/>
                <w:szCs w:val="1"/>
                <w:color w:val="auto"/>
              </w:rPr>
            </w:pPr>
          </w:p>
        </w:tc>
      </w:tr>
      <w:tr>
        <w:trPr>
          <w:trHeight w:val="162"/>
        </w:trPr>
        <w:tc>
          <w:tcPr>
            <w:tcW w:w="2720" w:type="dxa"/>
            <w:vAlign w:val="bottom"/>
            <w:tcBorders>
              <w:left w:val="single" w:sz="8" w:color="auto"/>
              <w:right w:val="single" w:sz="8" w:color="auto"/>
            </w:tcBorders>
            <w:shd w:val="clear" w:color="auto" w:fill="004C97"/>
          </w:tcPr>
          <w:p>
            <w:pPr>
              <w:spacing w:after="0"/>
              <w:rPr>
                <w:sz w:val="14"/>
                <w:szCs w:val="14"/>
                <w:color w:val="auto"/>
              </w:rPr>
            </w:pPr>
          </w:p>
        </w:tc>
        <w:tc>
          <w:tcPr>
            <w:tcW w:w="268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Upon Exercise of Outstanding</w:t>
            </w:r>
          </w:p>
        </w:tc>
        <w:tc>
          <w:tcPr>
            <w:tcW w:w="260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Price of Outstanding Options,</w:t>
            </w:r>
          </w:p>
        </w:tc>
        <w:tc>
          <w:tcPr>
            <w:tcW w:w="3260" w:type="dxa"/>
            <w:vAlign w:val="bottom"/>
            <w:tcBorders>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Plans (Excluding Securities Reflected in</w:t>
            </w:r>
          </w:p>
        </w:tc>
        <w:tc>
          <w:tcPr>
            <w:tcW w:w="0" w:type="dxa"/>
            <w:vAlign w:val="bottom"/>
          </w:tcPr>
          <w:p>
            <w:pPr>
              <w:spacing w:after="0"/>
              <w:rPr>
                <w:sz w:val="1"/>
                <w:szCs w:val="1"/>
                <w:color w:val="auto"/>
              </w:rPr>
            </w:pPr>
          </w:p>
        </w:tc>
      </w:tr>
      <w:tr>
        <w:trPr>
          <w:trHeight w:val="212"/>
        </w:trPr>
        <w:tc>
          <w:tcPr>
            <w:tcW w:w="2720" w:type="dxa"/>
            <w:vAlign w:val="bottom"/>
            <w:tcBorders>
              <w:left w:val="single" w:sz="8" w:color="auto"/>
              <w:bottom w:val="single" w:sz="8" w:color="auto"/>
              <w:right w:val="single" w:sz="8" w:color="auto"/>
            </w:tcBorders>
            <w:shd w:val="clear" w:color="auto" w:fill="004C97"/>
          </w:tcPr>
          <w:p>
            <w:pPr>
              <w:ind w:left="880"/>
              <w:spacing w:after="0"/>
              <w:rPr>
                <w:sz w:val="20"/>
                <w:szCs w:val="20"/>
                <w:color w:val="auto"/>
              </w:rPr>
            </w:pPr>
            <w:r>
              <w:rPr>
                <w:rFonts w:ascii="Arial" w:cs="Arial" w:eastAsia="Arial" w:hAnsi="Arial"/>
                <w:sz w:val="14"/>
                <w:szCs w:val="14"/>
                <w:b w:val="1"/>
                <w:bCs w:val="1"/>
                <w:color w:val="FFFFFF"/>
              </w:rPr>
              <w:t>Plan Category</w:t>
            </w:r>
          </w:p>
        </w:tc>
        <w:tc>
          <w:tcPr>
            <w:tcW w:w="268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Options, Warrants, and Rights (a)</w:t>
            </w:r>
            <w:r>
              <w:rPr>
                <w:rFonts w:ascii="Arial" w:cs="Arial" w:eastAsia="Arial" w:hAnsi="Arial"/>
                <w:sz w:val="18"/>
                <w:szCs w:val="18"/>
                <w:b w:val="1"/>
                <w:bCs w:val="1"/>
                <w:color w:val="FFFFFF"/>
                <w:vertAlign w:val="superscript"/>
              </w:rPr>
              <w:t>(1)</w:t>
            </w:r>
          </w:p>
        </w:tc>
        <w:tc>
          <w:tcPr>
            <w:tcW w:w="26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Warrants, and Rights (b)</w:t>
            </w:r>
            <w:r>
              <w:rPr>
                <w:rFonts w:ascii="Arial" w:cs="Arial" w:eastAsia="Arial" w:hAnsi="Arial"/>
                <w:sz w:val="18"/>
                <w:szCs w:val="18"/>
                <w:b w:val="1"/>
                <w:bCs w:val="1"/>
                <w:color w:val="FFFFFF"/>
                <w:vertAlign w:val="superscript"/>
              </w:rPr>
              <w:t>(2)</w:t>
            </w:r>
          </w:p>
        </w:tc>
        <w:tc>
          <w:tcPr>
            <w:tcW w:w="326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Column (a))</w:t>
            </w:r>
          </w:p>
        </w:tc>
        <w:tc>
          <w:tcPr>
            <w:tcW w:w="0" w:type="dxa"/>
            <w:vAlign w:val="bottom"/>
          </w:tcPr>
          <w:p>
            <w:pPr>
              <w:spacing w:after="0"/>
              <w:rPr>
                <w:sz w:val="1"/>
                <w:szCs w:val="1"/>
                <w:color w:val="auto"/>
              </w:rPr>
            </w:pPr>
          </w:p>
        </w:tc>
      </w:tr>
      <w:tr>
        <w:trPr>
          <w:trHeight w:val="187"/>
        </w:trPr>
        <w:tc>
          <w:tcPr>
            <w:tcW w:w="2720" w:type="dxa"/>
            <w:vAlign w:val="bottom"/>
            <w:tcBorders>
              <w:left w:val="single" w:sz="8" w:color="auto"/>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Equity Compensation Plans Approved</w:t>
            </w:r>
          </w:p>
        </w:tc>
        <w:tc>
          <w:tcPr>
            <w:tcW w:w="268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4"/>
                <w:szCs w:val="14"/>
                <w:color w:val="auto"/>
              </w:rPr>
              <w:t>1,382,436</w:t>
            </w:r>
          </w:p>
        </w:tc>
        <w:tc>
          <w:tcPr>
            <w:tcW w:w="260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4"/>
                <w:szCs w:val="14"/>
                <w:color w:val="auto"/>
              </w:rPr>
              <w:t>43.92</w:t>
            </w:r>
          </w:p>
        </w:tc>
        <w:tc>
          <w:tcPr>
            <w:tcW w:w="326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4"/>
                <w:szCs w:val="14"/>
                <w:color w:val="auto"/>
              </w:rPr>
              <w:t>3,409,288</w:t>
            </w:r>
          </w:p>
        </w:tc>
        <w:tc>
          <w:tcPr>
            <w:tcW w:w="0" w:type="dxa"/>
            <w:vAlign w:val="bottom"/>
          </w:tcPr>
          <w:p>
            <w:pPr>
              <w:spacing w:after="0"/>
              <w:rPr>
                <w:sz w:val="1"/>
                <w:szCs w:val="1"/>
                <w:color w:val="auto"/>
              </w:rPr>
            </w:pPr>
          </w:p>
        </w:tc>
      </w:tr>
      <w:tr>
        <w:trPr>
          <w:trHeight w:val="96"/>
        </w:trPr>
        <w:tc>
          <w:tcPr>
            <w:tcW w:w="2720" w:type="dxa"/>
            <w:vAlign w:val="bottom"/>
            <w:tcBorders>
              <w:left w:val="single" w:sz="8" w:color="auto"/>
              <w:right w:val="single" w:sz="8" w:color="auto"/>
            </w:tcBorders>
            <w:vMerge w:val="restart"/>
            <w:shd w:val="clear" w:color="auto" w:fill="E5E5E5"/>
          </w:tcPr>
          <w:p>
            <w:pPr>
              <w:ind w:left="120"/>
              <w:spacing w:after="0"/>
              <w:rPr>
                <w:sz w:val="20"/>
                <w:szCs w:val="20"/>
                <w:color w:val="auto"/>
              </w:rPr>
            </w:pPr>
            <w:r>
              <w:rPr>
                <w:rFonts w:ascii="Arial" w:cs="Arial" w:eastAsia="Arial" w:hAnsi="Arial"/>
                <w:sz w:val="14"/>
                <w:szCs w:val="14"/>
                <w:color w:val="auto"/>
              </w:rPr>
              <w:t>By Stockholders</w:t>
            </w:r>
          </w:p>
        </w:tc>
        <w:tc>
          <w:tcPr>
            <w:tcW w:w="2680" w:type="dxa"/>
            <w:vAlign w:val="bottom"/>
            <w:tcBorders>
              <w:right w:val="single" w:sz="8" w:color="auto"/>
            </w:tcBorders>
            <w:vMerge w:val="continue"/>
            <w:shd w:val="clear" w:color="auto" w:fill="E5E5E5"/>
          </w:tcPr>
          <w:p>
            <w:pPr>
              <w:spacing w:after="0"/>
              <w:rPr>
                <w:sz w:val="8"/>
                <w:szCs w:val="8"/>
                <w:color w:val="auto"/>
              </w:rPr>
            </w:pPr>
          </w:p>
        </w:tc>
        <w:tc>
          <w:tcPr>
            <w:tcW w:w="2600" w:type="dxa"/>
            <w:vAlign w:val="bottom"/>
            <w:tcBorders>
              <w:right w:val="single" w:sz="8" w:color="auto"/>
            </w:tcBorders>
            <w:vMerge w:val="continue"/>
            <w:shd w:val="clear" w:color="auto" w:fill="E5E5E5"/>
          </w:tcPr>
          <w:p>
            <w:pPr>
              <w:spacing w:after="0"/>
              <w:rPr>
                <w:sz w:val="8"/>
                <w:szCs w:val="8"/>
                <w:color w:val="auto"/>
              </w:rPr>
            </w:pPr>
          </w:p>
        </w:tc>
        <w:tc>
          <w:tcPr>
            <w:tcW w:w="3260" w:type="dxa"/>
            <w:vAlign w:val="bottom"/>
            <w:tcBorders>
              <w:right w:val="single" w:sz="8" w:color="auto"/>
            </w:tcBorders>
            <w:vMerge w:val="continue"/>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720" w:type="dxa"/>
            <w:vAlign w:val="bottom"/>
            <w:tcBorders>
              <w:left w:val="single" w:sz="8" w:color="auto"/>
              <w:bottom w:val="single" w:sz="8" w:color="E5E5E5"/>
              <w:right w:val="single" w:sz="8" w:color="auto"/>
            </w:tcBorders>
            <w:vMerge w:val="continue"/>
            <w:shd w:val="clear" w:color="auto" w:fill="E5E5E5"/>
          </w:tcPr>
          <w:p>
            <w:pPr>
              <w:spacing w:after="0"/>
              <w:rPr>
                <w:sz w:val="10"/>
                <w:szCs w:val="10"/>
                <w:color w:val="auto"/>
              </w:rPr>
            </w:pPr>
          </w:p>
        </w:tc>
        <w:tc>
          <w:tcPr>
            <w:tcW w:w="2680" w:type="dxa"/>
            <w:vAlign w:val="bottom"/>
            <w:tcBorders>
              <w:bottom w:val="single" w:sz="8" w:color="E5E5E5"/>
              <w:right w:val="single" w:sz="8" w:color="auto"/>
            </w:tcBorders>
            <w:shd w:val="clear" w:color="auto" w:fill="E5E5E5"/>
          </w:tcPr>
          <w:p>
            <w:pPr>
              <w:spacing w:after="0"/>
              <w:rPr>
                <w:sz w:val="10"/>
                <w:szCs w:val="10"/>
                <w:color w:val="auto"/>
              </w:rPr>
            </w:pPr>
          </w:p>
        </w:tc>
        <w:tc>
          <w:tcPr>
            <w:tcW w:w="2600" w:type="dxa"/>
            <w:vAlign w:val="bottom"/>
            <w:tcBorders>
              <w:bottom w:val="single" w:sz="8" w:color="E5E5E5"/>
              <w:right w:val="single" w:sz="8" w:color="auto"/>
            </w:tcBorders>
            <w:shd w:val="clear" w:color="auto" w:fill="E5E5E5"/>
          </w:tcPr>
          <w:p>
            <w:pPr>
              <w:spacing w:after="0"/>
              <w:rPr>
                <w:sz w:val="10"/>
                <w:szCs w:val="10"/>
                <w:color w:val="auto"/>
              </w:rPr>
            </w:pPr>
          </w:p>
        </w:tc>
        <w:tc>
          <w:tcPr>
            <w:tcW w:w="3260" w:type="dxa"/>
            <w:vAlign w:val="bottom"/>
            <w:tcBorders>
              <w:bottom w:val="single" w:sz="8" w:color="E5E5E5"/>
              <w:right w:val="single" w:sz="8" w:color="auto"/>
            </w:tcBorders>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27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Total</w:t>
            </w:r>
          </w:p>
        </w:tc>
        <w:tc>
          <w:tcPr>
            <w:tcW w:w="2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1,382,436</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43.92</w:t>
            </w:r>
          </w:p>
        </w:tc>
        <w:tc>
          <w:tcPr>
            <w:tcW w:w="3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3,409,288</w:t>
            </w:r>
          </w:p>
        </w:tc>
        <w:tc>
          <w:tcPr>
            <w:tcW w:w="0" w:type="dxa"/>
            <w:vAlign w:val="bottom"/>
          </w:tcPr>
          <w:p>
            <w:pPr>
              <w:spacing w:after="0"/>
              <w:rPr>
                <w:sz w:val="1"/>
                <w:szCs w:val="1"/>
                <w:color w:val="auto"/>
              </w:rPr>
            </w:pPr>
          </w:p>
        </w:tc>
      </w:tr>
      <w:tr>
        <w:trPr>
          <w:trHeight w:val="22"/>
        </w:trPr>
        <w:tc>
          <w:tcPr>
            <w:tcW w:w="2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8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3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3"/>
          <w:szCs w:val="13"/>
          <w:color w:val="auto"/>
        </w:rPr>
      </w:pPr>
      <w:r>
        <w:rPr>
          <w:rFonts w:ascii="Arial" w:cs="Arial" w:eastAsia="Arial" w:hAnsi="Arial"/>
          <w:sz w:val="13"/>
          <w:szCs w:val="13"/>
          <w:color w:val="auto"/>
        </w:rPr>
        <w:t>Comprised of 786,700 shares issuable upon the exercise of outstanding Options and 595,736 shares issuable pursuant to RSUs and PSUs (at maximum performance levels).</w:t>
      </w:r>
    </w:p>
    <w:p>
      <w:pPr>
        <w:spacing w:after="0" w:line="53" w:lineRule="exact"/>
        <w:rPr>
          <w:rFonts w:ascii="Arial" w:cs="Arial" w:eastAsia="Arial" w:hAnsi="Arial"/>
          <w:sz w:val="13"/>
          <w:szCs w:val="13"/>
          <w:color w:val="auto"/>
        </w:rPr>
      </w:pPr>
    </w:p>
    <w:p>
      <w:pPr>
        <w:ind w:left="320" w:hanging="312"/>
        <w:spacing w:after="0"/>
        <w:tabs>
          <w:tab w:leader="none" w:pos="320" w:val="left"/>
        </w:tabs>
        <w:numPr>
          <w:ilvl w:val="0"/>
          <w:numId w:val="52"/>
        </w:numPr>
        <w:rPr>
          <w:rFonts w:ascii="Arial" w:cs="Arial" w:eastAsia="Arial" w:hAnsi="Arial"/>
          <w:sz w:val="13"/>
          <w:szCs w:val="13"/>
          <w:color w:val="auto"/>
        </w:rPr>
      </w:pPr>
      <w:r>
        <w:rPr>
          <w:rFonts w:ascii="Arial" w:cs="Arial" w:eastAsia="Arial" w:hAnsi="Arial"/>
          <w:sz w:val="13"/>
          <w:szCs w:val="13"/>
          <w:color w:val="auto"/>
        </w:rPr>
        <w:t>Excludes RSUs and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601980</wp:posOffset>
            </wp:positionV>
            <wp:extent cx="402590" cy="1454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0259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50</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92" w:right="319" w:bottom="1440" w:gutter="0" w:footer="0" w:header="0"/>
        </w:sectPr>
      </w:pPr>
    </w:p>
    <w:bookmarkStart w:id="56" w:name="page57"/>
    <w:bookmarkEnd w:id="56"/>
    <w:p>
      <w:pPr>
        <w:spacing w:after="0" w:line="293" w:lineRule="auto"/>
        <w:rPr>
          <w:sz w:val="20"/>
          <w:szCs w:val="20"/>
          <w:color w:val="auto"/>
        </w:rPr>
      </w:pPr>
      <w:r>
        <w:rPr>
          <w:rFonts w:ascii="Arial" w:cs="Arial" w:eastAsia="Arial" w:hAnsi="Arial"/>
          <w:sz w:val="38"/>
          <w:szCs w:val="38"/>
          <w:b w:val="1"/>
          <w:bCs w:val="1"/>
          <w:color w:val="004C97"/>
        </w:rPr>
        <w:t>PROPOSAL 2: APPROVAL OF NAMED EXECUTIVE OFFICERS’ COMPENSATION, ON A NON-BINDING ADVISORY BASIS (“SAY-ON-PAY”)</w:t>
      </w:r>
    </w:p>
    <w:p>
      <w:pPr>
        <w:spacing w:after="0" w:line="89"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We are asking our stockholders to cast an advisory vote at our Annual Meeting to approve the compensation of our NEOs, as disclosed in this Proxy Statement.</w:t>
      </w:r>
    </w:p>
    <w:p>
      <w:pPr>
        <w:spacing w:after="0" w:line="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Although the vote is non-binding, the Committee and the Board value your opinion and will consider the outcome of the vote in revising our compensation philosophy and making future compensation decisions.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We intend to seek approval of our executive compensation on an annual basis.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WHY YOU SHOULD APPROVE OUR NEO COMPENSATION</w:t>
      </w:r>
    </w:p>
    <w:p>
      <w:pPr>
        <w:spacing w:after="0" w:line="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2024, we continued to focus on our commitment to having an executive compensation program that is aligned with stockholder interests and our goal of sustaining our meaningful pay-for-performance culture.</w:t>
      </w:r>
    </w:p>
    <w:p>
      <w:pPr>
        <w:spacing w:after="0" w:line="1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executive compensation and executive compensation program are more fully described in the “Compensation Discussion and Analysis,” beginning on page 24, and in the “Summary Compensation Table” and subsequent tables, beginning on page 37.</w:t>
      </w:r>
    </w:p>
    <w:p>
      <w:pPr>
        <w:sectPr>
          <w:pgSz w:w="11900" w:h="16838" w:orient="portrait"/>
          <w:cols w:equalWidth="0" w:num="1">
            <w:col w:w="11240"/>
          </w:cols>
          <w:pgMar w:left="320" w:top="1420" w:right="339"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Key Components of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3437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Base Salary</w:t>
      </w:r>
    </w:p>
    <w:p>
      <w:pPr>
        <w:spacing w:after="0" w:line="27" w:lineRule="exact"/>
        <w:rPr>
          <w:sz w:val="20"/>
          <w:szCs w:val="20"/>
          <w:color w:val="auto"/>
        </w:rPr>
      </w:pPr>
    </w:p>
    <w:p>
      <w:pPr>
        <w:ind w:left="20"/>
        <w:spacing w:after="0" w:line="266" w:lineRule="auto"/>
        <w:rPr>
          <w:sz w:val="20"/>
          <w:szCs w:val="20"/>
          <w:color w:val="auto"/>
        </w:rPr>
      </w:pPr>
      <w:r>
        <w:rPr>
          <w:rFonts w:ascii="Arial" w:cs="Arial" w:eastAsia="Arial" w:hAnsi="Arial"/>
          <w:sz w:val="18"/>
          <w:szCs w:val="18"/>
          <w:color w:val="004C97"/>
        </w:rPr>
        <w:t>We target base salary for NEOs in line with the market median and our peer companies for established performers.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3437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Annual Incentive</w:t>
      </w:r>
    </w:p>
    <w:p>
      <w:pPr>
        <w:spacing w:after="0" w:line="27" w:lineRule="exact"/>
        <w:rPr>
          <w:sz w:val="20"/>
          <w:szCs w:val="20"/>
          <w:color w:val="auto"/>
        </w:rPr>
      </w:pPr>
    </w:p>
    <w:p>
      <w:pPr>
        <w:ind w:left="20"/>
        <w:spacing w:after="0" w:line="266" w:lineRule="auto"/>
        <w:rPr>
          <w:sz w:val="20"/>
          <w:szCs w:val="20"/>
          <w:color w:val="auto"/>
        </w:rPr>
      </w:pPr>
      <w:r>
        <w:rPr>
          <w:rFonts w:ascii="Arial" w:cs="Arial" w:eastAsia="Arial" w:hAnsi="Arial"/>
          <w:sz w:val="18"/>
          <w:szCs w:val="18"/>
          <w:color w:val="004C97"/>
        </w:rPr>
        <w:t>We focus annual bonus pay based on adjusted EBITDA, cash flow, and revenue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343725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Long-term Incentives</w:t>
      </w:r>
    </w:p>
    <w:p>
      <w:pPr>
        <w:spacing w:after="0" w:line="27" w:lineRule="exact"/>
        <w:rPr>
          <w:sz w:val="20"/>
          <w:szCs w:val="20"/>
          <w:color w:val="auto"/>
        </w:rPr>
      </w:pPr>
    </w:p>
    <w:p>
      <w:pPr>
        <w:ind w:left="20"/>
        <w:spacing w:after="0" w:line="266" w:lineRule="auto"/>
        <w:rPr>
          <w:sz w:val="20"/>
          <w:szCs w:val="20"/>
          <w:color w:val="auto"/>
        </w:rPr>
      </w:pPr>
      <w:r>
        <w:rPr>
          <w:rFonts w:ascii="Arial" w:cs="Arial" w:eastAsia="Arial" w:hAnsi="Arial"/>
          <w:sz w:val="18"/>
          <w:szCs w:val="18"/>
          <w:color w:val="004C97"/>
        </w:rPr>
        <w:t>We target long-term pay based 50% performance stock units, 25% on stock options, and 25% on restricted stock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-170180</wp:posOffset>
            </wp:positionV>
            <wp:extent cx="344614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004C97"/>
        </w:rPr>
        <w:t>We have double trigger provisions in the event of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wp:posOffset>
            </wp:positionV>
            <wp:extent cx="344614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Pledging or Hedging</w:t>
      </w:r>
    </w:p>
    <w:p>
      <w:pPr>
        <w:spacing w:after="0" w:line="2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004C97"/>
        </w:rPr>
        <w:t>We do not permit officer or director hedging or pledging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wp:posOffset>
            </wp:positionV>
            <wp:extent cx="344614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Perquisites</w:t>
      </w:r>
    </w:p>
    <w:p>
      <w:pPr>
        <w:spacing w:after="0" w:line="2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004C97"/>
        </w:rPr>
        <w:t>We have no NEO participation in defined benefit pension plans or retiree medical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352425</wp:posOffset>
            </wp:positionV>
            <wp:extent cx="7123430" cy="6769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23430" cy="676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440"/>
            <w:col w:w="5400"/>
          </w:cols>
          <w:pgMar w:left="320" w:top="1420"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ind w:left="2720" w:right="1440"/>
        <w:spacing w:after="0" w:line="268" w:lineRule="auto"/>
        <w:rPr>
          <w:sz w:val="20"/>
          <w:szCs w:val="20"/>
          <w:color w:val="auto"/>
        </w:rPr>
      </w:pPr>
      <w:r>
        <w:rPr>
          <w:rFonts w:ascii="Arial" w:cs="Arial" w:eastAsia="Arial" w:hAnsi="Arial"/>
          <w:sz w:val="18"/>
          <w:szCs w:val="18"/>
          <w:color w:val="004C97"/>
        </w:rPr>
        <w:t xml:space="preserve">YOUR BOARD OF DIRECTORS UNANIMOUSLY RECOMMENDS A VOTE </w:t>
      </w:r>
      <w:r>
        <w:rPr>
          <w:rFonts w:ascii="Arial" w:cs="Arial" w:eastAsia="Arial" w:hAnsi="Arial"/>
          <w:sz w:val="18"/>
          <w:szCs w:val="18"/>
          <w:b w:val="1"/>
          <w:bCs w:val="1"/>
          <w:color w:val="004C97"/>
        </w:rPr>
        <w:t>“FOR”</w:t>
      </w:r>
      <w:r>
        <w:rPr>
          <w:rFonts w:ascii="Arial" w:cs="Arial" w:eastAsia="Arial" w:hAnsi="Arial"/>
          <w:sz w:val="18"/>
          <w:szCs w:val="18"/>
          <w:color w:val="004C97"/>
        </w:rPr>
        <w:t xml:space="preserve"> THE APPROVAL OF THE NAMED EXECUTIVE OFFICERS’ COMPENSATION, ON A NON-BINDING ADVISORY BASIS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805815</wp:posOffset>
            </wp:positionV>
            <wp:extent cx="403225" cy="146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0322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2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51</w:t>
            </w:r>
          </w:p>
        </w:tc>
      </w:tr>
      <w:tr>
        <w:trPr>
          <w:trHeight w:val="265"/>
        </w:trPr>
        <w:tc>
          <w:tcPr>
            <w:tcW w:w="1032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38"/>
          <w:szCs w:val="38"/>
          <w:b w:val="1"/>
          <w:bCs w:val="1"/>
          <w:color w:val="004C97"/>
        </w:rPr>
        <w:t>AUDIT MATTERS</w:t>
      </w:r>
    </w:p>
    <w:p>
      <w:pPr>
        <w:spacing w:after="0" w:line="249" w:lineRule="exact"/>
        <w:rPr>
          <w:sz w:val="20"/>
          <w:szCs w:val="20"/>
          <w:color w:val="auto"/>
        </w:rPr>
      </w:pPr>
    </w:p>
    <w:p>
      <w:pPr>
        <w:spacing w:after="0"/>
        <w:rPr>
          <w:sz w:val="20"/>
          <w:szCs w:val="20"/>
          <w:color w:val="auto"/>
        </w:rPr>
      </w:pPr>
      <w:r>
        <w:rPr>
          <w:rFonts w:ascii="Arial" w:cs="Arial" w:eastAsia="Arial" w:hAnsi="Arial"/>
          <w:sz w:val="29"/>
          <w:szCs w:val="29"/>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Audit Committee of the SPX Board of Directors consists of five directors. Each Audit Committee member is independent, as defined under SEC rules and the listing standards of the NYSE. The Audit Committee reviews SPX’s financial reporting process on behalf of the Board and is responsible for ensuring the integrity of the financial information reported by SPX.</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Management is responsible for SPX’s financial reporting process, including its systems of internal and disclosure controls, and for the preparation of consolidated financial statements in accordance with accounting principles generally accepted in the United States (“US GAAP”). SPX’s independent registered public accounting firm, which is appointed by the Audit Committee, is responsible for auditing those financial statements. The Audit Committee’s responsibility is to monitor and review these processes. The Audit Committee has relied, without independent verification, on management’s representation that the financial statements have been prepared with integrity and objectivity and in conformity with US GAAP and on the representations of the independent registered public accounting firm included in the firm’s report on SPX’s financial statements.</w:t>
      </w:r>
    </w:p>
    <w:p>
      <w:pPr>
        <w:spacing w:after="0" w:line="12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this context, the Audit Committee has met and held discussions with management and Deloitte &amp; Touche LLP (“Deloitte”), SPX’s independent registered public accounting firm since 2002. Management represented to the Audit Committee that SPX’s consolidated financial statements were prepared in accordance with US GAAP, and the Audit Committee has reviewed and discussed the consolidated financial statements with management and the independent registered public accounting firm. The Audit Committee discussed with the independent registered public accounting firm matters required to be discussed by the Standards of the Public Company Accounting Oversight Board (“PCAOB”) for communication with audit committees, under which Deloitte must provide us with additional information regarding the scope and results of its audit of SPX’s consolidated financial statements.</w:t>
      </w:r>
    </w:p>
    <w:p>
      <w:pPr>
        <w:spacing w:after="0" w:line="13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we have discussed with Deloitte its independence from SPX and SPX management, including matters in the written disclosures required by PCAOB Rule 3526, Communication with Audit Committees Concerning Independence.</w:t>
      </w:r>
    </w:p>
    <w:p>
      <w:pPr>
        <w:spacing w:after="0" w:line="10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Audit Committee discussed with SPX’s internal auditors and independent registered public accounting firm the overall scope and plans for its respective audits. The Audit Committee met with the independent registered public accounting firm, with and without management present, to discuss the results of its examinations, the evaluations of SPX’s internal controls, and the overall quality of SPX’s financial reporting.</w:t>
      </w:r>
    </w:p>
    <w:p>
      <w:pPr>
        <w:spacing w:after="0" w:line="110"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In reliance on the reviews and discussions referred to above, the Audit Committee recommended to the Board, and the Board has approved, that the audited consolidated financial statements be included in SPX’s Annual Report on Form 10-K for the year ended December 31, 2024, filed with the SEC.</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Meenal A. Sethna,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Ricky D. Puckett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Robert B. Toth</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Tana L. Utley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Angel Shelton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824865</wp:posOffset>
            </wp:positionV>
            <wp:extent cx="402590" cy="146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0259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52</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58" w:name="page59"/>
    <w:bookmarkEnd w:id="58"/>
    <w:p>
      <w:pPr>
        <w:ind w:left="10080"/>
        <w:spacing w:after="0"/>
        <w:rPr>
          <w:sz w:val="20"/>
          <w:szCs w:val="20"/>
          <w:color w:val="auto"/>
        </w:rPr>
      </w:pPr>
      <w:r>
        <w:rPr>
          <w:rFonts w:ascii="Arial" w:cs="Arial" w:eastAsia="Arial" w:hAnsi="Arial"/>
          <w:sz w:val="14"/>
          <w:szCs w:val="14"/>
          <w:color w:val="004C97"/>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color w:val="auto"/>
        </w:rPr>
        <w:t>Other Audit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AND NON-AUDIT FEE TABLE</w:t>
      </w:r>
    </w:p>
    <w:p>
      <w:pPr>
        <w:spacing w:after="0" w:line="7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During fiscal years 2024 and 2023, we retained our principal independent registered public accounting firm, Deloitte, to perform services in the following categories and amounts:</w:t>
      </w:r>
    </w:p>
    <w:p>
      <w:pPr>
        <w:spacing w:after="0" w:line="136"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6100" w:type="dxa"/>
            <w:vAlign w:val="bottom"/>
            <w:tcBorders>
              <w:top w:val="single" w:sz="8" w:color="auto"/>
              <w:left w:val="single" w:sz="8" w:color="auto"/>
              <w:bottom w:val="single" w:sz="8" w:color="auto"/>
              <w:right w:val="single" w:sz="8" w:color="auto"/>
            </w:tcBorders>
            <w:shd w:val="clear" w:color="auto" w:fill="004C97"/>
          </w:tcPr>
          <w:p>
            <w:pPr>
              <w:spacing w:after="0"/>
              <w:rPr>
                <w:sz w:val="20"/>
                <w:szCs w:val="20"/>
                <w:color w:val="auto"/>
              </w:rPr>
            </w:pPr>
          </w:p>
        </w:tc>
        <w:tc>
          <w:tcPr>
            <w:tcW w:w="2600" w:type="dxa"/>
            <w:vAlign w:val="bottom"/>
            <w:tcBorders>
              <w:top w:val="single" w:sz="8" w:color="auto"/>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2024 ($)</w:t>
            </w:r>
          </w:p>
        </w:tc>
        <w:tc>
          <w:tcPr>
            <w:tcW w:w="2560" w:type="dxa"/>
            <w:vAlign w:val="bottom"/>
            <w:tcBorders>
              <w:top w:val="single" w:sz="8" w:color="auto"/>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2023 ($)</w:t>
            </w:r>
          </w:p>
        </w:tc>
      </w:tr>
      <w:tr>
        <w:trPr>
          <w:trHeight w:val="229"/>
        </w:trPr>
        <w:tc>
          <w:tcPr>
            <w:tcW w:w="6100" w:type="dxa"/>
            <w:vAlign w:val="bottom"/>
            <w:tcBorders>
              <w:left w:val="single" w:sz="8" w:color="auto"/>
              <w:bottom w:val="single" w:sz="8" w:color="auto"/>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Audit Fees</w:t>
            </w:r>
            <w:r>
              <w:rPr>
                <w:rFonts w:ascii="Arial" w:cs="Arial" w:eastAsia="Arial" w:hAnsi="Arial"/>
                <w:sz w:val="18"/>
                <w:szCs w:val="18"/>
                <w:color w:val="auto"/>
                <w:vertAlign w:val="superscript"/>
              </w:rPr>
              <w:t>(1)</w:t>
            </w:r>
          </w:p>
        </w:tc>
        <w:tc>
          <w:tcPr>
            <w:tcW w:w="260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3,206,000</w:t>
            </w:r>
          </w:p>
        </w:tc>
        <w:tc>
          <w:tcPr>
            <w:tcW w:w="256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3,282,000</w:t>
            </w:r>
          </w:p>
        </w:tc>
      </w:tr>
      <w:tr>
        <w:trPr>
          <w:trHeight w:val="223"/>
        </w:trPr>
        <w:tc>
          <w:tcPr>
            <w:tcW w:w="6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Audit-Related Fees</w:t>
            </w:r>
            <w:r>
              <w:rPr>
                <w:rFonts w:ascii="Arial" w:cs="Arial" w:eastAsia="Arial" w:hAnsi="Arial"/>
                <w:sz w:val="18"/>
                <w:szCs w:val="18"/>
                <w:color w:val="auto"/>
                <w:vertAlign w:val="superscript"/>
              </w:rPr>
              <w:t>(2)</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47,000</w:t>
            </w:r>
          </w:p>
        </w:tc>
      </w:tr>
      <w:tr>
        <w:trPr>
          <w:trHeight w:val="223"/>
        </w:trPr>
        <w:tc>
          <w:tcPr>
            <w:tcW w:w="6100" w:type="dxa"/>
            <w:vAlign w:val="bottom"/>
            <w:tcBorders>
              <w:left w:val="single" w:sz="8" w:color="auto"/>
              <w:bottom w:val="single" w:sz="8" w:color="auto"/>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Tax Fees</w:t>
            </w:r>
            <w:r>
              <w:rPr>
                <w:rFonts w:ascii="Arial" w:cs="Arial" w:eastAsia="Arial" w:hAnsi="Arial"/>
                <w:sz w:val="18"/>
                <w:szCs w:val="18"/>
                <w:color w:val="auto"/>
                <w:vertAlign w:val="superscript"/>
              </w:rPr>
              <w:t>(3)</w:t>
            </w:r>
          </w:p>
        </w:tc>
        <w:tc>
          <w:tcPr>
            <w:tcW w:w="260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190,000</w:t>
            </w:r>
          </w:p>
        </w:tc>
        <w:tc>
          <w:tcPr>
            <w:tcW w:w="256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93,000</w:t>
            </w:r>
          </w:p>
        </w:tc>
      </w:tr>
      <w:tr>
        <w:trPr>
          <w:trHeight w:val="202"/>
        </w:trPr>
        <w:tc>
          <w:tcPr>
            <w:tcW w:w="6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All Other Fees</w:t>
            </w:r>
          </w:p>
        </w:tc>
        <w:tc>
          <w:tcPr>
            <w:tcW w:w="2600" w:type="dxa"/>
            <w:vAlign w:val="bottom"/>
            <w:tcBorders>
              <w:right w:val="single" w:sz="8" w:color="auto"/>
            </w:tcBorders>
          </w:tcPr>
          <w:p>
            <w:pPr>
              <w:ind w:left="1440"/>
              <w:spacing w:after="0"/>
              <w:rPr>
                <w:sz w:val="20"/>
                <w:szCs w:val="20"/>
                <w:color w:val="auto"/>
              </w:rPr>
            </w:pPr>
            <w:r>
              <w:rPr>
                <w:rFonts w:ascii="Arial" w:cs="Arial" w:eastAsia="Arial" w:hAnsi="Arial"/>
                <w:sz w:val="14"/>
                <w:szCs w:val="14"/>
                <w:color w:val="auto"/>
              </w:rPr>
              <w:t>—</w:t>
            </w:r>
          </w:p>
        </w:tc>
        <w:tc>
          <w:tcPr>
            <w:tcW w:w="2560" w:type="dxa"/>
            <w:vAlign w:val="bottom"/>
            <w:tcBorders>
              <w:right w:val="single" w:sz="8" w:color="auto"/>
            </w:tcBorders>
          </w:tcPr>
          <w:p>
            <w:pPr>
              <w:ind w:left="1440"/>
              <w:spacing w:after="0"/>
              <w:rPr>
                <w:sz w:val="20"/>
                <w:szCs w:val="20"/>
                <w:color w:val="auto"/>
              </w:rPr>
            </w:pPr>
            <w:r>
              <w:rPr>
                <w:rFonts w:ascii="Arial" w:cs="Arial" w:eastAsia="Arial" w:hAnsi="Arial"/>
                <w:sz w:val="14"/>
                <w:szCs w:val="14"/>
                <w:color w:val="auto"/>
              </w:rPr>
              <w:t>—</w:t>
            </w:r>
          </w:p>
        </w:tc>
      </w:tr>
      <w:tr>
        <w:trPr>
          <w:trHeight w:val="22"/>
        </w:trPr>
        <w:tc>
          <w:tcPr>
            <w:tcW w:w="61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560" w:type="dxa"/>
            <w:vAlign w:val="bottom"/>
            <w:tcBorders>
              <w:bottom w:val="single" w:sz="8" w:color="auto"/>
              <w:right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340" w:right="20" w:hanging="332"/>
        <w:spacing w:after="0" w:line="262" w:lineRule="auto"/>
        <w:tabs>
          <w:tab w:leader="none" w:pos="332" w:val="left"/>
        </w:tabs>
        <w:numPr>
          <w:ilvl w:val="0"/>
          <w:numId w:val="53"/>
        </w:numPr>
        <w:rPr>
          <w:rFonts w:ascii="Arial" w:cs="Arial" w:eastAsia="Arial" w:hAnsi="Arial"/>
          <w:sz w:val="13"/>
          <w:szCs w:val="13"/>
          <w:color w:val="auto"/>
        </w:rPr>
      </w:pPr>
      <w:r>
        <w:rPr>
          <w:rFonts w:ascii="Arial" w:cs="Arial" w:eastAsia="Arial" w:hAnsi="Arial"/>
          <w:sz w:val="13"/>
          <w:szCs w:val="13"/>
          <w:color w:val="auto"/>
        </w:rPr>
        <w:t>Fees for audit services billed or expected to be billed relate to (a) audit of our annual financial statements and effectiveness of internal controls over financial reporting; (b) reviews of our quarterly financial statements; (c) statutory and regulatory audits; (d) audit of balance sheets and activities of acquired businesses; (e) other technical accounting assistance; and (f) consents, and other services related to SEC matters.</w:t>
      </w:r>
    </w:p>
    <w:p>
      <w:pPr>
        <w:spacing w:after="0" w:line="23" w:lineRule="exact"/>
        <w:rPr>
          <w:rFonts w:ascii="Arial" w:cs="Arial" w:eastAsia="Arial" w:hAnsi="Arial"/>
          <w:sz w:val="13"/>
          <w:szCs w:val="13"/>
          <w:color w:val="auto"/>
        </w:rPr>
      </w:pPr>
    </w:p>
    <w:p>
      <w:pPr>
        <w:ind w:left="320" w:hanging="312"/>
        <w:spacing w:after="0"/>
        <w:tabs>
          <w:tab w:leader="none" w:pos="3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Fees for audit-related services include attest or audit services that are not required.</w:t>
      </w:r>
    </w:p>
    <w:p>
      <w:pPr>
        <w:spacing w:after="0" w:line="53" w:lineRule="exact"/>
        <w:rPr>
          <w:rFonts w:ascii="Arial" w:cs="Arial" w:eastAsia="Arial" w:hAnsi="Arial"/>
          <w:sz w:val="13"/>
          <w:szCs w:val="13"/>
          <w:color w:val="auto"/>
        </w:rPr>
      </w:pPr>
    </w:p>
    <w:p>
      <w:pPr>
        <w:ind w:left="320" w:hanging="312"/>
        <w:spacing w:after="0"/>
        <w:tabs>
          <w:tab w:leader="none" w:pos="3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Fees for tax services relate to tax compliance and preparation, including the preparation of original and amended tax returns, claims for refunds, and tax payment planning.</w:t>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PRE-APPROVAL BY AUDIT COMMITTEE</w:t>
      </w:r>
    </w:p>
    <w:p>
      <w:pPr>
        <w:spacing w:after="0" w:line="7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Our Audit Committee has adopted a policy that requires all audit and non-audit services performed by Deloitte to be pre-approved. The Audit Committee annually approves the fees and expenses for audit services performed by Deloitte, as well as for any regularly recurring non-audit services of the type covered by our annual engagement of Deloitte. In addition, our pre-approval policy requires pre-approval by the Chair of the Audit Committee of fees and expenses for other non-audit services that may arise during the year. The policy requires the Chair to report any non-audit services that the Chair has pre-approved to the Audit Committee at each regularly scheduled meeting of the Audit Committee. In no event may Deloitte perform any of the following services for us: (1) bookkeeping or other services related to our accounting records or financial statements; (2) financial information systems design and implementation; (3) appraisal or valuation services, fairness opinions, or contribution-in-kind reports; (4) actuarial services; (5) internal audit outsourcing services; (6) management functions or human resources services; (7) broker-dealer, investment advisor, or investment banking services; (8) legal services; or (9) expert services. The Audit Committee regularly considers whether specific projects or expenditures could potentially affect Deloitte’s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653415</wp:posOffset>
            </wp:positionV>
            <wp:extent cx="403225" cy="1454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0322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2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53</w:t>
            </w:r>
          </w:p>
        </w:tc>
      </w:tr>
      <w:tr>
        <w:trPr>
          <w:trHeight w:val="265"/>
        </w:trPr>
        <w:tc>
          <w:tcPr>
            <w:tcW w:w="1032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92" w:right="319" w:bottom="1440" w:gutter="0" w:footer="0" w:header="0"/>
        </w:sectPr>
      </w:pPr>
    </w:p>
    <w:bookmarkStart w:id="59" w:name="page60"/>
    <w:bookmarkEnd w:id="59"/>
    <w:p>
      <w:pPr>
        <w:ind w:right="760"/>
        <w:spacing w:after="0" w:line="327" w:lineRule="auto"/>
        <w:rPr>
          <w:sz w:val="20"/>
          <w:szCs w:val="20"/>
          <w:color w:val="auto"/>
        </w:rPr>
      </w:pPr>
      <w:r>
        <w:rPr>
          <w:rFonts w:ascii="Arial" w:cs="Arial" w:eastAsia="Arial" w:hAnsi="Arial"/>
          <w:sz w:val="37"/>
          <w:szCs w:val="37"/>
          <w:b w:val="1"/>
          <w:bCs w:val="1"/>
          <w:color w:val="004C97"/>
        </w:rPr>
        <w:t>PROPOSAL 3: RATIFICATION OF APPOINTMENT OF INDEPENDENT REGISTERED PUBLIC ACCOUNTING FIRM</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Deloitte has been our independent registered public accounting firm since 2002. The Audit Committee has engaged Deloitte to perform reviews, in accordance with the Standards of the Public Company Accounting Oversight Board, of our financial statements to be filed on Form 10-Q in 2025. Consistent with past practice, on December 6, 2024, the Audit Committee approved the engagement of Deloitte to perform the audit of the financial statements and internal controls over financial reporting included in SPX’s Annual Report on Form 10-K for the fiscal year ending December 31, 2025. Representatives of Deloitte will be present at the Annual Meeting and will have the opportunity to make a statement if they so desire and to respond to appropriate questions.</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Although we are not required to do so, we believe that it is appropriate for us to request stockholder ratification of the appointment of Deloitte as our independent registered public accounting firm. If stockholders do not ratify the appointment, the Audit Committee will investigate the reasons for the stockholders’ rejection and reconsider the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40575" cy="677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0575" cy="6775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2060"/>
        <w:spacing w:after="0"/>
        <w:rPr>
          <w:sz w:val="20"/>
          <w:szCs w:val="20"/>
          <w:color w:val="auto"/>
        </w:rPr>
      </w:pPr>
      <w:r>
        <w:rPr>
          <w:rFonts w:ascii="Arial" w:cs="Arial" w:eastAsia="Arial" w:hAnsi="Arial"/>
          <w:sz w:val="18"/>
          <w:szCs w:val="18"/>
          <w:color w:val="004C97"/>
        </w:rPr>
        <w:t xml:space="preserve">YOUR BOARD OF DIRECTORS UNANIMOUSLY RECOMMENDS A VOTE </w:t>
      </w:r>
      <w:r>
        <w:rPr>
          <w:rFonts w:ascii="Arial" w:cs="Arial" w:eastAsia="Arial" w:hAnsi="Arial"/>
          <w:sz w:val="18"/>
          <w:szCs w:val="18"/>
          <w:b w:val="1"/>
          <w:bCs w:val="1"/>
          <w:color w:val="004C97"/>
        </w:rPr>
        <w:t>“FOR”</w:t>
      </w:r>
      <w:r>
        <w:rPr>
          <w:rFonts w:ascii="Arial" w:cs="Arial" w:eastAsia="Arial" w:hAnsi="Arial"/>
          <w:sz w:val="18"/>
          <w:szCs w:val="18"/>
          <w:color w:val="004C97"/>
        </w:rPr>
        <w:t xml:space="preserve"> RATIFICATION OF</w:t>
      </w:r>
    </w:p>
    <w:p>
      <w:pPr>
        <w:spacing w:after="0" w:line="27" w:lineRule="exact"/>
        <w:rPr>
          <w:sz w:val="20"/>
          <w:szCs w:val="20"/>
          <w:color w:val="auto"/>
        </w:rPr>
      </w:pPr>
    </w:p>
    <w:p>
      <w:pPr>
        <w:ind w:left="2060"/>
        <w:spacing w:after="0"/>
        <w:rPr>
          <w:sz w:val="20"/>
          <w:szCs w:val="20"/>
          <w:color w:val="auto"/>
        </w:rPr>
      </w:pPr>
      <w:r>
        <w:rPr>
          <w:rFonts w:ascii="Arial" w:cs="Arial" w:eastAsia="Arial" w:hAnsi="Arial"/>
          <w:sz w:val="18"/>
          <w:szCs w:val="18"/>
          <w:color w:val="004C97"/>
        </w:rPr>
        <w:t>THE APPOINTMENT OF DELOITTE &amp; TOUCHE LLP AS OUR INDEPENDENT REGISTERED PUBLIC</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004C97"/>
        </w:rPr>
        <w:t>ACCOUNTING FIRM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829310</wp:posOffset>
            </wp:positionV>
            <wp:extent cx="402590" cy="1460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0259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54</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60" w:name="page61"/>
    <w:bookmarkEnd w:id="60"/>
    <w:p>
      <w:pPr>
        <w:spacing w:after="0"/>
        <w:rPr>
          <w:sz w:val="20"/>
          <w:szCs w:val="20"/>
          <w:color w:val="auto"/>
        </w:rPr>
      </w:pPr>
      <w:r>
        <w:rPr>
          <w:rFonts w:ascii="Arial" w:cs="Arial" w:eastAsia="Arial" w:hAnsi="Arial"/>
          <w:sz w:val="38"/>
          <w:szCs w:val="38"/>
          <w:b w:val="1"/>
          <w:bCs w:val="1"/>
          <w:color w:val="004C97"/>
        </w:rPr>
        <w:t>QUESTIONS AND ANSWERS</w:t>
      </w:r>
    </w:p>
    <w:p>
      <w:pPr>
        <w:spacing w:after="0" w:line="249" w:lineRule="exact"/>
        <w:rPr>
          <w:sz w:val="20"/>
          <w:szCs w:val="20"/>
          <w:color w:val="auto"/>
        </w:rPr>
      </w:pPr>
    </w:p>
    <w:p>
      <w:pPr>
        <w:spacing w:after="0"/>
        <w:rPr>
          <w:sz w:val="20"/>
          <w:szCs w:val="20"/>
          <w:color w:val="auto"/>
        </w:rPr>
      </w:pPr>
      <w:r>
        <w:rPr>
          <w:rFonts w:ascii="Arial" w:cs="Arial" w:eastAsia="Arial" w:hAnsi="Arial"/>
          <w:sz w:val="29"/>
          <w:szCs w:val="29"/>
          <w:color w:val="auto"/>
        </w:rPr>
        <w:t>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Why am I receiving these materials?</w:t>
      </w:r>
    </w:p>
    <w:p>
      <w:pPr>
        <w:spacing w:after="0" w:line="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are mailing or making these materials available to you because we are soliciting your proxy to vote your shares in connection with our Annual Meeting, scheduled to take place on May 13, 2025, or at any adjournments or postponements of this meeting. We are first mailing or making available to stockholders this Proxy Statement, our Annual Report to Stockholders for the year ended December 31, 2024, and related materials on or about April 1, 2025.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Why did I receive a one-page notice of internet availability of proxy materials rather than a full set of proxy materials?</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SEC rules allow companies to provide stockholders access to Proxy Materials over the internet rather than mailing the materials to stockholders. Accordingly, to conserve natural resources and reduce costs, we are sending many of our stockholders a Notice of Internet Availability of Proxy Materials. The Notice provides instructions for accessing the Proxy Materials on the website referred to in the Notice or for requesting printed copies of the Proxy Materials. The Notice also provides instructions for requesting the delivery of the Proxy Materials for future Annual Meetings in printed form.</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Are the proxy materials available electronically?</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Proxy Statement and our 2024 Annual Report to Stockholders are available on our website (www.spx.com) under the heading “Investor Relations— Financial Information—Annual Reports.” Additionally, and in accordance with SEC rules, you may access our Proxy Statement at www.envisionreports.com/SPXC (for stockholders of record) or www.edocumentview.com/SPXC (for all other stockholders), which do not have “cookies” that identify visitors to the sites.</w:t>
      </w:r>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color w:val="auto"/>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What is the purpose of this meeting?</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This is the Annual Meeting of the Company’s stockholders. At the meeting, we will be voting on:</w:t>
      </w:r>
    </w:p>
    <w:p>
      <w:pPr>
        <w:spacing w:after="0" w:line="181" w:lineRule="exact"/>
        <w:rPr>
          <w:sz w:val="20"/>
          <w:szCs w:val="20"/>
          <w:color w:val="auto"/>
        </w:rPr>
      </w:pPr>
    </w:p>
    <w:p>
      <w:pPr>
        <w:ind w:left="200" w:hanging="192"/>
        <w:spacing w:after="0"/>
        <w:tabs>
          <w:tab w:leader="none" w:pos="2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election of the three nominees named in this Proxy Statement to serve as directors until our 2027 Annual Meeting;</w:t>
      </w:r>
    </w:p>
    <w:p>
      <w:pPr>
        <w:spacing w:after="0" w:line="113" w:lineRule="exact"/>
        <w:rPr>
          <w:rFonts w:ascii="Arial" w:cs="Arial" w:eastAsia="Arial" w:hAnsi="Arial"/>
          <w:sz w:val="16"/>
          <w:szCs w:val="16"/>
          <w:color w:val="auto"/>
        </w:rPr>
      </w:pPr>
    </w:p>
    <w:p>
      <w:pPr>
        <w:ind w:left="200" w:hanging="192"/>
        <w:spacing w:after="0"/>
        <w:tabs>
          <w:tab w:leader="none" w:pos="2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approval of our named executive officers’ compensation, on a non-binding advisory basis;</w:t>
      </w:r>
    </w:p>
    <w:p>
      <w:pPr>
        <w:spacing w:after="0" w:line="113" w:lineRule="exact"/>
        <w:rPr>
          <w:rFonts w:ascii="Arial" w:cs="Arial" w:eastAsia="Arial" w:hAnsi="Arial"/>
          <w:sz w:val="16"/>
          <w:szCs w:val="16"/>
          <w:color w:val="auto"/>
        </w:rPr>
      </w:pPr>
    </w:p>
    <w:p>
      <w:pPr>
        <w:ind w:left="200" w:hanging="192"/>
        <w:spacing w:after="0"/>
        <w:tabs>
          <w:tab w:leader="none" w:pos="2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ratification of our Audit Committee’s appointment of our independent registered public accounting firm for 2025; and</w:t>
      </w:r>
    </w:p>
    <w:p>
      <w:pPr>
        <w:spacing w:after="0" w:line="126" w:lineRule="exact"/>
        <w:rPr>
          <w:rFonts w:ascii="Arial" w:cs="Arial" w:eastAsia="Arial" w:hAnsi="Arial"/>
          <w:sz w:val="16"/>
          <w:szCs w:val="16"/>
          <w:color w:val="auto"/>
        </w:rPr>
      </w:pPr>
    </w:p>
    <w:p>
      <w:pPr>
        <w:ind w:left="200" w:hanging="192"/>
        <w:spacing w:after="0"/>
        <w:tabs>
          <w:tab w:leader="none" w:pos="2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other business properly brought before the meeting.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How does the Board recommend that I vote?</w:t>
      </w:r>
    </w:p>
    <w:p>
      <w:pPr>
        <w:spacing w:after="0" w:line="122"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16"/>
          <w:szCs w:val="16"/>
          <w:color w:val="auto"/>
        </w:rPr>
        <w:t>Proposal 1:</w:t>
      </w:r>
      <w:r>
        <w:rPr>
          <w:sz w:val="20"/>
          <w:szCs w:val="20"/>
          <w:color w:val="auto"/>
        </w:rPr>
        <w:tab/>
      </w:r>
      <w:r>
        <w:rPr>
          <w:rFonts w:ascii="Arial" w:cs="Arial" w:eastAsia="Arial" w:hAnsi="Arial"/>
          <w:sz w:val="16"/>
          <w:szCs w:val="16"/>
          <w:color w:val="auto"/>
        </w:rPr>
        <w:t>FOR the election of each of Mr. Lowe, Mr. O’Leary, and Mr. Roberts.</w:t>
      </w:r>
    </w:p>
    <w:p>
      <w:pPr>
        <w:spacing w:after="0" w:line="59"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16"/>
          <w:szCs w:val="16"/>
          <w:color w:val="auto"/>
        </w:rPr>
        <w:t>Proposal 2:</w:t>
      </w:r>
      <w:r>
        <w:rPr>
          <w:sz w:val="20"/>
          <w:szCs w:val="20"/>
          <w:color w:val="auto"/>
        </w:rPr>
        <w:tab/>
      </w:r>
      <w:r>
        <w:rPr>
          <w:rFonts w:ascii="Arial" w:cs="Arial" w:eastAsia="Arial" w:hAnsi="Arial"/>
          <w:sz w:val="16"/>
          <w:szCs w:val="16"/>
          <w:color w:val="auto"/>
        </w:rPr>
        <w:t>FOR the approval of our named executive officers’ compensation.</w:t>
      </w:r>
    </w:p>
    <w:p>
      <w:pPr>
        <w:spacing w:after="0" w:line="59"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16"/>
          <w:szCs w:val="16"/>
          <w:color w:val="auto"/>
        </w:rPr>
        <w:t>Proposal 3:</w:t>
      </w:r>
      <w:r>
        <w:rPr>
          <w:sz w:val="20"/>
          <w:szCs w:val="20"/>
          <w:color w:val="auto"/>
        </w:rPr>
        <w:tab/>
      </w:r>
      <w:r>
        <w:rPr>
          <w:rFonts w:ascii="Arial" w:cs="Arial" w:eastAsia="Arial" w:hAnsi="Arial"/>
          <w:sz w:val="16"/>
          <w:szCs w:val="16"/>
          <w:color w:val="auto"/>
        </w:rPr>
        <w:t>FOR the ratification of our Audit Committee’s appointment of our independent registered public accounting firm for 2025.</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How can I attend the Annual Meeting?</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Annual Meeting will be a completely virtual meeting of stockholders, which will be conducted exclusively in a virtual format via a live webcast. You are entitled to participate in the Annual Meeting only if you were a stockholder of the Company as of the close of business on March 17, 2025, or if you hold a valid proxy for the Annual Meeting. No physical meeting will be held.</w:t>
      </w:r>
    </w:p>
    <w:p>
      <w:pPr>
        <w:spacing w:after="0" w:line="1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You will be able to attend the Annual Meeting online and submit your questions during the meeting by visiting meetnow.global/MR5TU2F. You also will be able to vote your shares online by attending the Annual Meeting virtually.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To participate in the Annual Meeting, you will need to review the information included on your Notice, or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672465</wp:posOffset>
            </wp:positionV>
            <wp:extent cx="403225" cy="1460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0322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2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55</w:t>
            </w:r>
          </w:p>
        </w:tc>
      </w:tr>
      <w:tr>
        <w:trPr>
          <w:trHeight w:val="27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61" w:name="page62"/>
    <w:bookmarkEnd w:id="61"/>
    <w:p>
      <w:pPr>
        <w:ind w:left="20"/>
        <w:spacing w:after="0"/>
        <w:rPr>
          <w:sz w:val="20"/>
          <w:szCs w:val="20"/>
          <w:color w:val="auto"/>
        </w:rPr>
      </w:pPr>
      <w:r>
        <w:rPr>
          <w:rFonts w:ascii="Arial" w:cs="Arial" w:eastAsia="Arial" w:hAnsi="Arial"/>
          <w:sz w:val="14"/>
          <w:szCs w:val="14"/>
          <w:color w:val="004C97"/>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If you hold your shares through an intermediary, such as a bank or broker, you must register in advance using the instructions below.</w:t>
      </w:r>
    </w:p>
    <w:p>
      <w:pPr>
        <w:spacing w:after="0" w:line="16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online meeting will begin promptly at 8.00 a.m. (Eastern Time). We encourage you to access the meeting prior to the start time leaving ample time for the check in. Please follow the registration instructions as outlined in this proxy statement.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No recording of the Annual Meeting is allowed, including audio and video recording.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How do I register to attend the Annual Meeting virtually?</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you are a registered stockholder (i.e., you hold your shares through our transfer agent, Computershare), you do not need to register to attend the Annual Meeting virtually. Please follow the instructions on the Notice of Internet Availability of Proxy Materials or proxy card that you received.</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If you hold your shares through an intermediary, such as a bank or broker, you must register in advance to attend the Annual Meeting virtually. To register to attend the Annual Meeting, you must submit proof of your proxy power (legal proxy) reflecting your SPX Technologies, Inc. holdings along with your name and email address to Computershare. Requests for registration must be labeled as “Legal Proxy” and be received no later than 5:00 p.m. (Eastern Time) on May 8, 2025. You will receive a confirmation of your registration by email after we receive your registration materials.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Requests for registration should be directed to us at the following: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email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Forward the email from your broker, or attach an image of your legal proxy, to legalproxy@computershare.com</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mail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Computershare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SPX Technologies, Inc. Legal Proxy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P.O. Box 43001</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Providence, RI 02940-3001</w:t>
      </w:r>
    </w:p>
    <w:p>
      <w:pPr>
        <w:spacing w:after="0" w:line="15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Upon receipt of your confirmation of registration to participate in the meeting from Computershare go to meetnow.global/MR5TU2F and enter your control number to log into the meeting.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How do I vote or ask a question during the meeting?</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When you log onto the meeting website (meetnow.global/MR5TU2F) you will see Vote and Q&amp;A icons to vote and ask questions during the meeting.</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will endeavor to answer as many questions submitted by stockholders as time permits. We reserve the right to edit inappropriate language and to exclude questions regarding topics that are not pertinent to meeting matters or company business. If we receive substantially similar questions, we may group such questions together and provide a single response to avoid repetition.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What if I have trouble accessing the Annual Meeting virtually?</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virtual meeting platform is fully supported across browsers (MS Edge, Firefox, Chrome and Safari) and devices (desktops, laptops, tablets and cell phones) running the most up-to-date version of applicable software and plugins. Note: Internet Explorer is not a supported browser. Participants should ensure that they have a strong WiFi connection wherever they intend to participate in the meeting. We encourage you to access the meeting prior to the start time. For further assistance should you need it you may call 1-888-724-2416.</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the event of technical difficulties with the Annual Meeting, we expect that an announcement will be made on meetnow.global/MR5TU2F. If necessary, the announcement will provide updated information regarding the date, time, and location of the Annual Meeting. Any updated information regarding the Annual Meeting will also be posted on our website at www.spx.com.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670560</wp:posOffset>
            </wp:positionV>
            <wp:extent cx="402590" cy="1454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0259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56</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62" w:name="page63"/>
    <w:bookmarkEnd w:id="62"/>
    <w:p>
      <w:pPr>
        <w:ind w:left="9260"/>
        <w:spacing w:after="0"/>
        <w:rPr>
          <w:sz w:val="20"/>
          <w:szCs w:val="20"/>
          <w:color w:val="auto"/>
        </w:rPr>
      </w:pPr>
      <w:r>
        <w:rPr>
          <w:rFonts w:ascii="Arial" w:cs="Arial" w:eastAsia="Arial" w:hAnsi="Arial"/>
          <w:sz w:val="14"/>
          <w:szCs w:val="14"/>
          <w:color w:val="004C97"/>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color w:val="auto"/>
        </w:rPr>
        <w:t>Voting and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What is a proxy?</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Board of Directors is asking for your proxy, which is a legal designation of another person to vote the shares you own. We have designated two officers of the Company, Eugene J. Lowe, III and Mark A. Carano, to vote your shares at the meeting in the way you instruct and, with regard to any other business that may properly come before the meeting, as they think best.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Who is entitled to vote?</w:t>
      </w:r>
    </w:p>
    <w:p>
      <w:pPr>
        <w:spacing w:after="0" w:line="6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Stockholders at the close of business on March 17, 2025 (the record date), are entitled to vote. On that date there were 46,778,784 shares of SPX common stock outstanding.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How many votes do I have?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Each share of SPX common stock that you own entitles you to one vote.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How do I vote if I do not attend the Annual Meeting?</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your shares are held in your name as a stockholder of record, then you may vote your shares before the meeting over the internet by following the instructions on the Notice of Internet Availability of Proxy Materials or proxy card you received for that account.</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If your shares are held through a broker, bank, trustee, or other holder of record, then you may vote your shares before the meeting over the internet by following the instructions on the Notice of Internet Availability of Proxy Materials or proxy card you received or, if you received a voting instruction form from your brokerage firm, bank, trustee, or other similar entity by mail, then by completing, signing, and returning the form you received. You should check your voting instruction form to see if telephone or internet voting is available to you.</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you received more than one Notice of Internet Availability of Proxy Materials or proxy card, then this means you hold shares of our common stock in more than one account. You should complete, sign, date, and return each proxy card or vote all shares over the internet or by telephone for each of your accounts. If you vote over the internet or by telephone, then you should not mail back the related proxy card.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Can I vote during the Annual Meeting?</w:t>
      </w:r>
    </w:p>
    <w:p>
      <w:pPr>
        <w:spacing w:after="0" w:line="6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Yes. If you were a stockholder on the record date, then you can vote your shares of common stock during the Annual Meeting. If your shares are held through a broker, bank, trustee, or other holder of record, then you may vote your shares only if you have a legal proxy from the entity that holds your shares giving you the right to vote the shares. A legal proxy is a written document from your brokerage firm, bank, trustee, or other holder of record authorizing you to vote the shares it holds for you in its name. Please refer to “How do I register to attend the Annual Meeting virtually?” section above for further instructions.</w:t>
      </w:r>
    </w:p>
    <w:p>
      <w:pPr>
        <w:spacing w:after="0" w:line="3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Even if you currently plan to attend the meeting, we recommend that you also vote by proxy as described above so that your vote will be counted if you later decide not to attend the meeting.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May I revoke my proxy?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You may revoke your proxy in one of four ways at any time before it is exercised:</w:t>
      </w:r>
    </w:p>
    <w:p>
      <w:pPr>
        <w:spacing w:after="0" w:line="167" w:lineRule="exact"/>
        <w:rPr>
          <w:sz w:val="20"/>
          <w:szCs w:val="20"/>
          <w:color w:val="auto"/>
        </w:rPr>
      </w:pPr>
    </w:p>
    <w:p>
      <w:pPr>
        <w:ind w:left="200" w:hanging="192"/>
        <w:spacing w:after="0"/>
        <w:tabs>
          <w:tab w:leader="none" w:pos="2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Notify our Corporate Secretary in writing before the Annual Meeting that you are revoking your proxy;</w:t>
      </w:r>
    </w:p>
    <w:p>
      <w:pPr>
        <w:spacing w:after="0" w:line="72" w:lineRule="exact"/>
        <w:rPr>
          <w:rFonts w:ascii="Arial" w:cs="Arial" w:eastAsia="Arial" w:hAnsi="Arial"/>
          <w:sz w:val="16"/>
          <w:szCs w:val="16"/>
          <w:color w:val="auto"/>
        </w:rPr>
      </w:pPr>
    </w:p>
    <w:p>
      <w:pPr>
        <w:ind w:left="200" w:hanging="192"/>
        <w:spacing w:after="0"/>
        <w:tabs>
          <w:tab w:leader="none" w:pos="2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Submit another proxy with a later date;</w:t>
      </w:r>
    </w:p>
    <w:p>
      <w:pPr>
        <w:spacing w:after="0" w:line="59" w:lineRule="exact"/>
        <w:rPr>
          <w:rFonts w:ascii="Arial" w:cs="Arial" w:eastAsia="Arial" w:hAnsi="Arial"/>
          <w:sz w:val="16"/>
          <w:szCs w:val="16"/>
          <w:color w:val="auto"/>
        </w:rPr>
      </w:pPr>
    </w:p>
    <w:p>
      <w:pPr>
        <w:ind w:left="200" w:hanging="192"/>
        <w:spacing w:after="0"/>
        <w:tabs>
          <w:tab w:leader="none" w:pos="2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Vote by telephone or internet after you have given your proxy; or</w:t>
      </w:r>
    </w:p>
    <w:p>
      <w:pPr>
        <w:spacing w:after="0" w:line="59" w:lineRule="exact"/>
        <w:rPr>
          <w:rFonts w:ascii="Arial" w:cs="Arial" w:eastAsia="Arial" w:hAnsi="Arial"/>
          <w:sz w:val="16"/>
          <w:szCs w:val="16"/>
          <w:color w:val="auto"/>
        </w:rPr>
      </w:pPr>
    </w:p>
    <w:p>
      <w:pPr>
        <w:ind w:left="200" w:hanging="192"/>
        <w:spacing w:after="0"/>
        <w:tabs>
          <w:tab w:leader="none" w:pos="2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Vote at the Annual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What constitutes a quorum?</w:t>
      </w:r>
    </w:p>
    <w:p>
      <w:pPr>
        <w:spacing w:after="0" w:line="6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presence, directly or by proxy, of the holders of one-third of the total number of shares of SPX stock issued and outstanding and entitled to vote at the Annual Meeting constitutes a quorum. You will be considered part of the quorum if you return a signed and dated proxy card, if you vote by telephone or internet, or if you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636270</wp:posOffset>
            </wp:positionV>
            <wp:extent cx="403225" cy="1454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0322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2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57</w:t>
            </w:r>
          </w:p>
        </w:tc>
      </w:tr>
      <w:tr>
        <w:trPr>
          <w:trHeight w:val="27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63" w:name="page64"/>
    <w:bookmarkEnd w:id="63"/>
    <w:p>
      <w:pPr>
        <w:ind w:left="20"/>
        <w:spacing w:after="0"/>
        <w:rPr>
          <w:sz w:val="20"/>
          <w:szCs w:val="20"/>
          <w:color w:val="auto"/>
        </w:rPr>
      </w:pPr>
      <w:r>
        <w:rPr>
          <w:rFonts w:ascii="Arial" w:cs="Arial" w:eastAsia="Arial" w:hAnsi="Arial"/>
          <w:sz w:val="14"/>
          <w:szCs w:val="14"/>
          <w:color w:val="004C97"/>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Abstentions are counted as “shares present” at the Annual Meeting for purposes of determining whether a quorum exists. Proxies submitted by brokers, banks, trustees, or other holders of record holding shares for you as a beneficial owner that do not indicate a vote for some of or all of the proposals because that holder does not have voting authority and has not received voting instructions from you (so-called “broker non-votes”) are also considered “shares present” for purposes of determining whether a quorum exists. Brokers are permitted to vote your shares on the ratification of the appointment of our independent public accountants, even if they do not receive voting instructions from you.</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What vote is required to approve each proposal?</w:t>
      </w:r>
    </w:p>
    <w:p>
      <w:pPr>
        <w:spacing w:after="0" w:line="8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800" w:type="dxa"/>
            <w:vAlign w:val="bottom"/>
            <w:tcBorders>
              <w:top w:val="single" w:sz="8" w:color="auto"/>
              <w:left w:val="single" w:sz="8" w:color="auto"/>
              <w:right w:val="single" w:sz="8" w:color="auto"/>
            </w:tcBorders>
            <w:shd w:val="clear" w:color="auto" w:fill="004C97"/>
          </w:tcPr>
          <w:p>
            <w:pPr>
              <w:spacing w:after="0"/>
              <w:rPr>
                <w:sz w:val="17"/>
                <w:szCs w:val="17"/>
                <w:color w:val="auto"/>
              </w:rPr>
            </w:pPr>
          </w:p>
        </w:tc>
        <w:tc>
          <w:tcPr>
            <w:tcW w:w="4160" w:type="dxa"/>
            <w:vAlign w:val="bottom"/>
            <w:tcBorders>
              <w:top w:val="single" w:sz="8" w:color="auto"/>
              <w:right w:val="single" w:sz="8" w:color="auto"/>
            </w:tcBorders>
            <w:shd w:val="clear" w:color="auto" w:fill="004C97"/>
          </w:tcPr>
          <w:p>
            <w:pPr>
              <w:spacing w:after="0"/>
              <w:rPr>
                <w:sz w:val="17"/>
                <w:szCs w:val="17"/>
                <w:color w:val="auto"/>
              </w:rPr>
            </w:pPr>
          </w:p>
        </w:tc>
        <w:tc>
          <w:tcPr>
            <w:tcW w:w="2300" w:type="dxa"/>
            <w:vAlign w:val="bottom"/>
            <w:tcBorders>
              <w:top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Broker Discretionary</w:t>
            </w:r>
          </w:p>
        </w:tc>
        <w:tc>
          <w:tcPr>
            <w:tcW w:w="0" w:type="dxa"/>
            <w:vAlign w:val="bottom"/>
          </w:tcPr>
          <w:p>
            <w:pPr>
              <w:spacing w:after="0"/>
              <w:rPr>
                <w:sz w:val="1"/>
                <w:szCs w:val="1"/>
                <w:color w:val="auto"/>
              </w:rPr>
            </w:pPr>
          </w:p>
        </w:tc>
      </w:tr>
      <w:tr>
        <w:trPr>
          <w:trHeight w:val="205"/>
        </w:trPr>
        <w:tc>
          <w:tcPr>
            <w:tcW w:w="4800" w:type="dxa"/>
            <w:vAlign w:val="bottom"/>
            <w:tcBorders>
              <w:left w:val="single" w:sz="8" w:color="auto"/>
              <w:bottom w:val="single" w:sz="8" w:color="auto"/>
              <w:right w:val="single" w:sz="8" w:color="auto"/>
            </w:tcBorders>
            <w:shd w:val="clear" w:color="auto" w:fill="004C97"/>
          </w:tcPr>
          <w:p>
            <w:pPr>
              <w:ind w:left="2080"/>
              <w:spacing w:after="0"/>
              <w:rPr>
                <w:sz w:val="20"/>
                <w:szCs w:val="20"/>
                <w:color w:val="auto"/>
              </w:rPr>
            </w:pPr>
            <w:r>
              <w:rPr>
                <w:rFonts w:ascii="Arial" w:cs="Arial" w:eastAsia="Arial" w:hAnsi="Arial"/>
                <w:sz w:val="14"/>
                <w:szCs w:val="14"/>
                <w:b w:val="1"/>
                <w:bCs w:val="1"/>
                <w:color w:val="FFFFFF"/>
              </w:rPr>
              <w:t>Proposal</w:t>
            </w:r>
          </w:p>
        </w:tc>
        <w:tc>
          <w:tcPr>
            <w:tcW w:w="4160" w:type="dxa"/>
            <w:vAlign w:val="bottom"/>
            <w:tcBorders>
              <w:bottom w:val="single" w:sz="8" w:color="auto"/>
              <w:right w:val="single" w:sz="8" w:color="auto"/>
            </w:tcBorders>
            <w:shd w:val="clear" w:color="auto" w:fill="004C97"/>
          </w:tcPr>
          <w:p>
            <w:pPr>
              <w:ind w:left="1580"/>
              <w:spacing w:after="0"/>
              <w:rPr>
                <w:sz w:val="20"/>
                <w:szCs w:val="20"/>
                <w:color w:val="auto"/>
              </w:rPr>
            </w:pPr>
            <w:r>
              <w:rPr>
                <w:rFonts w:ascii="Arial" w:cs="Arial" w:eastAsia="Arial" w:hAnsi="Arial"/>
                <w:sz w:val="14"/>
                <w:szCs w:val="14"/>
                <w:b w:val="1"/>
                <w:bCs w:val="1"/>
                <w:color w:val="FFFFFF"/>
              </w:rPr>
              <w:t>Vote Required</w:t>
            </w:r>
          </w:p>
        </w:tc>
        <w:tc>
          <w:tcPr>
            <w:tcW w:w="2300" w:type="dxa"/>
            <w:vAlign w:val="bottom"/>
            <w:tcBorders>
              <w:bottom w:val="single" w:sz="8" w:color="auto"/>
              <w:right w:val="single" w:sz="8" w:color="auto"/>
            </w:tcBorders>
            <w:shd w:val="clear" w:color="auto" w:fill="004C97"/>
          </w:tcPr>
          <w:p>
            <w:pPr>
              <w:jc w:val="center"/>
              <w:spacing w:after="0"/>
              <w:rPr>
                <w:sz w:val="20"/>
                <w:szCs w:val="20"/>
                <w:color w:val="auto"/>
              </w:rPr>
            </w:pPr>
            <w:r>
              <w:rPr>
                <w:rFonts w:ascii="Arial" w:cs="Arial" w:eastAsia="Arial" w:hAnsi="Arial"/>
                <w:sz w:val="14"/>
                <w:szCs w:val="14"/>
                <w:b w:val="1"/>
                <w:bCs w:val="1"/>
                <w:color w:val="FFFFFF"/>
              </w:rPr>
              <w:t>Voting Allowed</w:t>
            </w:r>
          </w:p>
        </w:tc>
        <w:tc>
          <w:tcPr>
            <w:tcW w:w="0" w:type="dxa"/>
            <w:vAlign w:val="bottom"/>
          </w:tcPr>
          <w:p>
            <w:pPr>
              <w:spacing w:after="0"/>
              <w:rPr>
                <w:sz w:val="1"/>
                <w:szCs w:val="1"/>
                <w:color w:val="auto"/>
              </w:rPr>
            </w:pPr>
          </w:p>
        </w:tc>
      </w:tr>
      <w:tr>
        <w:trPr>
          <w:trHeight w:val="234"/>
        </w:trPr>
        <w:tc>
          <w:tcPr>
            <w:tcW w:w="4800" w:type="dxa"/>
            <w:vAlign w:val="bottom"/>
            <w:tcBorders>
              <w:left w:val="single" w:sz="8" w:color="auto"/>
              <w:bottom w:val="single" w:sz="8" w:color="E5E5E5"/>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Election of Directors</w:t>
            </w:r>
          </w:p>
        </w:tc>
        <w:tc>
          <w:tcPr>
            <w:tcW w:w="4160" w:type="dxa"/>
            <w:vAlign w:val="bottom"/>
            <w:tcBorders>
              <w:bottom w:val="single" w:sz="8" w:color="E5E5E5"/>
              <w:right w:val="single" w:sz="8" w:color="auto"/>
            </w:tcBorders>
            <w:shd w:val="clear" w:color="auto" w:fill="E5E5E5"/>
          </w:tcPr>
          <w:p>
            <w:pPr>
              <w:ind w:left="80"/>
              <w:spacing w:after="0"/>
              <w:rPr>
                <w:sz w:val="20"/>
                <w:szCs w:val="20"/>
                <w:color w:val="auto"/>
              </w:rPr>
            </w:pPr>
            <w:r>
              <w:rPr>
                <w:rFonts w:ascii="Arial" w:cs="Arial" w:eastAsia="Arial" w:hAnsi="Arial"/>
                <w:sz w:val="14"/>
                <w:szCs w:val="14"/>
                <w:color w:val="auto"/>
              </w:rPr>
              <w:t>Majority of votes cast</w:t>
            </w:r>
          </w:p>
        </w:tc>
        <w:tc>
          <w:tcPr>
            <w:tcW w:w="2300" w:type="dxa"/>
            <w:vAlign w:val="bottom"/>
            <w:tcBorders>
              <w:bottom w:val="single" w:sz="8" w:color="E5E5E5"/>
              <w:right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87"/>
        </w:trPr>
        <w:tc>
          <w:tcPr>
            <w:tcW w:w="48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Approval of Named Executive Officers’ Compensation, on a Non-binding</w:t>
            </w:r>
          </w:p>
        </w:tc>
        <w:tc>
          <w:tcPr>
            <w:tcW w:w="416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color w:val="auto"/>
              </w:rPr>
              <w:t>Majority of votes cast</w:t>
            </w:r>
          </w:p>
        </w:tc>
        <w:tc>
          <w:tcPr>
            <w:tcW w:w="23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96"/>
        </w:trPr>
        <w:tc>
          <w:tcPr>
            <w:tcW w:w="48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Advisory Basis</w:t>
            </w:r>
          </w:p>
        </w:tc>
        <w:tc>
          <w:tcPr>
            <w:tcW w:w="4160" w:type="dxa"/>
            <w:vAlign w:val="bottom"/>
            <w:tcBorders>
              <w:right w:val="single" w:sz="8" w:color="auto"/>
            </w:tcBorders>
            <w:vMerge w:val="continue"/>
          </w:tcPr>
          <w:p>
            <w:pPr>
              <w:spacing w:after="0"/>
              <w:rPr>
                <w:sz w:val="8"/>
                <w:szCs w:val="8"/>
                <w:color w:val="auto"/>
              </w:rPr>
            </w:pPr>
          </w:p>
        </w:tc>
        <w:tc>
          <w:tcPr>
            <w:tcW w:w="2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800" w:type="dxa"/>
            <w:vAlign w:val="bottom"/>
            <w:tcBorders>
              <w:left w:val="single" w:sz="8" w:color="auto"/>
              <w:right w:val="single" w:sz="8" w:color="auto"/>
            </w:tcBorders>
            <w:vMerge w:val="continue"/>
          </w:tcPr>
          <w:p>
            <w:pPr>
              <w:spacing w:after="0"/>
              <w:rPr>
                <w:sz w:val="8"/>
                <w:szCs w:val="8"/>
                <w:color w:val="auto"/>
              </w:rPr>
            </w:pPr>
          </w:p>
        </w:tc>
        <w:tc>
          <w:tcPr>
            <w:tcW w:w="4160" w:type="dxa"/>
            <w:vAlign w:val="bottom"/>
            <w:tcBorders>
              <w:right w:val="single" w:sz="8" w:color="auto"/>
            </w:tcBorders>
          </w:tcPr>
          <w:p>
            <w:pPr>
              <w:spacing w:after="0"/>
              <w:rPr>
                <w:sz w:val="8"/>
                <w:szCs w:val="8"/>
                <w:color w:val="auto"/>
              </w:rPr>
            </w:pPr>
          </w:p>
        </w:tc>
        <w:tc>
          <w:tcPr>
            <w:tcW w:w="2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8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160" w:type="dxa"/>
            <w:vAlign w:val="bottom"/>
            <w:tcBorders>
              <w:bottom w:val="single" w:sz="8" w:color="auto"/>
              <w:right w:val="single" w:sz="8" w:color="auto"/>
            </w:tcBorders>
          </w:tcPr>
          <w:p>
            <w:pPr>
              <w:spacing w:after="0" w:line="20" w:lineRule="exact"/>
              <w:rPr>
                <w:sz w:val="1"/>
                <w:szCs w:val="1"/>
                <w:color w:val="auto"/>
              </w:rPr>
            </w:pPr>
          </w:p>
        </w:tc>
        <w:tc>
          <w:tcPr>
            <w:tcW w:w="23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800" w:type="dxa"/>
            <w:vAlign w:val="bottom"/>
            <w:tcBorders>
              <w:left w:val="single" w:sz="8" w:color="auto"/>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Ratification of Appointment of Independent Registered Public</w:t>
            </w:r>
          </w:p>
        </w:tc>
        <w:tc>
          <w:tcPr>
            <w:tcW w:w="4160" w:type="dxa"/>
            <w:vAlign w:val="bottom"/>
            <w:tcBorders>
              <w:right w:val="single" w:sz="8" w:color="auto"/>
            </w:tcBorders>
            <w:shd w:val="clear" w:color="auto" w:fill="E5E5E5"/>
          </w:tcPr>
          <w:p>
            <w:pPr>
              <w:ind w:left="80"/>
              <w:spacing w:after="0"/>
              <w:rPr>
                <w:sz w:val="20"/>
                <w:szCs w:val="20"/>
                <w:color w:val="auto"/>
              </w:rPr>
            </w:pPr>
            <w:r>
              <w:rPr>
                <w:rFonts w:ascii="Arial" w:cs="Arial" w:eastAsia="Arial" w:hAnsi="Arial"/>
                <w:sz w:val="14"/>
                <w:szCs w:val="14"/>
                <w:color w:val="auto"/>
              </w:rPr>
              <w:t>Majority of shares present or represented by proxy and entitled</w:t>
            </w:r>
          </w:p>
        </w:tc>
        <w:tc>
          <w:tcPr>
            <w:tcW w:w="2300" w:type="dxa"/>
            <w:vAlign w:val="bottom"/>
            <w:tcBorders>
              <w:right w:val="single" w:sz="8" w:color="auto"/>
            </w:tcBorders>
            <w:vMerge w:val="restart"/>
            <w:shd w:val="clear" w:color="auto" w:fill="E5E5E5"/>
          </w:tcPr>
          <w:p>
            <w:pPr>
              <w:jc w:val="center"/>
              <w:spacing w:after="0"/>
              <w:rPr>
                <w:sz w:val="20"/>
                <w:szCs w:val="20"/>
                <w:color w:val="auto"/>
              </w:rPr>
            </w:pPr>
            <w:r>
              <w:rPr>
                <w:rFonts w:ascii="Arial" w:cs="Arial" w:eastAsia="Arial" w:hAnsi="Arial"/>
                <w:sz w:val="14"/>
                <w:szCs w:val="14"/>
                <w:color w:val="auto"/>
                <w:w w:val="99"/>
              </w:rPr>
              <w:t>Yes</w:t>
            </w:r>
          </w:p>
        </w:tc>
        <w:tc>
          <w:tcPr>
            <w:tcW w:w="0" w:type="dxa"/>
            <w:vAlign w:val="bottom"/>
          </w:tcPr>
          <w:p>
            <w:pPr>
              <w:spacing w:after="0"/>
              <w:rPr>
                <w:sz w:val="1"/>
                <w:szCs w:val="1"/>
                <w:color w:val="auto"/>
              </w:rPr>
            </w:pPr>
          </w:p>
        </w:tc>
      </w:tr>
      <w:tr>
        <w:trPr>
          <w:trHeight w:val="96"/>
        </w:trPr>
        <w:tc>
          <w:tcPr>
            <w:tcW w:w="4800" w:type="dxa"/>
            <w:vAlign w:val="bottom"/>
            <w:tcBorders>
              <w:left w:val="single" w:sz="8" w:color="auto"/>
              <w:right w:val="single" w:sz="8" w:color="auto"/>
            </w:tcBorders>
            <w:vMerge w:val="restart"/>
            <w:shd w:val="clear" w:color="auto" w:fill="E5E5E5"/>
          </w:tcPr>
          <w:p>
            <w:pPr>
              <w:ind w:left="120"/>
              <w:spacing w:after="0"/>
              <w:rPr>
                <w:sz w:val="20"/>
                <w:szCs w:val="20"/>
                <w:color w:val="auto"/>
              </w:rPr>
            </w:pPr>
            <w:r>
              <w:rPr>
                <w:rFonts w:ascii="Arial" w:cs="Arial" w:eastAsia="Arial" w:hAnsi="Arial"/>
                <w:sz w:val="14"/>
                <w:szCs w:val="14"/>
                <w:color w:val="auto"/>
              </w:rPr>
              <w:t>Accounting Firm</w:t>
            </w:r>
          </w:p>
        </w:tc>
        <w:tc>
          <w:tcPr>
            <w:tcW w:w="4160" w:type="dxa"/>
            <w:vAlign w:val="bottom"/>
            <w:tcBorders>
              <w:right w:val="single" w:sz="8" w:color="auto"/>
            </w:tcBorders>
            <w:vMerge w:val="restart"/>
            <w:shd w:val="clear" w:color="auto" w:fill="E5E5E5"/>
          </w:tcPr>
          <w:p>
            <w:pPr>
              <w:ind w:left="80"/>
              <w:spacing w:after="0"/>
              <w:rPr>
                <w:sz w:val="20"/>
                <w:szCs w:val="20"/>
                <w:color w:val="auto"/>
              </w:rPr>
            </w:pPr>
            <w:r>
              <w:rPr>
                <w:rFonts w:ascii="Arial" w:cs="Arial" w:eastAsia="Arial" w:hAnsi="Arial"/>
                <w:sz w:val="14"/>
                <w:szCs w:val="14"/>
                <w:color w:val="auto"/>
              </w:rPr>
              <w:t>to vote</w:t>
            </w:r>
          </w:p>
        </w:tc>
        <w:tc>
          <w:tcPr>
            <w:tcW w:w="2300" w:type="dxa"/>
            <w:vAlign w:val="bottom"/>
            <w:tcBorders>
              <w:right w:val="single" w:sz="8" w:color="auto"/>
            </w:tcBorders>
            <w:vMerge w:val="continue"/>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4800" w:type="dxa"/>
            <w:vAlign w:val="bottom"/>
            <w:tcBorders>
              <w:left w:val="single" w:sz="8" w:color="auto"/>
              <w:bottom w:val="single" w:sz="8" w:color="E5E5E5"/>
              <w:right w:val="single" w:sz="8" w:color="auto"/>
            </w:tcBorders>
            <w:vMerge w:val="continue"/>
            <w:shd w:val="clear" w:color="auto" w:fill="E5E5E5"/>
          </w:tcPr>
          <w:p>
            <w:pPr>
              <w:spacing w:after="0"/>
              <w:rPr>
                <w:sz w:val="10"/>
                <w:szCs w:val="10"/>
                <w:color w:val="auto"/>
              </w:rPr>
            </w:pPr>
          </w:p>
        </w:tc>
        <w:tc>
          <w:tcPr>
            <w:tcW w:w="4160" w:type="dxa"/>
            <w:vAlign w:val="bottom"/>
            <w:tcBorders>
              <w:bottom w:val="single" w:sz="8" w:color="E5E5E5"/>
              <w:right w:val="single" w:sz="8" w:color="auto"/>
            </w:tcBorders>
            <w:vMerge w:val="continue"/>
            <w:shd w:val="clear" w:color="auto" w:fill="E5E5E5"/>
          </w:tcPr>
          <w:p>
            <w:pPr>
              <w:spacing w:after="0"/>
              <w:rPr>
                <w:sz w:val="10"/>
                <w:szCs w:val="10"/>
                <w:color w:val="auto"/>
              </w:rPr>
            </w:pPr>
          </w:p>
        </w:tc>
        <w:tc>
          <w:tcPr>
            <w:tcW w:w="2300" w:type="dxa"/>
            <w:vAlign w:val="bottom"/>
            <w:tcBorders>
              <w:bottom w:val="single" w:sz="8" w:color="E5E5E5"/>
              <w:right w:val="single" w:sz="8" w:color="auto"/>
            </w:tcBorders>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80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Other Proposals</w:t>
            </w:r>
          </w:p>
        </w:tc>
        <w:tc>
          <w:tcPr>
            <w:tcW w:w="41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Majority of shares present or represented by proxy and entitled</w:t>
            </w:r>
          </w:p>
        </w:tc>
        <w:tc>
          <w:tcPr>
            <w:tcW w:w="23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96"/>
        </w:trPr>
        <w:tc>
          <w:tcPr>
            <w:tcW w:w="4800" w:type="dxa"/>
            <w:vAlign w:val="bottom"/>
            <w:tcBorders>
              <w:left w:val="single" w:sz="8" w:color="auto"/>
              <w:right w:val="single" w:sz="8" w:color="auto"/>
            </w:tcBorders>
            <w:vMerge w:val="continue"/>
          </w:tcPr>
          <w:p>
            <w:pPr>
              <w:spacing w:after="0"/>
              <w:rPr>
                <w:sz w:val="8"/>
                <w:szCs w:val="8"/>
                <w:color w:val="auto"/>
              </w:rPr>
            </w:pPr>
          </w:p>
        </w:tc>
        <w:tc>
          <w:tcPr>
            <w:tcW w:w="416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to vote</w:t>
            </w:r>
          </w:p>
        </w:tc>
        <w:tc>
          <w:tcPr>
            <w:tcW w:w="2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800" w:type="dxa"/>
            <w:vAlign w:val="bottom"/>
            <w:tcBorders>
              <w:left w:val="single" w:sz="8" w:color="auto"/>
              <w:right w:val="single" w:sz="8" w:color="auto"/>
            </w:tcBorders>
          </w:tcPr>
          <w:p>
            <w:pPr>
              <w:spacing w:after="0"/>
              <w:rPr>
                <w:sz w:val="8"/>
                <w:szCs w:val="8"/>
                <w:color w:val="auto"/>
              </w:rPr>
            </w:pPr>
          </w:p>
        </w:tc>
        <w:tc>
          <w:tcPr>
            <w:tcW w:w="4160" w:type="dxa"/>
            <w:vAlign w:val="bottom"/>
            <w:tcBorders>
              <w:right w:val="single" w:sz="8" w:color="auto"/>
            </w:tcBorders>
            <w:vMerge w:val="continue"/>
          </w:tcPr>
          <w:p>
            <w:pPr>
              <w:spacing w:after="0"/>
              <w:rPr>
                <w:sz w:val="8"/>
                <w:szCs w:val="8"/>
                <w:color w:val="auto"/>
              </w:rPr>
            </w:pPr>
          </w:p>
        </w:tc>
        <w:tc>
          <w:tcPr>
            <w:tcW w:w="2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8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160" w:type="dxa"/>
            <w:vAlign w:val="bottom"/>
            <w:tcBorders>
              <w:bottom w:val="single" w:sz="8" w:color="auto"/>
              <w:right w:val="single" w:sz="8" w:color="auto"/>
            </w:tcBorders>
          </w:tcPr>
          <w:p>
            <w:pPr>
              <w:spacing w:after="0" w:line="20" w:lineRule="exact"/>
              <w:rPr>
                <w:sz w:val="1"/>
                <w:szCs w:val="1"/>
                <w:color w:val="auto"/>
              </w:rPr>
            </w:pPr>
          </w:p>
        </w:tc>
        <w:tc>
          <w:tcPr>
            <w:tcW w:w="23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 majority of votes cast means that the number of shares voted for a director or proposal must exceed the number of shares voted against that director or proposal.</w:t>
      </w:r>
    </w:p>
    <w:p>
      <w:pPr>
        <w:spacing w:after="0" w:line="102" w:lineRule="exact"/>
        <w:rPr>
          <w:sz w:val="20"/>
          <w:szCs w:val="20"/>
          <w:color w:val="auto"/>
        </w:rPr>
      </w:pPr>
    </w:p>
    <w:p>
      <w:pPr>
        <w:jc w:val="both"/>
        <w:ind w:right="20"/>
        <w:spacing w:after="0" w:line="272" w:lineRule="auto"/>
        <w:rPr>
          <w:sz w:val="20"/>
          <w:szCs w:val="20"/>
          <w:color w:val="auto"/>
        </w:rPr>
      </w:pPr>
      <w:r>
        <w:rPr>
          <w:rFonts w:ascii="Arial" w:cs="Arial" w:eastAsia="Arial" w:hAnsi="Arial"/>
          <w:sz w:val="16"/>
          <w:szCs w:val="16"/>
          <w:color w:val="auto"/>
        </w:rPr>
        <w:t>As of the record date for the Annual Meeting, the only class of our shares outstanding that are entitled to vote in the election of directors is SPX common stock.</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What is the impact of abstentions or broker non-votes?</w:t>
      </w:r>
    </w:p>
    <w:p>
      <w:pPr>
        <w:spacing w:after="0" w:line="6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An abstention is not considered as a share voted and will not impact the election of directors or the non-binding advisory vote to approve our named executive officers’ compensation. Because an abstention is considered a share present or represented by proxy and entitled to vote, as one less vote for approval it will have the effect of a vote against the ratification of our independent public accountants and any other proposals that may be brought before the Annual Meeting.</w:t>
      </w:r>
    </w:p>
    <w:p>
      <w:pPr>
        <w:spacing w:after="0" w:line="119"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A “broker non-vote” occurs when a broker, trustee, bank, or other nominee that holds shares on your behalf does not receive instructions from you on how to vote such shares and does not otherwise have discretion to vote because the matter is not considered routine. A broker non-vote is not considered as a share voted or entitled to vote and will not impact the vote on the election of directors, the non-binding advisory vote to approve our named executive officers’ compensation and any other proposals that may be brought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40575" cy="5740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0575" cy="574040"/>
                    </a:xfrm>
                    <a:prstGeom prst="rect">
                      <a:avLst/>
                    </a:prstGeom>
                    <a:noFill/>
                  </pic:spPr>
                </pic:pic>
              </a:graphicData>
            </a:graphic>
          </wp:anchor>
        </w:drawing>
      </w:r>
    </w:p>
    <w:p>
      <w:pPr>
        <w:spacing w:after="0" w:line="173" w:lineRule="exact"/>
        <w:rPr>
          <w:sz w:val="20"/>
          <w:szCs w:val="20"/>
          <w:color w:val="auto"/>
        </w:rPr>
      </w:pPr>
    </w:p>
    <w:p>
      <w:pPr>
        <w:jc w:val="both"/>
        <w:ind w:left="200" w:right="200"/>
        <w:spacing w:after="0" w:line="255" w:lineRule="auto"/>
        <w:rPr>
          <w:sz w:val="20"/>
          <w:szCs w:val="20"/>
          <w:color w:val="auto"/>
        </w:rPr>
      </w:pPr>
      <w:r>
        <w:rPr>
          <w:rFonts w:ascii="Arial" w:cs="Arial" w:eastAsia="Arial" w:hAnsi="Arial"/>
          <w:sz w:val="18"/>
          <w:szCs w:val="18"/>
          <w:b w:val="1"/>
          <w:bCs w:val="1"/>
          <w:color w:val="auto"/>
        </w:rPr>
        <w:t>The NYSE does not consider the election of directors or matters relating to compensation to be routine. Unless the broker has received instructions from you, any broker holding shares for you will not have the ability to cast votes with respect to the election of directors or the approval of our named executive officers’ compensation. It is important, therefore, that you provide instructions to your broker if your shares are held by a broker so that your vote with respect to these matters is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721995</wp:posOffset>
            </wp:positionV>
            <wp:extent cx="402590" cy="1460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0259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tabs>
          <w:tab w:leader="none" w:pos="1620" w:val="left"/>
        </w:tabs>
        <w:rPr>
          <w:sz w:val="20"/>
          <w:szCs w:val="20"/>
          <w:color w:val="auto"/>
        </w:rPr>
      </w:pPr>
      <w:r>
        <w:rPr>
          <w:rFonts w:ascii="Arial" w:cs="Arial" w:eastAsia="Arial" w:hAnsi="Arial"/>
          <w:sz w:val="14"/>
          <w:szCs w:val="14"/>
          <w:b w:val="1"/>
          <w:bCs w:val="1"/>
          <w:color w:val="auto"/>
        </w:rPr>
        <w:t>58</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92" w:right="319" w:bottom="1440" w:gutter="0" w:footer="0" w:header="0"/>
        </w:sectPr>
      </w:pPr>
    </w:p>
    <w:bookmarkStart w:id="64" w:name="page65"/>
    <w:bookmarkEnd w:id="64"/>
    <w:p>
      <w:pPr>
        <w:ind w:left="9260"/>
        <w:spacing w:after="0"/>
        <w:rPr>
          <w:sz w:val="20"/>
          <w:szCs w:val="20"/>
          <w:color w:val="auto"/>
        </w:rPr>
      </w:pPr>
      <w:r>
        <w:rPr>
          <w:rFonts w:ascii="Arial" w:cs="Arial" w:eastAsia="Arial" w:hAnsi="Arial"/>
          <w:sz w:val="14"/>
          <w:szCs w:val="14"/>
          <w:color w:val="004C97"/>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How does discretionary voting authority apply?</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you sign, date, and return your proxy card, then your vote will be cast as you direct. If your proxy card does not indicate how you want to vote, then you give authority to Eugene J. Lowe, III and Mark A. Carano to vote on the items discussed in these proxy materials and any other matter properly brought at the Annual Meeting. In such a case, your vote will be cast:</w:t>
      </w:r>
    </w:p>
    <w:p>
      <w:pPr>
        <w:spacing w:after="0" w:line="110" w:lineRule="exact"/>
        <w:rPr>
          <w:sz w:val="20"/>
          <w:szCs w:val="20"/>
          <w:color w:val="auto"/>
        </w:rPr>
      </w:pPr>
    </w:p>
    <w:p>
      <w:pPr>
        <w:ind w:left="200" w:hanging="192"/>
        <w:spacing w:after="0"/>
        <w:tabs>
          <w:tab w:leader="none" w:pos="2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FOR the election of the director nominees;</w:t>
      </w:r>
    </w:p>
    <w:p>
      <w:pPr>
        <w:spacing w:after="0" w:line="126" w:lineRule="exact"/>
        <w:rPr>
          <w:rFonts w:ascii="Arial" w:cs="Arial" w:eastAsia="Arial" w:hAnsi="Arial"/>
          <w:sz w:val="16"/>
          <w:szCs w:val="16"/>
          <w:color w:val="auto"/>
        </w:rPr>
      </w:pPr>
    </w:p>
    <w:p>
      <w:pPr>
        <w:ind w:left="200" w:hanging="192"/>
        <w:spacing w:after="0"/>
        <w:tabs>
          <w:tab w:leader="none" w:pos="2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FOR the approval of our named executive officers’ compensation;</w:t>
      </w:r>
    </w:p>
    <w:p>
      <w:pPr>
        <w:spacing w:after="0" w:line="113" w:lineRule="exact"/>
        <w:rPr>
          <w:rFonts w:ascii="Arial" w:cs="Arial" w:eastAsia="Arial" w:hAnsi="Arial"/>
          <w:sz w:val="16"/>
          <w:szCs w:val="16"/>
          <w:color w:val="auto"/>
        </w:rPr>
      </w:pPr>
    </w:p>
    <w:p>
      <w:pPr>
        <w:ind w:left="200" w:hanging="192"/>
        <w:spacing w:after="0"/>
        <w:tabs>
          <w:tab w:leader="none" w:pos="2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FOR the ratification of the appointment of Deloitte &amp; Touche LLP as our independent registered public accounting firm for 2025; and</w:t>
      </w:r>
    </w:p>
    <w:p>
      <w:pPr>
        <w:spacing w:after="0" w:line="113" w:lineRule="exact"/>
        <w:rPr>
          <w:rFonts w:ascii="Arial" w:cs="Arial" w:eastAsia="Arial" w:hAnsi="Arial"/>
          <w:sz w:val="16"/>
          <w:szCs w:val="16"/>
          <w:color w:val="auto"/>
        </w:rPr>
      </w:pPr>
    </w:p>
    <w:p>
      <w:pPr>
        <w:ind w:left="200" w:hanging="192"/>
        <w:spacing w:after="0"/>
        <w:tabs>
          <w:tab w:leader="none" w:pos="2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FOR or AGAINST any other properly raised matters at the discretion of Eugene J. Lowe, III and Mark A. Carano.</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Who pays to prepare, mail, and solicit the proxies?</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will pay all the costs of preparing, mailing, and soliciting the proxies. We will ask brokers, banks, trustees, and other nominees and fiduciaries to forward the Proxy Materials to the beneficial owners of SPX common stock and to obtain the authority to execute proxies. We will reimburse them for their reasonable expenses upon request. In addition to mailing Proxy Materials, our directors, officers, and employees may solicit proxies in person, by telephone, or otherwise. These individuals will not be specially compensated. We have retained Georgeson, LLC, a Computershare company, to assist us with inquiries of brokerage houses and other custodians and nominees whether other persons are beneficial owners of SPX common stock. We will supply them with additional copies of the Proxy Materials for distribution to the beneficial owners. We will pay Georgeson, LLC an estimated fee of $2,150 plus reasonable out-of-pocket expenses. We have not retained a proxy solicitor for this Annual Meeting to assist us in soliciting your proxy; however, as proxy returns are counted, we may determine it is necessary to retain a proxy solicitor, in which case we will pay an estimated fee of $12,500 plus reasonable out-of-pocket expenses.</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color w:val="auto"/>
        </w:rPr>
        <w:t>Communications and 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How do I submit a stockholder proposal?</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 bring a proposal other than the nomination of a director before an annual meeting, your notice of proposal must comply with the requirements of our By-laws and include any other information regarding you or any beneficial owner that would be required under the SEC’s proxy rules and regulations.</w:t>
      </w:r>
    </w:p>
    <w:p>
      <w:pPr>
        <w:spacing w:after="0" w:line="10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a proposal to be included in our Proxy Statement for the 2026 Annual Meeting, you must submit it no later than December 2, 2025. Your proposal must be in writing and comply with the proxy rules of the SEC. You should send your proposal to our Corporate Secretary at our address on the cover of this Proxy Statement.</w:t>
      </w:r>
    </w:p>
    <w:p>
      <w:pPr>
        <w:spacing w:after="0" w:line="11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You also may submit a proposal that you do not want included in the Proxy Statement, but that you want to raise at the 2026 Annual Meeting. We must receive this type of proposal in writing on or after December 14, 2025, but no later than January 13, 2026.</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004C97"/>
        </w:rPr>
        <w:t>How do I submit a director nominee?</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you wish to submit a nominee for director for the 2026 Annual Meeting, our Corporate Secretary must receive written notice of your intended nomination on or after December 14, 2025, but no later than January 13, 2026. You should send your nomination to our Corporate Secretary at our address on the cover of this Proxy Statement.</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a nomination to be properly brought before an annual meeting, your notice of nomination must comply with the requirements of our By-Laws. In addition, any director nominee must provide information we may reasonably request in order for us to determine the eligibility of such nominee to serve as an independent director.</w:t>
      </w:r>
    </w:p>
    <w:p>
      <w:pPr>
        <w:spacing w:after="0" w:line="12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You may also make recommendations for director nominees to the Governance &amp; Sustainability Committee. Director nominations made to the Governance &amp; Sustainability Committee are more fully described in the “Director Nominees and Qualifications” section, beginning on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639445</wp:posOffset>
            </wp:positionV>
            <wp:extent cx="403225" cy="1454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0322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20" w:type="dxa"/>
            <w:vAlign w:val="bottom"/>
          </w:tcPr>
          <w:p>
            <w:pPr>
              <w:ind w:left="7840"/>
              <w:spacing w:after="0"/>
              <w:rPr>
                <w:sz w:val="20"/>
                <w:szCs w:val="20"/>
                <w:color w:val="auto"/>
              </w:rPr>
            </w:pPr>
            <w:r>
              <w:rPr>
                <w:rFonts w:ascii="Arial" w:cs="Arial" w:eastAsia="Arial" w:hAnsi="Arial"/>
                <w:sz w:val="14"/>
                <w:szCs w:val="14"/>
                <w:color w:val="auto"/>
              </w:rPr>
              <w:t>2025 PROXY STATEMENT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59</w:t>
            </w:r>
          </w:p>
        </w:tc>
      </w:tr>
      <w:tr>
        <w:trPr>
          <w:trHeight w:val="265"/>
        </w:trPr>
        <w:tc>
          <w:tcPr>
            <w:tcW w:w="1032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65" w:name="page66"/>
    <w:bookmarkEnd w:id="65"/>
    <w:p>
      <w:pPr>
        <w:ind w:right="680"/>
        <w:spacing w:after="0" w:line="312" w:lineRule="auto"/>
        <w:rPr>
          <w:sz w:val="20"/>
          <w:szCs w:val="20"/>
          <w:color w:val="auto"/>
        </w:rPr>
      </w:pPr>
      <w:r>
        <w:rPr>
          <w:rFonts w:ascii="Arial" w:cs="Arial" w:eastAsia="Arial" w:hAnsi="Arial"/>
          <w:sz w:val="38"/>
          <w:szCs w:val="38"/>
          <w:b w:val="1"/>
          <w:bCs w:val="1"/>
          <w:color w:val="004C97"/>
        </w:rPr>
        <w:t>APPENDIX A – RECONCILIATION OF GAAP TO NON-GAAP FINANCIAL MEASURES</w:t>
      </w:r>
    </w:p>
    <w:p>
      <w:pPr>
        <w:spacing w:after="0" w:line="67"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The accompanying Proxy Statement includes presentations of adjusted revenue, adjusted free cash flow, and adjusted EBITDA for annual incentive purposes, which are not amounts presented in accordance with accounting principles generally accepted in the United States (“GAAP”). These non-GAAP financial measures exclude certain non-cash items and acquisition and strategic/transformation related costs, among other items. The operating results of Ingénia Technologies Inc. (“Ingénia”), foreign currency impacts, annual incentive expense, and certain other non-recurring items have been excluded from the annual incentive targets and the results for annual incentive purposes in 2024. This appendix to the Proxy Statement includes reconciliations of these non-GAAP financial measures with the most comparable measures determined in accordance with GAAP and other important information regarding non-GAAP financial measures.</w:t>
      </w:r>
    </w:p>
    <w:p>
      <w:pPr>
        <w:spacing w:after="0" w:line="136"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These non-GAAP financial measures do not provide investors with an accurate measure of, and should not be used as a substitute for, the comparable GAAP financial measures. Certain of these non-GAAP financial measures are applied as the measures of performance evaluated under the Company’s annual short-term incentive plan. The Company believes the presented non-GAAP financial measures, when read in conjunction with the comparable GAAP financial measures, give investors a useful tool to assess and understand the Company’s overall financial performance, because they exclude items of income or expense that the Company believes are not reflective of its ongoing operating performance, allowing for a better period-to-period comparison of operations of the Company. Additionally, the Company’s management uses these non-GAAP financial measures as measures of the Company’s performance. The Company acknowledges that there are many items that impact a company’s reported results and the adjustments reflected in these non-GAAP measures are not intended to present all items that may have impacted these results. In addition, these non-GAAP measures are not necessarily comparable to similarly titled measures used by other companies.</w:t>
      </w:r>
    </w:p>
    <w:p>
      <w:pPr>
        <w:spacing w:after="0" w:line="12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adjusted revenue, adjusted EBITDA, and adjusted free cash flow targets for annual incentive compensation purposes are determined at the beginning of the year based on currency exchange rates at such time. As such, the impacts of changes in currency exchange rates during the year are excluded in determining adjusted revenue, adjusted EBITDA, and adjusted free cash flow for annual incentive compensation purposes.</w:t>
      </w:r>
    </w:p>
    <w:p>
      <w:pPr>
        <w:spacing w:after="0" w:line="11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Ingénia was acquired in February 2024 and, thus, its revenue, results of operations, and operating cash flow were not included in the annual incentive compensation targets that were determined at the beginning of the year. In accordance with SPX’s annual short-term incentive plan, the actual revenue, results of operations, and operating cash flow for Ingénia during the period February 2024 (time of acquisition) to December 2024 were excluded.</w:t>
      </w:r>
    </w:p>
    <w:p>
      <w:pPr>
        <w:spacing w:after="0" w:line="92" w:lineRule="exact"/>
        <w:rPr>
          <w:sz w:val="20"/>
          <w:szCs w:val="20"/>
          <w:color w:val="auto"/>
        </w:rPr>
      </w:pPr>
    </w:p>
    <w:p>
      <w:pPr>
        <w:spacing w:after="0"/>
        <w:rPr>
          <w:sz w:val="20"/>
          <w:szCs w:val="20"/>
          <w:color w:val="auto"/>
        </w:rPr>
      </w:pPr>
      <w:r>
        <w:rPr>
          <w:rFonts w:ascii="Arial" w:cs="Arial" w:eastAsia="Arial" w:hAnsi="Arial"/>
          <w:sz w:val="29"/>
          <w:szCs w:val="29"/>
          <w:color w:val="auto"/>
        </w:rPr>
        <w:t>Adjusted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0115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011555"/>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SPX TECHNOLOGIES,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NON-GAAP RECONCILIATION - ADJUSTED REVENUE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(Unaudited; 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300" w:type="dxa"/>
            <w:vAlign w:val="bottom"/>
            <w:tcBorders>
              <w:top w:val="single" w:sz="8" w:color="auto"/>
              <w:bottom w:val="single" w:sz="8" w:color="auto"/>
              <w:right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right w:val="single" w:sz="8" w:color="auto"/>
            </w:tcBorders>
          </w:tcPr>
          <w:p>
            <w:pPr>
              <w:jc w:val="right"/>
              <w:ind w:right="768"/>
              <w:spacing w:after="0"/>
              <w:rPr>
                <w:sz w:val="20"/>
                <w:szCs w:val="20"/>
                <w:color w:val="auto"/>
              </w:rPr>
            </w:pPr>
            <w:r>
              <w:rPr>
                <w:rFonts w:ascii="Arial" w:cs="Arial" w:eastAsia="Arial" w:hAnsi="Arial"/>
                <w:sz w:val="14"/>
                <w:szCs w:val="14"/>
                <w:b w:val="1"/>
                <w:bCs w:val="1"/>
                <w:color w:val="FFFFFF"/>
              </w:rPr>
              <w:t>2024</w:t>
            </w:r>
          </w:p>
        </w:tc>
      </w:tr>
      <w:tr>
        <w:trPr>
          <w:trHeight w:val="234"/>
        </w:trPr>
        <w:tc>
          <w:tcPr>
            <w:tcW w:w="9300" w:type="dxa"/>
            <w:vAlign w:val="bottom"/>
            <w:tcBorders>
              <w:bottom w:val="single" w:sz="8" w:color="E5E5E5"/>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Consolidated revenue</w:t>
            </w:r>
          </w:p>
        </w:tc>
        <w:tc>
          <w:tcPr>
            <w:tcW w:w="460" w:type="dxa"/>
            <w:vAlign w:val="bottom"/>
            <w:tcBorders>
              <w:bottom w:val="single" w:sz="8" w:color="E5E5E5"/>
            </w:tcBorders>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1,983.9</w:t>
            </w:r>
          </w:p>
        </w:tc>
      </w:tr>
      <w:tr>
        <w:trPr>
          <w:trHeight w:val="201"/>
        </w:trPr>
        <w:tc>
          <w:tcPr>
            <w:tcW w:w="930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Exclude currency impacts and aggregate revenue for recent acquisitions</w:t>
            </w:r>
          </w:p>
        </w:tc>
        <w:tc>
          <w:tcPr>
            <w:tcW w:w="460" w:type="dxa"/>
            <w:vAlign w:val="bottom"/>
            <w:tcBorders>
              <w:top w:val="single" w:sz="8" w:color="auto"/>
            </w:tcBorders>
          </w:tcPr>
          <w:p>
            <w:pPr>
              <w:spacing w:after="0"/>
              <w:rPr>
                <w:sz w:val="17"/>
                <w:szCs w:val="17"/>
                <w:color w:val="auto"/>
              </w:rPr>
            </w:pPr>
          </w:p>
        </w:tc>
        <w:tc>
          <w:tcPr>
            <w:tcW w:w="150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67.8</w:t>
            </w:r>
          </w:p>
        </w:tc>
      </w:tr>
      <w:tr>
        <w:trPr>
          <w:trHeight w:val="22"/>
        </w:trPr>
        <w:tc>
          <w:tcPr>
            <w:tcW w:w="930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r>
      <w:tr>
        <w:trPr>
          <w:trHeight w:val="244"/>
        </w:trPr>
        <w:tc>
          <w:tcPr>
            <w:tcW w:w="9300" w:type="dxa"/>
            <w:vAlign w:val="bottom"/>
            <w:tcBorders>
              <w:bottom w:val="single" w:sz="8" w:color="E5E5E5"/>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Adjusted revenue for annual incentive purposes</w:t>
            </w:r>
          </w:p>
        </w:tc>
        <w:tc>
          <w:tcPr>
            <w:tcW w:w="460" w:type="dxa"/>
            <w:vAlign w:val="bottom"/>
            <w:tcBorders>
              <w:bottom w:val="single" w:sz="8" w:color="auto"/>
            </w:tcBorders>
            <w:shd w:val="clear" w:color="auto" w:fill="E5E5E5"/>
          </w:tcPr>
          <w:p>
            <w:pPr>
              <w:jc w:val="right"/>
              <w:ind w:right="288"/>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b w:val="1"/>
                <w:bCs w:val="1"/>
                <w:color w:val="auto"/>
              </w:rPr>
              <w:t>1,916.1</w:t>
            </w:r>
          </w:p>
        </w:tc>
      </w:tr>
      <w:tr>
        <w:trPr>
          <w:trHeight w:val="20"/>
        </w:trPr>
        <w:tc>
          <w:tcPr>
            <w:tcW w:w="9300" w:type="dxa"/>
            <w:vAlign w:val="bottom"/>
            <w:tcBorders>
              <w:top w:val="single" w:sz="8" w:color="E5E5E5"/>
            </w:tcBorders>
          </w:tcPr>
          <w:p>
            <w:pPr>
              <w:spacing w:after="0" w:line="20" w:lineRule="exact"/>
              <w:rPr>
                <w:sz w:val="1"/>
                <w:szCs w:val="1"/>
                <w:color w:val="auto"/>
              </w:rPr>
            </w:pPr>
          </w:p>
        </w:tc>
        <w:tc>
          <w:tcPr>
            <w:tcW w:w="460" w:type="dxa"/>
            <w:vAlign w:val="bottom"/>
            <w:tcBorders>
              <w:top w:val="single" w:sz="8" w:color="E5E5E5"/>
              <w:bottom w:val="single" w:sz="8" w:color="auto"/>
            </w:tcBorders>
          </w:tcPr>
          <w:p>
            <w:pPr>
              <w:spacing w:after="0" w:line="20" w:lineRule="exact"/>
              <w:rPr>
                <w:sz w:val="1"/>
                <w:szCs w:val="1"/>
                <w:color w:val="auto"/>
              </w:rPr>
            </w:pPr>
          </w:p>
        </w:tc>
        <w:tc>
          <w:tcPr>
            <w:tcW w:w="1500" w:type="dxa"/>
            <w:vAlign w:val="bottom"/>
            <w:tcBorders>
              <w:top w:val="single" w:sz="8" w:color="E5E5E5"/>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994410</wp:posOffset>
            </wp:positionV>
            <wp:extent cx="402590" cy="1460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0259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140" w:type="dxa"/>
            <w:vAlign w:val="bottom"/>
          </w:tcPr>
          <w:p>
            <w:pPr>
              <w:ind w:left="7720"/>
              <w:spacing w:after="0"/>
              <w:rPr>
                <w:sz w:val="20"/>
                <w:szCs w:val="20"/>
                <w:color w:val="auto"/>
              </w:rPr>
            </w:pPr>
            <w:r>
              <w:rPr>
                <w:rFonts w:ascii="Arial" w:cs="Arial" w:eastAsia="Arial" w:hAnsi="Arial"/>
                <w:sz w:val="14"/>
                <w:szCs w:val="14"/>
                <w:color w:val="auto"/>
              </w:rPr>
              <w:t>2025 PROXY STATEMENT</w:t>
            </w:r>
          </w:p>
        </w:tc>
        <w:tc>
          <w:tcPr>
            <w:tcW w:w="1100" w:type="dxa"/>
            <w:vAlign w:val="bottom"/>
          </w:tcPr>
          <w:p>
            <w:pPr>
              <w:ind w:left="680"/>
              <w:spacing w:after="0"/>
              <w:rPr>
                <w:sz w:val="20"/>
                <w:szCs w:val="20"/>
                <w:color w:val="auto"/>
              </w:rPr>
            </w:pPr>
            <w:r>
              <w:rPr>
                <w:rFonts w:ascii="Arial" w:cs="Arial" w:eastAsia="Arial" w:hAnsi="Arial"/>
                <w:sz w:val="14"/>
                <w:szCs w:val="14"/>
                <w:b w:val="1"/>
                <w:bCs w:val="1"/>
                <w:color w:val="auto"/>
              </w:rPr>
              <w:t>A-1</w:t>
            </w:r>
          </w:p>
        </w:tc>
      </w:tr>
      <w:tr>
        <w:trPr>
          <w:trHeight w:val="265"/>
        </w:trPr>
        <w:tc>
          <w:tcPr>
            <w:tcW w:w="1014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20" w:right="319" w:bottom="1440" w:gutter="0" w:footer="0" w:header="0"/>
        </w:sectPr>
      </w:pPr>
    </w:p>
    <w:bookmarkStart w:id="66" w:name="page67"/>
    <w:bookmarkEnd w:id="66"/>
    <w:p>
      <w:pPr>
        <w:ind w:left="20"/>
        <w:spacing w:after="0"/>
        <w:rPr>
          <w:sz w:val="20"/>
          <w:szCs w:val="20"/>
          <w:color w:val="auto"/>
        </w:rPr>
      </w:pPr>
      <w:r>
        <w:rPr>
          <w:rFonts w:ascii="Arial" w:cs="Arial" w:eastAsia="Arial" w:hAnsi="Arial"/>
          <w:sz w:val="14"/>
          <w:szCs w:val="14"/>
          <w:color w:val="004C97"/>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color w:val="auto"/>
        </w:rPr>
        <w:t>Adjusted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480" w:type="dxa"/>
            <w:vAlign w:val="bottom"/>
            <w:tcBorders>
              <w:top w:val="single" w:sz="8" w:color="auto"/>
              <w:left w:val="single" w:sz="8" w:color="auto"/>
              <w:right w:val="single" w:sz="8" w:color="004C97"/>
            </w:tcBorders>
            <w:shd w:val="clear" w:color="auto" w:fill="004C97"/>
          </w:tcPr>
          <w:p>
            <w:pPr>
              <w:jc w:val="center"/>
              <w:ind w:left="1708"/>
              <w:spacing w:after="0"/>
              <w:rPr>
                <w:sz w:val="20"/>
                <w:szCs w:val="20"/>
                <w:color w:val="auto"/>
              </w:rPr>
            </w:pPr>
            <w:r>
              <w:rPr>
                <w:rFonts w:ascii="Arial" w:cs="Arial" w:eastAsia="Arial" w:hAnsi="Arial"/>
                <w:sz w:val="14"/>
                <w:szCs w:val="14"/>
                <w:b w:val="1"/>
                <w:bCs w:val="1"/>
                <w:color w:val="FFFFFF"/>
              </w:rPr>
              <w:t>SPX TECHNOLOGIES, INC. AND SUBSIDIARIES</w:t>
            </w:r>
          </w:p>
        </w:tc>
        <w:tc>
          <w:tcPr>
            <w:tcW w:w="400" w:type="dxa"/>
            <w:vAlign w:val="bottom"/>
            <w:tcBorders>
              <w:top w:val="single" w:sz="8" w:color="auto"/>
            </w:tcBorders>
            <w:shd w:val="clear" w:color="auto" w:fill="004C97"/>
          </w:tcPr>
          <w:p>
            <w:pPr>
              <w:spacing w:after="0"/>
              <w:rPr>
                <w:sz w:val="17"/>
                <w:szCs w:val="17"/>
                <w:color w:val="auto"/>
              </w:rPr>
            </w:pPr>
          </w:p>
        </w:tc>
        <w:tc>
          <w:tcPr>
            <w:tcW w:w="1380" w:type="dxa"/>
            <w:vAlign w:val="bottom"/>
            <w:tcBorders>
              <w:top w:val="single" w:sz="8" w:color="auto"/>
              <w:right w:val="single" w:sz="8" w:color="004C97"/>
            </w:tcBorders>
            <w:shd w:val="clear" w:color="auto" w:fill="004C97"/>
          </w:tcPr>
          <w:p>
            <w:pPr>
              <w:spacing w:after="0"/>
              <w:rPr>
                <w:sz w:val="17"/>
                <w:szCs w:val="17"/>
                <w:color w:val="auto"/>
              </w:rPr>
            </w:pPr>
          </w:p>
        </w:tc>
      </w:tr>
      <w:tr>
        <w:trPr>
          <w:trHeight w:val="176"/>
        </w:trPr>
        <w:tc>
          <w:tcPr>
            <w:tcW w:w="9480" w:type="dxa"/>
            <w:vAlign w:val="bottom"/>
            <w:tcBorders>
              <w:left w:val="single" w:sz="8" w:color="auto"/>
              <w:right w:val="single" w:sz="8" w:color="004C97"/>
            </w:tcBorders>
            <w:shd w:val="clear" w:color="auto" w:fill="004C97"/>
          </w:tcPr>
          <w:p>
            <w:pPr>
              <w:jc w:val="center"/>
              <w:ind w:left="1708"/>
              <w:spacing w:after="0"/>
              <w:rPr>
                <w:sz w:val="20"/>
                <w:szCs w:val="20"/>
                <w:color w:val="auto"/>
              </w:rPr>
            </w:pPr>
            <w:r>
              <w:rPr>
                <w:rFonts w:ascii="Arial" w:cs="Arial" w:eastAsia="Arial" w:hAnsi="Arial"/>
                <w:sz w:val="14"/>
                <w:szCs w:val="14"/>
                <w:b w:val="1"/>
                <w:bCs w:val="1"/>
                <w:color w:val="FFFFFF"/>
              </w:rPr>
              <w:t>NON-GAAP RECONCILIATION - ADJUSTED FREE CASH FLOW</w:t>
            </w:r>
          </w:p>
        </w:tc>
        <w:tc>
          <w:tcPr>
            <w:tcW w:w="400" w:type="dxa"/>
            <w:vAlign w:val="bottom"/>
            <w:shd w:val="clear" w:color="auto" w:fill="004C97"/>
          </w:tcPr>
          <w:p>
            <w:pPr>
              <w:spacing w:after="0"/>
              <w:rPr>
                <w:sz w:val="15"/>
                <w:szCs w:val="15"/>
                <w:color w:val="auto"/>
              </w:rPr>
            </w:pPr>
          </w:p>
        </w:tc>
        <w:tc>
          <w:tcPr>
            <w:tcW w:w="1380" w:type="dxa"/>
            <w:vAlign w:val="bottom"/>
            <w:tcBorders>
              <w:right w:val="single" w:sz="8" w:color="004C97"/>
            </w:tcBorders>
            <w:shd w:val="clear" w:color="auto" w:fill="004C97"/>
          </w:tcPr>
          <w:p>
            <w:pPr>
              <w:spacing w:after="0"/>
              <w:rPr>
                <w:sz w:val="15"/>
                <w:szCs w:val="15"/>
                <w:color w:val="auto"/>
              </w:rPr>
            </w:pPr>
          </w:p>
        </w:tc>
      </w:tr>
      <w:tr>
        <w:trPr>
          <w:trHeight w:val="197"/>
        </w:trPr>
        <w:tc>
          <w:tcPr>
            <w:tcW w:w="9480" w:type="dxa"/>
            <w:vAlign w:val="bottom"/>
            <w:tcBorders>
              <w:left w:val="single" w:sz="8" w:color="auto"/>
              <w:bottom w:val="single" w:sz="8" w:color="auto"/>
              <w:right w:val="single" w:sz="8" w:color="004C97"/>
            </w:tcBorders>
            <w:shd w:val="clear" w:color="auto" w:fill="004C97"/>
          </w:tcPr>
          <w:p>
            <w:pPr>
              <w:jc w:val="center"/>
              <w:ind w:left="1708"/>
              <w:spacing w:after="0"/>
              <w:rPr>
                <w:sz w:val="20"/>
                <w:szCs w:val="20"/>
                <w:color w:val="auto"/>
              </w:rPr>
            </w:pPr>
            <w:r>
              <w:rPr>
                <w:rFonts w:ascii="Arial" w:cs="Arial" w:eastAsia="Arial" w:hAnsi="Arial"/>
                <w:sz w:val="14"/>
                <w:szCs w:val="14"/>
                <w:b w:val="1"/>
                <w:bCs w:val="1"/>
                <w:color w:val="FFFFFF"/>
              </w:rPr>
              <w:t>(Unaudited; in millions)</w:t>
            </w:r>
          </w:p>
        </w:tc>
        <w:tc>
          <w:tcPr>
            <w:tcW w:w="400" w:type="dxa"/>
            <w:vAlign w:val="bottom"/>
            <w:tcBorders>
              <w:bottom w:val="single" w:sz="8" w:color="auto"/>
            </w:tcBorders>
            <w:shd w:val="clear" w:color="auto" w:fill="004C97"/>
          </w:tcPr>
          <w:p>
            <w:pPr>
              <w:spacing w:after="0"/>
              <w:rPr>
                <w:sz w:val="17"/>
                <w:szCs w:val="17"/>
                <w:color w:val="auto"/>
              </w:rPr>
            </w:pPr>
          </w:p>
        </w:tc>
        <w:tc>
          <w:tcPr>
            <w:tcW w:w="1380" w:type="dxa"/>
            <w:vAlign w:val="bottom"/>
            <w:tcBorders>
              <w:bottom w:val="single" w:sz="8" w:color="auto"/>
              <w:right w:val="single" w:sz="8" w:color="004C97"/>
            </w:tcBorders>
            <w:shd w:val="clear" w:color="auto" w:fill="004C97"/>
          </w:tcPr>
          <w:p>
            <w:pPr>
              <w:spacing w:after="0"/>
              <w:rPr>
                <w:sz w:val="17"/>
                <w:szCs w:val="17"/>
                <w:color w:val="auto"/>
              </w:rPr>
            </w:pPr>
          </w:p>
        </w:tc>
      </w:tr>
      <w:tr>
        <w:trPr>
          <w:trHeight w:val="218"/>
        </w:trPr>
        <w:tc>
          <w:tcPr>
            <w:tcW w:w="9480" w:type="dxa"/>
            <w:vAlign w:val="bottom"/>
            <w:tcBorders>
              <w:left w:val="single" w:sz="8" w:color="auto"/>
              <w:bottom w:val="single" w:sz="8" w:color="auto"/>
              <w:right w:val="single" w:sz="8" w:color="auto"/>
            </w:tcBorders>
            <w:shd w:val="clear" w:color="auto" w:fill="004C97"/>
          </w:tcPr>
          <w:p>
            <w:pPr>
              <w:spacing w:after="0"/>
              <w:rPr>
                <w:sz w:val="18"/>
                <w:szCs w:val="18"/>
                <w:color w:val="auto"/>
              </w:rPr>
            </w:pPr>
          </w:p>
        </w:tc>
        <w:tc>
          <w:tcPr>
            <w:tcW w:w="400" w:type="dxa"/>
            <w:vAlign w:val="bottom"/>
            <w:tcBorders>
              <w:bottom w:val="single" w:sz="8" w:color="auto"/>
            </w:tcBorders>
            <w:shd w:val="clear" w:color="auto" w:fill="004C97"/>
          </w:tcPr>
          <w:p>
            <w:pPr>
              <w:spacing w:after="0"/>
              <w:rPr>
                <w:sz w:val="18"/>
                <w:szCs w:val="18"/>
                <w:color w:val="auto"/>
              </w:rPr>
            </w:pPr>
          </w:p>
        </w:tc>
        <w:tc>
          <w:tcPr>
            <w:tcW w:w="1380" w:type="dxa"/>
            <w:vAlign w:val="bottom"/>
            <w:tcBorders>
              <w:bottom w:val="single" w:sz="8" w:color="auto"/>
              <w:right w:val="single" w:sz="8" w:color="auto"/>
            </w:tcBorders>
            <w:shd w:val="clear" w:color="auto" w:fill="004C97"/>
          </w:tcPr>
          <w:p>
            <w:pPr>
              <w:jc w:val="right"/>
              <w:ind w:right="668"/>
              <w:spacing w:after="0"/>
              <w:rPr>
                <w:sz w:val="20"/>
                <w:szCs w:val="20"/>
                <w:color w:val="auto"/>
              </w:rPr>
            </w:pPr>
            <w:r>
              <w:rPr>
                <w:rFonts w:ascii="Arial" w:cs="Arial" w:eastAsia="Arial" w:hAnsi="Arial"/>
                <w:sz w:val="14"/>
                <w:szCs w:val="14"/>
                <w:b w:val="1"/>
                <w:bCs w:val="1"/>
                <w:color w:val="FFFFFF"/>
              </w:rPr>
              <w:t>2024</w:t>
            </w:r>
          </w:p>
        </w:tc>
      </w:tr>
      <w:tr>
        <w:trPr>
          <w:trHeight w:val="234"/>
        </w:trPr>
        <w:tc>
          <w:tcPr>
            <w:tcW w:w="9480" w:type="dxa"/>
            <w:vAlign w:val="bottom"/>
            <w:tcBorders>
              <w:left w:val="single" w:sz="8" w:color="auto"/>
              <w:bottom w:val="single" w:sz="8" w:color="E5E5E5"/>
              <w:right w:val="single" w:sz="8" w:color="auto"/>
            </w:tcBorders>
            <w:shd w:val="clear" w:color="auto" w:fill="E5E5E5"/>
          </w:tcPr>
          <w:p>
            <w:pPr>
              <w:ind w:left="120"/>
              <w:spacing w:after="0"/>
              <w:rPr>
                <w:sz w:val="20"/>
                <w:szCs w:val="20"/>
                <w:color w:val="auto"/>
              </w:rPr>
            </w:pPr>
            <w:r>
              <w:rPr>
                <w:rFonts w:ascii="Arial" w:cs="Arial" w:eastAsia="Arial" w:hAnsi="Arial"/>
                <w:sz w:val="14"/>
                <w:szCs w:val="14"/>
                <w:color w:val="auto"/>
              </w:rPr>
              <w:t>Net operating cash flows from continuing operations</w:t>
            </w:r>
          </w:p>
        </w:tc>
        <w:tc>
          <w:tcPr>
            <w:tcW w:w="400" w:type="dxa"/>
            <w:vAlign w:val="bottom"/>
            <w:tcBorders>
              <w:bottom w:val="single" w:sz="8" w:color="E5E5E5"/>
            </w:tcBorders>
            <w:shd w:val="clear" w:color="auto" w:fill="E5E5E5"/>
          </w:tcPr>
          <w:p>
            <w:pPr>
              <w:jc w:val="right"/>
              <w:ind w:right="24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313.1</w:t>
            </w:r>
          </w:p>
        </w:tc>
      </w:tr>
      <w:tr>
        <w:trPr>
          <w:trHeight w:val="202"/>
        </w:trPr>
        <w:tc>
          <w:tcPr>
            <w:tcW w:w="9480" w:type="dxa"/>
            <w:vAlign w:val="bottom"/>
            <w:tcBorders>
              <w:top w:val="single" w:sz="8" w:color="auto"/>
              <w:left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Less: Capital expenditures</w:t>
            </w: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38.0</w:t>
            </w:r>
          </w:p>
        </w:tc>
      </w:tr>
      <w:tr>
        <w:trPr>
          <w:trHeight w:val="22"/>
        </w:trPr>
        <w:tc>
          <w:tcPr>
            <w:tcW w:w="9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9480" w:type="dxa"/>
            <w:vAlign w:val="bottom"/>
            <w:tcBorders>
              <w:left w:val="single" w:sz="8" w:color="auto"/>
              <w:bottom w:val="single" w:sz="8" w:color="E5E5E5"/>
              <w:right w:val="single" w:sz="8" w:color="auto"/>
            </w:tcBorders>
            <w:shd w:val="clear" w:color="auto" w:fill="E5E5E5"/>
          </w:tcPr>
          <w:p>
            <w:pPr>
              <w:ind w:left="280"/>
              <w:spacing w:after="0"/>
              <w:rPr>
                <w:sz w:val="20"/>
                <w:szCs w:val="20"/>
                <w:color w:val="auto"/>
              </w:rPr>
            </w:pPr>
            <w:r>
              <w:rPr>
                <w:rFonts w:ascii="Arial" w:cs="Arial" w:eastAsia="Arial" w:hAnsi="Arial"/>
                <w:sz w:val="14"/>
                <w:szCs w:val="14"/>
                <w:color w:val="auto"/>
              </w:rPr>
              <w:t>Free cash flow from continuing operations</w:t>
            </w:r>
          </w:p>
        </w:tc>
        <w:tc>
          <w:tcPr>
            <w:tcW w:w="400" w:type="dxa"/>
            <w:vAlign w:val="bottom"/>
            <w:tcBorders>
              <w:bottom w:val="single" w:sz="8" w:color="E5E5E5"/>
            </w:tcBorders>
            <w:shd w:val="clear" w:color="auto" w:fill="E5E5E5"/>
          </w:tcPr>
          <w:p>
            <w:pPr>
              <w:spacing w:after="0"/>
              <w:rPr>
                <w:sz w:val="19"/>
                <w:szCs w:val="19"/>
                <w:color w:val="auto"/>
              </w:rPr>
            </w:pPr>
          </w:p>
        </w:tc>
        <w:tc>
          <w:tcPr>
            <w:tcW w:w="138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275.1</w:t>
            </w:r>
          </w:p>
        </w:tc>
      </w:tr>
      <w:tr>
        <w:trPr>
          <w:trHeight w:val="202"/>
        </w:trPr>
        <w:tc>
          <w:tcPr>
            <w:tcW w:w="94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Exclude:</w:t>
            </w: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right w:val="single" w:sz="8" w:color="auto"/>
            </w:tcBorders>
          </w:tcPr>
          <w:p>
            <w:pPr>
              <w:spacing w:after="0"/>
              <w:rPr>
                <w:sz w:val="17"/>
                <w:szCs w:val="17"/>
                <w:color w:val="auto"/>
              </w:rPr>
            </w:pPr>
          </w:p>
        </w:tc>
      </w:tr>
      <w:tr>
        <w:trPr>
          <w:trHeight w:val="22"/>
        </w:trPr>
        <w:tc>
          <w:tcPr>
            <w:tcW w:w="9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9480" w:type="dxa"/>
            <w:vAlign w:val="bottom"/>
            <w:tcBorders>
              <w:left w:val="single" w:sz="8" w:color="auto"/>
              <w:bottom w:val="single" w:sz="8" w:color="E5E5E5"/>
              <w:right w:val="single" w:sz="8" w:color="auto"/>
            </w:tcBorders>
            <w:shd w:val="clear" w:color="auto" w:fill="E5E5E5"/>
          </w:tcPr>
          <w:p>
            <w:pPr>
              <w:ind w:left="280"/>
              <w:spacing w:after="0"/>
              <w:rPr>
                <w:sz w:val="20"/>
                <w:szCs w:val="20"/>
                <w:color w:val="auto"/>
              </w:rPr>
            </w:pPr>
            <w:r>
              <w:rPr>
                <w:rFonts w:ascii="Arial" w:cs="Arial" w:eastAsia="Arial" w:hAnsi="Arial"/>
                <w:sz w:val="14"/>
                <w:szCs w:val="14"/>
                <w:color w:val="auto"/>
              </w:rPr>
              <w:t>Acquisition-related and other costs</w:t>
            </w:r>
            <w:r>
              <w:rPr>
                <w:rFonts w:ascii="Arial" w:cs="Arial" w:eastAsia="Arial" w:hAnsi="Arial"/>
                <w:sz w:val="9"/>
                <w:szCs w:val="9"/>
                <w:color w:val="auto"/>
              </w:rPr>
              <w:t>(1)</w:t>
            </w:r>
          </w:p>
        </w:tc>
        <w:tc>
          <w:tcPr>
            <w:tcW w:w="400" w:type="dxa"/>
            <w:vAlign w:val="bottom"/>
            <w:tcBorders>
              <w:bottom w:val="single" w:sz="8" w:color="E5E5E5"/>
            </w:tcBorders>
            <w:shd w:val="clear" w:color="auto" w:fill="E5E5E5"/>
          </w:tcPr>
          <w:p>
            <w:pPr>
              <w:spacing w:after="0"/>
              <w:rPr>
                <w:sz w:val="19"/>
                <w:szCs w:val="19"/>
                <w:color w:val="auto"/>
              </w:rPr>
            </w:pPr>
          </w:p>
        </w:tc>
        <w:tc>
          <w:tcPr>
            <w:tcW w:w="138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(8.7)</w:t>
            </w:r>
          </w:p>
        </w:tc>
      </w:tr>
      <w:tr>
        <w:trPr>
          <w:trHeight w:val="202"/>
        </w:trPr>
        <w:tc>
          <w:tcPr>
            <w:tcW w:w="9480" w:type="dxa"/>
            <w:vAlign w:val="bottom"/>
            <w:tcBorders>
              <w:top w:val="single" w:sz="8" w:color="auto"/>
              <w:left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Income tax payments</w:t>
            </w:r>
            <w:r>
              <w:rPr>
                <w:rFonts w:ascii="Arial" w:cs="Arial" w:eastAsia="Arial" w:hAnsi="Arial"/>
                <w:sz w:val="9"/>
                <w:szCs w:val="9"/>
                <w:color w:val="auto"/>
              </w:rPr>
              <w:t>(2)</w:t>
            </w: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(43.5)</w:t>
            </w:r>
          </w:p>
        </w:tc>
      </w:tr>
      <w:tr>
        <w:trPr>
          <w:trHeight w:val="22"/>
        </w:trPr>
        <w:tc>
          <w:tcPr>
            <w:tcW w:w="9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9480" w:type="dxa"/>
            <w:vAlign w:val="bottom"/>
            <w:tcBorders>
              <w:left w:val="single" w:sz="8" w:color="auto"/>
              <w:bottom w:val="single" w:sz="8" w:color="E5E5E5"/>
              <w:right w:val="single" w:sz="8" w:color="auto"/>
            </w:tcBorders>
            <w:shd w:val="clear" w:color="auto" w:fill="E5E5E5"/>
          </w:tcPr>
          <w:p>
            <w:pPr>
              <w:ind w:left="280"/>
              <w:spacing w:after="0"/>
              <w:rPr>
                <w:sz w:val="20"/>
                <w:szCs w:val="20"/>
                <w:color w:val="auto"/>
              </w:rPr>
            </w:pPr>
            <w:r>
              <w:rPr>
                <w:rFonts w:ascii="Arial" w:cs="Arial" w:eastAsia="Arial" w:hAnsi="Arial"/>
                <w:sz w:val="14"/>
                <w:szCs w:val="14"/>
                <w:color w:val="auto"/>
              </w:rPr>
              <w:t>Other, net</w:t>
            </w:r>
            <w:r>
              <w:rPr>
                <w:rFonts w:ascii="Arial" w:cs="Arial" w:eastAsia="Arial" w:hAnsi="Arial"/>
                <w:sz w:val="9"/>
                <w:szCs w:val="9"/>
                <w:color w:val="auto"/>
              </w:rPr>
              <w:t>(3)</w:t>
            </w:r>
          </w:p>
        </w:tc>
        <w:tc>
          <w:tcPr>
            <w:tcW w:w="400" w:type="dxa"/>
            <w:vAlign w:val="bottom"/>
            <w:tcBorders>
              <w:bottom w:val="single" w:sz="8" w:color="E5E5E5"/>
            </w:tcBorders>
            <w:shd w:val="clear" w:color="auto" w:fill="E5E5E5"/>
          </w:tcPr>
          <w:p>
            <w:pPr>
              <w:spacing w:after="0"/>
              <w:rPr>
                <w:sz w:val="19"/>
                <w:szCs w:val="19"/>
                <w:color w:val="auto"/>
              </w:rPr>
            </w:pPr>
          </w:p>
        </w:tc>
        <w:tc>
          <w:tcPr>
            <w:tcW w:w="138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(64.7)</w:t>
            </w:r>
          </w:p>
        </w:tc>
      </w:tr>
      <w:tr>
        <w:trPr>
          <w:trHeight w:val="219"/>
        </w:trPr>
        <w:tc>
          <w:tcPr>
            <w:tcW w:w="94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Adjusted free cash flow for annual incentive purposes</w:t>
            </w: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top w:val="single" w:sz="8" w:color="auto"/>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392.0</w:t>
            </w:r>
          </w:p>
        </w:tc>
      </w:tr>
      <w:tr>
        <w:trPr>
          <w:trHeight w:val="20"/>
        </w:trPr>
        <w:tc>
          <w:tcPr>
            <w:tcW w:w="9480" w:type="dxa"/>
            <w:vAlign w:val="bottom"/>
            <w:tcBorders>
              <w:left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Adjustment aligns with the adjustments in the GAAP to Adjusted EBITDA reconciliation.</w:t>
      </w:r>
    </w:p>
    <w:p>
      <w:pPr>
        <w:spacing w:after="0" w:line="68" w:lineRule="exact"/>
        <w:rPr>
          <w:rFonts w:ascii="Arial" w:cs="Arial" w:eastAsia="Arial" w:hAnsi="Arial"/>
          <w:sz w:val="14"/>
          <w:szCs w:val="14"/>
          <w:color w:val="auto"/>
        </w:rPr>
      </w:pPr>
    </w:p>
    <w:p>
      <w:pPr>
        <w:ind w:left="320" w:hanging="312"/>
        <w:spacing w:after="0"/>
        <w:tabs>
          <w:tab w:leader="none" w:pos="3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Income tax refunds/payments are excluded from adjusted free cash flow targets and results for annual incentive purposes.</w:t>
      </w:r>
    </w:p>
    <w:p>
      <w:pPr>
        <w:spacing w:after="0" w:line="68" w:lineRule="exact"/>
        <w:rPr>
          <w:rFonts w:ascii="Arial" w:cs="Arial" w:eastAsia="Arial" w:hAnsi="Arial"/>
          <w:sz w:val="14"/>
          <w:szCs w:val="14"/>
          <w:color w:val="auto"/>
        </w:rPr>
      </w:pPr>
    </w:p>
    <w:p>
      <w:pPr>
        <w:ind w:left="340" w:right="20" w:hanging="332"/>
        <w:spacing w:after="0" w:line="285" w:lineRule="auto"/>
        <w:tabs>
          <w:tab w:leader="none" w:pos="327"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 addition to the items noted in (1) and (2) above, adjusted free cash flow targets and results for annual incentive purposes exclude the cash flows generated by Ingénia, acquisition-related interest payments, and legacy liability payments (environmental and pension).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568960</wp:posOffset>
            </wp:positionV>
            <wp:extent cx="402590" cy="1454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0259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4"/>
          <w:szCs w:val="14"/>
          <w:b w:val="1"/>
          <w:bCs w:val="1"/>
          <w:color w:val="auto"/>
        </w:rPr>
        <w:t>A-2</w:t>
      </w:r>
      <w:r>
        <w:rPr>
          <w:sz w:val="20"/>
          <w:szCs w:val="20"/>
          <w:color w:val="auto"/>
        </w:rPr>
        <w:tab/>
      </w:r>
      <w:r>
        <w:rPr>
          <w:rFonts w:ascii="Arial" w:cs="Arial" w:eastAsia="Arial" w:hAnsi="Arial"/>
          <w:sz w:val="14"/>
          <w:szCs w:val="14"/>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92" w:right="319" w:bottom="1440" w:gutter="0" w:footer="0" w:header="0"/>
        </w:sectPr>
      </w:pPr>
    </w:p>
    <w:bookmarkStart w:id="67" w:name="page68"/>
    <w:bookmarkEnd w:id="67"/>
    <w:p>
      <w:pPr>
        <w:ind w:left="10360"/>
        <w:spacing w:after="0"/>
        <w:rPr>
          <w:sz w:val="20"/>
          <w:szCs w:val="20"/>
          <w:color w:val="auto"/>
        </w:rPr>
      </w:pPr>
      <w:r>
        <w:rPr>
          <w:rFonts w:ascii="Arial" w:cs="Arial" w:eastAsia="Arial" w:hAnsi="Arial"/>
          <w:sz w:val="14"/>
          <w:szCs w:val="14"/>
          <w:color w:val="004C97"/>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740" w:type="dxa"/>
            <w:vAlign w:val="bottom"/>
            <w:tcBorders>
              <w:top w:val="single" w:sz="8" w:color="auto"/>
              <w:left w:val="single" w:sz="8" w:color="auto"/>
            </w:tcBorders>
            <w:shd w:val="clear" w:color="auto" w:fill="004C97"/>
          </w:tcPr>
          <w:p>
            <w:pPr>
              <w:spacing w:after="0"/>
              <w:rPr>
                <w:sz w:val="17"/>
                <w:szCs w:val="17"/>
                <w:color w:val="auto"/>
              </w:rPr>
            </w:pPr>
          </w:p>
        </w:tc>
        <w:tc>
          <w:tcPr>
            <w:tcW w:w="6140" w:type="dxa"/>
            <w:vAlign w:val="bottom"/>
            <w:tcBorders>
              <w:top w:val="single" w:sz="8" w:color="auto"/>
            </w:tcBorders>
            <w:gridSpan w:val="2"/>
            <w:shd w:val="clear" w:color="auto" w:fill="004C97"/>
          </w:tcPr>
          <w:p>
            <w:pPr>
              <w:jc w:val="center"/>
              <w:ind w:right="2288"/>
              <w:spacing w:after="0"/>
              <w:rPr>
                <w:sz w:val="20"/>
                <w:szCs w:val="20"/>
                <w:color w:val="auto"/>
              </w:rPr>
            </w:pPr>
            <w:r>
              <w:rPr>
                <w:rFonts w:ascii="Arial" w:cs="Arial" w:eastAsia="Arial" w:hAnsi="Arial"/>
                <w:sz w:val="14"/>
                <w:szCs w:val="14"/>
                <w:b w:val="1"/>
                <w:bCs w:val="1"/>
                <w:color w:val="FFFFFF"/>
              </w:rPr>
              <w:t>SPX TECHNOLOGIES, INC. AND SUBSIDIARIES</w:t>
            </w:r>
          </w:p>
        </w:tc>
        <w:tc>
          <w:tcPr>
            <w:tcW w:w="1380" w:type="dxa"/>
            <w:vAlign w:val="bottom"/>
            <w:tcBorders>
              <w:top w:val="single" w:sz="8" w:color="auto"/>
              <w:right w:val="single" w:sz="8" w:color="004C97"/>
            </w:tcBorders>
            <w:shd w:val="clear" w:color="auto" w:fill="004C97"/>
          </w:tcPr>
          <w:p>
            <w:pPr>
              <w:spacing w:after="0"/>
              <w:rPr>
                <w:sz w:val="17"/>
                <w:szCs w:val="17"/>
                <w:color w:val="auto"/>
              </w:rPr>
            </w:pPr>
          </w:p>
        </w:tc>
      </w:tr>
      <w:tr>
        <w:trPr>
          <w:trHeight w:val="176"/>
        </w:trPr>
        <w:tc>
          <w:tcPr>
            <w:tcW w:w="3740" w:type="dxa"/>
            <w:vAlign w:val="bottom"/>
            <w:tcBorders>
              <w:left w:val="single" w:sz="8" w:color="auto"/>
            </w:tcBorders>
            <w:shd w:val="clear" w:color="auto" w:fill="004C97"/>
          </w:tcPr>
          <w:p>
            <w:pPr>
              <w:spacing w:after="0"/>
              <w:rPr>
                <w:sz w:val="15"/>
                <w:szCs w:val="15"/>
                <w:color w:val="auto"/>
              </w:rPr>
            </w:pPr>
          </w:p>
        </w:tc>
        <w:tc>
          <w:tcPr>
            <w:tcW w:w="6140" w:type="dxa"/>
            <w:vAlign w:val="bottom"/>
            <w:gridSpan w:val="2"/>
            <w:shd w:val="clear" w:color="auto" w:fill="004C97"/>
          </w:tcPr>
          <w:p>
            <w:pPr>
              <w:jc w:val="center"/>
              <w:ind w:right="2288"/>
              <w:spacing w:after="0"/>
              <w:rPr>
                <w:sz w:val="20"/>
                <w:szCs w:val="20"/>
                <w:color w:val="auto"/>
              </w:rPr>
            </w:pPr>
            <w:r>
              <w:rPr>
                <w:rFonts w:ascii="Arial" w:cs="Arial" w:eastAsia="Arial" w:hAnsi="Arial"/>
                <w:sz w:val="14"/>
                <w:szCs w:val="14"/>
                <w:b w:val="1"/>
                <w:bCs w:val="1"/>
                <w:color w:val="FFFFFF"/>
              </w:rPr>
              <w:t>NON-GAAP RECONCILIATION - ADJUSTED EBITDA</w:t>
            </w:r>
          </w:p>
        </w:tc>
        <w:tc>
          <w:tcPr>
            <w:tcW w:w="1380" w:type="dxa"/>
            <w:vAlign w:val="bottom"/>
            <w:tcBorders>
              <w:right w:val="single" w:sz="8" w:color="004C97"/>
            </w:tcBorders>
            <w:shd w:val="clear" w:color="auto" w:fill="004C97"/>
          </w:tcPr>
          <w:p>
            <w:pPr>
              <w:spacing w:after="0"/>
              <w:rPr>
                <w:sz w:val="15"/>
                <w:szCs w:val="15"/>
                <w:color w:val="auto"/>
              </w:rPr>
            </w:pPr>
          </w:p>
        </w:tc>
      </w:tr>
      <w:tr>
        <w:trPr>
          <w:trHeight w:val="197"/>
        </w:trPr>
        <w:tc>
          <w:tcPr>
            <w:tcW w:w="3740" w:type="dxa"/>
            <w:vAlign w:val="bottom"/>
            <w:tcBorders>
              <w:left w:val="single" w:sz="8" w:color="auto"/>
              <w:bottom w:val="single" w:sz="8" w:color="auto"/>
            </w:tcBorders>
            <w:shd w:val="clear" w:color="auto" w:fill="004C97"/>
          </w:tcPr>
          <w:p>
            <w:pPr>
              <w:spacing w:after="0"/>
              <w:rPr>
                <w:sz w:val="17"/>
                <w:szCs w:val="17"/>
                <w:color w:val="auto"/>
              </w:rPr>
            </w:pPr>
          </w:p>
        </w:tc>
        <w:tc>
          <w:tcPr>
            <w:tcW w:w="6140" w:type="dxa"/>
            <w:vAlign w:val="bottom"/>
            <w:tcBorders>
              <w:bottom w:val="single" w:sz="8" w:color="auto"/>
            </w:tcBorders>
            <w:gridSpan w:val="2"/>
            <w:shd w:val="clear" w:color="auto" w:fill="004C97"/>
          </w:tcPr>
          <w:p>
            <w:pPr>
              <w:jc w:val="center"/>
              <w:ind w:right="2288"/>
              <w:spacing w:after="0"/>
              <w:rPr>
                <w:sz w:val="20"/>
                <w:szCs w:val="20"/>
                <w:color w:val="auto"/>
              </w:rPr>
            </w:pPr>
            <w:r>
              <w:rPr>
                <w:rFonts w:ascii="Arial" w:cs="Arial" w:eastAsia="Arial" w:hAnsi="Arial"/>
                <w:sz w:val="14"/>
                <w:szCs w:val="14"/>
                <w:b w:val="1"/>
                <w:bCs w:val="1"/>
                <w:color w:val="FFFFFF"/>
              </w:rPr>
              <w:t>(Unaudited; in millions)</w:t>
            </w:r>
          </w:p>
        </w:tc>
        <w:tc>
          <w:tcPr>
            <w:tcW w:w="1380" w:type="dxa"/>
            <w:vAlign w:val="bottom"/>
            <w:tcBorders>
              <w:bottom w:val="single" w:sz="8" w:color="auto"/>
              <w:right w:val="single" w:sz="8" w:color="004C97"/>
            </w:tcBorders>
            <w:shd w:val="clear" w:color="auto" w:fill="004C97"/>
          </w:tcPr>
          <w:p>
            <w:pPr>
              <w:spacing w:after="0"/>
              <w:rPr>
                <w:sz w:val="17"/>
                <w:szCs w:val="17"/>
                <w:color w:val="auto"/>
              </w:rPr>
            </w:pPr>
          </w:p>
        </w:tc>
      </w:tr>
      <w:tr>
        <w:trPr>
          <w:trHeight w:val="218"/>
        </w:trPr>
        <w:tc>
          <w:tcPr>
            <w:tcW w:w="3740" w:type="dxa"/>
            <w:vAlign w:val="bottom"/>
            <w:tcBorders>
              <w:left w:val="single" w:sz="8" w:color="auto"/>
              <w:bottom w:val="single" w:sz="8" w:color="auto"/>
            </w:tcBorders>
            <w:shd w:val="clear" w:color="auto" w:fill="004C97"/>
          </w:tcPr>
          <w:p>
            <w:pPr>
              <w:spacing w:after="0"/>
              <w:rPr>
                <w:sz w:val="18"/>
                <w:szCs w:val="18"/>
                <w:color w:val="auto"/>
              </w:rPr>
            </w:pPr>
          </w:p>
        </w:tc>
        <w:tc>
          <w:tcPr>
            <w:tcW w:w="5740" w:type="dxa"/>
            <w:vAlign w:val="bottom"/>
            <w:tcBorders>
              <w:bottom w:val="single" w:sz="8" w:color="auto"/>
              <w:right w:val="single" w:sz="8" w:color="auto"/>
            </w:tcBorders>
            <w:shd w:val="clear" w:color="auto" w:fill="004C97"/>
          </w:tcPr>
          <w:p>
            <w:pPr>
              <w:spacing w:after="0"/>
              <w:rPr>
                <w:sz w:val="18"/>
                <w:szCs w:val="18"/>
                <w:color w:val="auto"/>
              </w:rPr>
            </w:pPr>
          </w:p>
        </w:tc>
        <w:tc>
          <w:tcPr>
            <w:tcW w:w="400" w:type="dxa"/>
            <w:vAlign w:val="bottom"/>
            <w:tcBorders>
              <w:bottom w:val="single" w:sz="8" w:color="auto"/>
            </w:tcBorders>
            <w:shd w:val="clear" w:color="auto" w:fill="004C97"/>
          </w:tcPr>
          <w:p>
            <w:pPr>
              <w:spacing w:after="0"/>
              <w:rPr>
                <w:sz w:val="18"/>
                <w:szCs w:val="18"/>
                <w:color w:val="auto"/>
              </w:rPr>
            </w:pPr>
          </w:p>
        </w:tc>
        <w:tc>
          <w:tcPr>
            <w:tcW w:w="1380" w:type="dxa"/>
            <w:vAlign w:val="bottom"/>
            <w:tcBorders>
              <w:bottom w:val="single" w:sz="8" w:color="auto"/>
              <w:right w:val="single" w:sz="8" w:color="auto"/>
            </w:tcBorders>
            <w:shd w:val="clear" w:color="auto" w:fill="004C97"/>
          </w:tcPr>
          <w:p>
            <w:pPr>
              <w:jc w:val="right"/>
              <w:ind w:right="668"/>
              <w:spacing w:after="0"/>
              <w:rPr>
                <w:sz w:val="20"/>
                <w:szCs w:val="20"/>
                <w:color w:val="auto"/>
              </w:rPr>
            </w:pPr>
            <w:r>
              <w:rPr>
                <w:rFonts w:ascii="Arial" w:cs="Arial" w:eastAsia="Arial" w:hAnsi="Arial"/>
                <w:sz w:val="14"/>
                <w:szCs w:val="14"/>
                <w:b w:val="1"/>
                <w:bCs w:val="1"/>
                <w:color w:val="FFFFFF"/>
              </w:rPr>
              <w:t>2024</w:t>
            </w:r>
          </w:p>
        </w:tc>
      </w:tr>
      <w:tr>
        <w:trPr>
          <w:trHeight w:val="234"/>
        </w:trPr>
        <w:tc>
          <w:tcPr>
            <w:tcW w:w="3740" w:type="dxa"/>
            <w:vAlign w:val="bottom"/>
            <w:tcBorders>
              <w:left w:val="single" w:sz="8" w:color="auto"/>
              <w:bottom w:val="single" w:sz="8" w:color="E5E5E5"/>
            </w:tcBorders>
            <w:shd w:val="clear" w:color="auto" w:fill="E5E5E5"/>
          </w:tcPr>
          <w:p>
            <w:pPr>
              <w:ind w:left="120"/>
              <w:spacing w:after="0"/>
              <w:rPr>
                <w:sz w:val="20"/>
                <w:szCs w:val="20"/>
                <w:color w:val="auto"/>
              </w:rPr>
            </w:pPr>
            <w:r>
              <w:rPr>
                <w:rFonts w:ascii="Arial" w:cs="Arial" w:eastAsia="Arial" w:hAnsi="Arial"/>
                <w:sz w:val="14"/>
                <w:szCs w:val="14"/>
                <w:color w:val="auto"/>
              </w:rPr>
              <w:t>Net Income</w:t>
            </w:r>
          </w:p>
        </w:tc>
        <w:tc>
          <w:tcPr>
            <w:tcW w:w="5740" w:type="dxa"/>
            <w:vAlign w:val="bottom"/>
            <w:tcBorders>
              <w:bottom w:val="single" w:sz="8" w:color="E5E5E5"/>
              <w:right w:val="single" w:sz="8" w:color="auto"/>
            </w:tcBorders>
            <w:shd w:val="clear" w:color="auto" w:fill="E5E5E5"/>
          </w:tcPr>
          <w:p>
            <w:pPr>
              <w:spacing w:after="0"/>
              <w:rPr>
                <w:sz w:val="19"/>
                <w:szCs w:val="19"/>
                <w:color w:val="auto"/>
              </w:rPr>
            </w:pPr>
          </w:p>
        </w:tc>
        <w:tc>
          <w:tcPr>
            <w:tcW w:w="400" w:type="dxa"/>
            <w:vAlign w:val="bottom"/>
            <w:tcBorders>
              <w:bottom w:val="single" w:sz="8" w:color="E5E5E5"/>
            </w:tcBorders>
            <w:shd w:val="clear" w:color="auto" w:fill="E5E5E5"/>
          </w:tcPr>
          <w:p>
            <w:pPr>
              <w:jc w:val="right"/>
              <w:ind w:right="24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200.5</w:t>
            </w:r>
          </w:p>
        </w:tc>
      </w:tr>
      <w:tr>
        <w:trPr>
          <w:trHeight w:val="202"/>
        </w:trPr>
        <w:tc>
          <w:tcPr>
            <w:tcW w:w="374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4"/>
                <w:szCs w:val="14"/>
                <w:color w:val="auto"/>
              </w:rPr>
              <w:t>Exclude:</w:t>
            </w:r>
          </w:p>
        </w:tc>
        <w:tc>
          <w:tcPr>
            <w:tcW w:w="5740" w:type="dxa"/>
            <w:vAlign w:val="bottom"/>
            <w:tcBorders>
              <w:top w:val="single" w:sz="8" w:color="auto"/>
              <w:right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right w:val="single" w:sz="8" w:color="auto"/>
            </w:tcBorders>
          </w:tcPr>
          <w:p>
            <w:pPr>
              <w:spacing w:after="0"/>
              <w:rPr>
                <w:sz w:val="17"/>
                <w:szCs w:val="17"/>
                <w:color w:val="auto"/>
              </w:rPr>
            </w:pPr>
          </w:p>
        </w:tc>
      </w:tr>
      <w:tr>
        <w:trPr>
          <w:trHeight w:val="22"/>
        </w:trPr>
        <w:tc>
          <w:tcPr>
            <w:tcW w:w="3740" w:type="dxa"/>
            <w:vAlign w:val="bottom"/>
            <w:tcBorders>
              <w:left w:val="single" w:sz="8" w:color="auto"/>
              <w:bottom w:val="single" w:sz="8" w:color="auto"/>
            </w:tcBorders>
          </w:tcPr>
          <w:p>
            <w:pPr>
              <w:spacing w:after="0" w:line="20" w:lineRule="exact"/>
              <w:rPr>
                <w:sz w:val="1"/>
                <w:szCs w:val="1"/>
                <w:color w:val="auto"/>
              </w:rPr>
            </w:pPr>
          </w:p>
        </w:tc>
        <w:tc>
          <w:tcPr>
            <w:tcW w:w="574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740" w:type="dxa"/>
            <w:vAlign w:val="bottom"/>
            <w:tcBorders>
              <w:left w:val="single" w:sz="8" w:color="auto"/>
              <w:bottom w:val="single" w:sz="8" w:color="E5E5E5"/>
            </w:tcBorders>
            <w:shd w:val="clear" w:color="auto" w:fill="E5E5E5"/>
          </w:tcPr>
          <w:p>
            <w:pPr>
              <w:ind w:left="280"/>
              <w:spacing w:after="0"/>
              <w:rPr>
                <w:sz w:val="20"/>
                <w:szCs w:val="20"/>
                <w:color w:val="auto"/>
              </w:rPr>
            </w:pPr>
            <w:r>
              <w:rPr>
                <w:rFonts w:ascii="Arial" w:cs="Arial" w:eastAsia="Arial" w:hAnsi="Arial"/>
                <w:sz w:val="14"/>
                <w:szCs w:val="14"/>
                <w:color w:val="auto"/>
              </w:rPr>
              <w:t>Income tax provision</w:t>
            </w:r>
          </w:p>
        </w:tc>
        <w:tc>
          <w:tcPr>
            <w:tcW w:w="5740" w:type="dxa"/>
            <w:vAlign w:val="bottom"/>
            <w:tcBorders>
              <w:bottom w:val="single" w:sz="8" w:color="E5E5E5"/>
              <w:right w:val="single" w:sz="8" w:color="auto"/>
            </w:tcBorders>
            <w:shd w:val="clear" w:color="auto" w:fill="E5E5E5"/>
          </w:tcPr>
          <w:p>
            <w:pPr>
              <w:spacing w:after="0"/>
              <w:rPr>
                <w:sz w:val="19"/>
                <w:szCs w:val="19"/>
                <w:color w:val="auto"/>
              </w:rPr>
            </w:pPr>
          </w:p>
        </w:tc>
        <w:tc>
          <w:tcPr>
            <w:tcW w:w="400" w:type="dxa"/>
            <w:vAlign w:val="bottom"/>
            <w:tcBorders>
              <w:bottom w:val="single" w:sz="8" w:color="E5E5E5"/>
            </w:tcBorders>
            <w:shd w:val="clear" w:color="auto" w:fill="E5E5E5"/>
          </w:tcPr>
          <w:p>
            <w:pPr>
              <w:spacing w:after="0"/>
              <w:rPr>
                <w:sz w:val="19"/>
                <w:szCs w:val="19"/>
                <w:color w:val="auto"/>
              </w:rPr>
            </w:pPr>
          </w:p>
        </w:tc>
        <w:tc>
          <w:tcPr>
            <w:tcW w:w="138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(53.6)</w:t>
            </w:r>
          </w:p>
        </w:tc>
      </w:tr>
      <w:tr>
        <w:trPr>
          <w:trHeight w:val="202"/>
        </w:trPr>
        <w:tc>
          <w:tcPr>
            <w:tcW w:w="3740" w:type="dxa"/>
            <w:vAlign w:val="bottom"/>
            <w:tcBorders>
              <w:top w:val="single" w:sz="8" w:color="auto"/>
              <w:left w:val="single" w:sz="8" w:color="auto"/>
            </w:tcBorders>
          </w:tcPr>
          <w:p>
            <w:pPr>
              <w:ind w:left="280"/>
              <w:spacing w:after="0"/>
              <w:rPr>
                <w:sz w:val="20"/>
                <w:szCs w:val="20"/>
                <w:color w:val="auto"/>
              </w:rPr>
            </w:pPr>
            <w:r>
              <w:rPr>
                <w:rFonts w:ascii="Arial" w:cs="Arial" w:eastAsia="Arial" w:hAnsi="Arial"/>
                <w:sz w:val="14"/>
                <w:szCs w:val="14"/>
                <w:color w:val="auto"/>
              </w:rPr>
              <w:t>Interest expense, net</w:t>
            </w:r>
          </w:p>
        </w:tc>
        <w:tc>
          <w:tcPr>
            <w:tcW w:w="5740" w:type="dxa"/>
            <w:vAlign w:val="bottom"/>
            <w:tcBorders>
              <w:top w:val="single" w:sz="8" w:color="auto"/>
              <w:right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(43.6)</w:t>
            </w:r>
          </w:p>
        </w:tc>
      </w:tr>
      <w:tr>
        <w:trPr>
          <w:trHeight w:val="22"/>
        </w:trPr>
        <w:tc>
          <w:tcPr>
            <w:tcW w:w="3740" w:type="dxa"/>
            <w:vAlign w:val="bottom"/>
            <w:tcBorders>
              <w:left w:val="single" w:sz="8" w:color="auto"/>
              <w:bottom w:val="single" w:sz="8" w:color="auto"/>
            </w:tcBorders>
          </w:tcPr>
          <w:p>
            <w:pPr>
              <w:spacing w:after="0" w:line="20" w:lineRule="exact"/>
              <w:rPr>
                <w:sz w:val="1"/>
                <w:szCs w:val="1"/>
                <w:color w:val="auto"/>
              </w:rPr>
            </w:pPr>
          </w:p>
        </w:tc>
        <w:tc>
          <w:tcPr>
            <w:tcW w:w="574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740" w:type="dxa"/>
            <w:vAlign w:val="bottom"/>
            <w:tcBorders>
              <w:left w:val="single" w:sz="8" w:color="auto"/>
              <w:bottom w:val="single" w:sz="8" w:color="E5E5E5"/>
            </w:tcBorders>
            <w:shd w:val="clear" w:color="auto" w:fill="E5E5E5"/>
          </w:tcPr>
          <w:p>
            <w:pPr>
              <w:ind w:left="280"/>
              <w:spacing w:after="0"/>
              <w:rPr>
                <w:sz w:val="20"/>
                <w:szCs w:val="20"/>
                <w:color w:val="auto"/>
              </w:rPr>
            </w:pPr>
            <w:r>
              <w:rPr>
                <w:rFonts w:ascii="Arial" w:cs="Arial" w:eastAsia="Arial" w:hAnsi="Arial"/>
                <w:sz w:val="14"/>
                <w:szCs w:val="14"/>
                <w:color w:val="auto"/>
              </w:rPr>
              <w:t>Amortization expense</w:t>
            </w:r>
            <w:r>
              <w:rPr>
                <w:rFonts w:ascii="Arial" w:cs="Arial" w:eastAsia="Arial" w:hAnsi="Arial"/>
                <w:sz w:val="9"/>
                <w:szCs w:val="9"/>
                <w:color w:val="auto"/>
              </w:rPr>
              <w:t>(1)</w:t>
            </w:r>
          </w:p>
        </w:tc>
        <w:tc>
          <w:tcPr>
            <w:tcW w:w="5740" w:type="dxa"/>
            <w:vAlign w:val="bottom"/>
            <w:tcBorders>
              <w:bottom w:val="single" w:sz="8" w:color="E5E5E5"/>
              <w:right w:val="single" w:sz="8" w:color="auto"/>
            </w:tcBorders>
            <w:shd w:val="clear" w:color="auto" w:fill="E5E5E5"/>
          </w:tcPr>
          <w:p>
            <w:pPr>
              <w:spacing w:after="0"/>
              <w:rPr>
                <w:sz w:val="19"/>
                <w:szCs w:val="19"/>
                <w:color w:val="auto"/>
              </w:rPr>
            </w:pPr>
          </w:p>
        </w:tc>
        <w:tc>
          <w:tcPr>
            <w:tcW w:w="400" w:type="dxa"/>
            <w:vAlign w:val="bottom"/>
            <w:tcBorders>
              <w:bottom w:val="single" w:sz="8" w:color="E5E5E5"/>
            </w:tcBorders>
            <w:shd w:val="clear" w:color="auto" w:fill="E5E5E5"/>
          </w:tcPr>
          <w:p>
            <w:pPr>
              <w:spacing w:after="0"/>
              <w:rPr>
                <w:sz w:val="19"/>
                <w:szCs w:val="19"/>
                <w:color w:val="auto"/>
              </w:rPr>
            </w:pPr>
          </w:p>
        </w:tc>
        <w:tc>
          <w:tcPr>
            <w:tcW w:w="138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(64.9)</w:t>
            </w:r>
          </w:p>
        </w:tc>
      </w:tr>
      <w:tr>
        <w:trPr>
          <w:trHeight w:val="201"/>
        </w:trPr>
        <w:tc>
          <w:tcPr>
            <w:tcW w:w="3740" w:type="dxa"/>
            <w:vAlign w:val="bottom"/>
            <w:tcBorders>
              <w:top w:val="single" w:sz="8" w:color="auto"/>
              <w:left w:val="single" w:sz="8" w:color="auto"/>
            </w:tcBorders>
          </w:tcPr>
          <w:p>
            <w:pPr>
              <w:ind w:left="280"/>
              <w:spacing w:after="0"/>
              <w:rPr>
                <w:sz w:val="20"/>
                <w:szCs w:val="20"/>
                <w:color w:val="auto"/>
              </w:rPr>
            </w:pPr>
            <w:r>
              <w:rPr>
                <w:rFonts w:ascii="Arial" w:cs="Arial" w:eastAsia="Arial" w:hAnsi="Arial"/>
                <w:sz w:val="14"/>
                <w:szCs w:val="14"/>
                <w:color w:val="auto"/>
              </w:rPr>
              <w:t>Depreciation expense</w:t>
            </w:r>
          </w:p>
        </w:tc>
        <w:tc>
          <w:tcPr>
            <w:tcW w:w="5740" w:type="dxa"/>
            <w:vAlign w:val="bottom"/>
            <w:tcBorders>
              <w:top w:val="single" w:sz="8" w:color="auto"/>
              <w:right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(26.7)</w:t>
            </w:r>
          </w:p>
        </w:tc>
      </w:tr>
      <w:tr>
        <w:trPr>
          <w:trHeight w:val="22"/>
        </w:trPr>
        <w:tc>
          <w:tcPr>
            <w:tcW w:w="3740" w:type="dxa"/>
            <w:vAlign w:val="bottom"/>
            <w:tcBorders>
              <w:left w:val="single" w:sz="8" w:color="auto"/>
              <w:bottom w:val="single" w:sz="8" w:color="auto"/>
            </w:tcBorders>
          </w:tcPr>
          <w:p>
            <w:pPr>
              <w:spacing w:after="0" w:line="20" w:lineRule="exact"/>
              <w:rPr>
                <w:sz w:val="1"/>
                <w:szCs w:val="1"/>
                <w:color w:val="auto"/>
              </w:rPr>
            </w:pPr>
          </w:p>
        </w:tc>
        <w:tc>
          <w:tcPr>
            <w:tcW w:w="574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740" w:type="dxa"/>
            <w:vAlign w:val="bottom"/>
            <w:tcBorders>
              <w:left w:val="single" w:sz="8" w:color="auto"/>
              <w:bottom w:val="single" w:sz="8" w:color="E5E5E5"/>
            </w:tcBorders>
            <w:shd w:val="clear" w:color="auto" w:fill="E5E5E5"/>
          </w:tcPr>
          <w:p>
            <w:pPr>
              <w:ind w:left="280"/>
              <w:spacing w:after="0"/>
              <w:rPr>
                <w:sz w:val="20"/>
                <w:szCs w:val="20"/>
                <w:color w:val="auto"/>
              </w:rPr>
            </w:pPr>
            <w:r>
              <w:rPr>
                <w:rFonts w:ascii="Arial" w:cs="Arial" w:eastAsia="Arial" w:hAnsi="Arial"/>
                <w:sz w:val="14"/>
                <w:szCs w:val="14"/>
                <w:color w:val="auto"/>
              </w:rPr>
              <w:t>Loss from discontinued operations, net of tax</w:t>
            </w:r>
          </w:p>
        </w:tc>
        <w:tc>
          <w:tcPr>
            <w:tcW w:w="5740" w:type="dxa"/>
            <w:vAlign w:val="bottom"/>
            <w:tcBorders>
              <w:bottom w:val="single" w:sz="8" w:color="E5E5E5"/>
              <w:right w:val="single" w:sz="8" w:color="auto"/>
            </w:tcBorders>
            <w:shd w:val="clear" w:color="auto" w:fill="E5E5E5"/>
          </w:tcPr>
          <w:p>
            <w:pPr>
              <w:spacing w:after="0"/>
              <w:rPr>
                <w:sz w:val="19"/>
                <w:szCs w:val="19"/>
                <w:color w:val="auto"/>
              </w:rPr>
            </w:pPr>
          </w:p>
        </w:tc>
        <w:tc>
          <w:tcPr>
            <w:tcW w:w="400" w:type="dxa"/>
            <w:vAlign w:val="bottom"/>
            <w:tcBorders>
              <w:bottom w:val="single" w:sz="8" w:color="E5E5E5"/>
            </w:tcBorders>
            <w:shd w:val="clear" w:color="auto" w:fill="E5E5E5"/>
          </w:tcPr>
          <w:p>
            <w:pPr>
              <w:spacing w:after="0"/>
              <w:rPr>
                <w:sz w:val="19"/>
                <w:szCs w:val="19"/>
                <w:color w:val="auto"/>
              </w:rPr>
            </w:pPr>
          </w:p>
        </w:tc>
        <w:tc>
          <w:tcPr>
            <w:tcW w:w="138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(1.3)</w:t>
            </w:r>
          </w:p>
        </w:tc>
      </w:tr>
      <w:tr>
        <w:trPr>
          <w:trHeight w:val="216"/>
        </w:trPr>
        <w:tc>
          <w:tcPr>
            <w:tcW w:w="374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EBITDA</w:t>
            </w:r>
          </w:p>
        </w:tc>
        <w:tc>
          <w:tcPr>
            <w:tcW w:w="5740" w:type="dxa"/>
            <w:vAlign w:val="bottom"/>
            <w:tcBorders>
              <w:top w:val="single" w:sz="8" w:color="auto"/>
              <w:bottom w:val="single" w:sz="8" w:color="auto"/>
              <w:right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390.6</w:t>
            </w:r>
          </w:p>
        </w:tc>
      </w:tr>
      <w:tr>
        <w:trPr>
          <w:trHeight w:val="235"/>
        </w:trPr>
        <w:tc>
          <w:tcPr>
            <w:tcW w:w="3740" w:type="dxa"/>
            <w:vAlign w:val="bottom"/>
            <w:tcBorders>
              <w:left w:val="single" w:sz="8" w:color="auto"/>
              <w:bottom w:val="single" w:sz="8" w:color="E5E5E5"/>
            </w:tcBorders>
            <w:shd w:val="clear" w:color="auto" w:fill="E5E5E5"/>
          </w:tcPr>
          <w:p>
            <w:pPr>
              <w:ind w:left="120"/>
              <w:spacing w:after="0"/>
              <w:rPr>
                <w:sz w:val="20"/>
                <w:szCs w:val="20"/>
                <w:color w:val="auto"/>
              </w:rPr>
            </w:pPr>
            <w:r>
              <w:rPr>
                <w:rFonts w:ascii="Arial" w:cs="Arial" w:eastAsia="Arial" w:hAnsi="Arial"/>
                <w:sz w:val="14"/>
                <w:szCs w:val="14"/>
                <w:color w:val="auto"/>
              </w:rPr>
              <w:t>Exclude:</w:t>
            </w:r>
          </w:p>
        </w:tc>
        <w:tc>
          <w:tcPr>
            <w:tcW w:w="5740" w:type="dxa"/>
            <w:vAlign w:val="bottom"/>
            <w:tcBorders>
              <w:bottom w:val="single" w:sz="8" w:color="E5E5E5"/>
              <w:right w:val="single" w:sz="8" w:color="auto"/>
            </w:tcBorders>
            <w:shd w:val="clear" w:color="auto" w:fill="E5E5E5"/>
          </w:tcPr>
          <w:p>
            <w:pPr>
              <w:spacing w:after="0"/>
              <w:rPr>
                <w:sz w:val="19"/>
                <w:szCs w:val="19"/>
                <w:color w:val="auto"/>
              </w:rPr>
            </w:pPr>
          </w:p>
        </w:tc>
        <w:tc>
          <w:tcPr>
            <w:tcW w:w="400" w:type="dxa"/>
            <w:vAlign w:val="bottom"/>
            <w:tcBorders>
              <w:bottom w:val="single" w:sz="8" w:color="E5E5E5"/>
            </w:tcBorders>
            <w:shd w:val="clear" w:color="auto" w:fill="E5E5E5"/>
          </w:tcPr>
          <w:p>
            <w:pPr>
              <w:spacing w:after="0"/>
              <w:rPr>
                <w:sz w:val="19"/>
                <w:szCs w:val="19"/>
                <w:color w:val="auto"/>
              </w:rPr>
            </w:pPr>
          </w:p>
        </w:tc>
        <w:tc>
          <w:tcPr>
            <w:tcW w:w="1380" w:type="dxa"/>
            <w:vAlign w:val="bottom"/>
            <w:tcBorders>
              <w:bottom w:val="single" w:sz="8" w:color="E5E5E5"/>
              <w:right w:val="single" w:sz="8" w:color="auto"/>
            </w:tcBorders>
            <w:shd w:val="clear" w:color="auto" w:fill="E5E5E5"/>
          </w:tcPr>
          <w:p>
            <w:pPr>
              <w:spacing w:after="0"/>
              <w:rPr>
                <w:sz w:val="19"/>
                <w:szCs w:val="19"/>
                <w:color w:val="auto"/>
              </w:rPr>
            </w:pPr>
          </w:p>
        </w:tc>
      </w:tr>
      <w:tr>
        <w:trPr>
          <w:trHeight w:val="201"/>
        </w:trPr>
        <w:tc>
          <w:tcPr>
            <w:tcW w:w="3740" w:type="dxa"/>
            <w:vAlign w:val="bottom"/>
            <w:tcBorders>
              <w:top w:val="single" w:sz="8" w:color="auto"/>
              <w:left w:val="single" w:sz="8" w:color="auto"/>
            </w:tcBorders>
          </w:tcPr>
          <w:p>
            <w:pPr>
              <w:ind w:left="280"/>
              <w:spacing w:after="0"/>
              <w:rPr>
                <w:sz w:val="20"/>
                <w:szCs w:val="20"/>
                <w:color w:val="auto"/>
              </w:rPr>
            </w:pPr>
            <w:r>
              <w:rPr>
                <w:rFonts w:ascii="Arial" w:cs="Arial" w:eastAsia="Arial" w:hAnsi="Arial"/>
                <w:sz w:val="14"/>
                <w:szCs w:val="14"/>
                <w:color w:val="auto"/>
              </w:rPr>
              <w:t>Acquisition-related and other costs</w:t>
            </w:r>
            <w:r>
              <w:rPr>
                <w:rFonts w:ascii="Arial" w:cs="Arial" w:eastAsia="Arial" w:hAnsi="Arial"/>
                <w:sz w:val="9"/>
                <w:szCs w:val="9"/>
                <w:color w:val="auto"/>
              </w:rPr>
              <w:t>(2)</w:t>
            </w:r>
          </w:p>
        </w:tc>
        <w:tc>
          <w:tcPr>
            <w:tcW w:w="5740" w:type="dxa"/>
            <w:vAlign w:val="bottom"/>
            <w:tcBorders>
              <w:top w:val="single" w:sz="8" w:color="auto"/>
              <w:right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(12.2)</w:t>
            </w:r>
          </w:p>
        </w:tc>
      </w:tr>
      <w:tr>
        <w:trPr>
          <w:trHeight w:val="22"/>
        </w:trPr>
        <w:tc>
          <w:tcPr>
            <w:tcW w:w="3740" w:type="dxa"/>
            <w:vAlign w:val="bottom"/>
            <w:tcBorders>
              <w:left w:val="single" w:sz="8" w:color="auto"/>
              <w:bottom w:val="single" w:sz="8" w:color="auto"/>
            </w:tcBorders>
          </w:tcPr>
          <w:p>
            <w:pPr>
              <w:spacing w:after="0" w:line="20" w:lineRule="exact"/>
              <w:rPr>
                <w:sz w:val="1"/>
                <w:szCs w:val="1"/>
                <w:color w:val="auto"/>
              </w:rPr>
            </w:pPr>
          </w:p>
        </w:tc>
        <w:tc>
          <w:tcPr>
            <w:tcW w:w="574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740" w:type="dxa"/>
            <w:vAlign w:val="bottom"/>
            <w:tcBorders>
              <w:left w:val="single" w:sz="8" w:color="auto"/>
              <w:bottom w:val="single" w:sz="8" w:color="E5E5E5"/>
            </w:tcBorders>
            <w:shd w:val="clear" w:color="auto" w:fill="E5E5E5"/>
          </w:tcPr>
          <w:p>
            <w:pPr>
              <w:ind w:left="280"/>
              <w:spacing w:after="0"/>
              <w:rPr>
                <w:sz w:val="20"/>
                <w:szCs w:val="20"/>
                <w:color w:val="auto"/>
              </w:rPr>
            </w:pPr>
            <w:r>
              <w:rPr>
                <w:rFonts w:ascii="Arial" w:cs="Arial" w:eastAsia="Arial" w:hAnsi="Arial"/>
                <w:sz w:val="14"/>
                <w:szCs w:val="14"/>
                <w:color w:val="auto"/>
              </w:rPr>
              <w:t>Special charges, net</w:t>
            </w:r>
            <w:r>
              <w:rPr>
                <w:rFonts w:ascii="Arial" w:cs="Arial" w:eastAsia="Arial" w:hAnsi="Arial"/>
                <w:sz w:val="9"/>
                <w:szCs w:val="9"/>
                <w:color w:val="auto"/>
              </w:rPr>
              <w:t>(3)</w:t>
            </w:r>
          </w:p>
        </w:tc>
        <w:tc>
          <w:tcPr>
            <w:tcW w:w="5740" w:type="dxa"/>
            <w:vAlign w:val="bottom"/>
            <w:tcBorders>
              <w:bottom w:val="single" w:sz="8" w:color="E5E5E5"/>
              <w:right w:val="single" w:sz="8" w:color="auto"/>
            </w:tcBorders>
            <w:shd w:val="clear" w:color="auto" w:fill="E5E5E5"/>
          </w:tcPr>
          <w:p>
            <w:pPr>
              <w:spacing w:after="0"/>
              <w:rPr>
                <w:sz w:val="19"/>
                <w:szCs w:val="19"/>
                <w:color w:val="auto"/>
              </w:rPr>
            </w:pPr>
          </w:p>
        </w:tc>
        <w:tc>
          <w:tcPr>
            <w:tcW w:w="400" w:type="dxa"/>
            <w:vAlign w:val="bottom"/>
            <w:tcBorders>
              <w:bottom w:val="single" w:sz="8" w:color="E5E5E5"/>
            </w:tcBorders>
            <w:shd w:val="clear" w:color="auto" w:fill="E5E5E5"/>
          </w:tcPr>
          <w:p>
            <w:pPr>
              <w:spacing w:after="0"/>
              <w:rPr>
                <w:sz w:val="19"/>
                <w:szCs w:val="19"/>
                <w:color w:val="auto"/>
              </w:rPr>
            </w:pPr>
          </w:p>
        </w:tc>
        <w:tc>
          <w:tcPr>
            <w:tcW w:w="138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(1.3)</w:t>
            </w:r>
          </w:p>
        </w:tc>
      </w:tr>
      <w:tr>
        <w:trPr>
          <w:trHeight w:val="202"/>
        </w:trPr>
        <w:tc>
          <w:tcPr>
            <w:tcW w:w="3740" w:type="dxa"/>
            <w:vAlign w:val="bottom"/>
            <w:tcBorders>
              <w:top w:val="single" w:sz="8" w:color="auto"/>
              <w:left w:val="single" w:sz="8" w:color="auto"/>
            </w:tcBorders>
          </w:tcPr>
          <w:p>
            <w:pPr>
              <w:ind w:left="280"/>
              <w:spacing w:after="0"/>
              <w:rPr>
                <w:sz w:val="20"/>
                <w:szCs w:val="20"/>
                <w:color w:val="auto"/>
              </w:rPr>
            </w:pPr>
            <w:r>
              <w:rPr>
                <w:rFonts w:ascii="Arial" w:cs="Arial" w:eastAsia="Arial" w:hAnsi="Arial"/>
                <w:sz w:val="14"/>
                <w:szCs w:val="14"/>
                <w:color w:val="auto"/>
              </w:rPr>
              <w:t>Other operating expense, net</w:t>
            </w:r>
            <w:r>
              <w:rPr>
                <w:rFonts w:ascii="Arial" w:cs="Arial" w:eastAsia="Arial" w:hAnsi="Arial"/>
                <w:sz w:val="9"/>
                <w:szCs w:val="9"/>
                <w:color w:val="auto"/>
              </w:rPr>
              <w:t>(4)</w:t>
            </w:r>
          </w:p>
        </w:tc>
        <w:tc>
          <w:tcPr>
            <w:tcW w:w="5740" w:type="dxa"/>
            <w:vAlign w:val="bottom"/>
            <w:tcBorders>
              <w:top w:val="single" w:sz="8" w:color="auto"/>
              <w:right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(8.4)</w:t>
            </w:r>
          </w:p>
        </w:tc>
      </w:tr>
      <w:tr>
        <w:trPr>
          <w:trHeight w:val="22"/>
        </w:trPr>
        <w:tc>
          <w:tcPr>
            <w:tcW w:w="3740" w:type="dxa"/>
            <w:vAlign w:val="bottom"/>
            <w:tcBorders>
              <w:left w:val="single" w:sz="8" w:color="auto"/>
              <w:bottom w:val="single" w:sz="8" w:color="auto"/>
            </w:tcBorders>
          </w:tcPr>
          <w:p>
            <w:pPr>
              <w:spacing w:after="0" w:line="20" w:lineRule="exact"/>
              <w:rPr>
                <w:sz w:val="1"/>
                <w:szCs w:val="1"/>
                <w:color w:val="auto"/>
              </w:rPr>
            </w:pPr>
          </w:p>
        </w:tc>
        <w:tc>
          <w:tcPr>
            <w:tcW w:w="574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740" w:type="dxa"/>
            <w:vAlign w:val="bottom"/>
            <w:tcBorders>
              <w:left w:val="single" w:sz="8" w:color="auto"/>
              <w:bottom w:val="single" w:sz="8" w:color="E5E5E5"/>
            </w:tcBorders>
            <w:shd w:val="clear" w:color="auto" w:fill="E5E5E5"/>
          </w:tcPr>
          <w:p>
            <w:pPr>
              <w:ind w:left="280"/>
              <w:spacing w:after="0"/>
              <w:rPr>
                <w:sz w:val="20"/>
                <w:szCs w:val="20"/>
                <w:color w:val="auto"/>
              </w:rPr>
            </w:pPr>
            <w:r>
              <w:rPr>
                <w:rFonts w:ascii="Arial" w:cs="Arial" w:eastAsia="Arial" w:hAnsi="Arial"/>
                <w:sz w:val="14"/>
                <w:szCs w:val="14"/>
                <w:color w:val="auto"/>
              </w:rPr>
              <w:t>Non-service pension and postretirement losses</w:t>
            </w:r>
          </w:p>
        </w:tc>
        <w:tc>
          <w:tcPr>
            <w:tcW w:w="5740" w:type="dxa"/>
            <w:vAlign w:val="bottom"/>
            <w:tcBorders>
              <w:bottom w:val="single" w:sz="8" w:color="E5E5E5"/>
              <w:right w:val="single" w:sz="8" w:color="auto"/>
            </w:tcBorders>
            <w:shd w:val="clear" w:color="auto" w:fill="E5E5E5"/>
          </w:tcPr>
          <w:p>
            <w:pPr>
              <w:spacing w:after="0"/>
              <w:rPr>
                <w:sz w:val="19"/>
                <w:szCs w:val="19"/>
                <w:color w:val="auto"/>
              </w:rPr>
            </w:pPr>
          </w:p>
        </w:tc>
        <w:tc>
          <w:tcPr>
            <w:tcW w:w="400" w:type="dxa"/>
            <w:vAlign w:val="bottom"/>
            <w:tcBorders>
              <w:bottom w:val="single" w:sz="8" w:color="E5E5E5"/>
            </w:tcBorders>
            <w:shd w:val="clear" w:color="auto" w:fill="E5E5E5"/>
          </w:tcPr>
          <w:p>
            <w:pPr>
              <w:spacing w:after="0"/>
              <w:rPr>
                <w:sz w:val="19"/>
                <w:szCs w:val="19"/>
                <w:color w:val="auto"/>
              </w:rPr>
            </w:pPr>
          </w:p>
        </w:tc>
        <w:tc>
          <w:tcPr>
            <w:tcW w:w="1380" w:type="dxa"/>
            <w:vAlign w:val="bottom"/>
            <w:tcBorders>
              <w:bottom w:val="single" w:sz="8" w:color="E5E5E5"/>
              <w:right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(7.6)</w:t>
            </w:r>
          </w:p>
        </w:tc>
      </w:tr>
      <w:tr>
        <w:trPr>
          <w:trHeight w:val="202"/>
        </w:trPr>
        <w:tc>
          <w:tcPr>
            <w:tcW w:w="3740" w:type="dxa"/>
            <w:vAlign w:val="bottom"/>
            <w:tcBorders>
              <w:top w:val="single" w:sz="8" w:color="auto"/>
              <w:left w:val="single" w:sz="8" w:color="auto"/>
            </w:tcBorders>
          </w:tcPr>
          <w:p>
            <w:pPr>
              <w:ind w:left="280"/>
              <w:spacing w:after="0"/>
              <w:rPr>
                <w:sz w:val="20"/>
                <w:szCs w:val="20"/>
                <w:color w:val="auto"/>
              </w:rPr>
            </w:pPr>
            <w:r>
              <w:rPr>
                <w:rFonts w:ascii="Arial" w:cs="Arial" w:eastAsia="Arial" w:hAnsi="Arial"/>
                <w:sz w:val="14"/>
                <w:szCs w:val="14"/>
                <w:color w:val="auto"/>
              </w:rPr>
              <w:t>Fair value adjustments on an equity security</w:t>
            </w:r>
          </w:p>
        </w:tc>
        <w:tc>
          <w:tcPr>
            <w:tcW w:w="5740" w:type="dxa"/>
            <w:vAlign w:val="bottom"/>
            <w:tcBorders>
              <w:top w:val="single" w:sz="8" w:color="auto"/>
              <w:right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(4.2)</w:t>
            </w:r>
          </w:p>
        </w:tc>
      </w:tr>
      <w:tr>
        <w:trPr>
          <w:trHeight w:val="22"/>
        </w:trPr>
        <w:tc>
          <w:tcPr>
            <w:tcW w:w="3740" w:type="dxa"/>
            <w:vAlign w:val="bottom"/>
            <w:tcBorders>
              <w:left w:val="single" w:sz="8" w:color="auto"/>
              <w:bottom w:val="single" w:sz="8" w:color="auto"/>
            </w:tcBorders>
          </w:tcPr>
          <w:p>
            <w:pPr>
              <w:spacing w:after="0" w:line="20" w:lineRule="exact"/>
              <w:rPr>
                <w:sz w:val="1"/>
                <w:szCs w:val="1"/>
                <w:color w:val="auto"/>
              </w:rPr>
            </w:pPr>
          </w:p>
        </w:tc>
        <w:tc>
          <w:tcPr>
            <w:tcW w:w="574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740" w:type="dxa"/>
            <w:vAlign w:val="bottom"/>
            <w:tcBorders>
              <w:left w:val="single" w:sz="8" w:color="auto"/>
              <w:bottom w:val="single" w:sz="8" w:color="E5E5E5"/>
            </w:tcBorders>
            <w:shd w:val="clear" w:color="auto" w:fill="E5E5E5"/>
          </w:tcPr>
          <w:p>
            <w:pPr>
              <w:ind w:left="280"/>
              <w:spacing w:after="0"/>
              <w:rPr>
                <w:sz w:val="20"/>
                <w:szCs w:val="20"/>
                <w:color w:val="auto"/>
              </w:rPr>
            </w:pPr>
            <w:r>
              <w:rPr>
                <w:rFonts w:ascii="Arial" w:cs="Arial" w:eastAsia="Arial" w:hAnsi="Arial"/>
                <w:sz w:val="14"/>
                <w:szCs w:val="14"/>
                <w:color w:val="auto"/>
              </w:rPr>
              <w:t>Gain on sale of a building</w:t>
            </w:r>
          </w:p>
        </w:tc>
        <w:tc>
          <w:tcPr>
            <w:tcW w:w="5740" w:type="dxa"/>
            <w:vAlign w:val="bottom"/>
            <w:tcBorders>
              <w:bottom w:val="single" w:sz="8" w:color="E5E5E5"/>
              <w:right w:val="single" w:sz="8" w:color="auto"/>
            </w:tcBorders>
            <w:shd w:val="clear" w:color="auto" w:fill="E5E5E5"/>
          </w:tcPr>
          <w:p>
            <w:pPr>
              <w:spacing w:after="0"/>
              <w:rPr>
                <w:sz w:val="19"/>
                <w:szCs w:val="19"/>
                <w:color w:val="auto"/>
              </w:rPr>
            </w:pPr>
          </w:p>
        </w:tc>
        <w:tc>
          <w:tcPr>
            <w:tcW w:w="400" w:type="dxa"/>
            <w:vAlign w:val="bottom"/>
            <w:tcBorders>
              <w:bottom w:val="single" w:sz="8" w:color="E5E5E5"/>
            </w:tcBorders>
            <w:shd w:val="clear" w:color="auto" w:fill="E5E5E5"/>
          </w:tcPr>
          <w:p>
            <w:pPr>
              <w:spacing w:after="0"/>
              <w:rPr>
                <w:sz w:val="19"/>
                <w:szCs w:val="19"/>
                <w:color w:val="auto"/>
              </w:rPr>
            </w:pPr>
          </w:p>
        </w:tc>
        <w:tc>
          <w:tcPr>
            <w:tcW w:w="1380" w:type="dxa"/>
            <w:vAlign w:val="bottom"/>
            <w:tcBorders>
              <w:bottom w:val="single" w:sz="8" w:color="E5E5E5"/>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3.3</w:t>
            </w:r>
          </w:p>
        </w:tc>
      </w:tr>
      <w:tr>
        <w:trPr>
          <w:trHeight w:val="216"/>
        </w:trPr>
        <w:tc>
          <w:tcPr>
            <w:tcW w:w="374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Adjusted EBITDA</w:t>
            </w:r>
          </w:p>
        </w:tc>
        <w:tc>
          <w:tcPr>
            <w:tcW w:w="5740" w:type="dxa"/>
            <w:vAlign w:val="bottom"/>
            <w:tcBorders>
              <w:top w:val="single" w:sz="8" w:color="auto"/>
              <w:bottom w:val="single" w:sz="8" w:color="auto"/>
              <w:right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421.0</w:t>
            </w:r>
          </w:p>
        </w:tc>
      </w:tr>
      <w:tr>
        <w:trPr>
          <w:trHeight w:val="235"/>
        </w:trPr>
        <w:tc>
          <w:tcPr>
            <w:tcW w:w="3740" w:type="dxa"/>
            <w:vAlign w:val="bottom"/>
            <w:tcBorders>
              <w:left w:val="single" w:sz="8" w:color="auto"/>
              <w:bottom w:val="single" w:sz="8" w:color="E5E5E5"/>
            </w:tcBorders>
            <w:shd w:val="clear" w:color="auto" w:fill="E5E5E5"/>
          </w:tcPr>
          <w:p>
            <w:pPr>
              <w:ind w:left="120"/>
              <w:spacing w:after="0"/>
              <w:rPr>
                <w:sz w:val="20"/>
                <w:szCs w:val="20"/>
                <w:color w:val="auto"/>
              </w:rPr>
            </w:pPr>
            <w:r>
              <w:rPr>
                <w:rFonts w:ascii="Arial" w:cs="Arial" w:eastAsia="Arial" w:hAnsi="Arial"/>
                <w:sz w:val="14"/>
                <w:szCs w:val="14"/>
                <w:color w:val="auto"/>
              </w:rPr>
              <w:t>Exclude:</w:t>
            </w:r>
          </w:p>
        </w:tc>
        <w:tc>
          <w:tcPr>
            <w:tcW w:w="5740" w:type="dxa"/>
            <w:vAlign w:val="bottom"/>
            <w:tcBorders>
              <w:bottom w:val="single" w:sz="8" w:color="E5E5E5"/>
              <w:right w:val="single" w:sz="8" w:color="auto"/>
            </w:tcBorders>
            <w:shd w:val="clear" w:color="auto" w:fill="E5E5E5"/>
          </w:tcPr>
          <w:p>
            <w:pPr>
              <w:spacing w:after="0"/>
              <w:rPr>
                <w:sz w:val="19"/>
                <w:szCs w:val="19"/>
                <w:color w:val="auto"/>
              </w:rPr>
            </w:pPr>
          </w:p>
        </w:tc>
        <w:tc>
          <w:tcPr>
            <w:tcW w:w="400" w:type="dxa"/>
            <w:vAlign w:val="bottom"/>
            <w:tcBorders>
              <w:bottom w:val="single" w:sz="8" w:color="E5E5E5"/>
            </w:tcBorders>
            <w:shd w:val="clear" w:color="auto" w:fill="E5E5E5"/>
          </w:tcPr>
          <w:p>
            <w:pPr>
              <w:spacing w:after="0"/>
              <w:rPr>
                <w:sz w:val="19"/>
                <w:szCs w:val="19"/>
                <w:color w:val="auto"/>
              </w:rPr>
            </w:pPr>
          </w:p>
        </w:tc>
        <w:tc>
          <w:tcPr>
            <w:tcW w:w="1380" w:type="dxa"/>
            <w:vAlign w:val="bottom"/>
            <w:tcBorders>
              <w:bottom w:val="single" w:sz="8" w:color="E5E5E5"/>
              <w:right w:val="single" w:sz="8" w:color="auto"/>
            </w:tcBorders>
            <w:shd w:val="clear" w:color="auto" w:fill="E5E5E5"/>
          </w:tcPr>
          <w:p>
            <w:pPr>
              <w:spacing w:after="0"/>
              <w:rPr>
                <w:sz w:val="19"/>
                <w:szCs w:val="19"/>
                <w:color w:val="auto"/>
              </w:rPr>
            </w:pPr>
          </w:p>
        </w:tc>
      </w:tr>
      <w:tr>
        <w:trPr>
          <w:trHeight w:val="201"/>
        </w:trPr>
        <w:tc>
          <w:tcPr>
            <w:tcW w:w="3740" w:type="dxa"/>
            <w:vAlign w:val="bottom"/>
            <w:tcBorders>
              <w:top w:val="single" w:sz="8" w:color="auto"/>
              <w:left w:val="single" w:sz="8" w:color="auto"/>
            </w:tcBorders>
          </w:tcPr>
          <w:p>
            <w:pPr>
              <w:ind w:left="280"/>
              <w:spacing w:after="0"/>
              <w:rPr>
                <w:sz w:val="20"/>
                <w:szCs w:val="20"/>
                <w:color w:val="auto"/>
              </w:rPr>
            </w:pPr>
            <w:r>
              <w:rPr>
                <w:rFonts w:ascii="Arial" w:cs="Arial" w:eastAsia="Arial" w:hAnsi="Arial"/>
                <w:sz w:val="14"/>
                <w:szCs w:val="14"/>
                <w:color w:val="auto"/>
              </w:rPr>
              <w:t>Corporate annual incentive expense and other, net</w:t>
            </w:r>
            <w:r>
              <w:rPr>
                <w:rFonts w:ascii="Arial" w:cs="Arial" w:eastAsia="Arial" w:hAnsi="Arial"/>
                <w:sz w:val="9"/>
                <w:szCs w:val="9"/>
                <w:color w:val="auto"/>
              </w:rPr>
              <w:t>(5)</w:t>
            </w:r>
          </w:p>
        </w:tc>
        <w:tc>
          <w:tcPr>
            <w:tcW w:w="5740" w:type="dxa"/>
            <w:vAlign w:val="bottom"/>
            <w:tcBorders>
              <w:top w:val="single" w:sz="8" w:color="auto"/>
              <w:right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17.1</w:t>
            </w:r>
          </w:p>
        </w:tc>
      </w:tr>
      <w:tr>
        <w:trPr>
          <w:trHeight w:val="22"/>
        </w:trPr>
        <w:tc>
          <w:tcPr>
            <w:tcW w:w="3740" w:type="dxa"/>
            <w:vAlign w:val="bottom"/>
            <w:tcBorders>
              <w:left w:val="single" w:sz="8" w:color="auto"/>
              <w:bottom w:val="single" w:sz="8" w:color="auto"/>
            </w:tcBorders>
          </w:tcPr>
          <w:p>
            <w:pPr>
              <w:spacing w:after="0" w:line="20" w:lineRule="exact"/>
              <w:rPr>
                <w:sz w:val="1"/>
                <w:szCs w:val="1"/>
                <w:color w:val="auto"/>
              </w:rPr>
            </w:pPr>
          </w:p>
        </w:tc>
        <w:tc>
          <w:tcPr>
            <w:tcW w:w="574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264"/>
        </w:trPr>
        <w:tc>
          <w:tcPr>
            <w:tcW w:w="3740" w:type="dxa"/>
            <w:vAlign w:val="bottom"/>
            <w:tcBorders>
              <w:left w:val="single" w:sz="8" w:color="auto"/>
              <w:bottom w:val="single" w:sz="8" w:color="E5E5E5"/>
            </w:tcBorders>
            <w:shd w:val="clear" w:color="auto" w:fill="E5E5E5"/>
          </w:tcPr>
          <w:p>
            <w:pPr>
              <w:ind w:left="120"/>
              <w:spacing w:after="0"/>
              <w:rPr>
                <w:sz w:val="20"/>
                <w:szCs w:val="20"/>
                <w:color w:val="auto"/>
              </w:rPr>
            </w:pPr>
            <w:r>
              <w:rPr>
                <w:rFonts w:ascii="Arial" w:cs="Arial" w:eastAsia="Arial" w:hAnsi="Arial"/>
                <w:sz w:val="14"/>
                <w:szCs w:val="14"/>
                <w:color w:val="auto"/>
              </w:rPr>
              <w:t>Adjusted EBITDA for annual incentive purposes</w:t>
            </w:r>
          </w:p>
        </w:tc>
        <w:tc>
          <w:tcPr>
            <w:tcW w:w="5740" w:type="dxa"/>
            <w:vAlign w:val="bottom"/>
            <w:tcBorders>
              <w:bottom w:val="single" w:sz="8" w:color="E5E5E5"/>
              <w:right w:val="single" w:sz="8" w:color="auto"/>
            </w:tcBorders>
            <w:shd w:val="clear" w:color="auto" w:fill="E5E5E5"/>
          </w:tcPr>
          <w:p>
            <w:pPr>
              <w:spacing w:after="0"/>
              <w:rPr>
                <w:sz w:val="22"/>
                <w:szCs w:val="22"/>
                <w:color w:val="auto"/>
              </w:rPr>
            </w:pPr>
          </w:p>
        </w:tc>
        <w:tc>
          <w:tcPr>
            <w:tcW w:w="400" w:type="dxa"/>
            <w:vAlign w:val="bottom"/>
            <w:tcBorders>
              <w:bottom w:val="single" w:sz="8" w:color="auto"/>
            </w:tcBorders>
            <w:shd w:val="clear" w:color="auto" w:fill="E5E5E5"/>
          </w:tcPr>
          <w:p>
            <w:pPr>
              <w:jc w:val="right"/>
              <w:ind w:right="24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right w:val="single" w:sz="8" w:color="auto"/>
            </w:tcBorders>
            <w:shd w:val="clear" w:color="auto" w:fill="E5E5E5"/>
          </w:tcPr>
          <w:p>
            <w:pPr>
              <w:jc w:val="right"/>
              <w:ind w:right="8"/>
              <w:spacing w:after="0"/>
              <w:rPr>
                <w:sz w:val="20"/>
                <w:szCs w:val="20"/>
                <w:color w:val="auto"/>
              </w:rPr>
            </w:pPr>
            <w:r>
              <w:rPr>
                <w:rFonts w:ascii="Arial" w:cs="Arial" w:eastAsia="Arial" w:hAnsi="Arial"/>
                <w:sz w:val="14"/>
                <w:szCs w:val="14"/>
                <w:b w:val="1"/>
                <w:bCs w:val="1"/>
                <w:color w:val="auto"/>
              </w:rPr>
              <w:t>403.9</w:t>
            </w:r>
          </w:p>
        </w:tc>
      </w:tr>
      <w:tr>
        <w:trPr>
          <w:trHeight w:val="20"/>
        </w:trPr>
        <w:tc>
          <w:tcPr>
            <w:tcW w:w="3740" w:type="dxa"/>
            <w:vAlign w:val="bottom"/>
            <w:tcBorders>
              <w:top w:val="single" w:sz="8" w:color="auto"/>
            </w:tcBorders>
          </w:tcPr>
          <w:p>
            <w:pPr>
              <w:spacing w:after="0" w:line="20" w:lineRule="exact"/>
              <w:rPr>
                <w:sz w:val="1"/>
                <w:szCs w:val="1"/>
                <w:color w:val="auto"/>
              </w:rPr>
            </w:pPr>
          </w:p>
        </w:tc>
        <w:tc>
          <w:tcPr>
            <w:tcW w:w="5740" w:type="dxa"/>
            <w:vAlign w:val="bottom"/>
            <w:tcBorders>
              <w:top w:val="single" w:sz="8" w:color="auto"/>
              <w:right w:val="single" w:sz="8" w:color="auto"/>
            </w:tcBorders>
          </w:tcPr>
          <w:p>
            <w:pPr>
              <w:spacing w:after="0" w:line="20" w:lineRule="exact"/>
              <w:rPr>
                <w:sz w:val="1"/>
                <w:szCs w:val="1"/>
                <w:color w:val="auto"/>
              </w:rPr>
            </w:pPr>
          </w:p>
        </w:tc>
        <w:tc>
          <w:tcPr>
            <w:tcW w:w="400" w:type="dxa"/>
            <w:vAlign w:val="bottom"/>
            <w:tcBorders>
              <w:top w:val="single" w:sz="8" w:color="E5E5E5"/>
            </w:tcBorders>
            <w:shd w:val="clear" w:color="auto" w:fill="000000"/>
          </w:tcPr>
          <w:p>
            <w:pPr>
              <w:spacing w:after="0" w:line="20" w:lineRule="exact"/>
              <w:rPr>
                <w:sz w:val="1"/>
                <w:szCs w:val="1"/>
                <w:color w:val="auto"/>
              </w:rPr>
            </w:pPr>
          </w:p>
        </w:tc>
        <w:tc>
          <w:tcPr>
            <w:tcW w:w="1380" w:type="dxa"/>
            <w:vAlign w:val="bottom"/>
            <w:tcBorders>
              <w:top w:val="single" w:sz="8" w:color="E5E5E5"/>
              <w:right w:val="single" w:sz="8" w:color="auto"/>
            </w:tcBorders>
            <w:shd w:val="clear" w:color="auto" w:fill="000000"/>
          </w:tcPr>
          <w:p>
            <w:pPr>
              <w:spacing w:after="0" w:line="20" w:lineRule="exact"/>
              <w:rPr>
                <w:sz w:val="1"/>
                <w:szCs w:val="1"/>
                <w:color w:val="auto"/>
              </w:rPr>
            </w:pPr>
          </w:p>
        </w:tc>
      </w:tr>
    </w:tbl>
    <w:p>
      <w:pPr>
        <w:spacing w:after="0" w:line="193" w:lineRule="exact"/>
        <w:rPr>
          <w:sz w:val="20"/>
          <w:szCs w:val="20"/>
          <w:color w:val="auto"/>
        </w:rPr>
      </w:pPr>
    </w:p>
    <w:p>
      <w:pPr>
        <w:ind w:left="340" w:right="40" w:hanging="332"/>
        <w:spacing w:after="0" w:line="301" w:lineRule="auto"/>
        <w:tabs>
          <w:tab w:leader="none" w:pos="327"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amortization expense associated with acquired intangible assets recorded within “Intangible amortization” and amortization of capitalized software costs recorded within “Cost of products sold.”</w:t>
      </w:r>
    </w:p>
    <w:p>
      <w:pPr>
        <w:spacing w:after="0" w:line="1" w:lineRule="exact"/>
        <w:rPr>
          <w:rFonts w:ascii="Arial" w:cs="Arial" w:eastAsia="Arial" w:hAnsi="Arial"/>
          <w:sz w:val="14"/>
          <w:szCs w:val="14"/>
          <w:color w:val="auto"/>
        </w:rPr>
      </w:pPr>
    </w:p>
    <w:p>
      <w:pPr>
        <w:ind w:left="340" w:right="20" w:hanging="332"/>
        <w:spacing w:after="0" w:line="285" w:lineRule="auto"/>
        <w:tabs>
          <w:tab w:leader="none" w:pos="327" w:val="left"/>
        </w:tabs>
        <w:numPr>
          <w:ilvl w:val="0"/>
          <w:numId w:val="58"/>
        </w:numPr>
        <w:rPr>
          <w:rFonts w:ascii="Arial" w:cs="Arial" w:eastAsia="Arial" w:hAnsi="Arial"/>
          <w:sz w:val="14"/>
          <w:szCs w:val="14"/>
          <w:color w:val="auto"/>
        </w:rPr>
      </w:pPr>
      <w:r>
        <w:rPr>
          <w:rFonts w:ascii="Arial" w:cs="Arial" w:eastAsia="Arial" w:hAnsi="Arial"/>
          <w:sz w:val="14"/>
          <w:szCs w:val="14"/>
          <w:color w:val="auto"/>
        </w:rPr>
        <w:t>Adjustment represents the removal of (i) certain acquisition and strategic/transformation related costs of $5.0, (ii) integration costs of $5.4 within the HVAC reportable segment and (iii) inventory step-up charges of $1.8 related to the Ingénia acquisition within the HVAC reportable segment.</w:t>
      </w:r>
    </w:p>
    <w:p>
      <w:pPr>
        <w:spacing w:after="0" w:line="9" w:lineRule="exact"/>
        <w:rPr>
          <w:rFonts w:ascii="Arial" w:cs="Arial" w:eastAsia="Arial" w:hAnsi="Arial"/>
          <w:sz w:val="14"/>
          <w:szCs w:val="14"/>
          <w:color w:val="auto"/>
        </w:rPr>
      </w:pPr>
    </w:p>
    <w:p>
      <w:pPr>
        <w:ind w:left="320" w:hanging="312"/>
        <w:spacing w:after="0"/>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Adjustment represents the removal of restructuring charges associated with acquisition integration activities.</w:t>
      </w:r>
    </w:p>
    <w:p>
      <w:pPr>
        <w:spacing w:after="0" w:line="68" w:lineRule="exact"/>
        <w:rPr>
          <w:rFonts w:ascii="Arial" w:cs="Arial" w:eastAsia="Arial" w:hAnsi="Arial"/>
          <w:sz w:val="14"/>
          <w:szCs w:val="14"/>
          <w:color w:val="auto"/>
        </w:rPr>
      </w:pPr>
    </w:p>
    <w:p>
      <w:pPr>
        <w:ind w:left="320" w:hanging="312"/>
        <w:spacing w:after="0"/>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Adjustment represents the removal of a charge of $8.4 associated with a settlement with the seller of ULC regarding additional contingent consideration.</w:t>
      </w:r>
    </w:p>
    <w:p>
      <w:pPr>
        <w:spacing w:after="0" w:line="68" w:lineRule="exact"/>
        <w:rPr>
          <w:rFonts w:ascii="Arial" w:cs="Arial" w:eastAsia="Arial" w:hAnsi="Arial"/>
          <w:sz w:val="14"/>
          <w:szCs w:val="14"/>
          <w:color w:val="auto"/>
        </w:rPr>
      </w:pPr>
    </w:p>
    <w:p>
      <w:pPr>
        <w:ind w:left="320" w:hanging="312"/>
        <w:spacing w:after="0"/>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primarily, corporate annual incentive expense and the operating results of Ingénia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606425</wp:posOffset>
            </wp:positionV>
            <wp:extent cx="402590" cy="1454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0259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140" w:type="dxa"/>
            <w:vAlign w:val="bottom"/>
          </w:tcPr>
          <w:p>
            <w:pPr>
              <w:ind w:left="7720"/>
              <w:spacing w:after="0"/>
              <w:rPr>
                <w:sz w:val="20"/>
                <w:szCs w:val="20"/>
                <w:color w:val="auto"/>
              </w:rPr>
            </w:pPr>
            <w:r>
              <w:rPr>
                <w:rFonts w:ascii="Arial" w:cs="Arial" w:eastAsia="Arial" w:hAnsi="Arial"/>
                <w:sz w:val="14"/>
                <w:szCs w:val="14"/>
                <w:color w:val="auto"/>
              </w:rPr>
              <w:t>2025 PROXY STATEMENT</w:t>
            </w:r>
          </w:p>
        </w:tc>
        <w:tc>
          <w:tcPr>
            <w:tcW w:w="1100" w:type="dxa"/>
            <w:vAlign w:val="bottom"/>
          </w:tcPr>
          <w:p>
            <w:pPr>
              <w:ind w:left="680"/>
              <w:spacing w:after="0"/>
              <w:rPr>
                <w:sz w:val="20"/>
                <w:szCs w:val="20"/>
                <w:color w:val="auto"/>
              </w:rPr>
            </w:pPr>
            <w:r>
              <w:rPr>
                <w:rFonts w:ascii="Arial" w:cs="Arial" w:eastAsia="Arial" w:hAnsi="Arial"/>
                <w:sz w:val="14"/>
                <w:szCs w:val="14"/>
                <w:b w:val="1"/>
                <w:bCs w:val="1"/>
                <w:color w:val="auto"/>
              </w:rPr>
              <w:t>A-3</w:t>
            </w:r>
          </w:p>
        </w:tc>
      </w:tr>
      <w:tr>
        <w:trPr>
          <w:trHeight w:val="265"/>
        </w:trPr>
        <w:tc>
          <w:tcPr>
            <w:tcW w:w="1014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92" w:right="31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2025650</wp:posOffset>
            </wp:positionH>
            <wp:positionV relativeFrom="page">
              <wp:posOffset>3706495</wp:posOffset>
            </wp:positionV>
            <wp:extent cx="3497580" cy="11912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clrChange>
                        <a:clrFrom>
                          <a:srgbClr val="FFFFFF"/>
                        </a:clrFrom>
                        <a:clrTo>
                          <a:srgbClr val="FFFFFF">
                            <a:alpha val="0"/>
                          </a:srgbClr>
                        </a:clrTo>
                      </a:clrChange>
                      <a:extLst>
                        <a:ext uri="{28A0092B-C50C-407E-A947-70E740481C1C}"/>
                      </a:extLst>
                    </a:blip>
                    <a:srcRect/>
                    <a:stretch>
                      <a:fillRect/>
                    </a:stretch>
                  </pic:blipFill>
                  <pic:spPr bwMode="auto">
                    <a:xfrm>
                      <a:off x="0" y="0"/>
                      <a:ext cx="3497580"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9"/>
          <w:szCs w:val="19"/>
          <w:color w:val="004C97"/>
        </w:rPr>
        <w:t>6325 Ardrey Kell Rd, Suite 400 ● Charlotte, NC 28277 ● USA</w:t>
      </w:r>
    </w:p>
    <w:p>
      <w:pPr>
        <w:sectPr>
          <w:pgSz w:w="11900" w:h="16838" w:orient="portrait"/>
          <w:cols w:equalWidth="0" w:num="1">
            <w:col w:w="9019"/>
          </w:cols>
          <w:pgMar w:left="1440" w:top="1440" w:right="1440" w:bottom="1440" w:gutter="0" w:footer="0" w:header="0"/>
        </w:sectPr>
      </w:pP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004C97"/>
        </w:rPr>
        <w:t>980-474-3700 ● www.spx.com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187960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89369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893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243205</wp:posOffset>
            </wp:positionV>
            <wp:extent cx="6789420" cy="87782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ebdings">
    <w:panose1 w:val="05030102010509060703"/>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c"/>
      <w:numFmt w:val="bullet"/>
      <w:start w:val="1"/>
    </w:lvl>
  </w:abstractNum>
  <w:abstractNum w:abstractNumId="1">
    <w:nsid w:val="8138641"/>
    <w:multiLevelType w:val="hybridMultilevel"/>
    <w:lvl w:ilvl="0">
      <w:lvlJc w:val="left"/>
      <w:lvlText w:val="Q"/>
      <w:numFmt w:val="bullet"/>
      <w:start w:val="1"/>
    </w:lvl>
  </w:abstractNum>
  <w:abstractNum w:abstractNumId="2">
    <w:nsid w:val="1E7FF521"/>
    <w:multiLevelType w:val="hybridMultilevel"/>
    <w:lvl w:ilvl="0">
      <w:lvlJc w:val="left"/>
      <w:lvlText w:val="c"/>
      <w:numFmt w:val="bullet"/>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1)"/>
      <w:numFmt w:val="decimal"/>
      <w:start w:val="1"/>
    </w:lvl>
    <w:lvl w:ilvl="1">
      <w:lvlJc w:val="left"/>
      <w:lvlText w:val="(%2)"/>
      <w:numFmt w:val="lowerLetter"/>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2"/>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lvl w:ilvl="1">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2"/>
    </w:lvl>
  </w:abstractNum>
  <w:abstractNum w:abstractNumId="37">
    <w:nsid w:val="7644A45C"/>
    <w:multiLevelType w:val="hybridMultilevel"/>
    <w:lvl w:ilvl="0">
      <w:lvlJc w:val="left"/>
      <w:lvlText w:val="(%1)"/>
      <w:numFmt w:val="decimal"/>
      <w:start w:val="5"/>
    </w:lvl>
  </w:abstractNum>
  <w:abstractNum w:abstractNumId="38">
    <w:nsid w:val="32FFF902"/>
    <w:multiLevelType w:val="hybridMultilevel"/>
    <w:lvl w:ilvl="0">
      <w:lvlJc w:val="left"/>
      <w:lvlText w:val="(%1)"/>
      <w:numFmt w:val="lowerLetter"/>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decimal"/>
      <w:start w:val="6"/>
    </w:lvl>
  </w:abstractNum>
  <w:abstractNum w:abstractNumId="42">
    <w:nsid w:val="3DC240FB"/>
    <w:multiLevelType w:val="hybridMultilevel"/>
    <w:lvl w:ilvl="0">
      <w:lvlJc w:val="left"/>
      <w:lvlText w:val="(%1)"/>
      <w:numFmt w:val="decimal"/>
      <w:start w:val="1"/>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2"/>
    </w:lvl>
  </w:abstractNum>
  <w:abstractNum w:abstractNumId="45">
    <w:nsid w:val="75C6C33A"/>
    <w:multiLevelType w:val="hybridMultilevel"/>
    <w:lvl w:ilvl="0">
      <w:lvlJc w:val="left"/>
      <w:lvlText w:val="(%1)"/>
      <w:numFmt w:val="decimal"/>
      <w:start w:val="1"/>
    </w:lvl>
    <w:lvl w:ilvl="1">
      <w:lvlJc w:val="left"/>
      <w:lvlText w:val="•"/>
      <w:numFmt w:val="bullet"/>
      <w:start w:val="1"/>
    </w:lvl>
  </w:abstractNum>
  <w:abstractNum w:abstractNumId="46">
    <w:nsid w:val="12E685FB"/>
    <w:multiLevelType w:val="hybridMultilevel"/>
    <w:lvl w:ilvl="0">
      <w:lvlJc w:val="left"/>
      <w:lvlText w:val="(%1)"/>
      <w:numFmt w:val="decimal"/>
      <w:start w:val="11"/>
    </w:lvl>
    <w:lvl w:ilvl="1">
      <w:lvlJc w:val="left"/>
      <w:lvlText w:val="•"/>
      <w:numFmt w:val="bullet"/>
      <w:start w:val="1"/>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decimal"/>
      <w:start w:val="3"/>
    </w:lvl>
    <w:lvl w:ilvl="1">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2025-04-03T15:41:01Z</dcterms:created>
  <dcterms:modified xsi:type="dcterms:W3CDTF">2025-04-03T15:41:01Z</dcterms:modified>
</cp:coreProperties>
</file>