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OLEARY PATRICK J</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SPX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SPXC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05/12/2026</w:t>
            </w:r>
          </w:p>
        </w:tc>
        <w:tc>
          <w:tcPr>
            <w:tcW w:w="1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SPX TECHNOLOGIES, INC.</w:t>
            </w:r>
          </w:p>
        </w:tc>
        <w:tc>
          <w:tcPr>
            <w:tcW w:w="1200" w:type="dxa"/>
            <w:vAlign w:val="bottom"/>
          </w:tcPr>
          <w:p>
            <w:pPr>
              <w:spacing w:after="0"/>
              <w:rPr>
                <w:sz w:val="11"/>
                <w:szCs w:val="11"/>
                <w:color w:val="auto"/>
              </w:rPr>
            </w:pPr>
          </w:p>
        </w:tc>
        <w:tc>
          <w:tcPr>
            <w:tcW w:w="2160" w:type="dxa"/>
            <w:vAlign w:val="bottom"/>
            <w:gridSpan w:val="3"/>
            <w:vMerge w:val="continue"/>
          </w:tcPr>
          <w:p>
            <w:pPr>
              <w:spacing w:after="0"/>
              <w:rPr>
                <w:sz w:val="11"/>
                <w:szCs w:val="11"/>
                <w:color w:val="auto"/>
              </w:rPr>
            </w:pPr>
          </w:p>
        </w:tc>
        <w:tc>
          <w:tcPr>
            <w:tcW w:w="1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6325 ARDREY KELL ROAD, SUITE 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754</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41,347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SPX 2019 Stock Compensation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restricted stock units.</w:t>
      </w:r>
    </w:p>
    <w:p>
      <w:pPr>
        <w:spacing w:after="0" w:line="4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Whitman,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05/14/2026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 for Patrick J. O'Leary</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gridSpan w:val="2"/>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Patrick J. O’Leary hereby makes, constitutes and appoints each of Daniel Whitman, Caroline Prescott, Steve Ackermann, and Coleman Wombwell,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of SPX Technologies, Inc. (the “Company”), to:</w:t>
      </w:r>
    </w:p>
    <w:p>
      <w:pPr>
        <w:spacing w:after="0" w:line="134" w:lineRule="exact"/>
        <w:rPr>
          <w:sz w:val="20"/>
          <w:szCs w:val="20"/>
          <w:color w:val="auto"/>
        </w:rPr>
      </w:pPr>
    </w:p>
    <w:p>
      <w:pPr>
        <w:jc w:val="both"/>
        <w:ind w:left="640" w:right="20" w:hanging="314"/>
        <w:spacing w:after="0" w:line="235"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60" w:lineRule="exact"/>
        <w:rPr>
          <w:rFonts w:ascii="Times New Roman" w:cs="Times New Roman" w:eastAsia="Times New Roman" w:hAnsi="Times New Roman"/>
          <w:sz w:val="21"/>
          <w:szCs w:val="21"/>
          <w:color w:val="auto"/>
        </w:rPr>
      </w:pPr>
    </w:p>
    <w:p>
      <w:pPr>
        <w:jc w:val="both"/>
        <w:ind w:left="640" w:hanging="314"/>
        <w:spacing w:after="0" w:line="235"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60" w:lineRule="exact"/>
        <w:rPr>
          <w:rFonts w:ascii="Times New Roman" w:cs="Times New Roman" w:eastAsia="Times New Roman" w:hAnsi="Times New Roman"/>
          <w:sz w:val="21"/>
          <w:szCs w:val="21"/>
          <w:color w:val="auto"/>
        </w:rPr>
      </w:pPr>
    </w:p>
    <w:p>
      <w:pPr>
        <w:ind w:left="640" w:right="20" w:hanging="314"/>
        <w:spacing w:after="0" w:line="237"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below;</w:t>
      </w:r>
    </w:p>
    <w:p>
      <w:pPr>
        <w:spacing w:after="0" w:line="158" w:lineRule="exact"/>
        <w:rPr>
          <w:rFonts w:ascii="Times New Roman" w:cs="Times New Roman" w:eastAsia="Times New Roman" w:hAnsi="Times New Roman"/>
          <w:sz w:val="21"/>
          <w:szCs w:val="21"/>
          <w:color w:val="auto"/>
        </w:rPr>
      </w:pPr>
    </w:p>
    <w:p>
      <w:pPr>
        <w:ind w:left="620" w:hanging="294"/>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File, submit or otherwise deliver SEC Filings to any securities exchange on which the Company’s securities may be listed or traded;</w:t>
      </w:r>
    </w:p>
    <w:p>
      <w:pPr>
        <w:spacing w:after="0" w:line="158" w:lineRule="exact"/>
        <w:rPr>
          <w:rFonts w:ascii="Times New Roman" w:cs="Times New Roman" w:eastAsia="Times New Roman" w:hAnsi="Times New Roman"/>
          <w:sz w:val="21"/>
          <w:szCs w:val="21"/>
          <w:color w:val="auto"/>
        </w:rPr>
      </w:pPr>
    </w:p>
    <w:p>
      <w:pPr>
        <w:jc w:val="both"/>
        <w:ind w:left="640" w:hanging="314"/>
        <w:spacing w:after="0" w:line="235"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160" w:lineRule="exact"/>
        <w:rPr>
          <w:rFonts w:ascii="Times New Roman" w:cs="Times New Roman" w:eastAsia="Times New Roman" w:hAnsi="Times New Roman"/>
          <w:sz w:val="21"/>
          <w:szCs w:val="21"/>
          <w:color w:val="auto"/>
        </w:rPr>
      </w:pPr>
    </w:p>
    <w:p>
      <w:pPr>
        <w:jc w:val="both"/>
        <w:ind w:left="640" w:hanging="314"/>
        <w:spacing w:after="0" w:line="236"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59" w:lineRule="exact"/>
        <w:rPr>
          <w:rFonts w:ascii="Times New Roman" w:cs="Times New Roman" w:eastAsia="Times New Roman" w:hAnsi="Times New Roman"/>
          <w:sz w:val="21"/>
          <w:szCs w:val="21"/>
          <w:color w:val="auto"/>
        </w:rPr>
      </w:pPr>
    </w:p>
    <w:p>
      <w:pPr>
        <w:jc w:val="both"/>
        <w:ind w:left="640" w:hanging="314"/>
        <w:spacing w:after="0" w:line="236"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undersigned acknowledges that:</w:t>
      </w:r>
    </w:p>
    <w:p>
      <w:pPr>
        <w:spacing w:after="0" w:line="168" w:lineRule="exact"/>
        <w:rPr>
          <w:sz w:val="20"/>
          <w:szCs w:val="20"/>
          <w:color w:val="auto"/>
        </w:rPr>
      </w:pPr>
    </w:p>
    <w:p>
      <w:pPr>
        <w:ind w:left="1140" w:hanging="320"/>
        <w:spacing w:after="0" w:line="237" w:lineRule="auto"/>
        <w:tabs>
          <w:tab w:leader="none" w:pos="111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This Power of Attorney authorizes, but does not require, the Attorney-in-Fact to act in his or her discretion on information provided to such Attorney-in-Fact without independent verification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1014730</wp:posOffset>
            </wp:positionV>
            <wp:extent cx="6964045" cy="93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2" w:name="page3"/>
    <w:bookmarkEnd w:id="2"/>
    <w:p>
      <w:pPr>
        <w:ind w:left="1140" w:right="20" w:hanging="320"/>
        <w:spacing w:after="0" w:line="287" w:lineRule="auto"/>
        <w:tabs>
          <w:tab w:leader="none" w:pos="11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17" w:lineRule="exact"/>
        <w:rPr>
          <w:rFonts w:ascii="Times New Roman" w:cs="Times New Roman" w:eastAsia="Times New Roman" w:hAnsi="Times New Roman"/>
          <w:sz w:val="18"/>
          <w:szCs w:val="18"/>
          <w:color w:val="auto"/>
        </w:rPr>
      </w:pPr>
    </w:p>
    <w:p>
      <w:pPr>
        <w:jc w:val="both"/>
        <w:ind w:left="1140" w:hanging="320"/>
        <w:spacing w:after="0" w:line="242" w:lineRule="auto"/>
        <w:tabs>
          <w:tab w:leader="none" w:pos="1113"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58" w:lineRule="exact"/>
        <w:rPr>
          <w:rFonts w:ascii="Times New Roman" w:cs="Times New Roman" w:eastAsia="Times New Roman" w:hAnsi="Times New Roman"/>
          <w:sz w:val="19"/>
          <w:szCs w:val="19"/>
          <w:color w:val="auto"/>
        </w:rPr>
      </w:pPr>
    </w:p>
    <w:p>
      <w:pPr>
        <w:jc w:val="both"/>
        <w:ind w:left="1140" w:hanging="320"/>
        <w:spacing w:after="0" w:line="247" w:lineRule="auto"/>
        <w:tabs>
          <w:tab w:leader="none" w:pos="1113"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5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1234440</wp:posOffset>
            </wp:positionV>
            <wp:extent cx="6964045" cy="844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4455"/>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as of February 17, 2026.</w:t>
      </w:r>
    </w:p>
    <w:p>
      <w:pPr>
        <w:spacing w:after="0" w:line="200" w:lineRule="exact"/>
        <w:rPr>
          <w:sz w:val="20"/>
          <w:szCs w:val="20"/>
          <w:color w:val="auto"/>
        </w:rPr>
      </w:pPr>
    </w:p>
    <w:p>
      <w:pPr>
        <w:spacing w:after="0" w:line="381" w:lineRule="exact"/>
        <w:rPr>
          <w:sz w:val="20"/>
          <w:szCs w:val="20"/>
          <w:color w:val="auto"/>
        </w:rPr>
      </w:pPr>
    </w:p>
    <w:p>
      <w:pPr>
        <w:jc w:val="right"/>
        <w:ind w:right="4860"/>
        <w:spacing w:after="0"/>
        <w:rPr>
          <w:sz w:val="20"/>
          <w:szCs w:val="20"/>
          <w:color w:val="auto"/>
        </w:rPr>
      </w:pPr>
      <w:r>
        <w:rPr>
          <w:rFonts w:ascii="Times New Roman" w:cs="Times New Roman" w:eastAsia="Times New Roman" w:hAnsi="Times New Roman"/>
          <w:sz w:val="19"/>
          <w:szCs w:val="19"/>
          <w:u w:val="single" w:color="auto"/>
          <w:color w:val="auto"/>
        </w:rPr>
        <w:t>By: /s/ Patrick J. O’Leary</w:t>
      </w:r>
    </w:p>
    <w:p>
      <w:pPr>
        <w:spacing w:after="0" w:line="15" w:lineRule="exact"/>
        <w:rPr>
          <w:sz w:val="20"/>
          <w:szCs w:val="20"/>
          <w:color w:val="auto"/>
        </w:rPr>
      </w:pPr>
    </w:p>
    <w:p>
      <w:pPr>
        <w:jc w:val="right"/>
        <w:ind w:right="4800"/>
        <w:spacing w:after="0"/>
        <w:rPr>
          <w:sz w:val="20"/>
          <w:szCs w:val="20"/>
          <w:color w:val="auto"/>
        </w:rPr>
      </w:pPr>
      <w:r>
        <w:rPr>
          <w:rFonts w:ascii="Times New Roman" w:cs="Times New Roman" w:eastAsia="Times New Roman" w:hAnsi="Times New Roman"/>
          <w:sz w:val="19"/>
          <w:szCs w:val="19"/>
          <w:color w:val="auto"/>
        </w:rPr>
        <w:t>Patrick J. O’Leary</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NOTARIZATION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State of North Carolina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County of Mecklenburg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Power of Attorney was acknowledged before me on February 17, 2026 by Patrick J. O’Leary.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9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Notary Signature</w:t>
      </w:r>
    </w:p>
    <w:p>
      <w:pPr>
        <w:spacing w:after="0" w:line="200" w:lineRule="exact"/>
        <w:rPr>
          <w:sz w:val="20"/>
          <w:szCs w:val="20"/>
          <w:color w:val="auto"/>
        </w:rPr>
      </w:pPr>
    </w:p>
    <w:p>
      <w:pPr>
        <w:spacing w:after="0" w:line="35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[Notary Seal]</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48039" TargetMode="External"/><Relationship Id="rId14" Type="http://schemas.openxmlformats.org/officeDocument/2006/relationships/hyperlink" Target="http://www.sec.gov/cgi-bin/browse-edgar?action=getcompany&amp;CIK=0000088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2026-05-14T15:27:41Z</dcterms:created>
  <dcterms:modified xsi:type="dcterms:W3CDTF">2026-05-14T15:27:41Z</dcterms:modified>
</cp:coreProperties>
</file>