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1" w:after="283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UNITED STATES</w:t>
      </w:r>
    </w:p>
    <w:p>
      <w:pPr>
        <w:pStyle w:val="TextBody"/>
        <w:bidi w:val="0"/>
        <w:spacing w:lineRule="auto" w:line="235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SECURITIES AND EXCHANGE COMMISSION</w:t>
      </w:r>
    </w:p>
    <w:p>
      <w:pPr>
        <w:pStyle w:val="TextBody"/>
        <w:bidi w:val="0"/>
        <w:spacing w:lineRule="auto" w:line="235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9" w:after="283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(Rule 14a-101)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7" w:after="283"/>
        <w:jc w:val="left"/>
        <w:rPr/>
      </w:pPr>
      <w:r>
        <w:rPr/>
      </w:r>
    </w:p>
    <w:p>
      <w:pPr>
        <w:pStyle w:val="TextBody"/>
        <w:bidi w:val="0"/>
        <w:spacing w:lineRule="auto" w:line="273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INFORMATION REQUIRED IN PROXY STATEMENT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SCHEDULE 14A INFORMATION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Proxy Statement Pursuant to Section 14(a) of the Securities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Exchange Act of 1934 (Amendment No.    )</w:t>
      </w:r>
    </w:p>
    <w:p>
      <w:pPr>
        <w:pStyle w:val="TextBody"/>
        <w:bidi w:val="0"/>
        <w:spacing w:before="10" w:after="283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the Registrant ☒</w:t>
      </w:r>
    </w:p>
    <w:p>
      <w:pPr>
        <w:pStyle w:val="TextBody"/>
        <w:bidi w:val="0"/>
        <w:spacing w:lineRule="auto" w:line="240" w:before="0" w:after="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0" w:after="160"/>
        <w:ind w:left="0" w:right="0" w:hanging="45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16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40" w:before="0" w:after="120"/>
        <w:ind w:left="0" w:right="0" w:hanging="547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40" w:before="0" w:after="120"/>
        <w:ind w:left="0" w:right="0" w:hanging="547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240" w:before="0" w:after="120"/>
        <w:ind w:left="0" w:right="0" w:hanging="547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40" w:before="0" w:after="120"/>
        <w:ind w:left="0" w:right="0" w:hanging="547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40" w:before="0" w:after="0"/>
        <w:ind w:left="0" w:right="0" w:hanging="54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Soliciting Material under §240.14a-12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Arial;sans-serif" w:hAnsi="Arial;sans-serif"/>
          <w:b/>
          <w:color w:val="231F20"/>
          <w:sz w:val="20"/>
        </w:rPr>
      </w:pPr>
      <w:r>
        <w:rPr>
          <w:rFonts w:ascii="Arial;sans-serif" w:hAnsi="Arial;sans-serif"/>
          <w:b/>
          <w:color w:val="231F20"/>
          <w:sz w:val="20"/>
        </w:rPr>
        <w:t>SPX Technologies, Inc.</w:t>
      </w:r>
    </w:p>
    <w:p>
      <w:pPr>
        <w:pStyle w:val="TextBody"/>
        <w:bidi w:val="0"/>
        <w:spacing w:before="91" w:after="283"/>
        <w:jc w:val="center"/>
        <w:rPr/>
      </w:pPr>
      <w:r>
        <w:rPr/>
        <w:drawing>
          <wp:inline distT="0" distB="0" distL="0" distR="0">
            <wp:extent cx="5848350" cy="190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71" w:before="91" w:after="283"/>
        <w:jc w:val="center"/>
        <w:rPr>
          <w:rFonts w:ascii="Arial;sans-serif" w:hAnsi="Arial;sans-serif"/>
          <w:b w:val="false"/>
          <w:color w:val="231F20"/>
          <w:sz w:val="20"/>
        </w:rPr>
      </w:pPr>
      <w:r>
        <w:rPr>
          <w:rFonts w:ascii="Arial;sans-serif" w:hAnsi="Arial;sans-serif"/>
          <w:b w:val="false"/>
          <w:color w:val="231F2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91" w:after="283"/>
        <w:jc w:val="center"/>
        <w:rPr/>
      </w:pPr>
      <w:r>
        <w:rPr/>
        <w:drawing>
          <wp:inline distT="0" distB="0" distL="0" distR="0">
            <wp:extent cx="5848350" cy="190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40" w:before="34" w:after="283"/>
        <w:jc w:val="center"/>
        <w:rPr>
          <w:rFonts w:ascii="Arial;sans-serif" w:hAnsi="Arial;sans-serif"/>
          <w:b w:val="false"/>
          <w:color w:val="231F20"/>
          <w:sz w:val="20"/>
        </w:rPr>
      </w:pPr>
      <w:r>
        <w:rPr>
          <w:rFonts w:ascii="Arial;sans-serif" w:hAnsi="Arial;sans-serif"/>
          <w:b w:val="false"/>
          <w:color w:val="231F2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10" w:after="283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firstLine="99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Fee computed on table in exhibit required by Item 25(b) per Exchange Act Rules 14a-(6)(i)(1)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145</Words>
  <Characters>801</Characters>
  <CharactersWithSpaces>949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