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rFonts w:ascii="Times New Roman;serif" w:hAnsi="Times New Roman;serif"/>
          <w:b w:val="false"/>
          <w:color w:val="000000"/>
          <w:sz w:val="20"/>
        </w:rPr>
        <w:t>Date of Report (Date of earliest event reported):</w:t>
      </w:r>
      <w:r>
        <w:rPr>
          <w:color w:val="000000"/>
        </w:rPr>
        <w:t xml:space="preserve">  </w:t>
      </w:r>
      <w:r>
        <w:rPr>
          <w:rFonts w:ascii="Times New Roman;serif" w:hAnsi="Times New Roman;serif"/>
          <w:b/>
          <w:color w:val="000000"/>
          <w:sz w:val="20"/>
        </w:rPr>
        <w:t xml:space="preserve">July 30, 2026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SPX TECHNOLOGIES,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left"/>
        <w:rPr>
          <w:color w:val="000000"/>
        </w:rPr>
      </w:pPr>
      <w:r>
        <w:rPr>
          <w:color w:val="000000"/>
        </w:rPr>
        <w:t> </w:t>
      </w:r>
    </w:p>
    <w:tbl>
      <w:tblPr>
        <w:tblW w:w="5739" w:type="dxa"/>
        <w:jc w:val="left"/>
        <w:tblInd w:w="0" w:type="dxa"/>
        <w:tblLayout w:type="fixed"/>
        <w:tblCellMar>
          <w:top w:w="28" w:type="dxa"/>
          <w:left w:w="28" w:type="dxa"/>
          <w:bottom w:w="28" w:type="dxa"/>
          <w:right w:w="28" w:type="dxa"/>
        </w:tblCellMar>
      </w:tblPr>
      <w:tblGrid>
        <w:gridCol w:w="812"/>
        <w:gridCol w:w="713"/>
        <w:gridCol w:w="724"/>
        <w:gridCol w:w="109"/>
        <w:gridCol w:w="109"/>
        <w:gridCol w:w="109"/>
        <w:gridCol w:w="394"/>
        <w:gridCol w:w="394"/>
        <w:gridCol w:w="398"/>
        <w:gridCol w:w="109"/>
        <w:gridCol w:w="109"/>
        <w:gridCol w:w="109"/>
        <w:gridCol w:w="482"/>
        <w:gridCol w:w="482"/>
        <w:gridCol w:w="686"/>
      </w:tblGrid>
      <w:tr>
        <w:trPr/>
        <w:tc>
          <w:tcPr>
            <w:tcW w:w="81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1-6948</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88-3567996</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6325 Ardrey Kell Road, Suite 400,</w:t>
      </w:r>
    </w:p>
    <w:p>
      <w:pPr>
        <w:pStyle w:val="TextBody"/>
        <w:bidi w:val="0"/>
        <w:spacing w:lineRule="auto" w:line="288" w:before="0" w:after="0"/>
        <w:jc w:val="center"/>
        <w:rPr/>
      </w:pPr>
      <w:r>
        <w:rPr>
          <w:rFonts w:ascii="Times New Roman;serif" w:hAnsi="Times New Roman;serif"/>
          <w:b/>
          <w:color w:val="000000"/>
          <w:sz w:val="20"/>
          <w:shd w:fill="FFFFFF" w:val="clear"/>
        </w:rPr>
        <w:t>Charlotte, North Carolina 28277</w:t>
      </w:r>
      <w:r>
        <w:rPr>
          <w:color w:val="000000"/>
        </w:rPr>
        <w:t xml:space="preserv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rFonts w:ascii="Times New Roman;serif" w:hAnsi="Times New Roman;serif"/>
          <w:b w:val="false"/>
          <w:color w:val="000000"/>
          <w:sz w:val="20"/>
        </w:rPr>
        <w:t>Registrant’s telephone number, including area code</w:t>
      </w:r>
      <w:r>
        <w:rPr>
          <w:color w:val="000000"/>
        </w:rPr>
        <w:t xml:space="preserve">  </w:t>
      </w:r>
      <w:r>
        <w:rPr>
          <w:rFonts w:ascii="Times New Roman;serif" w:hAnsi="Times New Roman;serif"/>
          <w:b/>
          <w:color w:val="000000"/>
          <w:sz w:val="20"/>
        </w:rPr>
        <w:t xml:space="preserve">(980) 474-3700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obligation of the registrant under any of the following provisions: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18"/>
        </w:rPr>
        <w:t>Written communications pursuant to Rule 425 under the Securities Act (17 CFR 230.425)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18"/>
        </w:rPr>
        <w:t>Soliciting material pursuant to Rule 14a-12 under the Exchange Act (17 CFR 240.14a-12)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18"/>
        </w:rPr>
        <w:t>Pre-commencement communications pursuant to Rule 14d-2(b) under the Exchange Act (17 CFR 240.14d-2(b))</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18"/>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7378" w:type="dxa"/>
        <w:jc w:val="left"/>
        <w:tblInd w:w="0" w:type="dxa"/>
        <w:tblLayout w:type="fixed"/>
        <w:tblCellMar>
          <w:top w:w="28" w:type="dxa"/>
          <w:left w:w="28" w:type="dxa"/>
          <w:bottom w:w="28" w:type="dxa"/>
          <w:right w:w="28" w:type="dxa"/>
        </w:tblCellMar>
      </w:tblPr>
      <w:tblGrid>
        <w:gridCol w:w="930"/>
        <w:gridCol w:w="819"/>
        <w:gridCol w:w="831"/>
        <w:gridCol w:w="509"/>
        <w:gridCol w:w="509"/>
        <w:gridCol w:w="511"/>
        <w:gridCol w:w="956"/>
        <w:gridCol w:w="956"/>
        <w:gridCol w:w="1357"/>
      </w:tblGrid>
      <w:tr>
        <w:trPr/>
        <w:tc>
          <w:tcPr>
            <w:tcW w:w="93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Symbols(s)</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par value $0.01</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SPXC</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New York Stock Exchange</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(17 CFR§230.405) or Rule 12b-2 of the Securities Exchange Act of 1934 (17 CFR §240.12b-2).</w:t>
      </w:r>
    </w:p>
    <w:p>
      <w:pPr>
        <w:pStyle w:val="TextBody"/>
        <w:bidi w:val="0"/>
        <w:spacing w:lineRule="auto" w:line="288" w:before="0" w:after="0"/>
        <w:jc w:val="right"/>
        <w:rPr/>
      </w:pPr>
      <w:r>
        <w:rPr>
          <w:rFonts w:ascii="Times New Roman;serif" w:hAnsi="Times New Roman;serif"/>
          <w:b w:val="false"/>
          <w:color w:val="000000"/>
          <w:sz w:val="18"/>
        </w:rPr>
        <w:t>Emerging growth company </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On July 30, 2026, the Company issued the press release furnished as </w:t>
      </w:r>
      <w:hyperlink w:anchor="q22026pressrelease.htm">
        <w:r>
          <w:rPr>
            <w:rStyle w:val="InternetLink"/>
            <w:rFonts w:ascii="Times New Roman;serif" w:hAnsi="Times New Roman;serif"/>
            <w:b w:val="false"/>
            <w:color w:val="0000FF"/>
            <w:sz w:val="20"/>
            <w:u w:val="single"/>
          </w:rPr>
          <w:t>Exhibit 99.1</w:t>
        </w:r>
      </w:hyperlink>
      <w:r>
        <w:rPr>
          <w:color w:val="000000"/>
        </w:rPr>
        <w:t xml:space="preserve"> </w:t>
      </w:r>
      <w:r>
        <w:rPr>
          <w:rFonts w:ascii="Times New Roman;serif" w:hAnsi="Times New Roman;serif"/>
          <w:b w:val="false"/>
          <w:color w:val="000000"/>
          <w:sz w:val="20"/>
        </w:rPr>
        <w:t>hereto and incorporated herein by reference.</w:t>
      </w:r>
    </w:p>
    <w:p>
      <w:pPr>
        <w:pStyle w:val="TextBody"/>
        <w:bidi w:val="0"/>
        <w:spacing w:before="0" w:after="0"/>
        <w:ind w:left="0" w:right="0" w:firstLine="720"/>
        <w:jc w:val="both"/>
        <w:rPr/>
      </w:pPr>
      <w:r>
        <w:rPr/>
      </w:r>
    </w:p>
    <w:p>
      <w:pPr>
        <w:pStyle w:val="TextBody"/>
        <w:bidi w:val="0"/>
        <w:spacing w:lineRule="auto" w:line="417"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in this Report, and in Exhibit 99.1 hereto, is being furnished and shall not be deemed “filed” for the purposes of Section 18 of the Securities Exchange Act of 1934, as amended, or otherwise subject to the liabilities of that Section. The information in Item 2.02 of this Report, and Exhibit 99.1 hereto, shall not be deemed incorporated by reference into any filing under the Securities Act of 1933, as amended, except as shall be expressly set forth by specific reference in such filing.</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9.01.</w:t>
      </w:r>
      <w:r>
        <w:rPr>
          <w:color w:val="000000"/>
        </w:rPr>
        <w:t xml:space="preserve">                                        </w:t>
      </w:r>
      <w:r>
        <w:rPr>
          <w:rFonts w:ascii="Times New Roman;serif" w:hAnsi="Times New Roman;serif"/>
          <w:b/>
          <w:color w:val="000000"/>
          <w:sz w:val="20"/>
        </w:rPr>
        <w:t>Financial Statements and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(d)</w:t>
      </w:r>
      <w:r>
        <w:rPr>
          <w:color w:val="000000"/>
        </w:rPr>
        <w:t xml:space="preserve">                                 </w:t>
      </w:r>
      <w:r>
        <w:rPr>
          <w:rFonts w:ascii="Times New Roman;serif" w:hAnsi="Times New Roman;serif"/>
          <w:b w:val="false"/>
          <w:color w:val="000000"/>
          <w:sz w:val="20"/>
        </w:rPr>
        <w:t>Exhibits.</w:t>
      </w:r>
    </w:p>
    <w:tbl>
      <w:tblPr>
        <w:tblW w:w="8727" w:type="dxa"/>
        <w:jc w:val="left"/>
        <w:tblInd w:w="0" w:type="dxa"/>
        <w:tblLayout w:type="fixed"/>
        <w:tblCellMar>
          <w:top w:w="28" w:type="dxa"/>
          <w:left w:w="28" w:type="dxa"/>
          <w:bottom w:w="28" w:type="dxa"/>
          <w:right w:w="28" w:type="dxa"/>
        </w:tblCellMar>
      </w:tblPr>
      <w:tblGrid>
        <w:gridCol w:w="462"/>
        <w:gridCol w:w="406"/>
        <w:gridCol w:w="408"/>
        <w:gridCol w:w="109"/>
        <w:gridCol w:w="109"/>
        <w:gridCol w:w="109"/>
        <w:gridCol w:w="2080"/>
        <w:gridCol w:w="2080"/>
        <w:gridCol w:w="2964"/>
      </w:tblGrid>
      <w:tr>
        <w:trPr/>
        <w:tc>
          <w:tcPr>
            <w:tcW w:w="46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c>
          <w:tcPr>
            <w:tcW w:w="296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Exhibit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Description</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pressrelease.htm">
              <w:r>
                <w:rPr>
                  <w:rStyle w:val="InternetLink"/>
                  <w:rFonts w:ascii="Times New Roman;serif" w:hAnsi="Times New Roman;serif"/>
                  <w:b w:val="false"/>
                  <w:color w:val="0000FF"/>
                  <w:sz w:val="20"/>
                  <w:u w:val="single"/>
                </w:rPr>
                <w:t>Press Release issued July 30, 2026, furnished solely pursuant to Item 2.02 of Form 8-K</w:t>
              </w:r>
            </w:hyperlink>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pPr>
      <w:r>
        <w:rPr/>
      </w:r>
    </w:p>
    <w:tbl>
      <w:tblPr>
        <w:tblW w:w="6203" w:type="dxa"/>
        <w:jc w:val="left"/>
        <w:tblInd w:w="0" w:type="dxa"/>
        <w:tblLayout w:type="fixed"/>
        <w:tblCellMar>
          <w:top w:w="28" w:type="dxa"/>
          <w:left w:w="28" w:type="dxa"/>
          <w:bottom w:w="28" w:type="dxa"/>
          <w:right w:w="28" w:type="dxa"/>
        </w:tblCellMar>
      </w:tblPr>
      <w:tblGrid>
        <w:gridCol w:w="618"/>
        <w:gridCol w:w="544"/>
        <w:gridCol w:w="547"/>
        <w:gridCol w:w="408"/>
        <w:gridCol w:w="408"/>
        <w:gridCol w:w="408"/>
        <w:gridCol w:w="955"/>
        <w:gridCol w:w="955"/>
        <w:gridCol w:w="1360"/>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SPX TECHNOLOGIES, INC.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30, 2026</w:t>
            </w:r>
          </w:p>
        </w:tc>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MARK A. CARANO</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 A. Carano</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Chief Financial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pPr>
      <w:r>
        <w:rPr>
          <w:rFonts w:ascii="Times New Roman;serif" w:hAnsi="Times New Roman;serif"/>
          <w:b/>
          <w:color w:val="000000"/>
          <w:sz w:val="20"/>
        </w:rPr>
        <w:t>Exhibit 99.1</w:t>
      </w:r>
      <w:r>
        <w:rPr>
          <w:color w:val="000000"/>
        </w:rPr>
        <w:t>    </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8.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lineRule="auto" w:line="312" w:before="0" w:after="0"/>
        <w:ind w:left="0" w:right="0" w:firstLine="720"/>
        <w:jc w:val="center"/>
        <w:rPr>
          <w:rFonts w:ascii="Times New Roman;serif" w:hAnsi="Times New Roman;serif"/>
          <w:b w:val="false"/>
          <w:color w:val="000000"/>
          <w:sz w:val="30"/>
        </w:rPr>
      </w:pPr>
      <w:r>
        <w:rPr>
          <w:rFonts w:ascii="Times New Roman;serif" w:hAnsi="Times New Roman;serif"/>
          <w:b w:val="false"/>
          <w:color w:val="000000"/>
          <w:sz w:val="30"/>
        </w:rPr>
        <w:t>SPX Reports Second Quarter 2026 Results</w:t>
      </w:r>
    </w:p>
    <w:p>
      <w:pPr>
        <w:pStyle w:val="TextBody"/>
        <w:bidi w:val="0"/>
        <w:spacing w:lineRule="auto" w:line="312" w:before="0" w:after="0"/>
        <w:ind w:left="0" w:right="0" w:firstLine="720"/>
        <w:jc w:val="center"/>
        <w:rPr/>
      </w:pPr>
      <w:r>
        <w:rPr>
          <w:rFonts w:ascii="Times New Roman;serif" w:hAnsi="Times New Roman;serif"/>
          <w:b w:val="false"/>
          <w:i/>
          <w:color w:val="000000"/>
          <w:sz w:val="22"/>
          <w:shd w:fill="FFFFFF" w:val="clear"/>
        </w:rPr>
        <w:t>Raises</w:t>
      </w:r>
      <w:r>
        <w:rPr>
          <w:color w:val="000000"/>
        </w:rPr>
        <w:t xml:space="preserve"> </w:t>
      </w:r>
      <w:r>
        <w:rPr>
          <w:rFonts w:ascii="Times New Roman;serif" w:hAnsi="Times New Roman;serif"/>
          <w:b w:val="false"/>
          <w:i/>
          <w:color w:val="000000"/>
          <w:sz w:val="22"/>
        </w:rPr>
        <w:t>Full-year Guidance</w:t>
      </w:r>
    </w:p>
    <w:p>
      <w:pPr>
        <w:pStyle w:val="TextBody"/>
        <w:bidi w:val="0"/>
        <w:spacing w:before="0" w:after="0"/>
        <w:ind w:left="0" w:right="0" w:firstLine="72"/>
        <w:jc w:val="center"/>
        <w:rPr/>
      </w:pPr>
      <w:r>
        <w:rPr/>
      </w:r>
    </w:p>
    <w:p>
      <w:pPr>
        <w:pStyle w:val="TextBody"/>
        <w:bidi w:val="0"/>
        <w:spacing w:lineRule="auto" w:line="297" w:before="0" w:after="0"/>
        <w:jc w:val="both"/>
        <w:rPr/>
      </w:pPr>
      <w:r>
        <w:rPr>
          <w:rFonts w:ascii="Times New Roman;serif" w:hAnsi="Times New Roman;serif"/>
          <w:b w:val="false"/>
          <w:color w:val="000000"/>
          <w:sz w:val="20"/>
        </w:rPr>
        <w:t>CHARLOTTE, N.C.,</w:t>
      </w:r>
      <w:r>
        <w:rPr>
          <w:color w:val="000000"/>
          <w:shd w:fill="FFFFFF" w:val="clear"/>
        </w:rPr>
        <w:t xml:space="preserve"> </w:t>
      </w:r>
      <w:r>
        <w:rPr>
          <w:rFonts w:ascii="Times New Roman;serif" w:hAnsi="Times New Roman;serif"/>
          <w:b w:val="false"/>
          <w:color w:val="000000"/>
          <w:sz w:val="20"/>
          <w:shd w:fill="FFFFFF" w:val="clear"/>
        </w:rPr>
        <w:t xml:space="preserve">July 30, 2026 (GLOBE </w:t>
      </w:r>
      <w:r>
        <w:rPr>
          <w:rFonts w:ascii="Times New Roman;serif" w:hAnsi="Times New Roman;serif"/>
          <w:b w:val="false"/>
          <w:color w:val="000000"/>
          <w:sz w:val="20"/>
        </w:rPr>
        <w:t>NEWSWIRE) -- SPX Technologies, Inc. (NYSE:SPXC) (“SPX”, the “Company”, “we” or “our”) today reported results for the second quarter ended June 27, 2026.</w:t>
      </w:r>
    </w:p>
    <w:p>
      <w:pPr>
        <w:pStyle w:val="TextBody"/>
        <w:bidi w:val="0"/>
        <w:spacing w:before="0" w:after="0"/>
        <w:jc w:val="both"/>
        <w:rPr/>
      </w:pPr>
      <w:r>
        <w:rPr/>
      </w:r>
    </w:p>
    <w:p>
      <w:pPr>
        <w:pStyle w:val="TextBody"/>
        <w:bidi w:val="0"/>
        <w:spacing w:lineRule="auto" w:line="297" w:before="0" w:after="120"/>
        <w:jc w:val="both"/>
        <w:rPr/>
      </w:pPr>
      <w:r>
        <w:rPr>
          <w:rFonts w:ascii="Times New Roman;serif" w:hAnsi="Times New Roman;serif"/>
          <w:b/>
          <w:color w:val="000000"/>
          <w:sz w:val="20"/>
          <w:u w:val="single"/>
        </w:rPr>
        <w:t>Second Quarter Highlights</w:t>
      </w:r>
      <w:r>
        <w:rPr>
          <w:color w:val="000000"/>
        </w:rPr>
        <w:t xml:space="preserve"> </w:t>
      </w:r>
      <w:r>
        <w:rPr>
          <w:rFonts w:ascii="Times New Roman;serif" w:hAnsi="Times New Roman;serif"/>
          <w:b w:val="false"/>
          <w:i/>
          <w:color w:val="000000"/>
          <w:sz w:val="20"/>
        </w:rPr>
        <w:t>(amounts presented for continuing operations; all comparisons against the second quarter of 2025, unless otherwise noted)</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Revenue of </w:t>
      </w:r>
      <w:r>
        <w:rPr>
          <w:rFonts w:ascii="Times New Roman;serif" w:hAnsi="Times New Roman;serif"/>
          <w:b w:val="false"/>
          <w:color w:val="000000"/>
          <w:sz w:val="20"/>
        </w:rPr>
        <w:t>$679.0</w:t>
      </w:r>
      <w:r>
        <w:rPr>
          <w:color w:val="000000"/>
          <w:shd w:fill="FFFFFF" w:val="clear"/>
        </w:rPr>
        <w:t xml:space="preserve"> </w:t>
      </w:r>
      <w:r>
        <w:rPr>
          <w:rFonts w:ascii="Times New Roman;serif" w:hAnsi="Times New Roman;serif"/>
          <w:b w:val="false"/>
          <w:color w:val="000000"/>
          <w:sz w:val="20"/>
          <w:shd w:fill="FFFFFF" w:val="clear"/>
        </w:rPr>
        <w:t>million, up 22.9%</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rPr>
        <w:t>GAAP income from continuing operations of $79.3 million, up 51.0%</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GAAP EPS of </w:t>
      </w:r>
      <w:r>
        <w:rPr>
          <w:rFonts w:ascii="Times New Roman;serif" w:hAnsi="Times New Roman;serif"/>
          <w:b w:val="false"/>
          <w:color w:val="000000"/>
          <w:sz w:val="20"/>
        </w:rPr>
        <w:t>$1.56</w:t>
      </w:r>
      <w:r>
        <w:rPr>
          <w:rFonts w:ascii="Times New Roman;serif" w:hAnsi="Times New Roman;serif"/>
          <w:b w:val="false"/>
          <w:color w:val="000000"/>
          <w:sz w:val="20"/>
          <w:shd w:fill="FFFFFF" w:val="clear"/>
        </w:rPr>
        <w:t xml:space="preserve">, up 41.8% </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Adjusted EPS* of $2.02, up 22.4%</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Adjusted EBITDA* of $151.8 million, up 19.8%</w:t>
      </w:r>
    </w:p>
    <w:p>
      <w:pPr>
        <w:pStyle w:val="TextBody"/>
        <w:bidi w:val="0"/>
        <w:spacing w:before="0" w:after="0"/>
        <w:jc w:val="both"/>
        <w:rPr/>
      </w:pPr>
      <w:r>
        <w:rPr/>
      </w:r>
    </w:p>
    <w:p>
      <w:pPr>
        <w:pStyle w:val="TextBody"/>
        <w:bidi w:val="0"/>
        <w:spacing w:lineRule="auto" w:line="297" w:before="0" w:after="120"/>
        <w:jc w:val="both"/>
        <w:rPr/>
      </w:pPr>
      <w:r>
        <w:rPr>
          <w:rFonts w:ascii="Times New Roman;serif" w:hAnsi="Times New Roman;serif"/>
          <w:b/>
          <w:color w:val="000000"/>
          <w:sz w:val="20"/>
          <w:u w:val="single"/>
          <w:shd w:fill="FFFFFF" w:val="clear"/>
        </w:rPr>
        <w:t>Raising 2026 Guidance</w:t>
      </w:r>
      <w:r>
        <w:rPr>
          <w:color w:val="000000"/>
          <w:shd w:fill="FFFFFF" w:val="clear"/>
        </w:rPr>
        <w:t xml:space="preserve"> </w:t>
      </w:r>
      <w:r>
        <w:rPr>
          <w:rFonts w:ascii="Times New Roman;serif" w:hAnsi="Times New Roman;serif"/>
          <w:b w:val="false"/>
          <w:i/>
          <w:color w:val="000000"/>
          <w:sz w:val="20"/>
          <w:shd w:fill="FFFFFF" w:val="clear"/>
        </w:rPr>
        <w:t>(all comparisons against the full year 2025, unless otherwise noted)</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Revenue range of $2.705 to $2.765 billion, up ~21% year-on-year at the midpoint (prior range: $2.575 to $2.645 billion).</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Adjusted EBITDA* range of $630 to $660 million, up ~27% year-on-year at the midpoint (prior range: $600 to $625 million).</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Adjusted EPS* range of $8.20 to $8.60, up ~24% year-on-year at the midpoint (prior range: $7.75 to $8.15).</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Gene Lowe, President and CEO, remarked, “I’m very pleased with our second quarter performance, which reflected strong execution across both segments. We delivered significant year-over-year growth in revenue and operating income, driven by robust organic growth, continued demand across our key end markets, and meaningful contributions from our recent acquisitions. These results demonstrate the strength of our portfolio and the disciplined execution of our teams.”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Mr. Lowe continued, “We’re also making meaningful progress on our strategic priorities, advancing both our organic and inorganic growth initiatives. The acquisition of Neptronic expands our HVAC portfolio with highly complementary product categories that leverage our established sales channels. At the same time, we’re increasing manufacturing capacity to support growing demand, with initial assembly of Olympus Max now underway at our Madison, Alabama facility. Given our progress to date and improved visibility, we have increased our estimated annual data center revenue capacity to approximately $1.1 billion once at full production.”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Mr. Lowe further commented, “Looking ahead to the second half of 2026, we remain confident in the strength of customer demand and the momentum across our business. Accordingly, we are once again raising our full-year guidance, including Adjusted EBITDA* to a range of $630 to $660 million, representing an approximately 27% year-over-year increase at the midpoint. Our updated outlook reflects continued strength in data center demand, the impact of the Neptronic acquisition and stronger performance from our Detection and Measurement segment, positioning us well for the balance of the year.”</w:t>
      </w:r>
    </w:p>
    <w:p>
      <w:pPr>
        <w:pStyle w:val="TextBody"/>
        <w:bidi w:val="0"/>
        <w:spacing w:before="0" w:after="0"/>
        <w:ind w:left="0" w:right="0" w:firstLine="72"/>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60"/>
        <w:jc w:val="both"/>
        <w:rPr>
          <w:rFonts w:ascii="Times New Roman;serif" w:hAnsi="Times New Roman;serif"/>
          <w:b/>
          <w:color w:val="000000"/>
          <w:sz w:val="20"/>
        </w:rPr>
      </w:pPr>
      <w:r>
        <w:rPr>
          <w:rFonts w:ascii="Times New Roman;serif" w:hAnsi="Times New Roman;serif"/>
          <w:b/>
          <w:color w:val="000000"/>
          <w:sz w:val="20"/>
        </w:rPr>
        <w:t>Second Quarter and Year-to-Date Financial Comparisons:</w:t>
      </w:r>
    </w:p>
    <w:tbl>
      <w:tblPr>
        <w:tblW w:w="9959" w:type="dxa"/>
        <w:jc w:val="left"/>
        <w:tblInd w:w="0" w:type="dxa"/>
        <w:tblLayout w:type="fixed"/>
        <w:tblCellMar>
          <w:top w:w="28" w:type="dxa"/>
          <w:left w:w="28" w:type="dxa"/>
          <w:bottom w:w="28" w:type="dxa"/>
          <w:right w:w="28" w:type="dxa"/>
        </w:tblCellMar>
      </w:tblPr>
      <w:tblGrid>
        <w:gridCol w:w="1560"/>
        <w:gridCol w:w="1368"/>
        <w:gridCol w:w="1376"/>
        <w:gridCol w:w="109"/>
        <w:gridCol w:w="109"/>
        <w:gridCol w:w="109"/>
        <w:gridCol w:w="196"/>
        <w:gridCol w:w="556"/>
        <w:gridCol w:w="256"/>
        <w:gridCol w:w="109"/>
        <w:gridCol w:w="109"/>
        <w:gridCol w:w="109"/>
        <w:gridCol w:w="196"/>
        <w:gridCol w:w="556"/>
        <w:gridCol w:w="256"/>
        <w:gridCol w:w="109"/>
        <w:gridCol w:w="109"/>
        <w:gridCol w:w="109"/>
        <w:gridCol w:w="196"/>
        <w:gridCol w:w="691"/>
        <w:gridCol w:w="256"/>
        <w:gridCol w:w="109"/>
        <w:gridCol w:w="109"/>
        <w:gridCol w:w="109"/>
        <w:gridCol w:w="196"/>
        <w:gridCol w:w="691"/>
        <w:gridCol w:w="301"/>
      </w:tblGrid>
      <w:tr>
        <w:trPr/>
        <w:tc>
          <w:tcPr>
            <w:tcW w:w="1560"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 millions,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Q2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Q2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2026 YTD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2025 YTD</w:t>
            </w:r>
          </w:p>
        </w:tc>
      </w:tr>
      <w:tr>
        <w:trPr/>
        <w:tc>
          <w:tcPr>
            <w:tcW w:w="43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9" w:before="55" w:after="3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552.4 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1,245.8 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1,035.0 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319" w:before="55" w:after="30"/>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319" w:before="75" w:after="30"/>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EPS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before="75" w:after="3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75" w:after="3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75" w:after="3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319" w:before="75" w:after="30"/>
              <w:jc w:val="left"/>
              <w:rPr>
                <w:rFonts w:ascii="Times New Roman;serif" w:hAnsi="Times New Roman;serif"/>
                <w:b w:val="false"/>
                <w:color w:val="000000"/>
                <w:sz w:val="20"/>
              </w:rPr>
            </w:pPr>
            <w:r>
              <w:rPr>
                <w:rFonts w:ascii="Times New Roman;serif" w:hAnsi="Times New Roman;serif"/>
                <w:b w:val="false"/>
                <w:color w:val="000000"/>
                <w:sz w:val="20"/>
              </w:rPr>
              <w:t>Consolidated segment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167.1 </w:t>
            </w:r>
          </w:p>
        </w:tc>
        <w:tc>
          <w:tcPr>
            <w:tcW w:w="25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135.8 </w:t>
            </w:r>
          </w:p>
        </w:tc>
        <w:tc>
          <w:tcPr>
            <w:tcW w:w="25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302.4 </w:t>
            </w:r>
          </w:p>
        </w:tc>
        <w:tc>
          <w:tcPr>
            <w:tcW w:w="25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246.3 </w:t>
            </w:r>
          </w:p>
        </w:tc>
        <w:tc>
          <w:tcPr>
            <w:tcW w:w="30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319" w:before="75" w:after="30"/>
              <w:jc w:val="left"/>
              <w:rPr>
                <w:rFonts w:ascii="Times New Roman;serif" w:hAnsi="Times New Roman;serif"/>
                <w:b w:val="false"/>
                <w:color w:val="000000"/>
                <w:sz w:val="20"/>
              </w:rPr>
            </w:pPr>
            <w:r>
              <w:rPr>
                <w:rFonts w:ascii="Times New Roman;serif" w:hAnsi="Times New Roman;serif"/>
                <w:b w:val="false"/>
                <w:color w:val="000000"/>
                <w:sz w:val="20"/>
              </w:rPr>
              <w:t>Adjusted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319" w:before="75" w:after="30"/>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75" w:after="30"/>
              <w:jc w:val="left"/>
              <w:rPr/>
            </w:pPr>
            <w:r>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Adjusted EBITDA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75" w:after="3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75" w:after="3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cash flow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90.4 </w:t>
            </w:r>
          </w:p>
        </w:tc>
        <w:tc>
          <w:tcPr>
            <w:tcW w:w="25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25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120.2 </w:t>
            </w:r>
          </w:p>
        </w:tc>
        <w:tc>
          <w:tcPr>
            <w:tcW w:w="25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33.0 </w:t>
            </w:r>
          </w:p>
        </w:tc>
        <w:tc>
          <w:tcPr>
            <w:tcW w:w="30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free cash flow*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single" w:sz="8" w:space="0" w:color="6D6D6D"/>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72.1 </w:t>
            </w:r>
          </w:p>
        </w:tc>
        <w:tc>
          <w:tcPr>
            <w:tcW w:w="256" w:type="dxa"/>
            <w:tcBorders>
              <w:bottom w:val="single" w:sz="8" w:space="0" w:color="6D6D6D"/>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single" w:sz="8" w:space="0" w:color="6D6D6D"/>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37.1 </w:t>
            </w:r>
          </w:p>
        </w:tc>
        <w:tc>
          <w:tcPr>
            <w:tcW w:w="256" w:type="dxa"/>
            <w:tcBorders>
              <w:bottom w:val="single" w:sz="8" w:space="0" w:color="6D6D6D"/>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bottom w:val="single" w:sz="8" w:space="0" w:color="6D6D6D"/>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87.9 </w:t>
            </w:r>
          </w:p>
        </w:tc>
        <w:tc>
          <w:tcPr>
            <w:tcW w:w="256" w:type="dxa"/>
            <w:tcBorders>
              <w:bottom w:val="single" w:sz="8" w:space="0" w:color="6D6D6D"/>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bottom w:val="single" w:sz="8" w:space="0" w:color="6D6D6D"/>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73.4 </w:t>
            </w:r>
          </w:p>
        </w:tc>
        <w:tc>
          <w:tcPr>
            <w:tcW w:w="301" w:type="dxa"/>
            <w:tcBorders>
              <w:bottom w:val="single" w:sz="8" w:space="0" w:color="6D6D6D"/>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60"/>
        <w:jc w:val="both"/>
        <w:rPr>
          <w:rFonts w:ascii="Times New Roman;serif" w:hAnsi="Times New Roman;serif"/>
          <w:b w:val="false"/>
          <w:color w:val="000000"/>
          <w:sz w:val="20"/>
        </w:rPr>
      </w:pPr>
      <w:r>
        <w:rPr>
          <w:rFonts w:ascii="Times New Roman;serif" w:hAnsi="Times New Roman;serif"/>
          <w:b w:val="false"/>
          <w:color w:val="000000"/>
          <w:sz w:val="20"/>
        </w:rPr>
        <w:t>* Non-GAAP financial measure. See attached schedules for reconciliation of historical non-GAAP measures to most comparable GAAP financial measure. A reconciliation of non-GAAP guidance measures is not practicable and, accordingly, is not provided.</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color w:val="000000"/>
          <w:sz w:val="28"/>
        </w:rPr>
      </w:pPr>
      <w:r>
        <w:rPr>
          <w:rFonts w:ascii="Times New Roman;serif" w:hAnsi="Times New Roman;serif"/>
          <w:b/>
          <w:color w:val="000000"/>
          <w:sz w:val="28"/>
        </w:rPr>
        <w:t>Segment Overview:</w:t>
      </w:r>
    </w:p>
    <w:p>
      <w:pPr>
        <w:pStyle w:val="TextBody"/>
        <w:bidi w:val="0"/>
        <w:spacing w:before="0" w:after="0"/>
        <w:ind w:left="0" w:right="0" w:firstLine="72"/>
        <w:jc w:val="both"/>
        <w:rPr/>
      </w:pPr>
      <w:r>
        <w:rPr/>
      </w:r>
    </w:p>
    <w:p>
      <w:pPr>
        <w:pStyle w:val="TextBody"/>
        <w:bidi w:val="0"/>
        <w:spacing w:lineRule="auto" w:line="333" w:before="0" w:after="0"/>
        <w:jc w:val="both"/>
        <w:rPr>
          <w:rFonts w:ascii="Times New Roman;serif" w:hAnsi="Times New Roman;serif"/>
          <w:b/>
          <w:color w:val="000000"/>
          <w:sz w:val="24"/>
          <w:u w:val="single"/>
        </w:rPr>
      </w:pPr>
      <w:r>
        <w:rPr>
          <w:rFonts w:ascii="Times New Roman;serif" w:hAnsi="Times New Roman;serif"/>
          <w:b/>
          <w:color w:val="000000"/>
          <w:sz w:val="24"/>
          <w:u w:val="single"/>
        </w:rPr>
        <w:t>HVAC</w:t>
      </w:r>
    </w:p>
    <w:tbl>
      <w:tblPr>
        <w:tblW w:w="4874" w:type="dxa"/>
        <w:jc w:val="left"/>
        <w:tblInd w:w="0" w:type="dxa"/>
        <w:tblLayout w:type="fixed"/>
        <w:tblCellMar>
          <w:top w:w="28" w:type="dxa"/>
          <w:left w:w="28" w:type="dxa"/>
          <w:bottom w:w="28" w:type="dxa"/>
          <w:right w:w="28" w:type="dxa"/>
        </w:tblCellMar>
      </w:tblPr>
      <w:tblGrid>
        <w:gridCol w:w="784"/>
        <w:gridCol w:w="686"/>
        <w:gridCol w:w="689"/>
        <w:gridCol w:w="109"/>
        <w:gridCol w:w="109"/>
        <w:gridCol w:w="109"/>
        <w:gridCol w:w="196"/>
        <w:gridCol w:w="556"/>
        <w:gridCol w:w="256"/>
        <w:gridCol w:w="109"/>
        <w:gridCol w:w="109"/>
        <w:gridCol w:w="109"/>
        <w:gridCol w:w="196"/>
        <w:gridCol w:w="556"/>
        <w:gridCol w:w="301"/>
      </w:tblGrid>
      <w:tr>
        <w:trPr/>
        <w:tc>
          <w:tcPr>
            <w:tcW w:w="7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Three months ended</w:t>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Q2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Q2 2025</w:t>
            </w:r>
          </w:p>
        </w:tc>
      </w:tr>
      <w:tr>
        <w:trPr/>
        <w:tc>
          <w:tcPr>
            <w:tcW w:w="21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9" w:before="55" w:after="3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480.6 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376.7 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319" w:before="75" w:after="30"/>
              <w:ind w:left="0" w:right="0" w:hanging="180"/>
              <w:jc w:val="left"/>
              <w:rPr/>
            </w:pPr>
            <w:r>
              <w:rPr>
                <w:color w:val="000000"/>
              </w:rPr>
              <w:t>•</w:t>
            </w:r>
            <w:r>
              <w:rPr>
                <w:rFonts w:ascii="Times New Roman;serif" w:hAnsi="Times New Roman;serif"/>
                <w:b w:val="false"/>
                <w:i/>
                <w:color w:val="000000"/>
                <w:sz w:val="20"/>
              </w:rPr>
              <w:t>Organic</w:t>
            </w:r>
          </w:p>
        </w:tc>
        <w:tc>
          <w:tcPr>
            <w:tcW w:w="327" w:type="dxa"/>
            <w:gridSpan w:val="3"/>
            <w:tcBorders/>
            <w:shd w:fill="FFFFFF" w:val="clear"/>
            <w:tcMar>
              <w:top w:w="0" w:type="dxa"/>
              <w:left w:w="0" w:type="dxa"/>
              <w:bottom w:w="0" w:type="dxa"/>
              <w:right w:w="0" w:type="dxa"/>
            </w:tcMar>
            <w:vAlign w:val="center"/>
          </w:tcPr>
          <w:p>
            <w:pPr>
              <w:pStyle w:val="TableContents"/>
              <w:bidi w:val="0"/>
              <w:spacing w:before="75" w:after="30"/>
              <w:jc w:val="left"/>
              <w:rPr/>
            </w:pPr>
            <w:r>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319" w:before="75" w:after="30"/>
              <w:ind w:left="0" w:right="0" w:hanging="180"/>
              <w:jc w:val="left"/>
              <w:rPr/>
            </w:pPr>
            <w:r>
              <w:rPr>
                <w:color w:val="000000"/>
              </w:rPr>
              <w:t>•</w:t>
            </w:r>
            <w:r>
              <w:rPr>
                <w:rFonts w:ascii="Times New Roman;serif" w:hAnsi="Times New Roman;serif"/>
                <w:b w:val="false"/>
                <w:i/>
                <w:color w:val="000000"/>
                <w:sz w:val="20"/>
              </w:rPr>
              <w:t>Inorganic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319" w:before="75" w:after="30"/>
              <w:ind w:left="0" w:right="0" w:hanging="180"/>
              <w:jc w:val="left"/>
              <w:rPr/>
            </w:pPr>
            <w:r>
              <w:rPr>
                <w:color w:val="000000"/>
              </w:rPr>
              <w:t>•</w:t>
            </w:r>
            <w:r>
              <w:rPr>
                <w:rFonts w:ascii="Times New Roman;serif" w:hAnsi="Times New Roman;serif"/>
                <w:b w:val="false"/>
                <w:i/>
                <w:color w:val="000000"/>
                <w:sz w:val="20"/>
              </w:rPr>
              <w:t>Currency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319" w:before="75" w:after="30"/>
              <w:jc w:val="left"/>
              <w:rPr>
                <w:rFonts w:ascii="Times New Roman;serif" w:hAnsi="Times New Roman;serif"/>
                <w:b w:val="false"/>
                <w:i/>
                <w:color w:val="000000"/>
                <w:sz w:val="20"/>
              </w:rPr>
            </w:pPr>
            <w:r>
              <w:rPr>
                <w:rFonts w:ascii="Times New Roman;serif" w:hAnsi="Times New Roman;serif"/>
                <w:b w:val="false"/>
                <w:i/>
                <w:color w:val="000000"/>
                <w:sz w:val="20"/>
              </w:rPr>
              <w:t>Total 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319" w:before="75" w:after="30"/>
              <w:jc w:val="left"/>
              <w:rPr>
                <w:rFonts w:ascii="Times New Roman;serif" w:hAnsi="Times New Roman;serif"/>
                <w:b w:val="false"/>
                <w:color w:val="000000"/>
                <w:sz w:val="20"/>
              </w:rPr>
            </w:pPr>
            <w:r>
              <w:rPr>
                <w:rFonts w:ascii="Times New Roman;serif" w:hAnsi="Times New Roman;serif"/>
                <w:b w:val="false"/>
                <w:color w:val="000000"/>
                <w:sz w:val="20"/>
              </w:rPr>
              <w:t>Segment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as a percent of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5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-260bps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tLeast" w:line="220" w:before="0" w:after="0"/>
        <w:jc w:val="both"/>
        <w:rPr>
          <w:rFonts w:ascii="Times New Roman;serif" w:hAnsi="Times New Roman;serif"/>
          <w:b/>
          <w:color w:val="000000"/>
          <w:sz w:val="20"/>
        </w:rPr>
      </w:pPr>
      <w:r>
        <w:rPr>
          <w:rFonts w:ascii="Times New Roman;serif" w:hAnsi="Times New Roman;serif"/>
          <w:b/>
          <w:color w:val="000000"/>
          <w:sz w:val="20"/>
        </w:rPr>
        <w:t>Second Quarter 2026</w:t>
      </w:r>
    </w:p>
    <w:p>
      <w:pPr>
        <w:pStyle w:val="TextBody"/>
        <w:bidi w:val="0"/>
        <w:spacing w:lineRule="atLeast" w:line="220"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revenue increase was primarily driven by:</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an organic increase due primarily to (i) higher volumes of cooling equipment primarily associated with increased data center demand and higher throughput resulting from increased capacity, and (ii) higher volumes of our heating products;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shd w:fill="FFFFFF" w:val="clear"/>
        </w:rPr>
        <w:t xml:space="preserve">an inorganic increase from the acquisitions of Crawford United, Thermolec and Sigma &amp; Omega. </w:t>
      </w:r>
    </w:p>
    <w:p>
      <w:pPr>
        <w:pStyle w:val="TextBody"/>
        <w:bidi w:val="0"/>
        <w:spacing w:before="0" w:after="0"/>
        <w:jc w:val="both"/>
        <w:rPr/>
      </w:pPr>
      <w:r>
        <w:rPr/>
      </w:r>
    </w:p>
    <w:p>
      <w:pPr>
        <w:pStyle w:val="TextBody"/>
        <w:bidi w:val="0"/>
        <w:spacing w:lineRule="atLeast" w:line="220"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segment income increase was due primarily to the revenue growth mentioned above. The decrease in segment margin was primarily due to (i) start-up costs and related inefficiencies associated with our capacity expansion initiatives, (ii) net tariff headwinds and inflationary cost increases, and (iii) the respective 2025 period benefiting from a more accretive mix and favorable project execution primarily within our cooling equipment business.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color w:val="000000"/>
          <w:sz w:val="24"/>
          <w:u w:val="single"/>
        </w:rPr>
      </w:pPr>
      <w:r>
        <w:rPr>
          <w:rFonts w:ascii="Times New Roman;serif" w:hAnsi="Times New Roman;serif"/>
          <w:b/>
          <w:color w:val="000000"/>
          <w:sz w:val="24"/>
          <w:u w:val="single"/>
        </w:rPr>
        <w:t>Detection &amp; Measurement</w:t>
      </w:r>
    </w:p>
    <w:tbl>
      <w:tblPr>
        <w:tblW w:w="4874" w:type="dxa"/>
        <w:jc w:val="left"/>
        <w:tblInd w:w="0" w:type="dxa"/>
        <w:tblLayout w:type="fixed"/>
        <w:tblCellMar>
          <w:top w:w="28" w:type="dxa"/>
          <w:left w:w="28" w:type="dxa"/>
          <w:bottom w:w="28" w:type="dxa"/>
          <w:right w:w="28" w:type="dxa"/>
        </w:tblCellMar>
      </w:tblPr>
      <w:tblGrid>
        <w:gridCol w:w="784"/>
        <w:gridCol w:w="686"/>
        <w:gridCol w:w="689"/>
        <w:gridCol w:w="109"/>
        <w:gridCol w:w="109"/>
        <w:gridCol w:w="109"/>
        <w:gridCol w:w="196"/>
        <w:gridCol w:w="556"/>
        <w:gridCol w:w="256"/>
        <w:gridCol w:w="109"/>
        <w:gridCol w:w="109"/>
        <w:gridCol w:w="109"/>
        <w:gridCol w:w="196"/>
        <w:gridCol w:w="556"/>
        <w:gridCol w:w="301"/>
      </w:tblGrid>
      <w:tr>
        <w:trPr/>
        <w:tc>
          <w:tcPr>
            <w:tcW w:w="7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Three months ended</w:t>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Q2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Q2 2025</w:t>
            </w:r>
          </w:p>
        </w:tc>
      </w:tr>
      <w:tr>
        <w:trPr/>
        <w:tc>
          <w:tcPr>
            <w:tcW w:w="21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9" w:before="55" w:after="3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198.4 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175.7 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319" w:before="75" w:after="30"/>
              <w:ind w:left="0" w:right="0" w:hanging="180"/>
              <w:jc w:val="left"/>
              <w:rPr/>
            </w:pPr>
            <w:r>
              <w:rPr>
                <w:color w:val="000000"/>
              </w:rPr>
              <w:t>•</w:t>
            </w:r>
            <w:r>
              <w:rPr>
                <w:rFonts w:ascii="Times New Roman;serif" w:hAnsi="Times New Roman;serif"/>
                <w:b w:val="false"/>
                <w:i/>
                <w:color w:val="000000"/>
                <w:sz w:val="20"/>
              </w:rPr>
              <w:t>Organic</w:t>
            </w:r>
          </w:p>
        </w:tc>
        <w:tc>
          <w:tcPr>
            <w:tcW w:w="327" w:type="dxa"/>
            <w:gridSpan w:val="3"/>
            <w:tcBorders/>
            <w:shd w:fill="FFFFFF" w:val="clear"/>
            <w:tcMar>
              <w:top w:w="0" w:type="dxa"/>
              <w:left w:w="0" w:type="dxa"/>
              <w:bottom w:w="0" w:type="dxa"/>
              <w:right w:w="0" w:type="dxa"/>
            </w:tcMar>
            <w:vAlign w:val="center"/>
          </w:tcPr>
          <w:p>
            <w:pPr>
              <w:pStyle w:val="TableContents"/>
              <w:bidi w:val="0"/>
              <w:spacing w:before="75" w:after="30"/>
              <w:jc w:val="left"/>
              <w:rPr/>
            </w:pPr>
            <w:r>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319" w:before="75" w:after="30"/>
              <w:ind w:left="0" w:right="0" w:hanging="180"/>
              <w:jc w:val="left"/>
              <w:rPr/>
            </w:pPr>
            <w:r>
              <w:rPr>
                <w:color w:val="000000"/>
              </w:rPr>
              <w:t>•</w:t>
            </w:r>
            <w:r>
              <w:rPr>
                <w:rFonts w:ascii="Times New Roman;serif" w:hAnsi="Times New Roman;serif"/>
                <w:b w:val="false"/>
                <w:i/>
                <w:color w:val="000000"/>
                <w:sz w:val="20"/>
              </w:rPr>
              <w:t>Currency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319" w:before="75" w:after="30"/>
              <w:jc w:val="left"/>
              <w:rPr>
                <w:rFonts w:ascii="Times New Roman;serif" w:hAnsi="Times New Roman;serif"/>
                <w:b w:val="false"/>
                <w:i/>
                <w:color w:val="000000"/>
                <w:sz w:val="20"/>
              </w:rPr>
            </w:pPr>
            <w:r>
              <w:rPr>
                <w:rFonts w:ascii="Times New Roman;serif" w:hAnsi="Times New Roman;serif"/>
                <w:b w:val="false"/>
                <w:i/>
                <w:color w:val="000000"/>
                <w:sz w:val="20"/>
              </w:rPr>
              <w:t>Total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319" w:before="75" w:after="30"/>
              <w:jc w:val="left"/>
              <w:rPr>
                <w:rFonts w:ascii="Times New Roman;serif" w:hAnsi="Times New Roman;serif"/>
                <w:b w:val="false"/>
                <w:color w:val="000000"/>
                <w:sz w:val="20"/>
              </w:rPr>
            </w:pPr>
            <w:r>
              <w:rPr>
                <w:rFonts w:ascii="Times New Roman;serif" w:hAnsi="Times New Roman;serif"/>
                <w:b w:val="false"/>
                <w:color w:val="000000"/>
                <w:sz w:val="20"/>
              </w:rPr>
              <w:t>Segment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as a percent of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5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610bps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tLeast" w:line="220" w:before="0" w:after="0"/>
        <w:jc w:val="both"/>
        <w:rPr>
          <w:rFonts w:ascii="Times New Roman;serif" w:hAnsi="Times New Roman;serif"/>
          <w:b/>
          <w:color w:val="000000"/>
          <w:sz w:val="20"/>
        </w:rPr>
      </w:pPr>
      <w:r>
        <w:rPr>
          <w:rFonts w:ascii="Times New Roman;serif" w:hAnsi="Times New Roman;serif"/>
          <w:b/>
          <w:color w:val="000000"/>
          <w:sz w:val="20"/>
        </w:rPr>
        <w:t>Second Quarter 2026</w:t>
      </w:r>
    </w:p>
    <w:p>
      <w:pPr>
        <w:pStyle w:val="TextBody"/>
        <w:bidi w:val="0"/>
        <w:spacing w:lineRule="atLeast" w:line="220"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revenue increase was primarily driven by an organic increase due primarily to higher project volumes within our aids to navigation and communication technologies businesses.</w:t>
      </w:r>
    </w:p>
    <w:p>
      <w:pPr>
        <w:pStyle w:val="TextBody"/>
        <w:bidi w:val="0"/>
        <w:spacing w:before="0" w:after="0"/>
        <w:jc w:val="both"/>
        <w:rPr/>
      </w:pPr>
      <w:r>
        <w:rPr/>
      </w:r>
    </w:p>
    <w:p>
      <w:pPr>
        <w:pStyle w:val="TextBody"/>
        <w:bidi w:val="0"/>
        <w:spacing w:lineRule="atLeast" w:line="220"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segment income increase was due primarily to the revenue growth mentioned above. The segment margin increase was primarily due to (i) a more favorable product mix within our communication technologies and aids to navigation businesses, (ii) operating leverage, including on SG&amp;A costs, of the higher revenue mentioned above, and (iii) benefits realized related to our cost optimization initiatives.</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color w:val="000000"/>
          <w:sz w:val="28"/>
        </w:rPr>
      </w:pPr>
      <w:r>
        <w:rPr>
          <w:rFonts w:ascii="Times New Roman;serif" w:hAnsi="Times New Roman;serif"/>
          <w:b/>
          <w:color w:val="000000"/>
          <w:sz w:val="28"/>
        </w:rPr>
        <w:t>Liquidity and Financial Position:</w:t>
      </w:r>
    </w:p>
    <w:tbl>
      <w:tblPr>
        <w:tblW w:w="3787" w:type="dxa"/>
        <w:jc w:val="left"/>
        <w:tblInd w:w="0" w:type="dxa"/>
        <w:tblLayout w:type="fixed"/>
        <w:tblCellMar>
          <w:top w:w="28" w:type="dxa"/>
          <w:left w:w="28" w:type="dxa"/>
          <w:bottom w:w="28" w:type="dxa"/>
          <w:right w:w="28" w:type="dxa"/>
        </w:tblCellMar>
      </w:tblPr>
      <w:tblGrid>
        <w:gridCol w:w="435"/>
        <w:gridCol w:w="381"/>
        <w:gridCol w:w="383"/>
        <w:gridCol w:w="109"/>
        <w:gridCol w:w="109"/>
        <w:gridCol w:w="109"/>
        <w:gridCol w:w="215"/>
        <w:gridCol w:w="610"/>
        <w:gridCol w:w="119"/>
        <w:gridCol w:w="109"/>
        <w:gridCol w:w="109"/>
        <w:gridCol w:w="109"/>
        <w:gridCol w:w="214"/>
        <w:gridCol w:w="608"/>
        <w:gridCol w:w="168"/>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Q2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Q4 2025</w:t>
            </w:r>
          </w:p>
        </w:tc>
      </w:tr>
      <w:tr>
        <w:trPr/>
        <w:tc>
          <w:tcPr>
            <w:tcW w:w="11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9" w:before="75" w:after="30"/>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614.7 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501.6 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19" w:before="75" w:after="30"/>
              <w:jc w:val="left"/>
              <w:rPr>
                <w:rFonts w:ascii="Times New Roman;serif" w:hAnsi="Times New Roman;serif"/>
                <w:b w:val="false"/>
                <w:color w:val="000000"/>
                <w:sz w:val="20"/>
              </w:rPr>
            </w:pPr>
            <w:r>
              <w:rPr>
                <w:rFonts w:ascii="Times New Roman;serif" w:hAnsi="Times New Roman;serif"/>
                <w:b w:val="false"/>
                <w:color w:val="000000"/>
                <w:sz w:val="20"/>
              </w:rPr>
              <w:t>Total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168.2 </w:t>
            </w:r>
          </w:p>
        </w:tc>
        <w:tc>
          <w:tcPr>
            <w:tcW w:w="11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366.0 </w:t>
            </w:r>
          </w:p>
        </w:tc>
        <w:tc>
          <w:tcPr>
            <w:tcW w:w="16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**Does not include borrowings of $340.0 incurred in July 2026 in connection with funding the acquisition of Neptronic.</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color w:val="000000"/>
          <w:sz w:val="24"/>
          <w:u w:val="single"/>
        </w:rPr>
      </w:pPr>
      <w:r>
        <w:rPr>
          <w:rFonts w:ascii="Times New Roman;serif" w:hAnsi="Times New Roman;serif"/>
          <w:b/>
          <w:color w:val="000000"/>
          <w:sz w:val="24"/>
          <w:u w:val="single"/>
        </w:rPr>
        <w:t>2026 Guidance:</w:t>
      </w:r>
    </w:p>
    <w:p>
      <w:pPr>
        <w:pStyle w:val="TextBody"/>
        <w:bidi w:val="0"/>
        <w:spacing w:lineRule="auto" w:line="312"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the full year 2026, SPX now anticipates segment and company performance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29"/>
        <w:gridCol w:w="640"/>
        <w:gridCol w:w="648"/>
        <w:gridCol w:w="662"/>
        <w:gridCol w:w="662"/>
        <w:gridCol w:w="664"/>
        <w:gridCol w:w="641"/>
        <w:gridCol w:w="641"/>
        <w:gridCol w:w="644"/>
        <w:gridCol w:w="471"/>
        <w:gridCol w:w="471"/>
        <w:gridCol w:w="473"/>
        <w:gridCol w:w="838"/>
        <w:gridCol w:w="834"/>
        <w:gridCol w:w="1187"/>
      </w:tblGrid>
      <w:tr>
        <w:trPr/>
        <w:tc>
          <w:tcPr>
            <w:tcW w:w="72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w:t>
            </w:r>
          </w:p>
        </w:tc>
        <w:tc>
          <w:tcPr>
            <w:tcW w:w="1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Segment Income Margin %</w:t>
            </w:r>
          </w:p>
        </w:tc>
        <w:tc>
          <w:tcPr>
            <w:tcW w:w="14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Adjusted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EPS*</w:t>
            </w:r>
          </w:p>
        </w:tc>
        <w:tc>
          <w:tcPr>
            <w:tcW w:w="28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Adjusted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EBITDA*/%</w:t>
            </w:r>
          </w:p>
        </w:tc>
      </w:tr>
      <w:tr>
        <w:trPr/>
        <w:tc>
          <w:tcPr>
            <w:tcW w:w="201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HVAC</w:t>
            </w:r>
          </w:p>
        </w:tc>
        <w:tc>
          <w:tcPr>
            <w:tcW w:w="198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55" w:after="283"/>
              <w:jc w:val="center"/>
              <w:rPr>
                <w:rFonts w:ascii="Times New Roman;serif" w:hAnsi="Times New Roman;serif"/>
                <w:b/>
                <w:color w:val="000000"/>
                <w:sz w:val="20"/>
              </w:rPr>
            </w:pPr>
            <w:r>
              <w:rPr>
                <w:rFonts w:ascii="Times New Roman;serif" w:hAnsi="Times New Roman;serif"/>
                <w:b/>
                <w:color w:val="000000"/>
                <w:sz w:val="20"/>
              </w:rPr>
              <w:t>$1,955-$1,995 million</w:t>
            </w:r>
          </w:p>
          <w:p>
            <w:pPr>
              <w:pStyle w:val="TableContents"/>
              <w:bidi w:val="0"/>
              <w:spacing w:lineRule="auto" w:line="319" w:before="0" w:after="0"/>
              <w:jc w:val="center"/>
              <w:rPr>
                <w:rFonts w:ascii="Times New Roman;serif" w:hAnsi="Times New Roman;serif"/>
                <w:b w:val="false"/>
                <w:i/>
                <w:color w:val="000000"/>
                <w:sz w:val="20"/>
              </w:rPr>
            </w:pPr>
            <w:r>
              <w:rPr>
                <w:rFonts w:ascii="Times New Roman;serif" w:hAnsi="Times New Roman;serif"/>
                <w:b w:val="false"/>
                <w:i/>
                <w:color w:val="000000"/>
                <w:sz w:val="20"/>
              </w:rPr>
              <w:t>($1,840-$1,880 million prior)</w:t>
            </w:r>
          </w:p>
        </w:tc>
        <w:tc>
          <w:tcPr>
            <w:tcW w:w="19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55" w:after="283"/>
              <w:jc w:val="center"/>
              <w:rPr>
                <w:rFonts w:ascii="Times New Roman;serif" w:hAnsi="Times New Roman;serif"/>
                <w:b/>
                <w:color w:val="000000"/>
                <w:sz w:val="20"/>
              </w:rPr>
            </w:pPr>
            <w:r>
              <w:rPr>
                <w:rFonts w:ascii="Times New Roman;serif" w:hAnsi="Times New Roman;serif"/>
                <w:b/>
                <w:color w:val="000000"/>
                <w:sz w:val="20"/>
              </w:rPr>
              <w:t>24.50%-25.00%</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(24.25%-24.75% prior)</w:t>
            </w:r>
          </w:p>
        </w:tc>
        <w:tc>
          <w:tcPr>
            <w:tcW w:w="14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55" w:after="283"/>
              <w:jc w:val="center"/>
              <w:rPr/>
            </w:pPr>
            <w:r>
              <w:rPr/>
            </w:r>
          </w:p>
        </w:tc>
        <w:tc>
          <w:tcPr>
            <w:tcW w:w="28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Detection &amp; Measurement </w:t>
            </w:r>
          </w:p>
        </w:tc>
        <w:tc>
          <w:tcPr>
            <w:tcW w:w="198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9" w:before="55" w:after="283"/>
              <w:jc w:val="center"/>
              <w:rPr>
                <w:rFonts w:ascii="Times New Roman;serif" w:hAnsi="Times New Roman;serif"/>
                <w:b/>
                <w:color w:val="000000"/>
                <w:sz w:val="20"/>
              </w:rPr>
            </w:pPr>
            <w:r>
              <w:rPr>
                <w:rFonts w:ascii="Times New Roman;serif" w:hAnsi="Times New Roman;serif"/>
                <w:b/>
                <w:color w:val="000000"/>
                <w:sz w:val="20"/>
              </w:rPr>
              <w:t>$750-$770 million</w:t>
            </w:r>
          </w:p>
          <w:p>
            <w:pPr>
              <w:pStyle w:val="TableContents"/>
              <w:bidi w:val="0"/>
              <w:spacing w:lineRule="auto" w:line="319" w:before="0" w:after="0"/>
              <w:jc w:val="center"/>
              <w:rPr>
                <w:rFonts w:ascii="Times New Roman;serif" w:hAnsi="Times New Roman;serif"/>
                <w:b w:val="false"/>
                <w:i/>
                <w:color w:val="000000"/>
                <w:sz w:val="20"/>
              </w:rPr>
            </w:pPr>
            <w:r>
              <w:rPr>
                <w:rFonts w:ascii="Times New Roman;serif" w:hAnsi="Times New Roman;serif"/>
                <w:b w:val="false"/>
                <w:i/>
                <w:color w:val="000000"/>
                <w:sz w:val="20"/>
              </w:rPr>
              <w:t>($735-$765 million prior)</w:t>
            </w:r>
          </w:p>
        </w:tc>
        <w:tc>
          <w:tcPr>
            <w:tcW w:w="192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55" w:after="283"/>
              <w:jc w:val="center"/>
              <w:rPr>
                <w:rFonts w:ascii="Times New Roman;serif" w:hAnsi="Times New Roman;serif"/>
                <w:b/>
                <w:color w:val="000000"/>
                <w:sz w:val="20"/>
              </w:rPr>
            </w:pPr>
            <w:r>
              <w:rPr>
                <w:rFonts w:ascii="Times New Roman;serif" w:hAnsi="Times New Roman;serif"/>
                <w:b/>
                <w:color w:val="000000"/>
                <w:sz w:val="20"/>
              </w:rPr>
              <w:t>26.25%-26.75%</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(25.50%-26.00% prior)</w:t>
            </w:r>
          </w:p>
        </w:tc>
        <w:tc>
          <w:tcPr>
            <w:tcW w:w="14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55" w:after="283"/>
              <w:jc w:val="center"/>
              <w:rPr/>
            </w:pPr>
            <w:r>
              <w:rPr/>
            </w:r>
          </w:p>
        </w:tc>
        <w:tc>
          <w:tcPr>
            <w:tcW w:w="28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SPX Adjusted</w:t>
            </w:r>
          </w:p>
        </w:tc>
        <w:tc>
          <w:tcPr>
            <w:tcW w:w="198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55" w:after="283"/>
              <w:jc w:val="center"/>
              <w:rPr>
                <w:rFonts w:ascii="Times New Roman;serif" w:hAnsi="Times New Roman;serif"/>
                <w:b/>
                <w:color w:val="000000"/>
                <w:sz w:val="20"/>
              </w:rPr>
            </w:pPr>
            <w:r>
              <w:rPr>
                <w:rFonts w:ascii="Times New Roman;serif" w:hAnsi="Times New Roman;serif"/>
                <w:b/>
                <w:color w:val="000000"/>
                <w:sz w:val="20"/>
              </w:rPr>
              <w:t>$2.705-$2.765 billion</w:t>
            </w:r>
          </w:p>
          <w:p>
            <w:pPr>
              <w:pStyle w:val="TableContents"/>
              <w:bidi w:val="0"/>
              <w:spacing w:lineRule="auto" w:line="319" w:before="0" w:after="0"/>
              <w:jc w:val="center"/>
              <w:rPr>
                <w:rFonts w:ascii="Times New Roman;serif" w:hAnsi="Times New Roman;serif"/>
                <w:b w:val="false"/>
                <w:i/>
                <w:color w:val="000000"/>
                <w:sz w:val="20"/>
              </w:rPr>
            </w:pPr>
            <w:r>
              <w:rPr>
                <w:rFonts w:ascii="Times New Roman;serif" w:hAnsi="Times New Roman;serif"/>
                <w:b w:val="false"/>
                <w:i/>
                <w:color w:val="000000"/>
                <w:sz w:val="20"/>
              </w:rPr>
              <w:t>($2.575-$2.645 billion prior)</w:t>
            </w:r>
          </w:p>
        </w:tc>
        <w:tc>
          <w:tcPr>
            <w:tcW w:w="19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55" w:after="283"/>
              <w:jc w:val="center"/>
              <w:rPr>
                <w:rFonts w:ascii="Times New Roman;serif" w:hAnsi="Times New Roman;serif"/>
                <w:b/>
                <w:color w:val="000000"/>
                <w:sz w:val="20"/>
              </w:rPr>
            </w:pPr>
            <w:r>
              <w:rPr>
                <w:rFonts w:ascii="Times New Roman;serif" w:hAnsi="Times New Roman;serif"/>
                <w:b/>
                <w:color w:val="000000"/>
                <w:sz w:val="20"/>
              </w:rPr>
              <w:t>25.00%-25.50%</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(24.60%-25.10% prior)</w:t>
            </w:r>
          </w:p>
        </w:tc>
        <w:tc>
          <w:tcPr>
            <w:tcW w:w="14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55" w:after="283"/>
              <w:jc w:val="center"/>
              <w:rPr>
                <w:rFonts w:ascii="Times New Roman;serif" w:hAnsi="Times New Roman;serif"/>
                <w:b/>
                <w:color w:val="000000"/>
                <w:sz w:val="20"/>
              </w:rPr>
            </w:pPr>
            <w:r>
              <w:rPr>
                <w:rFonts w:ascii="Times New Roman;serif" w:hAnsi="Times New Roman;serif"/>
                <w:b/>
                <w:color w:val="000000"/>
                <w:sz w:val="20"/>
              </w:rPr>
              <w:t>$8.20-$8.60</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($7.75-$8.15 prior)</w:t>
            </w:r>
          </w:p>
        </w:tc>
        <w:tc>
          <w:tcPr>
            <w:tcW w:w="28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55" w:after="283"/>
              <w:jc w:val="center"/>
              <w:rPr>
                <w:rFonts w:ascii="Times New Roman;serif" w:hAnsi="Times New Roman;serif"/>
                <w:b/>
                <w:color w:val="000000"/>
                <w:sz w:val="20"/>
              </w:rPr>
            </w:pPr>
            <w:r>
              <w:rPr>
                <w:rFonts w:ascii="Times New Roman;serif" w:hAnsi="Times New Roman;serif"/>
                <w:b/>
                <w:color w:val="000000"/>
                <w:sz w:val="20"/>
              </w:rPr>
              <w:t>$630-$660 million / 23.30%-23.80%</w:t>
            </w:r>
          </w:p>
          <w:p>
            <w:pPr>
              <w:pStyle w:val="TableContents"/>
              <w:bidi w:val="0"/>
              <w:spacing w:lineRule="auto" w:line="240" w:before="55" w:after="283"/>
              <w:jc w:val="center"/>
              <w:rPr>
                <w:rFonts w:ascii="Times New Roman;serif" w:hAnsi="Times New Roman;serif"/>
                <w:b w:val="false"/>
                <w:i/>
                <w:color w:val="000000"/>
                <w:sz w:val="20"/>
              </w:rPr>
            </w:pPr>
            <w:r>
              <w:rPr>
                <w:rFonts w:ascii="Times New Roman;serif" w:hAnsi="Times New Roman;serif"/>
                <w:b w:val="false"/>
                <w:i/>
                <w:color w:val="000000"/>
                <w:sz w:val="20"/>
              </w:rPr>
              <w:t>($600-$625 million / 23.25%-23.75% prior)</w:t>
            </w:r>
          </w:p>
        </w:tc>
      </w:tr>
    </w:tbl>
    <w:p>
      <w:pPr>
        <w:pStyle w:val="TextBody"/>
        <w:bidi w:val="0"/>
        <w:spacing w:before="0" w:after="0"/>
        <w:ind w:left="0" w:right="0" w:firstLine="720"/>
        <w:jc w:val="both"/>
        <w:rPr/>
      </w:pPr>
      <w:r>
        <w:rPr/>
      </w:r>
    </w:p>
    <w:p>
      <w:pPr>
        <w:pStyle w:val="TextBody"/>
        <w:bidi w:val="0"/>
        <w:spacing w:lineRule="auto" w:line="312" w:before="0" w:after="0"/>
        <w:jc w:val="both"/>
        <w:rPr/>
      </w:pPr>
      <w:r>
        <w:rPr>
          <w:rFonts w:ascii="Times New Roman;serif" w:hAnsi="Times New Roman;serif"/>
          <w:b/>
          <w:color w:val="000000"/>
          <w:sz w:val="20"/>
        </w:rPr>
        <w:t xml:space="preserve">Form 10-Q: </w:t>
      </w:r>
      <w:r>
        <w:rPr>
          <w:rFonts w:ascii="Times New Roman;serif" w:hAnsi="Times New Roman;serif"/>
          <w:b w:val="false"/>
          <w:color w:val="000000"/>
          <w:sz w:val="20"/>
        </w:rPr>
        <w:t>The Company expects to file its quarterly report on Form 10-Q for the period ended June 27, 2026 with the Securities and Exchange Commission by August 7, 2026. This press release should be read in conjunction with that filing, which will be available on the Company's website at www.spx.com, in the Investor Relations section.</w:t>
      </w:r>
    </w:p>
    <w:p>
      <w:pPr>
        <w:pStyle w:val="TextBody"/>
        <w:bidi w:val="0"/>
        <w:spacing w:before="0" w:after="0"/>
        <w:jc w:val="both"/>
        <w:rPr/>
      </w:pPr>
      <w:r>
        <w:rPr/>
      </w:r>
    </w:p>
    <w:p>
      <w:pPr>
        <w:pStyle w:val="TextBody"/>
        <w:bidi w:val="0"/>
        <w:spacing w:lineRule="auto" w:line="312" w:before="0" w:after="0"/>
        <w:jc w:val="both"/>
        <w:rPr/>
      </w:pPr>
      <w:r>
        <w:rPr>
          <w:rFonts w:ascii="Times New Roman;serif" w:hAnsi="Times New Roman;serif"/>
          <w:b/>
          <w:color w:val="000000"/>
          <w:sz w:val="20"/>
        </w:rPr>
        <w:t xml:space="preserve">Conference Call: </w:t>
      </w:r>
      <w:r>
        <w:rPr>
          <w:rFonts w:ascii="Times New Roman;serif" w:hAnsi="Times New Roman;serif"/>
          <w:b w:val="false"/>
          <w:color w:val="000000"/>
          <w:sz w:val="20"/>
        </w:rPr>
        <w:t>SPX will host a conference call at 4:45 p.m. (ET) today to discuss second quarter results. The call will be simultaneously webcast via the Company's website at www.spx.com and the slide presentation will be available in the News section of the site.</w:t>
      </w:r>
    </w:p>
    <w:p>
      <w:pPr>
        <w:pStyle w:val="TextBody"/>
        <w:bidi w:val="0"/>
        <w:spacing w:before="0" w:after="0"/>
        <w:jc w:val="both"/>
        <w:rPr/>
      </w:pPr>
      <w:r>
        <w:rPr/>
      </w:r>
    </w:p>
    <w:p>
      <w:pPr>
        <w:pStyle w:val="TextBody"/>
        <w:bidi w:val="0"/>
        <w:spacing w:lineRule="auto" w:line="312" w:before="0" w:after="0"/>
        <w:jc w:val="both"/>
        <w:rPr/>
      </w:pPr>
      <w:r>
        <w:rPr>
          <w:rFonts w:ascii="Times New Roman;serif" w:hAnsi="Times New Roman;serif"/>
          <w:b/>
          <w:color w:val="000000"/>
          <w:sz w:val="20"/>
        </w:rPr>
        <w:t>Call Access Process:</w:t>
      </w:r>
      <w:r>
        <w:rPr>
          <w:color w:val="000000"/>
        </w:rPr>
        <w:t xml:space="preserve"> </w:t>
      </w:r>
      <w:r>
        <w:rPr>
          <w:rFonts w:ascii="Times New Roman;serif" w:hAnsi="Times New Roman;serif"/>
          <w:b w:val="false"/>
          <w:color w:val="000000"/>
          <w:sz w:val="20"/>
        </w:rPr>
        <w:t xml:space="preserve">To access the call by phone, please use the following link to receive dial-in details </w:t>
      </w:r>
      <w:r>
        <w:rPr>
          <w:rFonts w:ascii="Times New Roman;serif" w:hAnsi="Times New Roman;serif"/>
          <w:b w:val="false"/>
          <w:color w:val="000000"/>
          <w:sz w:val="20"/>
          <w:shd w:fill="FFFFFF" w:val="clear"/>
        </w:rPr>
        <w:t>https://register-conf.media-server.com/register/BI1493b55e6e4e4d7eb65b63476990f468. To avoid delays, we encourage participants t</w:t>
      </w:r>
      <w:r>
        <w:rPr>
          <w:rFonts w:ascii="Times New Roman;serif" w:hAnsi="Times New Roman;serif"/>
          <w:b w:val="false"/>
          <w:color w:val="000000"/>
          <w:sz w:val="20"/>
        </w:rPr>
        <w:t>o dial into the conference call fifteen minutes ahead of the scheduled start time. A replay of the webcast will also be available for a limited time at www.spx.com.</w:t>
      </w:r>
    </w:p>
    <w:p>
      <w:pPr>
        <w:pStyle w:val="TextBody"/>
        <w:bidi w:val="0"/>
        <w:spacing w:before="0" w:after="0"/>
        <w:jc w:val="both"/>
        <w:rPr/>
      </w:pPr>
      <w:r>
        <w:rPr/>
      </w:r>
    </w:p>
    <w:p>
      <w:pPr>
        <w:pStyle w:val="TextBody"/>
        <w:bidi w:val="0"/>
        <w:spacing w:lineRule="auto" w:line="307" w:before="0" w:after="0"/>
        <w:jc w:val="both"/>
        <w:rPr/>
      </w:pPr>
      <w:r>
        <w:rPr>
          <w:rFonts w:ascii="Times New Roman;serif" w:hAnsi="Times New Roman;serif"/>
          <w:b/>
          <w:color w:val="000000"/>
          <w:sz w:val="20"/>
        </w:rPr>
        <w:t>About SPX Technologies, Inc:</w:t>
      </w:r>
      <w:r>
        <w:rPr>
          <w:color w:val="000000"/>
        </w:rPr>
        <w:t xml:space="preserve"> </w:t>
      </w:r>
      <w:r>
        <w:rPr>
          <w:rFonts w:ascii="Times New Roman;serif" w:hAnsi="Times New Roman;serif"/>
          <w:b w:val="false"/>
          <w:color w:val="000000"/>
          <w:sz w:val="20"/>
        </w:rPr>
        <w:t>SPX Technologies, Inc. is a diversified, global supplier of highly engineered products and technologies, holding leadership positions in the HVAC and detection and measurement markets. Based in Charlotte, North Carolina, SPX Technologies, Inc. has operations in over 16 countries. SPX Technologies, Inc. is listed on the New York Stock Exchange under the ticker symbol “SPXC.” For more information, please visit www.spx.com.</w:t>
      </w:r>
    </w:p>
    <w:p>
      <w:pPr>
        <w:pStyle w:val="TextBody"/>
        <w:bidi w:val="0"/>
        <w:spacing w:before="0" w:after="0"/>
        <w:jc w:val="both"/>
        <w:rPr/>
      </w:pPr>
      <w:r>
        <w:rPr/>
      </w:r>
    </w:p>
    <w:p>
      <w:pPr>
        <w:pStyle w:val="TextBody"/>
        <w:bidi w:val="0"/>
        <w:spacing w:lineRule="auto" w:line="307" w:before="0" w:after="0"/>
        <w:jc w:val="both"/>
        <w:rPr/>
      </w:pPr>
      <w:r>
        <w:rPr>
          <w:rFonts w:ascii="Times New Roman;serif" w:hAnsi="Times New Roman;serif"/>
          <w:b/>
          <w:color w:val="000000"/>
          <w:sz w:val="20"/>
        </w:rPr>
        <w:t xml:space="preserve">Non-GAAP Presentation: </w:t>
      </w:r>
      <w:r>
        <w:rPr>
          <w:rFonts w:ascii="Times New Roman;serif" w:hAnsi="Times New Roman;serif"/>
          <w:b w:val="false"/>
          <w:color w:val="000000"/>
          <w:sz w:val="20"/>
        </w:rPr>
        <w:t>This press release contains certain non-GAAP financial measures, including consolidated segment income and margin, adjusted operating income, adjusted income from continuing operations before income taxes, adjusted earnings per share from continuing operations (or, adjusted EPS), EBITDA, adjusted EBITDA and margin, free cash flow from continuing operations and adjusted free cash flow from continuing operations (or, adjusted free cash flow). These non-GAAP financial measures do not provide investors with an accurate measure of, and should not be used as a substitute for, the comparable financial measures as determined in accordance with accounting principles generally accepted in the United States (“GAAP”). The Company believes these non-GAAP financial measures, when read in conjunction with the comparable GAAP financial measures, give investors a useful tool to assess and understand the Company’s overall financial performance, because they exclude items of income or expense that the Company believes are not reflective of its ongoing operating performance, allowing for a better period-to-period comparison of operations of the Company. Additionally, the Company’s management uses these non-GAAP financial measures as measures of the Company’s performance. The Company acknowledges that there are many items that impact a company’s reported results and the adjustments reflected in these non-GAAP measures are not intended to present all items that may have impacted these results. In addition, these non-GAAP measures are not necessarily comparable to similarly titled measures used by other companies.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Refer to the tables included in this press release for the components of each of the non-GAAP financial measures, and for the reconciliations of historical non-GAAP financial measures to their respective comparable GAAP measures. Our non-GAAP financial guidance excludes items, which would be included in our GAAP financial measures, that we do not consider indicative of our on-going performance; and are calculated in a manner consistent with the presentation of the similarly titled historical non-GAAP measures presented in this press release. These items include, but are not limited to, intangible asset amortization expense, acquisition and integration-related costs, costs associated with dispositions, and potential non-cash income or expense items associated with changes in market interest rates and actuarial or other data related to our pension and postretirement plans, as the ultimate aggregate amounts associated with these items are out of our control and/or cannot be reasonably predicted. Accordingly, a reconciliation of our non-GAAP financial guidance to the most comparable GAAP financial measures is not practicable. Full-year guidance excludes impacts from future acquisitions, dispositions and related transaction costs, incremental impacts of </w: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tariffs and trade tensions on market demand and costs subsequent to the date of this release, the impact of foreign exchange rate changes subsequent to June 27, 2026, and environmental and litigation charges.</w:t>
      </w:r>
    </w:p>
    <w:p>
      <w:pPr>
        <w:pStyle w:val="TextBody"/>
        <w:bidi w:val="0"/>
        <w:spacing w:before="0" w:after="0"/>
        <w:jc w:val="both"/>
        <w:rPr/>
      </w:pPr>
      <w:r>
        <w:rPr/>
      </w:r>
    </w:p>
    <w:p>
      <w:pPr>
        <w:pStyle w:val="TextBody"/>
        <w:bidi w:val="0"/>
        <w:spacing w:lineRule="auto" w:line="307" w:before="0" w:after="0"/>
        <w:jc w:val="both"/>
        <w:rPr/>
      </w:pPr>
      <w:r>
        <w:rPr>
          <w:rFonts w:ascii="Times New Roman;serif" w:hAnsi="Times New Roman;serif"/>
          <w:b/>
          <w:color w:val="000000"/>
          <w:sz w:val="20"/>
        </w:rPr>
        <w:t xml:space="preserve">Forward-looking Statements: </w:t>
      </w:r>
      <w:r>
        <w:rPr>
          <w:rFonts w:ascii="Times New Roman;serif" w:hAnsi="Times New Roman;serif"/>
          <w:b w:val="false"/>
          <w:color w:val="000000"/>
          <w:sz w:val="20"/>
        </w:rPr>
        <w:t>Certain statements in this press release are forward-looking statements within the meaning of Section 27A of the Securities Act of 1933, as amended, and Section 21E of the Securities Exchange Act of 1934, as amended, and are subject to the safe harbor created thereby. Please read these results in conjunction with the Company’s documents filed with the Securities and Exchange Commission, including the Company’s most recent annual report on Form 10-K. These filings identify important risk factors and other uncertainties that could cause actual results to differ from those contained in the forward-looking statements, including the following: cyclical changes and specific industry events in our markets; changes in anticipated capital investment and maintenance expenditures by customers; changes in economic conditions in relevant global and North American markets, including as a result of geopolitical conflicts, including the armed conflicts in the Middle East and related impacts on shipping in that region, the imposition, or threat of imposition of tariffs, including any new or increased tariffs announced by the U.S. government and any retaliatory tariffs announced in response thereto, and other trade barriers or international trade tensions; availability, limitations or cost increases of raw materials and/or commodities, including as a result of geopolitical conflicts or new or increased tariffs, as well as the potential impact of retaliatory tariffs and other penalties, that cannot be recovered in product pricing; the impact of competition on profit margins and our ability to maintain or increase market share; risks with respect to our contracts with the U.S. government, including the government’s ability to terminate contracts prior to completion or failure to appropriate amounts necessary to fund such contracts; inadequate performance by third-party suppliers and subcontractors for outsourced products, components and services and other supply-chain risks; the uncertainty of claims resolution with respect to environmental and other contingent liabilities; the impact of climate change and any legal or regulatory actions taken in response thereto; cyber-security risks; risks with respect to the protection of intellectual property, including with respect to our digitalization initiatives; the impact of overruns, inflation and the incurrence of delays with respect to long-term fixed-price contracts; defects or errors in current or planned products; the impact of pandemics and governmental and other actions taken in response; domestic economic, political, legal, accounting and business developments adversely affecting our business, including regulatory changes; uncertainties with respect to our ability to complete expansions to or the reconfiguration of our manufacturing footprint within the time periods and at costs we anticipate and whether we will realize the anticipated benefits of these activities; uncertainties with respect to our ability to identify acceptable acquisition targets; uncertainties surrounding timing and successful completion of acquisition transactions, including with respect to integrating acquisitions and achieving cost savings, synergistic sales or other benefits from acquisitions; the impact of retained liabilities of disposed businesses; potential labor disputes; and extreme weather conditions and natural and other disasters.</w:t>
      </w:r>
    </w:p>
    <w:p>
      <w:pPr>
        <w:pStyle w:val="TextBody"/>
        <w:bidi w:val="0"/>
        <w:spacing w:before="0" w:after="0"/>
        <w:jc w:val="both"/>
        <w:rPr/>
      </w:pPr>
      <w:r>
        <w:rPr/>
      </w:r>
    </w:p>
    <w:p>
      <w:pPr>
        <w:pStyle w:val="TextBody"/>
        <w:bidi w:val="0"/>
        <w:spacing w:lineRule="auto" w:line="307" w:before="0" w:after="0"/>
        <w:jc w:val="both"/>
        <w:rPr>
          <w:rFonts w:ascii="Times New Roman;serif" w:hAnsi="Times New Roman;serif"/>
          <w:b w:val="false"/>
          <w:color w:val="000000"/>
          <w:sz w:val="20"/>
        </w:rPr>
      </w:pPr>
      <w:r>
        <w:rPr>
          <w:rFonts w:ascii="Times New Roman;serif" w:hAnsi="Times New Roman;serif"/>
          <w:b w:val="false"/>
          <w:color w:val="000000"/>
          <w:sz w:val="20"/>
        </w:rPr>
        <w:t>Actual results may differ materially from these statements. The words “guidance,” “believe,” “expect,” “anticipate,” “project” and similar expressions identify forward-looking statements. Although the Company believes that the expectations reflected in its forward-looking statements are reasonable, it can give no assurance that such expectations will prove to be correct.</w:t>
      </w:r>
    </w:p>
    <w:p>
      <w:pPr>
        <w:pStyle w:val="TextBody"/>
        <w:bidi w:val="0"/>
        <w:spacing w:before="0" w:after="0"/>
        <w:jc w:val="both"/>
        <w:rPr/>
      </w:pPr>
      <w:r>
        <w:rPr/>
      </w:r>
    </w:p>
    <w:p>
      <w:pPr>
        <w:pStyle w:val="TextBody"/>
        <w:bidi w:val="0"/>
        <w:spacing w:lineRule="auto" w:line="307" w:before="0" w:after="0"/>
        <w:jc w:val="both"/>
        <w:rPr>
          <w:rFonts w:ascii="Times New Roman;serif" w:hAnsi="Times New Roman;serif"/>
          <w:b w:val="false"/>
          <w:color w:val="000000"/>
          <w:sz w:val="20"/>
        </w:rPr>
      </w:pPr>
      <w:r>
        <w:rPr>
          <w:rFonts w:ascii="Times New Roman;serif" w:hAnsi="Times New Roman;serif"/>
          <w:b w:val="false"/>
          <w:color w:val="000000"/>
          <w:sz w:val="20"/>
        </w:rPr>
        <w:t>Statements in this press release speak only as of the date of this press release, and SPX Technologies, Inc. disclaims any responsibility to update or revise such statements, except as required by law.</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12" w:before="0" w:after="0"/>
        <w:jc w:val="both"/>
        <w:rPr>
          <w:rFonts w:ascii="Times New Roman;serif" w:hAnsi="Times New Roman;serif"/>
          <w:b/>
          <w:color w:val="000000"/>
          <w:sz w:val="20"/>
        </w:rPr>
      </w:pPr>
      <w:r>
        <w:rPr>
          <w:rFonts w:ascii="Times New Roman;serif" w:hAnsi="Times New Roman;serif"/>
          <w:b/>
          <w:color w:val="000000"/>
          <w:sz w:val="20"/>
        </w:rPr>
        <w:t>Investor and Media Contact:</w:t>
      </w:r>
    </w:p>
    <w:p>
      <w:pPr>
        <w:pStyle w:val="TextBody"/>
        <w:bidi w:val="0"/>
        <w:spacing w:lineRule="auto" w:line="307"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Johann Rawlinson, VP, Investor Relations</w:t>
      </w:r>
    </w:p>
    <w:p>
      <w:pPr>
        <w:pStyle w:val="TextBody"/>
        <w:bidi w:val="0"/>
        <w:spacing w:lineRule="auto" w:line="297"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Phone: 980-228-6028</w:t>
      </w:r>
    </w:p>
    <w:p>
      <w:pPr>
        <w:pStyle w:val="TextBody"/>
        <w:bidi w:val="0"/>
        <w:spacing w:lineRule="auto" w:line="307"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E-mail: spx.investor@spx.com</w:t>
      </w:r>
    </w:p>
    <w:p>
      <w:pPr>
        <w:pStyle w:val="TextBody"/>
        <w:bidi w:val="0"/>
        <w:spacing w:lineRule="auto" w:line="307" w:before="0" w:after="0"/>
        <w:jc w:val="left"/>
        <w:rPr>
          <w:rFonts w:ascii="Times New Roman;serif" w:hAnsi="Times New Roman;serif"/>
          <w:b w:val="false"/>
          <w:color w:val="000000"/>
          <w:sz w:val="20"/>
        </w:rPr>
      </w:pPr>
      <w:r>
        <w:rPr>
          <w:rFonts w:ascii="Times New Roman;serif" w:hAnsi="Times New Roman;serif"/>
          <w:b w:val="false"/>
          <w:color w:val="000000"/>
          <w:sz w:val="20"/>
        </w:rPr>
        <w:t>Source: SPX Technologies,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99"/>
        <w:gridCol w:w="1312"/>
        <w:gridCol w:w="1309"/>
        <w:gridCol w:w="236"/>
        <w:gridCol w:w="670"/>
        <w:gridCol w:w="131"/>
        <w:gridCol w:w="121"/>
        <w:gridCol w:w="121"/>
        <w:gridCol w:w="121"/>
        <w:gridCol w:w="236"/>
        <w:gridCol w:w="670"/>
        <w:gridCol w:w="131"/>
        <w:gridCol w:w="121"/>
        <w:gridCol w:w="121"/>
        <w:gridCol w:w="121"/>
        <w:gridCol w:w="219"/>
        <w:gridCol w:w="774"/>
        <w:gridCol w:w="121"/>
        <w:gridCol w:w="121"/>
        <w:gridCol w:w="121"/>
        <w:gridCol w:w="121"/>
        <w:gridCol w:w="219"/>
        <w:gridCol w:w="774"/>
        <w:gridCol w:w="121"/>
        <w:gridCol w:w="109"/>
        <w:gridCol w:w="109"/>
        <w:gridCol w:w="109"/>
        <w:gridCol w:w="167"/>
      </w:tblGrid>
      <w:tr>
        <w:trPr/>
        <w:tc>
          <w:tcPr>
            <w:tcW w:w="1699"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9711"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SPX TECHNOLOGIES, INC. AND SUBSIDIARIES</w:t>
            </w:r>
          </w:p>
        </w:tc>
        <w:tc>
          <w:tcPr>
            <w:tcW w:w="494" w:type="dxa"/>
            <w:gridSpan w:val="4"/>
            <w:tcBorders/>
          </w:tcPr>
          <w:p>
            <w:pPr>
              <w:pStyle w:val="TableContents"/>
              <w:bidi w:val="0"/>
              <w:spacing w:before="0" w:after="283"/>
              <w:jc w:val="left"/>
              <w:rPr>
                <w:sz w:val="4"/>
                <w:szCs w:val="4"/>
              </w:rPr>
            </w:pPr>
            <w:r>
              <w:rPr>
                <w:sz w:val="4"/>
                <w:szCs w:val="4"/>
              </w:rPr>
            </w:r>
          </w:p>
        </w:tc>
      </w:tr>
      <w:tr>
        <w:trPr/>
        <w:tc>
          <w:tcPr>
            <w:tcW w:w="9711"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tc>
        <w:tc>
          <w:tcPr>
            <w:tcW w:w="494" w:type="dxa"/>
            <w:gridSpan w:val="4"/>
            <w:tcBorders/>
          </w:tcPr>
          <w:p>
            <w:pPr>
              <w:pStyle w:val="TableContents"/>
              <w:bidi w:val="0"/>
              <w:spacing w:before="0" w:after="283"/>
              <w:jc w:val="left"/>
              <w:rPr>
                <w:sz w:val="4"/>
                <w:szCs w:val="4"/>
              </w:rPr>
            </w:pPr>
            <w:r>
              <w:rPr>
                <w:sz w:val="4"/>
                <w:szCs w:val="4"/>
              </w:rPr>
            </w:r>
          </w:p>
        </w:tc>
      </w:tr>
      <w:tr>
        <w:trPr/>
        <w:tc>
          <w:tcPr>
            <w:tcW w:w="9711"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 in millions, except per share amounts)</w:t>
            </w:r>
          </w:p>
        </w:tc>
        <w:tc>
          <w:tcPr>
            <w:tcW w:w="494" w:type="dxa"/>
            <w:gridSpan w:val="4"/>
            <w:tcBorders/>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gridSpan w:val="2"/>
            <w:tcBorders/>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1,245.8 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 intangible amortization</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charges, net</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 net</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income </w:t>
            </w:r>
          </w:p>
        </w:tc>
        <w:tc>
          <w:tcPr>
            <w:tcW w:w="9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202.7 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before income taxes</w:t>
            </w:r>
          </w:p>
        </w:tc>
        <w:tc>
          <w:tcPr>
            <w:tcW w:w="9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179.6 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127.8 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w:t>
            </w:r>
          </w:p>
        </w:tc>
        <w:tc>
          <w:tcPr>
            <w:tcW w:w="9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143.7 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discontinued operations, net of tax</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disposition of discontinued operations, net of tax</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 net of tax</w:t>
            </w:r>
          </w:p>
        </w:tc>
        <w:tc>
          <w:tcPr>
            <w:tcW w:w="9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138.3 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income per share of common stock:</w:t>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w:t>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2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 — basic</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50.070 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46.716 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49.999 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46.586 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income per share of common stock:</w:t>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from continuing operations </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 — diluted</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50.675 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47.396 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50.597 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47.255 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8843" w:type="dxa"/>
        <w:jc w:val="left"/>
        <w:tblInd w:w="0" w:type="dxa"/>
        <w:tblLayout w:type="fixed"/>
        <w:tblCellMar>
          <w:top w:w="28" w:type="dxa"/>
          <w:left w:w="28" w:type="dxa"/>
          <w:bottom w:w="28" w:type="dxa"/>
          <w:right w:w="28" w:type="dxa"/>
        </w:tblCellMar>
      </w:tblPr>
      <w:tblGrid>
        <w:gridCol w:w="1696"/>
        <w:gridCol w:w="1488"/>
        <w:gridCol w:w="1496"/>
        <w:gridCol w:w="345"/>
        <w:gridCol w:w="1219"/>
        <w:gridCol w:w="191"/>
        <w:gridCol w:w="191"/>
        <w:gridCol w:w="191"/>
        <w:gridCol w:w="191"/>
        <w:gridCol w:w="345"/>
        <w:gridCol w:w="1219"/>
        <w:gridCol w:w="271"/>
      </w:tblGrid>
      <w:tr>
        <w:trPr/>
        <w:tc>
          <w:tcPr>
            <w:tcW w:w="1696"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884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SPX TECHNOLOGIES, INC. AND SUBSIDIARIES</w:t>
            </w:r>
          </w:p>
        </w:tc>
      </w:tr>
      <w:tr>
        <w:trPr/>
        <w:tc>
          <w:tcPr>
            <w:tcW w:w="884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tc>
      </w:tr>
      <w:tr>
        <w:trPr/>
        <w:tc>
          <w:tcPr>
            <w:tcW w:w="884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 in millions)</w:t>
            </w:r>
          </w:p>
        </w:tc>
      </w:tr>
      <w:tr>
        <w:trPr/>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7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equivalents</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1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5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1,102.4 </w:t>
            </w:r>
          </w:p>
        </w:tc>
        <w:tc>
          <w:tcPr>
            <w:tcW w:w="1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1,143.7 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17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leasehold improvements</w:t>
            </w:r>
          </w:p>
        </w:tc>
        <w:tc>
          <w:tcPr>
            <w:tcW w:w="1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579.3 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5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324.8 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5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1,234.3 </w:t>
            </w:r>
          </w:p>
        </w:tc>
        <w:tc>
          <w:tcPr>
            <w:tcW w:w="1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Intangibles, net</w:t>
            </w:r>
          </w:p>
        </w:tc>
        <w:tc>
          <w:tcPr>
            <w:tcW w:w="1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of DBT and Heat Transfer</w:t>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3,939.3 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3,604.6 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AND STOCKHOLDERS' EQUITY</w:t>
            </w:r>
          </w:p>
        </w:tc>
        <w:tc>
          <w:tcPr>
            <w:tcW w:w="1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debt</w:t>
            </w:r>
          </w:p>
        </w:tc>
        <w:tc>
          <w:tcPr>
            <w:tcW w:w="1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long-term debt</w:t>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5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604.1 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and other income taxes</w:t>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of DBT and Heat Transfer</w:t>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liabilities</w:t>
            </w:r>
          </w:p>
        </w:tc>
        <w:tc>
          <w:tcPr>
            <w:tcW w:w="15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986.8 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Paid-in capital</w:t>
            </w:r>
          </w:p>
        </w:tc>
        <w:tc>
          <w:tcPr>
            <w:tcW w:w="1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1,933.8 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in treasury</w:t>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5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2,348.4 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2,237.5 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3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3,939.3 </w:t>
            </w:r>
          </w:p>
        </w:tc>
        <w:tc>
          <w:tcPr>
            <w:tcW w:w="1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3,604.6 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2545" w:type="dxa"/>
        <w:jc w:val="left"/>
        <w:tblInd w:w="0" w:type="dxa"/>
        <w:tblLayout w:type="fixed"/>
        <w:tblCellMar>
          <w:top w:w="28" w:type="dxa"/>
          <w:left w:w="28" w:type="dxa"/>
          <w:bottom w:w="28" w:type="dxa"/>
          <w:right w:w="28" w:type="dxa"/>
        </w:tblCellMar>
      </w:tblPr>
      <w:tblGrid>
        <w:gridCol w:w="812"/>
        <w:gridCol w:w="291"/>
        <w:gridCol w:w="293"/>
        <w:gridCol w:w="109"/>
        <w:gridCol w:w="109"/>
        <w:gridCol w:w="109"/>
        <w:gridCol w:w="196"/>
        <w:gridCol w:w="571"/>
        <w:gridCol w:w="286"/>
        <w:gridCol w:w="109"/>
        <w:gridCol w:w="109"/>
        <w:gridCol w:w="109"/>
        <w:gridCol w:w="196"/>
        <w:gridCol w:w="571"/>
        <w:gridCol w:w="286"/>
        <w:gridCol w:w="109"/>
        <w:gridCol w:w="109"/>
        <w:gridCol w:w="109"/>
        <w:gridCol w:w="196"/>
        <w:gridCol w:w="571"/>
        <w:gridCol w:w="109"/>
        <w:gridCol w:w="109"/>
        <w:gridCol w:w="109"/>
        <w:gridCol w:w="109"/>
        <w:gridCol w:w="229"/>
        <w:gridCol w:w="229"/>
        <w:gridCol w:w="233"/>
        <w:gridCol w:w="109"/>
        <w:gridCol w:w="109"/>
        <w:gridCol w:w="109"/>
        <w:gridCol w:w="196"/>
        <w:gridCol w:w="706"/>
        <w:gridCol w:w="286"/>
        <w:gridCol w:w="109"/>
        <w:gridCol w:w="109"/>
        <w:gridCol w:w="109"/>
        <w:gridCol w:w="196"/>
        <w:gridCol w:w="706"/>
        <w:gridCol w:w="286"/>
        <w:gridCol w:w="109"/>
        <w:gridCol w:w="109"/>
        <w:gridCol w:w="109"/>
        <w:gridCol w:w="196"/>
        <w:gridCol w:w="571"/>
        <w:gridCol w:w="109"/>
        <w:gridCol w:w="109"/>
        <w:gridCol w:w="109"/>
        <w:gridCol w:w="109"/>
        <w:gridCol w:w="229"/>
        <w:gridCol w:w="229"/>
        <w:gridCol w:w="233"/>
        <w:gridCol w:w="109"/>
        <w:gridCol w:w="109"/>
        <w:gridCol w:w="109"/>
        <w:gridCol w:w="109"/>
        <w:gridCol w:w="109"/>
        <w:gridCol w:w="109"/>
        <w:gridCol w:w="109"/>
        <w:gridCol w:w="154"/>
      </w:tblGrid>
      <w:tr>
        <w:trPr/>
        <w:tc>
          <w:tcPr>
            <w:tcW w:w="81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628"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SPX TECHNOLOGIES, INC. AND SUBSIDIARIES</w:t>
            </w:r>
          </w:p>
        </w:tc>
        <w:tc>
          <w:tcPr>
            <w:tcW w:w="917" w:type="dxa"/>
            <w:gridSpan w:val="8"/>
            <w:tcBorders/>
          </w:tcPr>
          <w:p>
            <w:pPr>
              <w:pStyle w:val="TableContents"/>
              <w:bidi w:val="0"/>
              <w:spacing w:before="0" w:after="283"/>
              <w:jc w:val="left"/>
              <w:rPr>
                <w:sz w:val="4"/>
                <w:szCs w:val="4"/>
              </w:rPr>
            </w:pPr>
            <w:r>
              <w:rPr>
                <w:sz w:val="4"/>
                <w:szCs w:val="4"/>
              </w:rPr>
            </w:r>
          </w:p>
        </w:tc>
      </w:tr>
      <w:tr>
        <w:trPr/>
        <w:tc>
          <w:tcPr>
            <w:tcW w:w="11628"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RESULTS OF REPORTABLE SEGMENTS</w:t>
            </w:r>
          </w:p>
        </w:tc>
        <w:tc>
          <w:tcPr>
            <w:tcW w:w="917" w:type="dxa"/>
            <w:gridSpan w:val="8"/>
            <w:tcBorders/>
          </w:tcPr>
          <w:p>
            <w:pPr>
              <w:pStyle w:val="TableContents"/>
              <w:bidi w:val="0"/>
              <w:spacing w:before="0" w:after="283"/>
              <w:jc w:val="left"/>
              <w:rPr>
                <w:sz w:val="4"/>
                <w:szCs w:val="4"/>
              </w:rPr>
            </w:pPr>
            <w:r>
              <w:rPr>
                <w:sz w:val="4"/>
                <w:szCs w:val="4"/>
              </w:rPr>
            </w:r>
          </w:p>
        </w:tc>
      </w:tr>
      <w:tr>
        <w:trPr/>
        <w:tc>
          <w:tcPr>
            <w:tcW w:w="11628"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 in millions)</w:t>
            </w:r>
          </w:p>
        </w:tc>
        <w:tc>
          <w:tcPr>
            <w:tcW w:w="917" w:type="dxa"/>
            <w:gridSpan w:val="8"/>
            <w:tcBorders/>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Δ</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u w:val="single"/>
              </w:rPr>
            </w:pPr>
            <w:r>
              <w:rPr>
                <w:rFonts w:ascii="Times New Roman;serif" w:hAnsi="Times New Roman;serif"/>
                <w:b/>
                <w:i/>
                <w:color w:val="000000"/>
                <w:sz w:val="18"/>
                <w:u w:val="single"/>
              </w:rPr>
              <w:t>%/bps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Δ</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u w:val="single"/>
              </w:rPr>
            </w:pPr>
            <w:r>
              <w:rPr>
                <w:rFonts w:ascii="Times New Roman;serif" w:hAnsi="Times New Roman;serif"/>
                <w:b/>
                <w:i/>
                <w:color w:val="000000"/>
                <w:sz w:val="18"/>
                <w:u w:val="single"/>
              </w:rPr>
              <w:t>%/bps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HVAC reportable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27.6%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25.0%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products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109.8 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95.8 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14.6%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198.4 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169.7 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16.9%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 a percent of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28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25.4 </w:t>
            </w:r>
          </w:p>
        </w:tc>
        <w:tc>
          <w:tcPr>
            <w:tcW w:w="28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-260bps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28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28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-160bps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Detection &amp; Measurement reportable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10.7%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products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43.3%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35.8%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 a percent of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28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28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610bps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28.0 </w:t>
            </w:r>
          </w:p>
        </w:tc>
        <w:tc>
          <w:tcPr>
            <w:tcW w:w="28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28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520bps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Consolidated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679.0</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552.4</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22.9%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1,245.8</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1,035.0</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20.4%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Consolidated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115.0</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86.6</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32.8%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202.7</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153.2</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32.3%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a percent of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16.9</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15.7</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120bps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16.3</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14.8</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150bps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Consolidated Segment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167.1</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135.8</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23.0%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302.4</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246.3</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22.8%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a percent of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24.6</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24.6</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0bps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24.3</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23.8</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50bps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Exclude: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18"/>
              </w:rPr>
              <w:t xml:space="preserve">Acquisition and integration-related costs </w:t>
            </w:r>
            <w:r>
              <w:rPr>
                <w:rFonts w:ascii="Times New Roman;serif" w:hAnsi="Times New Roman;serif"/>
                <w:b w:val="false"/>
                <w:color w:val="000000"/>
                <w:sz w:val="12"/>
              </w:rPr>
              <w:t>(1)</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incentive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Amortization of acquired intangible assets</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Special charges,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Consolidated segment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167.1 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135.8 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23.0%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302.4 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246.3 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22.8%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as a percent of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28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28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0bps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28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28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50bps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628" w:type="dxa"/>
            <w:gridSpan w:val="51"/>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Represents certain acquisition-related and other costs incurred of $3.2 and $8.2 during the three and six months ended June 27, 2026, respectively, and $6.9 and $13.3 during the three and six months ended June 28, 2025, respectively. The three and six months ended June 27, 2026 includes amortization of a deferred compensation asset in connection with the Kranze Technology Solutions (“KTS”) acquisition of $2.7 and $6.3, respectively. The six months ended June 27, 2026 includes additional “Cost of products sold” related to the step up of inventory (to fair value) acquired in connection with the Thermolec Ltd. (“Thermolec”) acquisition of $0.4 and the Crawford United Corporation (“Crawford United”) acquisition of $0.1. The three and six months ended June 28, 2025 includes amortization of a deferred compensation asset and additional “Cost of products sold” related to the step up of inventory (to fair value) each acquired in connection with the KTS acquisition of $6.6 and $10.9 and $0.5 and $0.8, respectively.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628" w:type="dxa"/>
            <w:gridSpan w:val="51"/>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 xml:space="preserve">(2) </w:t>
            </w:r>
            <w:r>
              <w:rPr>
                <w:rFonts w:ascii="Times New Roman;serif" w:hAnsi="Times New Roman;serif"/>
                <w:b w:val="false"/>
                <w:color w:val="000000"/>
                <w:sz w:val="18"/>
              </w:rPr>
              <w:t xml:space="preserve">Represents amortization expense associated with acquired intangible assets recorded within “Selling, general and administrative — intangible amortization” and “Cost of products sold”.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932"/>
        <w:gridCol w:w="1418"/>
        <w:gridCol w:w="1429"/>
        <w:gridCol w:w="220"/>
        <w:gridCol w:w="624"/>
        <w:gridCol w:w="121"/>
        <w:gridCol w:w="119"/>
        <w:gridCol w:w="119"/>
        <w:gridCol w:w="119"/>
        <w:gridCol w:w="220"/>
        <w:gridCol w:w="624"/>
        <w:gridCol w:w="121"/>
        <w:gridCol w:w="119"/>
        <w:gridCol w:w="119"/>
        <w:gridCol w:w="119"/>
        <w:gridCol w:w="220"/>
        <w:gridCol w:w="624"/>
        <w:gridCol w:w="121"/>
        <w:gridCol w:w="119"/>
        <w:gridCol w:w="119"/>
        <w:gridCol w:w="119"/>
        <w:gridCol w:w="220"/>
        <w:gridCol w:w="624"/>
        <w:gridCol w:w="121"/>
        <w:gridCol w:w="109"/>
        <w:gridCol w:w="109"/>
        <w:gridCol w:w="109"/>
        <w:gridCol w:w="168"/>
      </w:tblGrid>
      <w:tr>
        <w:trPr/>
        <w:tc>
          <w:tcPr>
            <w:tcW w:w="1932"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9710"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SPX TECHNOLOGIES, INC. AND SUBSIDIARIES</w:t>
            </w:r>
          </w:p>
        </w:tc>
        <w:tc>
          <w:tcPr>
            <w:tcW w:w="495" w:type="dxa"/>
            <w:gridSpan w:val="4"/>
            <w:tcBorders/>
          </w:tcPr>
          <w:p>
            <w:pPr>
              <w:pStyle w:val="TableContents"/>
              <w:bidi w:val="0"/>
              <w:spacing w:before="0" w:after="283"/>
              <w:jc w:val="left"/>
              <w:rPr>
                <w:sz w:val="4"/>
                <w:szCs w:val="4"/>
              </w:rPr>
            </w:pPr>
            <w:r>
              <w:rPr>
                <w:sz w:val="4"/>
                <w:szCs w:val="4"/>
              </w:rPr>
            </w:r>
          </w:p>
        </w:tc>
      </w:tr>
      <w:tr>
        <w:trPr/>
        <w:tc>
          <w:tcPr>
            <w:tcW w:w="9710"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tc>
        <w:tc>
          <w:tcPr>
            <w:tcW w:w="495" w:type="dxa"/>
            <w:gridSpan w:val="4"/>
            <w:tcBorders/>
          </w:tcPr>
          <w:p>
            <w:pPr>
              <w:pStyle w:val="TableContents"/>
              <w:bidi w:val="0"/>
              <w:spacing w:before="0" w:after="283"/>
              <w:jc w:val="left"/>
              <w:rPr>
                <w:sz w:val="4"/>
                <w:szCs w:val="4"/>
              </w:rPr>
            </w:pPr>
            <w:r>
              <w:rPr>
                <w:sz w:val="4"/>
                <w:szCs w:val="4"/>
              </w:rPr>
            </w:r>
          </w:p>
        </w:tc>
      </w:tr>
      <w:tr>
        <w:trPr/>
        <w:tc>
          <w:tcPr>
            <w:tcW w:w="9710"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 in millions)</w:t>
            </w:r>
          </w:p>
        </w:tc>
        <w:tc>
          <w:tcPr>
            <w:tcW w:w="495" w:type="dxa"/>
            <w:gridSpan w:val="4"/>
            <w:tcBorders/>
          </w:tcPr>
          <w:p>
            <w:pPr>
              <w:pStyle w:val="TableContents"/>
              <w:bidi w:val="0"/>
              <w:spacing w:before="0" w:after="283"/>
              <w:jc w:val="left"/>
              <w:rPr>
                <w:sz w:val="4"/>
                <w:szCs w:val="4"/>
              </w:rPr>
            </w:pPr>
            <w:r>
              <w:rPr>
                <w:sz w:val="4"/>
                <w:szCs w:val="4"/>
              </w:rPr>
            </w:r>
          </w:p>
        </w:tc>
      </w:tr>
      <w:tr>
        <w:trPr/>
        <w:tc>
          <w:tcPr>
            <w:tcW w:w="4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gridSpan w:val="2"/>
            <w:tcBorders/>
          </w:tcPr>
          <w:p>
            <w:pPr>
              <w:pStyle w:val="TableContents"/>
              <w:bidi w:val="0"/>
              <w:spacing w:before="0" w:after="283"/>
              <w:jc w:val="left"/>
              <w:rPr>
                <w:sz w:val="4"/>
                <w:szCs w:val="4"/>
              </w:rPr>
            </w:pPr>
            <w:r>
              <w:rPr>
                <w:sz w:val="4"/>
                <w:szCs w:val="4"/>
              </w:rPr>
            </w:r>
          </w:p>
        </w:tc>
      </w:tr>
      <w:tr>
        <w:trPr/>
        <w:tc>
          <w:tcPr>
            <w:tcW w:w="4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(used in) operating activities:</w:t>
            </w:r>
          </w:p>
        </w:tc>
        <w:tc>
          <w:tcPr>
            <w:tcW w:w="9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Loss from discontinued operations, net of tax</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continuing operations</w:t>
            </w:r>
          </w:p>
        </w:tc>
        <w:tc>
          <w:tcPr>
            <w:tcW w:w="8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143.7 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income from continuing operations to net cash from (used in) operating activities:</w:t>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Special charges, net</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change in value of equity security</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compensation expense related to acquisition</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and other income taxes</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and other employee benefits</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incentive compensation</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 including allowance for doubtful accounts</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 net of effects from acquisitions and divestitures:</w:t>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and other assets</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 related to employee retention agreements for acquisition</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accrued expenses and other</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spending on restructuring actions</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from continuing operations</w:t>
            </w:r>
          </w:p>
        </w:tc>
        <w:tc>
          <w:tcPr>
            <w:tcW w:w="8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120.2 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discontinued operations</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from operating activities</w:t>
            </w:r>
          </w:p>
        </w:tc>
        <w:tc>
          <w:tcPr>
            <w:tcW w:w="8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120.2 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(used in) investing activities:</w:t>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related to company-owned life insurance policies, net</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acquisitions, net of cash acquired</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continuing operations</w:t>
            </w:r>
          </w:p>
        </w:tc>
        <w:tc>
          <w:tcPr>
            <w:tcW w:w="8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(151.2)</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(475.9)</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(457.8)</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from discontinued operations</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8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(151.2)</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(416.7)</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(457.8)</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(used in) financing activities:</w:t>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under senior credit facilities</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under senior credit facilities</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under trade receivables arrangement</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under trade receivables arrangement</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borrowings (repayments) under other financing arrangements</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779"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Minimum withholdings paid on behalf of employees for net share settlements, net of proceeds from the exercise of employee stock options</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from (used in) continuing operations</w:t>
            </w:r>
          </w:p>
        </w:tc>
        <w:tc>
          <w:tcPr>
            <w:tcW w:w="8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395.3 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from (used in) discontinued operations</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from (used in) financing activities</w:t>
            </w:r>
          </w:p>
        </w:tc>
        <w:tc>
          <w:tcPr>
            <w:tcW w:w="8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395.3 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cash and equivalents due to changes in foreign currency exchange rates</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cash and equivalents</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cash and equivalents, beginning of period</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cash and equivalents, end of period</w:t>
            </w:r>
          </w:p>
        </w:tc>
        <w:tc>
          <w:tcPr>
            <w:tcW w:w="2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168.2 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136.9 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168.2 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136.9 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7451" w:type="dxa"/>
        <w:jc w:val="left"/>
        <w:tblInd w:w="0" w:type="dxa"/>
        <w:tblLayout w:type="fixed"/>
        <w:tblCellMar>
          <w:top w:w="28" w:type="dxa"/>
          <w:left w:w="28" w:type="dxa"/>
          <w:bottom w:w="28" w:type="dxa"/>
          <w:right w:w="28" w:type="dxa"/>
        </w:tblCellMar>
      </w:tblPr>
      <w:tblGrid>
        <w:gridCol w:w="1748"/>
        <w:gridCol w:w="1538"/>
        <w:gridCol w:w="1543"/>
        <w:gridCol w:w="256"/>
        <w:gridCol w:w="727"/>
        <w:gridCol w:w="142"/>
        <w:gridCol w:w="109"/>
        <w:gridCol w:w="109"/>
        <w:gridCol w:w="109"/>
        <w:gridCol w:w="253"/>
        <w:gridCol w:w="718"/>
        <w:gridCol w:w="199"/>
      </w:tblGrid>
      <w:tr>
        <w:trPr/>
        <w:tc>
          <w:tcPr>
            <w:tcW w:w="1748"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Components of cash and equivalents:</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equivalents</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equivalents included in assets of DBT and Heat Transfer</w:t>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and equivalents</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168.2 </w:t>
            </w:r>
          </w:p>
        </w:tc>
        <w:tc>
          <w:tcPr>
            <w:tcW w:w="1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136.9 </w:t>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575"/>
        <w:gridCol w:w="1112"/>
        <w:gridCol w:w="1118"/>
        <w:gridCol w:w="109"/>
        <w:gridCol w:w="109"/>
        <w:gridCol w:w="109"/>
        <w:gridCol w:w="240"/>
        <w:gridCol w:w="704"/>
        <w:gridCol w:w="124"/>
        <w:gridCol w:w="109"/>
        <w:gridCol w:w="109"/>
        <w:gridCol w:w="109"/>
        <w:gridCol w:w="213"/>
        <w:gridCol w:w="622"/>
        <w:gridCol w:w="111"/>
        <w:gridCol w:w="109"/>
        <w:gridCol w:w="109"/>
        <w:gridCol w:w="109"/>
        <w:gridCol w:w="211"/>
        <w:gridCol w:w="675"/>
        <w:gridCol w:w="109"/>
        <w:gridCol w:w="109"/>
        <w:gridCol w:w="109"/>
        <w:gridCol w:w="109"/>
        <w:gridCol w:w="211"/>
        <w:gridCol w:w="406"/>
        <w:gridCol w:w="109"/>
        <w:gridCol w:w="109"/>
        <w:gridCol w:w="109"/>
        <w:gridCol w:w="109"/>
        <w:gridCol w:w="220"/>
        <w:gridCol w:w="644"/>
        <w:gridCol w:w="166"/>
      </w:tblGrid>
      <w:tr>
        <w:trPr/>
        <w:tc>
          <w:tcPr>
            <w:tcW w:w="157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SPX TECHNOLOGIES, INC. AND SUBSIDIARIES</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CASH AND DEBT RECONCILIATION</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 in millions)</w:t>
            </w:r>
          </w:p>
        </w:tc>
      </w:tr>
      <w:tr>
        <w:trPr/>
        <w:tc>
          <w:tcPr>
            <w:tcW w:w="3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cash and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366.0 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related to company-owned life insurance policies,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acquisitions, net of cash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3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under senior credit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under senior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(174.9)</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under trade receivables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under trade receivables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repayments under other financing arrangements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Minimum withholdings paid on behalf of employees for net share settlements, net of proceeds from the exercise of employee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3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from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cash due to changes in foreign currency exchange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cash and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168.2 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Debt at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Debt at</w:t>
            </w:r>
          </w:p>
        </w:tc>
      </w:tr>
      <w:tr>
        <w:trPr/>
        <w:tc>
          <w:tcPr>
            <w:tcW w:w="3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r>
      <w:tr>
        <w:trPr/>
        <w:tc>
          <w:tcPr>
            <w:tcW w:w="3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214.9 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 financing arrangement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indebtedness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Deferred financing costs associated with the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501.6 </w:t>
            </w:r>
          </w:p>
        </w:tc>
        <w:tc>
          <w:tcPr>
            <w:tcW w:w="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497.1 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614.7 </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395" w:type="dxa"/>
        <w:jc w:val="left"/>
        <w:tblInd w:w="0" w:type="dxa"/>
        <w:tblLayout w:type="fixed"/>
        <w:tblCellMar>
          <w:top w:w="28" w:type="dxa"/>
          <w:left w:w="28" w:type="dxa"/>
          <w:bottom w:w="28" w:type="dxa"/>
          <w:right w:w="28" w:type="dxa"/>
        </w:tblCellMar>
      </w:tblPr>
      <w:tblGrid>
        <w:gridCol w:w="841"/>
        <w:gridCol w:w="741"/>
        <w:gridCol w:w="743"/>
        <w:gridCol w:w="210"/>
        <w:gridCol w:w="210"/>
        <w:gridCol w:w="210"/>
        <w:gridCol w:w="233"/>
        <w:gridCol w:w="233"/>
        <w:gridCol w:w="210"/>
        <w:gridCol w:w="210"/>
        <w:gridCol w:w="210"/>
        <w:gridCol w:w="210"/>
        <w:gridCol w:w="360"/>
        <w:gridCol w:w="360"/>
        <w:gridCol w:w="361"/>
        <w:gridCol w:w="210"/>
        <w:gridCol w:w="210"/>
        <w:gridCol w:w="210"/>
        <w:gridCol w:w="350"/>
        <w:gridCol w:w="350"/>
        <w:gridCol w:w="351"/>
        <w:gridCol w:w="109"/>
        <w:gridCol w:w="109"/>
        <w:gridCol w:w="154"/>
      </w:tblGrid>
      <w:tr>
        <w:trPr/>
        <w:tc>
          <w:tcPr>
            <w:tcW w:w="8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SPX TECHNOLOGIES, INC. AND SUBSIDIARIES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ORGANIC REVENUE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27,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HVAC</w:t>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Detection &amp; </w:t>
              <w:br/>
              <w:t>Measurement</w:t>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 Growth</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22.9 </w:t>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Exclude: Foreign Currency</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Exclude: Acquisitions</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Organic Revenue Growth</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2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3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002"/>
        <w:gridCol w:w="879"/>
        <w:gridCol w:w="886"/>
        <w:gridCol w:w="141"/>
        <w:gridCol w:w="141"/>
        <w:gridCol w:w="141"/>
        <w:gridCol w:w="255"/>
        <w:gridCol w:w="726"/>
        <w:gridCol w:w="333"/>
        <w:gridCol w:w="141"/>
        <w:gridCol w:w="141"/>
        <w:gridCol w:w="141"/>
        <w:gridCol w:w="255"/>
        <w:gridCol w:w="726"/>
        <w:gridCol w:w="333"/>
        <w:gridCol w:w="141"/>
        <w:gridCol w:w="141"/>
        <w:gridCol w:w="141"/>
        <w:gridCol w:w="255"/>
        <w:gridCol w:w="726"/>
        <w:gridCol w:w="333"/>
        <w:gridCol w:w="141"/>
        <w:gridCol w:w="141"/>
        <w:gridCol w:w="141"/>
        <w:gridCol w:w="255"/>
        <w:gridCol w:w="726"/>
        <w:gridCol w:w="333"/>
        <w:gridCol w:w="109"/>
        <w:gridCol w:w="109"/>
        <w:gridCol w:w="109"/>
        <w:gridCol w:w="163"/>
      </w:tblGrid>
      <w:tr>
        <w:trPr/>
        <w:tc>
          <w:tcPr>
            <w:tcW w:w="1002"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71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SPX TECHNOLOGIES, INC. AND SUBSIDIARIES</w:t>
            </w:r>
          </w:p>
        </w:tc>
        <w:tc>
          <w:tcPr>
            <w:tcW w:w="490" w:type="dxa"/>
            <w:gridSpan w:val="4"/>
            <w:tcBorders/>
          </w:tcPr>
          <w:p>
            <w:pPr>
              <w:pStyle w:val="TableContents"/>
              <w:bidi w:val="0"/>
              <w:spacing w:before="0" w:after="283"/>
              <w:jc w:val="left"/>
              <w:rPr>
                <w:sz w:val="4"/>
                <w:szCs w:val="4"/>
              </w:rPr>
            </w:pPr>
            <w:r>
              <w:rPr>
                <w:sz w:val="4"/>
                <w:szCs w:val="4"/>
              </w:rPr>
            </w:r>
          </w:p>
        </w:tc>
      </w:tr>
      <w:tr>
        <w:trPr/>
        <w:tc>
          <w:tcPr>
            <w:tcW w:w="971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NON-GAAP RECONCILIATION - ADJUSTED OPERATING INCOME</w:t>
            </w:r>
          </w:p>
        </w:tc>
        <w:tc>
          <w:tcPr>
            <w:tcW w:w="490" w:type="dxa"/>
            <w:gridSpan w:val="4"/>
            <w:tcBorders/>
          </w:tcPr>
          <w:p>
            <w:pPr>
              <w:pStyle w:val="TableContents"/>
              <w:bidi w:val="0"/>
              <w:spacing w:before="0" w:after="283"/>
              <w:jc w:val="left"/>
              <w:rPr>
                <w:sz w:val="4"/>
                <w:szCs w:val="4"/>
              </w:rPr>
            </w:pPr>
            <w:r>
              <w:rPr>
                <w:sz w:val="4"/>
                <w:szCs w:val="4"/>
              </w:rPr>
            </w:r>
          </w:p>
        </w:tc>
      </w:tr>
      <w:tr>
        <w:trPr/>
        <w:tc>
          <w:tcPr>
            <w:tcW w:w="971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 in millions)</w:t>
            </w:r>
          </w:p>
        </w:tc>
        <w:tc>
          <w:tcPr>
            <w:tcW w:w="490" w:type="dxa"/>
            <w:gridSpan w:val="4"/>
            <w:tcBorders/>
          </w:tcPr>
          <w:p>
            <w:pPr>
              <w:pStyle w:val="TableContents"/>
              <w:bidi w:val="0"/>
              <w:spacing w:before="0" w:after="283"/>
              <w:jc w:val="left"/>
              <w:rPr>
                <w:sz w:val="4"/>
                <w:szCs w:val="4"/>
              </w:rPr>
            </w:pPr>
            <w:r>
              <w:rPr>
                <w:sz w:val="4"/>
                <w:szCs w:val="4"/>
              </w:rPr>
            </w:r>
          </w:p>
        </w:tc>
      </w:tr>
      <w:tr>
        <w:trPr/>
        <w:tc>
          <w:tcPr>
            <w:tcW w:w="2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2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115.0 </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86.6 </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202.7 </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153.2 </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76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76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Exclude:</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76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76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7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Acquisition and integration-related costs </w:t>
            </w:r>
            <w:r>
              <w:rPr>
                <w:rFonts w:ascii="Times New Roman;serif" w:hAnsi="Times New Roman;serif"/>
                <w:b w:val="false"/>
                <w:color w:val="000000"/>
                <w:sz w:val="13"/>
              </w:rPr>
              <w:t>(1)</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76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76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7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Amortization of acquired intangible assets </w:t>
            </w:r>
            <w:r>
              <w:rPr>
                <w:rFonts w:ascii="Times New Roman;serif" w:hAnsi="Times New Roman;serif"/>
                <w:b w:val="false"/>
                <w:color w:val="000000"/>
                <w:sz w:val="13"/>
              </w:rPr>
              <w:t>(2)</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7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Long-term incentive compensation </w:t>
            </w:r>
            <w:r>
              <w:rPr>
                <w:rFonts w:ascii="Times New Roman;serif" w:hAnsi="Times New Roman;serif"/>
                <w:b w:val="false"/>
                <w:color w:val="000000"/>
                <w:sz w:val="13"/>
              </w:rPr>
              <w:t>(3)</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income</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147.0 </w:t>
            </w:r>
          </w:p>
        </w:tc>
        <w:tc>
          <w:tcPr>
            <w:tcW w:w="3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119.5 </w:t>
            </w:r>
          </w:p>
        </w:tc>
        <w:tc>
          <w:tcPr>
            <w:tcW w:w="3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266.7 </w:t>
            </w:r>
          </w:p>
        </w:tc>
        <w:tc>
          <w:tcPr>
            <w:tcW w:w="3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214.4 </w:t>
            </w:r>
          </w:p>
        </w:tc>
        <w:tc>
          <w:tcPr>
            <w:tcW w:w="3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as a percent of revenues</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33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33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33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33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767" w:type="dxa"/>
            <w:gridSpan w:val="3"/>
            <w:tcBorders/>
            <w:vAlign w:val="center"/>
          </w:tcPr>
          <w:p>
            <w:pPr>
              <w:pStyle w:val="TableContents"/>
              <w:bidi w:val="0"/>
              <w:spacing w:before="0" w:after="283"/>
              <w:jc w:val="left"/>
              <w:rPr>
                <w:sz w:val="4"/>
                <w:szCs w:val="4"/>
              </w:rPr>
            </w:pPr>
            <w:r>
              <w:rPr>
                <w:sz w:val="4"/>
                <w:szCs w:val="4"/>
              </w:rPr>
            </w:r>
          </w:p>
        </w:tc>
        <w:tc>
          <w:tcPr>
            <w:tcW w:w="7438" w:type="dxa"/>
            <w:gridSpan w:val="28"/>
            <w:tcBorders/>
          </w:tcPr>
          <w:p>
            <w:pPr>
              <w:pStyle w:val="TableContents"/>
              <w:bidi w:val="0"/>
              <w:spacing w:before="0" w:after="283"/>
              <w:jc w:val="left"/>
              <w:rPr>
                <w:sz w:val="4"/>
                <w:szCs w:val="4"/>
              </w:rPr>
            </w:pPr>
            <w:r>
              <w:rPr>
                <w:sz w:val="4"/>
                <w:szCs w:val="4"/>
              </w:rPr>
            </w:r>
          </w:p>
        </w:tc>
      </w:tr>
      <w:tr>
        <w:trPr/>
        <w:tc>
          <w:tcPr>
            <w:tcW w:w="276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767" w:type="dxa"/>
            <w:gridSpan w:val="3"/>
            <w:tcBorders/>
            <w:vAlign w:val="center"/>
          </w:tcPr>
          <w:p>
            <w:pPr>
              <w:pStyle w:val="TableContents"/>
              <w:bidi w:val="0"/>
              <w:spacing w:before="0" w:after="283"/>
              <w:jc w:val="left"/>
              <w:rPr>
                <w:sz w:val="4"/>
                <w:szCs w:val="4"/>
              </w:rPr>
            </w:pPr>
            <w:r>
              <w:rPr>
                <w:sz w:val="4"/>
                <w:szCs w:val="4"/>
              </w:rPr>
            </w:r>
          </w:p>
        </w:tc>
        <w:tc>
          <w:tcPr>
            <w:tcW w:w="7438" w:type="dxa"/>
            <w:gridSpan w:val="28"/>
            <w:tcBorders/>
          </w:tcPr>
          <w:p>
            <w:pPr>
              <w:pStyle w:val="TableContents"/>
              <w:bidi w:val="0"/>
              <w:spacing w:before="0" w:after="283"/>
              <w:jc w:val="left"/>
              <w:rPr>
                <w:sz w:val="4"/>
                <w:szCs w:val="4"/>
              </w:rPr>
            </w:pPr>
            <w:r>
              <w:rPr>
                <w:sz w:val="4"/>
                <w:szCs w:val="4"/>
              </w:rPr>
            </w:r>
          </w:p>
        </w:tc>
      </w:tr>
      <w:tr>
        <w:trPr/>
        <w:tc>
          <w:tcPr>
            <w:tcW w:w="276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715" w:type="dxa"/>
            <w:gridSpan w:val="27"/>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 xml:space="preserve">For the three and six months ended June 27, 2026, represents (i) certain acquisition and integration-related costs of $1.9 and $5.5, respectively, and (ii) amortization of a deferred compensation asset of $2.7 and $6.3, respectively, related to the KTS acquisition. The six months ended June 27, 2026 includes additional inventory step-up charges of $0.4 and $0.1, related to the Thermolec and Crawford United acquisitions, respectively. For the three and six months ended June 28, 2025, represents (i) certain acquisition and integration-related costs of $1.2 and $5.2, respectively, and (ii) amortization of a deferred compensation asset and additional inventory step-up charges of $6.6 and $10.9 and $0.5 and $0.8, respectively, each related to the KTS acquisition. </w:t>
            </w:r>
          </w:p>
        </w:tc>
        <w:tc>
          <w:tcPr>
            <w:tcW w:w="490" w:type="dxa"/>
            <w:gridSpan w:val="4"/>
            <w:tcBorders/>
          </w:tcPr>
          <w:p>
            <w:pPr>
              <w:pStyle w:val="TableContents"/>
              <w:bidi w:val="0"/>
              <w:spacing w:before="0" w:after="283"/>
              <w:jc w:val="left"/>
              <w:rPr>
                <w:sz w:val="4"/>
                <w:szCs w:val="4"/>
              </w:rPr>
            </w:pPr>
            <w:r>
              <w:rPr>
                <w:sz w:val="4"/>
                <w:szCs w:val="4"/>
              </w:rPr>
            </w:r>
          </w:p>
        </w:tc>
      </w:tr>
      <w:tr>
        <w:trPr/>
        <w:tc>
          <w:tcPr>
            <w:tcW w:w="276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767" w:type="dxa"/>
            <w:gridSpan w:val="3"/>
            <w:tcBorders/>
            <w:vAlign w:val="center"/>
          </w:tcPr>
          <w:p>
            <w:pPr>
              <w:pStyle w:val="TableContents"/>
              <w:bidi w:val="0"/>
              <w:spacing w:before="0" w:after="283"/>
              <w:jc w:val="left"/>
              <w:rPr>
                <w:sz w:val="4"/>
                <w:szCs w:val="4"/>
              </w:rPr>
            </w:pPr>
            <w:r>
              <w:rPr>
                <w:sz w:val="4"/>
                <w:szCs w:val="4"/>
              </w:rPr>
            </w:r>
          </w:p>
        </w:tc>
        <w:tc>
          <w:tcPr>
            <w:tcW w:w="7438" w:type="dxa"/>
            <w:gridSpan w:val="28"/>
            <w:tcBorders/>
          </w:tcPr>
          <w:p>
            <w:pPr>
              <w:pStyle w:val="TableContents"/>
              <w:bidi w:val="0"/>
              <w:spacing w:before="0" w:after="283"/>
              <w:jc w:val="left"/>
              <w:rPr>
                <w:sz w:val="4"/>
                <w:szCs w:val="4"/>
              </w:rPr>
            </w:pPr>
            <w:r>
              <w:rPr>
                <w:sz w:val="4"/>
                <w:szCs w:val="4"/>
              </w:rPr>
            </w:r>
          </w:p>
        </w:tc>
      </w:tr>
      <w:tr>
        <w:trPr/>
        <w:tc>
          <w:tcPr>
            <w:tcW w:w="276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767" w:type="dxa"/>
            <w:gridSpan w:val="3"/>
            <w:tcBorders/>
            <w:vAlign w:val="center"/>
          </w:tcPr>
          <w:p>
            <w:pPr>
              <w:pStyle w:val="TableContents"/>
              <w:bidi w:val="0"/>
              <w:spacing w:before="0" w:after="283"/>
              <w:jc w:val="left"/>
              <w:rPr>
                <w:sz w:val="4"/>
                <w:szCs w:val="4"/>
              </w:rPr>
            </w:pPr>
            <w:r>
              <w:rPr>
                <w:sz w:val="4"/>
                <w:szCs w:val="4"/>
              </w:rPr>
            </w:r>
          </w:p>
        </w:tc>
        <w:tc>
          <w:tcPr>
            <w:tcW w:w="7438" w:type="dxa"/>
            <w:gridSpan w:val="28"/>
            <w:tcBorders/>
          </w:tcPr>
          <w:p>
            <w:pPr>
              <w:pStyle w:val="TableContents"/>
              <w:bidi w:val="0"/>
              <w:spacing w:before="0" w:after="283"/>
              <w:jc w:val="left"/>
              <w:rPr>
                <w:sz w:val="4"/>
                <w:szCs w:val="4"/>
              </w:rPr>
            </w:pPr>
            <w:r>
              <w:rPr>
                <w:sz w:val="4"/>
                <w:szCs w:val="4"/>
              </w:rPr>
            </w:r>
          </w:p>
        </w:tc>
      </w:tr>
      <w:tr>
        <w:trPr/>
        <w:tc>
          <w:tcPr>
            <w:tcW w:w="2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715" w:type="dxa"/>
            <w:gridSpan w:val="27"/>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Represents amortization expense associated with acquired intangible assets recorded within “Selling, general and administrative — intangible amortization” and “Cost of products sold.”</w:t>
            </w:r>
          </w:p>
        </w:tc>
        <w:tc>
          <w:tcPr>
            <w:tcW w:w="490" w:type="dxa"/>
            <w:gridSpan w:val="4"/>
            <w:tcBorders/>
          </w:tcPr>
          <w:p>
            <w:pPr>
              <w:pStyle w:val="TableContents"/>
              <w:bidi w:val="0"/>
              <w:spacing w:before="0" w:after="283"/>
              <w:jc w:val="left"/>
              <w:rPr>
                <w:sz w:val="4"/>
                <w:szCs w:val="4"/>
              </w:rPr>
            </w:pPr>
            <w:r>
              <w:rPr>
                <w:sz w:val="4"/>
                <w:szCs w:val="4"/>
              </w:rPr>
            </w:r>
          </w:p>
        </w:tc>
      </w:tr>
      <w:tr>
        <w:trPr/>
        <w:tc>
          <w:tcPr>
            <w:tcW w:w="2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715" w:type="dxa"/>
            <w:gridSpan w:val="27"/>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2"/>
              </w:rPr>
              <w:t>(3)</w:t>
            </w:r>
            <w:r>
              <w:rPr>
                <w:color w:val="000000"/>
              </w:rPr>
              <w:t xml:space="preserve"> </w:t>
            </w:r>
            <w:r>
              <w:rPr>
                <w:rFonts w:ascii="Times New Roman;serif" w:hAnsi="Times New Roman;serif"/>
                <w:b w:val="false"/>
                <w:color w:val="000000"/>
                <w:sz w:val="18"/>
              </w:rPr>
              <w:t xml:space="preserve">For the three and six months ended June 27, 2026, represents the removal of $0.2 and $0.3, respectively, for long-term incentive compensation expense associated with acquisition-related equity grants. </w:t>
            </w:r>
          </w:p>
        </w:tc>
        <w:tc>
          <w:tcPr>
            <w:tcW w:w="490" w:type="dxa"/>
            <w:gridSpan w:val="4"/>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583"/>
        <w:gridCol w:w="1390"/>
        <w:gridCol w:w="1262"/>
        <w:gridCol w:w="361"/>
        <w:gridCol w:w="1026"/>
        <w:gridCol w:w="200"/>
        <w:gridCol w:w="200"/>
        <w:gridCol w:w="200"/>
        <w:gridCol w:w="200"/>
        <w:gridCol w:w="465"/>
        <w:gridCol w:w="836"/>
        <w:gridCol w:w="200"/>
        <w:gridCol w:w="200"/>
        <w:gridCol w:w="200"/>
        <w:gridCol w:w="200"/>
        <w:gridCol w:w="361"/>
        <w:gridCol w:w="1026"/>
        <w:gridCol w:w="295"/>
      </w:tblGrid>
      <w:tr>
        <w:trPr/>
        <w:tc>
          <w:tcPr>
            <w:tcW w:w="1583"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SPX TECHNOLOGIES, INC. AND SUBSIDIARIES</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NON-GAAP RECONCILIATION - ADJUSTED EARNINGS PER SHARE</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27, 2026</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 in millions, except per share values)</w:t>
            </w:r>
          </w:p>
        </w:tc>
      </w:tr>
      <w:tr>
        <w:trPr/>
        <w:tc>
          <w:tcPr>
            <w:tcW w:w="4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GAAP</w:t>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Adjustments</w:t>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Adjusted</w:t>
            </w:r>
          </w:p>
        </w:tc>
      </w:tr>
      <w:tr>
        <w:trPr/>
        <w:tc>
          <w:tcPr>
            <w:tcW w:w="4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Segment income </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167.1 </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167.1 </w:t>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Corporate expense </w:t>
            </w:r>
            <w:r>
              <w:rPr>
                <w:rFonts w:ascii="Times New Roman;serif" w:hAnsi="Times New Roman;serif"/>
                <w:b w:val="false"/>
                <w:color w:val="000000"/>
                <w:sz w:val="13"/>
              </w:rPr>
              <w:t>(1)</w:t>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Acquisition and integration-related costs </w:t>
            </w:r>
            <w:r>
              <w:rPr>
                <w:rFonts w:ascii="Times New Roman;serif" w:hAnsi="Times New Roman;serif"/>
                <w:b w:val="false"/>
                <w:color w:val="000000"/>
                <w:sz w:val="13"/>
              </w:rPr>
              <w:t>(2)</w:t>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Long-term incentive compensation expense </w:t>
            </w:r>
            <w:r>
              <w:rPr>
                <w:rFonts w:ascii="Times New Roman;serif" w:hAnsi="Times New Roman;serif"/>
                <w:b w:val="false"/>
                <w:color w:val="000000"/>
                <w:sz w:val="13"/>
              </w:rPr>
              <w:t>(3)</w:t>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Amortization of intangible assets </w:t>
            </w:r>
            <w:r>
              <w:rPr>
                <w:rFonts w:ascii="Times New Roman;serif" w:hAnsi="Times New Roman;serif"/>
                <w:b w:val="false"/>
                <w:color w:val="000000"/>
                <w:sz w:val="13"/>
              </w:rPr>
              <w:t>(4)</w:t>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682" w:type="dxa"/>
            <w:gridSpan w:val="3"/>
            <w:tcBorders/>
            <w:vAlign w:val="center"/>
          </w:tcPr>
          <w:p>
            <w:pPr>
              <w:pStyle w:val="TableContents"/>
              <w:bidi w:val="0"/>
              <w:spacing w:before="0" w:after="283"/>
              <w:jc w:val="left"/>
              <w:rPr>
                <w:sz w:val="4"/>
                <w:szCs w:val="4"/>
              </w:rPr>
            </w:pPr>
            <w:r>
              <w:rPr>
                <w:sz w:val="4"/>
                <w:szCs w:val="4"/>
              </w:rPr>
            </w:r>
          </w:p>
        </w:tc>
      </w:tr>
      <w:tr>
        <w:trPr/>
        <w:tc>
          <w:tcPr>
            <w:tcW w:w="4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charges, net</w:t>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682" w:type="dxa"/>
            <w:gridSpan w:val="3"/>
            <w:tcBorders/>
            <w:vAlign w:val="center"/>
          </w:tcPr>
          <w:p>
            <w:pPr>
              <w:pStyle w:val="TableContents"/>
              <w:bidi w:val="0"/>
              <w:spacing w:before="0" w:after="283"/>
              <w:jc w:val="left"/>
              <w:rPr>
                <w:sz w:val="4"/>
                <w:szCs w:val="4"/>
              </w:rPr>
            </w:pPr>
            <w:r>
              <w:rPr>
                <w:sz w:val="4"/>
                <w:szCs w:val="4"/>
              </w:rPr>
            </w:r>
          </w:p>
        </w:tc>
      </w:tr>
      <w:tr>
        <w:trPr/>
        <w:tc>
          <w:tcPr>
            <w:tcW w:w="4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13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115.0 </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32.0 </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147.0 </w:t>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expense, net </w:t>
            </w:r>
            <w:r>
              <w:rPr>
                <w:rFonts w:ascii="Times New Roman;serif" w:hAnsi="Times New Roman;serif"/>
                <w:b w:val="false"/>
                <w:color w:val="000000"/>
                <w:sz w:val="13"/>
              </w:rPr>
              <w:t>(5)</w:t>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net </w:t>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continuing operations before income taxes</w:t>
            </w:r>
          </w:p>
        </w:tc>
        <w:tc>
          <w:tcPr>
            <w:tcW w:w="13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102.2 </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33.4 </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135.6 </w:t>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Income tax provision </w:t>
            </w:r>
            <w:r>
              <w:rPr>
                <w:rFonts w:ascii="Times New Roman;serif" w:hAnsi="Times New Roman;serif"/>
                <w:b w:val="false"/>
                <w:color w:val="000000"/>
                <w:sz w:val="13"/>
              </w:rPr>
              <w:t>(6)</w:t>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(10.2)</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continuing operations</w:t>
            </w:r>
          </w:p>
        </w:tc>
        <w:tc>
          <w:tcPr>
            <w:tcW w:w="13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79.3 </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102.5 </w:t>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shares outstanding</w:t>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50.675 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50.675 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share from continuing operations</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Adjustment represents the removal of certain acquisition and integration-related costs of $1.4.</w:t>
            </w:r>
          </w:p>
        </w:tc>
      </w:tr>
      <w:tr>
        <w:trPr/>
        <w:tc>
          <w:tcPr>
            <w:tcW w:w="10205"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shd w:fill="FFFFFF" w:val="clear"/>
              </w:rPr>
              <w:t>Adjustment represents the removal of acquisition and integration-related costs of $0.5 within the HVAC reportable segment and amortization of a deferred compensation asset related to the KTS acquisition within the Detection and Measurement reportable segment of $2.7.</w:t>
            </w:r>
          </w:p>
        </w:tc>
      </w:tr>
      <w:tr>
        <w:trPr/>
        <w:tc>
          <w:tcPr>
            <w:tcW w:w="10205"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2"/>
              </w:rPr>
              <w:t xml:space="preserve">(3) </w:t>
            </w:r>
            <w:r>
              <w:rPr>
                <w:rFonts w:ascii="Times New Roman;serif" w:hAnsi="Times New Roman;serif"/>
                <w:b w:val="false"/>
                <w:color w:val="000000"/>
                <w:sz w:val="18"/>
              </w:rPr>
              <w:t xml:space="preserve">Adjustment represents the removal of $0.2 for long-term incentive compensation expense associated with acquisition-related equity grants. </w:t>
            </w:r>
          </w:p>
        </w:tc>
      </w:tr>
      <w:tr>
        <w:trPr/>
        <w:tc>
          <w:tcPr>
            <w:tcW w:w="4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2"/>
              </w:rPr>
              <w:t xml:space="preserve">(4) </w:t>
            </w:r>
            <w:r>
              <w:rPr>
                <w:rFonts w:ascii="Times New Roman;serif" w:hAnsi="Times New Roman;serif"/>
                <w:b w:val="false"/>
                <w:color w:val="000000"/>
                <w:sz w:val="18"/>
              </w:rPr>
              <w:t>Adjustment represents the removal of amortization expense associated with acquired intangible assets of $19.8 and $7.4 within the HVAC and Detection &amp; Measurement reportable segments, respectively.</w:t>
            </w:r>
          </w:p>
        </w:tc>
      </w:tr>
      <w:tr>
        <w:trPr/>
        <w:tc>
          <w:tcPr>
            <w:tcW w:w="4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2"/>
              </w:rPr>
              <w:t xml:space="preserve">(5) </w:t>
            </w:r>
            <w:r>
              <w:rPr>
                <w:rFonts w:ascii="Times New Roman;serif" w:hAnsi="Times New Roman;serif"/>
                <w:b w:val="false"/>
                <w:color w:val="000000"/>
                <w:sz w:val="18"/>
              </w:rPr>
              <w:t>Adjustment represents the removal of non-service pension and postretirement charges of $1.4.</w:t>
            </w:r>
          </w:p>
        </w:tc>
      </w:tr>
      <w:tr>
        <w:trPr/>
        <w:tc>
          <w:tcPr>
            <w:tcW w:w="4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2"/>
              </w:rPr>
              <w:t xml:space="preserve">(6) </w:t>
            </w:r>
            <w:r>
              <w:rPr>
                <w:rFonts w:ascii="Times New Roman;serif" w:hAnsi="Times New Roman;serif"/>
                <w:b w:val="false"/>
                <w:color w:val="000000"/>
                <w:sz w:val="18"/>
              </w:rPr>
              <w:t>Adjustment represents the tax impact of items (1) through (5) and the removal of certain discrete income tax items that are considered non-recurring.</w:t>
            </w:r>
          </w:p>
        </w:tc>
      </w:tr>
      <w:tr>
        <w:trPr/>
        <w:tc>
          <w:tcPr>
            <w:tcW w:w="4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559"/>
        <w:gridCol w:w="1370"/>
        <w:gridCol w:w="1212"/>
        <w:gridCol w:w="364"/>
        <w:gridCol w:w="1036"/>
        <w:gridCol w:w="202"/>
        <w:gridCol w:w="202"/>
        <w:gridCol w:w="202"/>
        <w:gridCol w:w="202"/>
        <w:gridCol w:w="491"/>
        <w:gridCol w:w="862"/>
        <w:gridCol w:w="202"/>
        <w:gridCol w:w="202"/>
        <w:gridCol w:w="202"/>
        <w:gridCol w:w="202"/>
        <w:gridCol w:w="364"/>
        <w:gridCol w:w="1036"/>
        <w:gridCol w:w="295"/>
      </w:tblGrid>
      <w:tr>
        <w:trPr/>
        <w:tc>
          <w:tcPr>
            <w:tcW w:w="1559"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SPX TECHNOLOGIES, INC. AND SUBSIDIARIES</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NON-GAAP RECONCILIATION - ADJUSTED EARNINGS PER SHARE</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28, 2025</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 in millions, except per share values)</w:t>
            </w:r>
          </w:p>
        </w:tc>
      </w:tr>
      <w:tr>
        <w:trPr/>
        <w:tc>
          <w:tcPr>
            <w:tcW w:w="4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GAAP</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Adjustments</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Adjusted</w:t>
            </w:r>
          </w:p>
        </w:tc>
      </w:tr>
      <w:tr>
        <w:trPr/>
        <w:tc>
          <w:tcPr>
            <w:tcW w:w="4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income</w:t>
            </w:r>
          </w:p>
        </w:tc>
        <w:tc>
          <w:tcPr>
            <w:tcW w:w="3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135.8 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135.8 </w:t>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Corporate expense </w:t>
            </w:r>
            <w:r>
              <w:rPr>
                <w:rFonts w:ascii="Times New Roman;serif" w:hAnsi="Times New Roman;serif"/>
                <w:b w:val="false"/>
                <w:color w:val="000000"/>
                <w:sz w:val="13"/>
              </w:rPr>
              <w:t>(1)</w:t>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Acquisition and integration-related costs </w:t>
            </w:r>
            <w:r>
              <w:rPr>
                <w:rFonts w:ascii="Times New Roman;serif" w:hAnsi="Times New Roman;serif"/>
                <w:b w:val="false"/>
                <w:color w:val="000000"/>
                <w:sz w:val="13"/>
              </w:rPr>
              <w:t>(2)</w:t>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incentive compensation expense</w:t>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Amortization of intangible assets </w:t>
            </w:r>
            <w:r>
              <w:rPr>
                <w:rFonts w:ascii="Times New Roman;serif" w:hAnsi="Times New Roman;serif"/>
                <w:b w:val="false"/>
                <w:color w:val="000000"/>
                <w:sz w:val="13"/>
              </w:rPr>
              <w:t>(3)</w:t>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1"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4141"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4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 net</w:t>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14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119.5 </w:t>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expense, net </w:t>
            </w:r>
            <w:r>
              <w:rPr>
                <w:rFonts w:ascii="Times New Roman;serif" w:hAnsi="Times New Roman;serif"/>
                <w:b w:val="false"/>
                <w:color w:val="000000"/>
                <w:sz w:val="13"/>
              </w:rPr>
              <w:t>(4)</w:t>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continuing operations before income taxes</w:t>
            </w:r>
          </w:p>
        </w:tc>
        <w:tc>
          <w:tcPr>
            <w:tcW w:w="14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104.2 </w:t>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Income tax provision </w:t>
            </w:r>
            <w:r>
              <w:rPr>
                <w:rFonts w:ascii="Times New Roman;serif" w:hAnsi="Times New Roman;serif"/>
                <w:b w:val="false"/>
                <w:color w:val="000000"/>
                <w:sz w:val="13"/>
              </w:rPr>
              <w:t>(5)</w:t>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continuing operations</w:t>
            </w:r>
          </w:p>
        </w:tc>
        <w:tc>
          <w:tcPr>
            <w:tcW w:w="14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78.0 </w:t>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shares outstanding</w:t>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47.396 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47.396 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share from continuing operations</w:t>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Adjustment represents the removal of certain acquisition and integration-related costs of $1.4.</w:t>
            </w:r>
          </w:p>
        </w:tc>
      </w:tr>
      <w:tr>
        <w:trPr/>
        <w:tc>
          <w:tcPr>
            <w:tcW w:w="10205"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shd w:fill="FFFFFF" w:val="clear"/>
              </w:rPr>
              <w:t>Adjustment represents the removal of (i) acquisition and integration-related costs (benefits) of $(0.3) and $0.1 within the Detection and Measurement and HVAC reportable segments, respectively, and (ii) amortization of a deferred compensation asset and an inventory step-up charge of $6.6 and $0.5, respectively, related to the KTS acquisition within the Detection and Measurement reportable segment.</w:t>
            </w:r>
          </w:p>
        </w:tc>
      </w:tr>
      <w:tr>
        <w:trPr/>
        <w:tc>
          <w:tcPr>
            <w:tcW w:w="10205"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2"/>
              </w:rPr>
              <w:t xml:space="preserve">(3) </w:t>
            </w:r>
            <w:r>
              <w:rPr>
                <w:rFonts w:ascii="Times New Roman;serif" w:hAnsi="Times New Roman;serif"/>
                <w:b w:val="false"/>
                <w:color w:val="000000"/>
                <w:sz w:val="18"/>
              </w:rPr>
              <w:t>Adjustment represents the removal of amortization expense associated with acquired intangible assets of $14.3 and $10.3 within the HVAC and Detection &amp; Measurement reportable segments, respectively.</w:t>
            </w:r>
          </w:p>
        </w:tc>
      </w:tr>
      <w:tr>
        <w:trPr/>
        <w:tc>
          <w:tcPr>
            <w:tcW w:w="4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2"/>
              </w:rPr>
              <w:t xml:space="preserve">(4) </w:t>
            </w:r>
            <w:r>
              <w:rPr>
                <w:rFonts w:ascii="Times New Roman;serif" w:hAnsi="Times New Roman;serif"/>
                <w:b w:val="false"/>
                <w:color w:val="000000"/>
                <w:sz w:val="18"/>
              </w:rPr>
              <w:t>Adjustment represents the removal of non-service pension and postretirement charges of $1.4.</w:t>
            </w:r>
          </w:p>
        </w:tc>
      </w:tr>
      <w:tr>
        <w:trPr/>
        <w:tc>
          <w:tcPr>
            <w:tcW w:w="4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2"/>
              </w:rPr>
              <w:t xml:space="preserve">(5) </w:t>
            </w:r>
            <w:r>
              <w:rPr>
                <w:rFonts w:ascii="Times New Roman;serif" w:hAnsi="Times New Roman;serif"/>
                <w:b w:val="false"/>
                <w:color w:val="000000"/>
                <w:sz w:val="18"/>
              </w:rPr>
              <w:t>Adjustment represents the tax impact of items (1) through (4).</w:t>
            </w:r>
          </w:p>
        </w:tc>
      </w:tr>
      <w:tr>
        <w:trPr/>
        <w:tc>
          <w:tcPr>
            <w:tcW w:w="4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297"/>
        <w:gridCol w:w="1371"/>
        <w:gridCol w:w="1316"/>
        <w:gridCol w:w="208"/>
        <w:gridCol w:w="208"/>
        <w:gridCol w:w="208"/>
        <w:gridCol w:w="376"/>
        <w:gridCol w:w="1070"/>
        <w:gridCol w:w="492"/>
        <w:gridCol w:w="208"/>
        <w:gridCol w:w="208"/>
        <w:gridCol w:w="208"/>
        <w:gridCol w:w="376"/>
        <w:gridCol w:w="1070"/>
        <w:gridCol w:w="589"/>
      </w:tblGrid>
      <w:tr>
        <w:trPr/>
        <w:tc>
          <w:tcPr>
            <w:tcW w:w="2297"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SPX TECHNOLOGIES, INC. AND SUBSIDIARIES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NON-GAAP RECONCILIATION - ADJUSTED EBITDA</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 in millions)</w:t>
            </w:r>
          </w:p>
        </w:tc>
      </w:tr>
      <w:tr>
        <w:trPr/>
        <w:tc>
          <w:tcPr>
            <w:tcW w:w="4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4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6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4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78.4 </w:t>
            </w:r>
          </w:p>
        </w:tc>
        <w:tc>
          <w:tcPr>
            <w:tcW w:w="4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52.2 </w:t>
            </w:r>
          </w:p>
        </w:tc>
        <w:tc>
          <w:tcPr>
            <w:tcW w:w="5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Exclude:</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w:t>
            </w:r>
          </w:p>
        </w:tc>
        <w:tc>
          <w:tcPr>
            <w:tcW w:w="5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Amortization expense </w:t>
            </w:r>
            <w:r>
              <w:rPr>
                <w:rFonts w:ascii="Times New Roman;serif" w:hAnsi="Times New Roman;serif"/>
                <w:b w:val="false"/>
                <w:color w:val="000000"/>
                <w:sz w:val="13"/>
              </w:rPr>
              <w:t>(1)</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5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 net of tax</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EBITDA</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145.6 </w:t>
            </w:r>
          </w:p>
        </w:tc>
        <w:tc>
          <w:tcPr>
            <w:tcW w:w="4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117.0 </w:t>
            </w:r>
          </w:p>
        </w:tc>
        <w:tc>
          <w:tcPr>
            <w:tcW w:w="5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Exclude:</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Acquisition and integration-related costs </w:t>
            </w:r>
            <w:r>
              <w:rPr>
                <w:rFonts w:ascii="Times New Roman;serif" w:hAnsi="Times New Roman;serif"/>
                <w:b w:val="false"/>
                <w:color w:val="000000"/>
                <w:sz w:val="13"/>
              </w:rPr>
              <w:t>(2)</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Acquisition-related long-term incentive compensation expense </w:t>
            </w:r>
            <w:r>
              <w:rPr>
                <w:rFonts w:ascii="Times New Roman;serif" w:hAnsi="Times New Roman;serif"/>
                <w:b w:val="false"/>
                <w:color w:val="000000"/>
                <w:sz w:val="13"/>
              </w:rPr>
              <w:t>(3)</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938"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2035" w:type="dxa"/>
            <w:gridSpan w:val="3"/>
            <w:tcBorders/>
            <w:vAlign w:val="center"/>
          </w:tcPr>
          <w:p>
            <w:pPr>
              <w:pStyle w:val="TableContents"/>
              <w:bidi w:val="0"/>
              <w:spacing w:before="0" w:after="283"/>
              <w:jc w:val="left"/>
              <w:rPr>
                <w:sz w:val="4"/>
                <w:szCs w:val="4"/>
              </w:rPr>
            </w:pPr>
            <w:r>
              <w:rPr>
                <w:sz w:val="4"/>
                <w:szCs w:val="4"/>
              </w:rPr>
            </w:r>
          </w:p>
        </w:tc>
      </w:tr>
      <w:tr>
        <w:trPr/>
        <w:tc>
          <w:tcPr>
            <w:tcW w:w="4984"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938"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2035" w:type="dxa"/>
            <w:gridSpan w:val="3"/>
            <w:tcBorders/>
            <w:vAlign w:val="center"/>
          </w:tcPr>
          <w:p>
            <w:pPr>
              <w:pStyle w:val="TableContents"/>
              <w:bidi w:val="0"/>
              <w:spacing w:before="0" w:after="283"/>
              <w:jc w:val="left"/>
              <w:rPr>
                <w:sz w:val="4"/>
                <w:szCs w:val="4"/>
              </w:rPr>
            </w:pPr>
            <w:r>
              <w:rPr>
                <w:sz w:val="4"/>
                <w:szCs w:val="4"/>
              </w:rPr>
            </w:r>
          </w:p>
        </w:tc>
      </w:tr>
      <w:tr>
        <w:trPr/>
        <w:tc>
          <w:tcPr>
            <w:tcW w:w="4984"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938"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2035" w:type="dxa"/>
            <w:gridSpan w:val="3"/>
            <w:tcBorders/>
            <w:vAlign w:val="center"/>
          </w:tcPr>
          <w:p>
            <w:pPr>
              <w:pStyle w:val="TableContents"/>
              <w:bidi w:val="0"/>
              <w:spacing w:before="0" w:after="283"/>
              <w:jc w:val="left"/>
              <w:rPr>
                <w:sz w:val="4"/>
                <w:szCs w:val="4"/>
              </w:rPr>
            </w:pPr>
            <w:r>
              <w:rPr>
                <w:sz w:val="4"/>
                <w:szCs w:val="4"/>
              </w:rPr>
            </w:r>
          </w:p>
        </w:tc>
      </w:tr>
      <w:tr>
        <w:trPr/>
        <w:tc>
          <w:tcPr>
            <w:tcW w:w="4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Non-service pension and postretirement charges</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938"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2035" w:type="dxa"/>
            <w:gridSpan w:val="3"/>
            <w:tcBorders/>
            <w:vAlign w:val="center"/>
          </w:tcPr>
          <w:p>
            <w:pPr>
              <w:pStyle w:val="TableContents"/>
              <w:bidi w:val="0"/>
              <w:spacing w:before="0" w:after="283"/>
              <w:jc w:val="left"/>
              <w:rPr>
                <w:sz w:val="4"/>
                <w:szCs w:val="4"/>
              </w:rPr>
            </w:pPr>
            <w:r>
              <w:rPr>
                <w:sz w:val="4"/>
                <w:szCs w:val="4"/>
              </w:rPr>
            </w:r>
          </w:p>
        </w:tc>
      </w:tr>
      <w:tr>
        <w:trPr/>
        <w:tc>
          <w:tcPr>
            <w:tcW w:w="4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151.8 </w:t>
            </w:r>
          </w:p>
        </w:tc>
        <w:tc>
          <w:tcPr>
            <w:tcW w:w="4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126.7 </w:t>
            </w:r>
          </w:p>
        </w:tc>
        <w:tc>
          <w:tcPr>
            <w:tcW w:w="5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a percent of revenues</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49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22.9 </w:t>
            </w:r>
          </w:p>
        </w:tc>
        <w:tc>
          <w:tcPr>
            <w:tcW w:w="58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Represents amortization expense associated with acquired intangible assets recorded within “Selling, general and administrative — intangible amortization” and amortization expense associated with acquired intangible assets and capitalized software costs recorded within “Cost of products sold.”</w:t>
            </w:r>
          </w:p>
          <w:p>
            <w:pPr>
              <w:pStyle w:val="TableContents"/>
              <w:bidi w:val="0"/>
              <w:spacing w:before="0" w:after="0"/>
              <w:jc w:val="both"/>
              <w:rPr/>
            </w:pPr>
            <w:r>
              <w:rPr/>
            </w:r>
          </w:p>
        </w:tc>
      </w:tr>
      <w:tr>
        <w:trPr/>
        <w:tc>
          <w:tcPr>
            <w:tcW w:w="4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2"/>
              </w:rPr>
              <w:t xml:space="preserve">(2) </w:t>
            </w:r>
            <w:r>
              <w:rPr>
                <w:rFonts w:ascii="Times New Roman;serif" w:hAnsi="Times New Roman;serif"/>
                <w:b w:val="false"/>
                <w:color w:val="000000"/>
                <w:sz w:val="18"/>
              </w:rPr>
              <w:t>For the three months ended June 27, 2026, represents (i) certain acquisition and integration-related costs of $1.9, inclusive of acquisition and integration-related costs of $0.5 within the HVAC reportable segment, and (ii) amortization of a deferred compensation asset of $2.7 related to the KTS acquisition within the Detection and Measurement reportable segment. For the three months ended June 28, 2025, represents (i) certain acquisition and integration-related costs of $1.2, inclusive of acquisition and integration-related costs (benefits) of $(0.3) and $0.1 within the Detection and Measurement and HVAC reportable segments, respectively, and (ii) amortization of a deferred compensation asset and an inventory step-up charge of $6.6 and $0.5, respectively, related to the KTS acquisition within the Detection and Measurement reportable segment.</w:t>
            </w:r>
          </w:p>
        </w:tc>
      </w:tr>
      <w:tr>
        <w:trPr/>
        <w:tc>
          <w:tcPr>
            <w:tcW w:w="4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2"/>
              </w:rPr>
              <w:t>(3)</w:t>
            </w:r>
            <w:r>
              <w:rPr>
                <w:color w:val="000000"/>
              </w:rPr>
              <w:t xml:space="preserve"> </w:t>
            </w:r>
            <w:r>
              <w:rPr>
                <w:rFonts w:ascii="Times New Roman;serif" w:hAnsi="Times New Roman;serif"/>
                <w:b w:val="false"/>
                <w:color w:val="000000"/>
                <w:sz w:val="18"/>
              </w:rPr>
              <w:t>Adjustment represents the removal of $0.2 for long-term incentive compensation expense associated with acquisition-related equity grants.</w:t>
            </w:r>
          </w:p>
        </w:tc>
      </w:tr>
      <w:tr>
        <w:trPr/>
        <w:tc>
          <w:tcPr>
            <w:tcW w:w="4984"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938"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2035" w:type="dxa"/>
            <w:gridSpan w:val="3"/>
            <w:tcBorders/>
            <w:vAlign w:val="center"/>
          </w:tcPr>
          <w:p>
            <w:pPr>
              <w:pStyle w:val="TableContents"/>
              <w:bidi w:val="0"/>
              <w:spacing w:before="0" w:after="283"/>
              <w:jc w:val="left"/>
              <w:rPr>
                <w:sz w:val="4"/>
                <w:szCs w:val="4"/>
              </w:rPr>
            </w:pPr>
            <w:r>
              <w:rPr>
                <w:sz w:val="4"/>
                <w:szCs w:val="4"/>
              </w:rPr>
            </w:r>
          </w:p>
        </w:tc>
      </w:tr>
      <w:tr>
        <w:trPr/>
        <w:tc>
          <w:tcPr>
            <w:tcW w:w="4984" w:type="dxa"/>
            <w:gridSpan w:val="3"/>
            <w:tcBorders/>
            <w:vAlign w:val="center"/>
          </w:tcPr>
          <w:p>
            <w:pPr>
              <w:pStyle w:val="TableContents"/>
              <w:bidi w:val="0"/>
              <w:spacing w:before="0" w:after="283"/>
              <w:jc w:val="left"/>
              <w:rPr>
                <w:sz w:val="4"/>
                <w:szCs w:val="4"/>
              </w:rPr>
            </w:pPr>
            <w:r>
              <w:rPr>
                <w:sz w:val="4"/>
                <w:szCs w:val="4"/>
              </w:rPr>
            </w:r>
          </w:p>
        </w:tc>
        <w:tc>
          <w:tcPr>
            <w:tcW w:w="5221" w:type="dxa"/>
            <w:gridSpan w:val="12"/>
            <w:tcBorders/>
          </w:tcPr>
          <w:p>
            <w:pPr>
              <w:pStyle w:val="TableContents"/>
              <w:bidi w:val="0"/>
              <w:spacing w:before="0" w:after="283"/>
              <w:jc w:val="left"/>
              <w:rPr>
                <w:sz w:val="4"/>
                <w:szCs w:val="4"/>
              </w:rPr>
            </w:pPr>
            <w:r>
              <w:rPr>
                <w:sz w:val="4"/>
                <w:szCs w:val="4"/>
              </w:rPr>
            </w:r>
          </w:p>
        </w:tc>
      </w:tr>
      <w:tr>
        <w:trPr/>
        <w:tc>
          <w:tcPr>
            <w:tcW w:w="4984"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938"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2035" w:type="dxa"/>
            <w:gridSpan w:val="3"/>
            <w:tcBorders/>
            <w:vAlign w:val="center"/>
          </w:tcPr>
          <w:p>
            <w:pPr>
              <w:pStyle w:val="TableContents"/>
              <w:bidi w:val="0"/>
              <w:spacing w:before="0" w:after="283"/>
              <w:jc w:val="left"/>
              <w:rPr>
                <w:sz w:val="4"/>
                <w:szCs w:val="4"/>
              </w:rPr>
            </w:pPr>
            <w:r>
              <w:rPr>
                <w:sz w:val="4"/>
                <w:szCs w:val="4"/>
              </w:rPr>
            </w:r>
          </w:p>
        </w:tc>
      </w:tr>
      <w:tr>
        <w:trPr/>
        <w:tc>
          <w:tcPr>
            <w:tcW w:w="4984" w:type="dxa"/>
            <w:gridSpan w:val="3"/>
            <w:tcBorders/>
            <w:vAlign w:val="center"/>
          </w:tcPr>
          <w:p>
            <w:pPr>
              <w:pStyle w:val="TableContents"/>
              <w:bidi w:val="0"/>
              <w:spacing w:before="0" w:after="283"/>
              <w:jc w:val="left"/>
              <w:rPr>
                <w:sz w:val="4"/>
                <w:szCs w:val="4"/>
              </w:rPr>
            </w:pPr>
            <w:r>
              <w:rPr>
                <w:sz w:val="4"/>
                <w:szCs w:val="4"/>
              </w:rPr>
            </w:r>
          </w:p>
        </w:tc>
        <w:tc>
          <w:tcPr>
            <w:tcW w:w="5221" w:type="dxa"/>
            <w:gridSpan w:val="12"/>
            <w:tcBorders/>
          </w:tcPr>
          <w:p>
            <w:pPr>
              <w:pStyle w:val="TableContents"/>
              <w:bidi w:val="0"/>
              <w:spacing w:before="0" w:after="283"/>
              <w:jc w:val="left"/>
              <w:rPr>
                <w:sz w:val="4"/>
                <w:szCs w:val="4"/>
              </w:rPr>
            </w:pPr>
            <w:r>
              <w:rPr>
                <w:sz w:val="4"/>
                <w:szCs w:val="4"/>
              </w:rPr>
            </w:r>
          </w:p>
        </w:tc>
      </w:tr>
      <w:tr>
        <w:trPr/>
        <w:tc>
          <w:tcPr>
            <w:tcW w:w="4984"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938"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203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302"/>
        <w:gridCol w:w="1363"/>
        <w:gridCol w:w="1307"/>
        <w:gridCol w:w="209"/>
        <w:gridCol w:w="209"/>
        <w:gridCol w:w="209"/>
        <w:gridCol w:w="377"/>
        <w:gridCol w:w="1073"/>
        <w:gridCol w:w="493"/>
        <w:gridCol w:w="209"/>
        <w:gridCol w:w="209"/>
        <w:gridCol w:w="209"/>
        <w:gridCol w:w="377"/>
        <w:gridCol w:w="1073"/>
        <w:gridCol w:w="586"/>
      </w:tblGrid>
      <w:tr>
        <w:trPr/>
        <w:tc>
          <w:tcPr>
            <w:tcW w:w="2302"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SPX TECHNOLOGIES, INC. AND SUBSIDIARIES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NON-GAAP RECONCILIATION - ADJUSTED EBITDA</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 in millions)</w:t>
            </w:r>
          </w:p>
        </w:tc>
      </w:tr>
      <w:tr>
        <w:trPr/>
        <w:tc>
          <w:tcPr>
            <w:tcW w:w="4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6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4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138.3 </w:t>
            </w:r>
          </w:p>
        </w:tc>
        <w:tc>
          <w:tcPr>
            <w:tcW w:w="4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103.4 </w:t>
            </w:r>
          </w:p>
        </w:tc>
        <w:tc>
          <w:tcPr>
            <w:tcW w:w="5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Exclude:</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Amortization expense </w:t>
            </w:r>
            <w:r>
              <w:rPr>
                <w:rFonts w:ascii="Times New Roman;serif" w:hAnsi="Times New Roman;serif"/>
                <w:b w:val="false"/>
                <w:color w:val="000000"/>
                <w:sz w:val="13"/>
              </w:rPr>
              <w:t>(1)</w:t>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 net of tax</w:t>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EBITDA</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262.4 </w:t>
            </w:r>
          </w:p>
        </w:tc>
        <w:tc>
          <w:tcPr>
            <w:tcW w:w="4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213.3 </w:t>
            </w:r>
          </w:p>
        </w:tc>
        <w:tc>
          <w:tcPr>
            <w:tcW w:w="5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Exclude:</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Acquisition and integration-related costs </w:t>
            </w:r>
            <w:r>
              <w:rPr>
                <w:rFonts w:ascii="Times New Roman;serif" w:hAnsi="Times New Roman;serif"/>
                <w:b w:val="false"/>
                <w:color w:val="000000"/>
                <w:sz w:val="13"/>
              </w:rPr>
              <w:t>(2)</w:t>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Acquisition-related long-term incentive compensation expense </w:t>
            </w:r>
            <w:r>
              <w:rPr>
                <w:rFonts w:ascii="Times New Roman;serif" w:hAnsi="Times New Roman;serif"/>
                <w:b w:val="false"/>
                <w:color w:val="000000"/>
                <w:sz w:val="13"/>
              </w:rPr>
              <w:t>(3)</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2"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2036" w:type="dxa"/>
            <w:gridSpan w:val="3"/>
            <w:tcBorders/>
            <w:vAlign w:val="center"/>
          </w:tcPr>
          <w:p>
            <w:pPr>
              <w:pStyle w:val="TableContents"/>
              <w:bidi w:val="0"/>
              <w:spacing w:before="0" w:after="283"/>
              <w:jc w:val="left"/>
              <w:rPr>
                <w:sz w:val="4"/>
                <w:szCs w:val="4"/>
              </w:rPr>
            </w:pPr>
            <w:r>
              <w:rPr>
                <w:sz w:val="4"/>
                <w:szCs w:val="4"/>
              </w:rPr>
            </w:r>
          </w:p>
        </w:tc>
      </w:tr>
      <w:tr>
        <w:trPr/>
        <w:tc>
          <w:tcPr>
            <w:tcW w:w="4972"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2036" w:type="dxa"/>
            <w:gridSpan w:val="3"/>
            <w:tcBorders/>
            <w:vAlign w:val="center"/>
          </w:tcPr>
          <w:p>
            <w:pPr>
              <w:pStyle w:val="TableContents"/>
              <w:bidi w:val="0"/>
              <w:spacing w:before="0" w:after="283"/>
              <w:jc w:val="left"/>
              <w:rPr>
                <w:sz w:val="4"/>
                <w:szCs w:val="4"/>
              </w:rPr>
            </w:pPr>
            <w:r>
              <w:rPr>
                <w:sz w:val="4"/>
                <w:szCs w:val="4"/>
              </w:rPr>
            </w:r>
          </w:p>
        </w:tc>
      </w:tr>
      <w:tr>
        <w:trPr/>
        <w:tc>
          <w:tcPr>
            <w:tcW w:w="4972"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2036" w:type="dxa"/>
            <w:gridSpan w:val="3"/>
            <w:tcBorders/>
            <w:vAlign w:val="center"/>
          </w:tcPr>
          <w:p>
            <w:pPr>
              <w:pStyle w:val="TableContents"/>
              <w:bidi w:val="0"/>
              <w:spacing w:before="0" w:after="283"/>
              <w:jc w:val="left"/>
              <w:rPr>
                <w:sz w:val="4"/>
                <w:szCs w:val="4"/>
              </w:rPr>
            </w:pPr>
            <w:r>
              <w:rPr>
                <w:sz w:val="4"/>
                <w:szCs w:val="4"/>
              </w:rPr>
            </w:r>
          </w:p>
        </w:tc>
      </w:tr>
      <w:tr>
        <w:trPr/>
        <w:tc>
          <w:tcPr>
            <w:tcW w:w="4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Non-service pension and postretirement charges</w:t>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adjustment on an equity security</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277.9 </w:t>
            </w:r>
          </w:p>
        </w:tc>
        <w:tc>
          <w:tcPr>
            <w:tcW w:w="4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229.3 </w:t>
            </w:r>
          </w:p>
        </w:tc>
        <w:tc>
          <w:tcPr>
            <w:tcW w:w="5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a percent of revenues</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22.3 </w:t>
            </w:r>
          </w:p>
        </w:tc>
        <w:tc>
          <w:tcPr>
            <w:tcW w:w="49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58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Represents amortization expense associated with acquired intangible assets recorded within “Selling, general and administrative — intangible amortization” and amortization expense associated with acquired intangible assets and capitalized software costs recorded within “Cost of products sold.”</w:t>
            </w:r>
          </w:p>
          <w:p>
            <w:pPr>
              <w:pStyle w:val="TableContents"/>
              <w:bidi w:val="0"/>
              <w:spacing w:before="0" w:after="0"/>
              <w:jc w:val="both"/>
              <w:rPr/>
            </w:pPr>
            <w:r>
              <w:rPr/>
            </w:r>
          </w:p>
        </w:tc>
      </w:tr>
      <w:tr>
        <w:trPr/>
        <w:tc>
          <w:tcPr>
            <w:tcW w:w="4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2"/>
              </w:rPr>
              <w:t xml:space="preserve">(2) </w:t>
            </w:r>
            <w:r>
              <w:rPr>
                <w:rFonts w:ascii="Times New Roman;serif" w:hAnsi="Times New Roman;serif"/>
                <w:b w:val="false"/>
                <w:color w:val="000000"/>
                <w:sz w:val="18"/>
              </w:rPr>
              <w:t>For the six months ended June 27, 2026, represents (i) certain acquisition and integration-related costs of $5.5, inclusive of acquisition and integration-related costs of $1.4 within the HVAC reportable segment, (ii) inventory step-up charges of $0.4 and $0.1 related to the Thermolec and Crawford United acquisitions, respectively, within the HVAC reportable segment, and (iii) amortization of a deferred compensation asset of $6.3 related to the KTS acquisition within the Detection and Measurement reportable segment. For the six months ended June 28, 2025, represents (i) certain acquisition and integration-related costs of $5.2, inclusive of acquisition and integration-related costs of $0.7 and $0.9 within the Detection and Measurement and HVAC reportable segments, respectively, and (ii) amortization of a deferred compensation asset and an inventory step-up charge of $10.9 and $0.8, respectively, related to the KTS acquisition within the Detection and Measurement reportable segment.</w:t>
            </w:r>
          </w:p>
        </w:tc>
      </w:tr>
      <w:tr>
        <w:trPr/>
        <w:tc>
          <w:tcPr>
            <w:tcW w:w="4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2"/>
              </w:rPr>
              <w:t>(3)</w:t>
            </w:r>
            <w:r>
              <w:rPr>
                <w:color w:val="000000"/>
              </w:rPr>
              <w:t xml:space="preserve"> </w:t>
            </w:r>
            <w:r>
              <w:rPr>
                <w:rFonts w:ascii="Times New Roman;serif" w:hAnsi="Times New Roman;serif"/>
                <w:b w:val="false"/>
                <w:color w:val="000000"/>
                <w:sz w:val="18"/>
              </w:rPr>
              <w:t>Adjustment represents the removal of $0.3 for long-term incentive compensation expense associated with acquisition-related equity grants.</w:t>
            </w:r>
          </w:p>
        </w:tc>
      </w:tr>
      <w:tr>
        <w:trPr/>
        <w:tc>
          <w:tcPr>
            <w:tcW w:w="4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975"/>
        <w:gridCol w:w="1411"/>
        <w:gridCol w:w="1415"/>
        <w:gridCol w:w="262"/>
        <w:gridCol w:w="262"/>
        <w:gridCol w:w="262"/>
        <w:gridCol w:w="472"/>
        <w:gridCol w:w="1124"/>
        <w:gridCol w:w="262"/>
        <w:gridCol w:w="262"/>
        <w:gridCol w:w="262"/>
        <w:gridCol w:w="262"/>
        <w:gridCol w:w="472"/>
        <w:gridCol w:w="1124"/>
        <w:gridCol w:w="378"/>
      </w:tblGrid>
      <w:tr>
        <w:trPr/>
        <w:tc>
          <w:tcPr>
            <w:tcW w:w="1975"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SPX TECHNOLOGIES, INC. AND SUBSIDIARIES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NON-GAAP RECONCILIATION - ADJUSTED FREE CASH FLOW</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 in millions)</w:t>
            </w:r>
          </w:p>
        </w:tc>
      </w:tr>
      <w:tr>
        <w:trPr/>
        <w:tc>
          <w:tcPr>
            <w:tcW w:w="4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4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4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 from continuing operations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90.4 </w:t>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3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Include:</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Free cash flow from continuing operations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69.3 </w:t>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3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Exclude:</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Acquisition and integration-related payments and other </w:t>
            </w:r>
            <w:r>
              <w:rPr>
                <w:rFonts w:ascii="Times New Roman;serif" w:hAnsi="Times New Roman;serif"/>
                <w:b w:val="false"/>
                <w:color w:val="000000"/>
                <w:sz w:val="13"/>
              </w:rPr>
              <w:t>(1)</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free cash flow from continuing operations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72.1 </w:t>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37.1 </w:t>
            </w:r>
          </w:p>
        </w:tc>
        <w:tc>
          <w:tcPr>
            <w:tcW w:w="3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For the three months ended June 27, 2026, represents the removal of the cash impact of acquisition and integration-related costs of $2.8. For the three months ended June 28, 2025, represents the removal of the cash impact of acquisition and integration-related costs of $1.4.</w:t>
            </w:r>
          </w:p>
        </w:tc>
      </w:tr>
      <w:tr>
        <w:trPr/>
        <w:tc>
          <w:tcPr>
            <w:tcW w:w="4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000"/>
        <w:gridCol w:w="1359"/>
        <w:gridCol w:w="1364"/>
        <w:gridCol w:w="255"/>
        <w:gridCol w:w="255"/>
        <w:gridCol w:w="255"/>
        <w:gridCol w:w="460"/>
        <w:gridCol w:w="1309"/>
        <w:gridCol w:w="255"/>
        <w:gridCol w:w="255"/>
        <w:gridCol w:w="255"/>
        <w:gridCol w:w="255"/>
        <w:gridCol w:w="460"/>
        <w:gridCol w:w="1097"/>
        <w:gridCol w:w="371"/>
      </w:tblGrid>
      <w:tr>
        <w:trPr/>
        <w:tc>
          <w:tcPr>
            <w:tcW w:w="2000"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SPX TECHNOLOGIES, INC. AND SUBSIDIARIES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NON-GAAP RECONCILIATION - ADJUSTED FREE CASH FLOW</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 in millions)</w:t>
            </w:r>
          </w:p>
        </w:tc>
      </w:tr>
      <w:tr>
        <w:trPr/>
        <w:tc>
          <w:tcPr>
            <w:tcW w:w="4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7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4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 from continuing operations</w:t>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120.2 </w:t>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33.0 </w:t>
            </w:r>
          </w:p>
        </w:tc>
        <w:tc>
          <w:tcPr>
            <w:tcW w:w="3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Include:</w:t>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Free cash flow from continuing operations</w:t>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80.6 </w:t>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3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Exclude:</w:t>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Acquisition and integration-related payments and other </w:t>
            </w:r>
            <w:r>
              <w:rPr>
                <w:rFonts w:ascii="Times New Roman;serif" w:hAnsi="Times New Roman;serif"/>
                <w:b w:val="false"/>
                <w:color w:val="000000"/>
                <w:sz w:val="13"/>
              </w:rPr>
              <w:t>(1)</w:t>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free cash flow from continuing operations</w:t>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87.9 </w:t>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73.4 </w:t>
            </w:r>
          </w:p>
        </w:tc>
        <w:tc>
          <w:tcPr>
            <w:tcW w:w="3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For the six months ended June 27, 2026, represents the removal of the cash impact of acquisition and integration-related costs of $7.3. For the six months ended June 28, 2025, represents the removal of the cash impact of (i) funded amounts associated with employee retention agreements assumed in the KTS acquisition of $46.5 and (ii) acquisition and integration-related costs of $7.1.</w:t>
            </w:r>
          </w:p>
        </w:tc>
      </w:tr>
      <w:tr>
        <w:trPr/>
        <w:tc>
          <w:tcPr>
            <w:tcW w:w="4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6060</Words>
  <Characters>34743</Characters>
  <CharactersWithSpaces>40007</CharactersWithSpaces>
  <Paragraphs>1587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