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September 30, 2023</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SPX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(980) 474-3700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outstanding October 27, 2023, 45,648,119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8933" w:type="dxa"/>
        <w:jc w:val="center"/>
        <w:tblInd w:w="0" w:type="dxa"/>
        <w:tblLayout w:type="fixed"/>
        <w:tblCellMar>
          <w:top w:w="28" w:type="dxa"/>
          <w:left w:w="28" w:type="dxa"/>
          <w:bottom w:w="28" w:type="dxa"/>
          <w:right w:w="28" w:type="dxa"/>
        </w:tblCellMar>
      </w:tblPr>
      <w:tblGrid>
        <w:gridCol w:w="2980"/>
        <w:gridCol w:w="2624"/>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e7c5b3c676470485408881f3b6eb73_10">
              <w:r>
                <w:rPr>
                  <w:rStyle w:val="InternetLink"/>
                  <w:rFonts w:ascii="Times New Roman;sans-serif" w:hAnsi="Times New Roman;sans-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3">
              <w:r>
                <w:rPr>
                  <w:rStyle w:val="InternetLink"/>
                  <w:rFonts w:ascii="Times New Roman;sans-serif" w:hAnsi="Times New Roman;sans-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6">
              <w:r>
                <w:rPr>
                  <w:rStyle w:val="InternetLink"/>
                  <w:rFonts w:ascii="Times New Roman;sans-serif" w:hAnsi="Times New Roman;sans-serif"/>
                  <w:b w:val="false"/>
                  <w:color w:val="0000FF"/>
                  <w:sz w:val="20"/>
                  <w:u w:val="single"/>
                </w:rPr>
                <w:t>Condensed Consolidated Statements of Operations and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6">
              <w:r>
                <w:rPr>
                  <w:rStyle w:val="InternetLink"/>
                  <w:rFonts w:ascii="Times New Roman;sans-serif" w:hAnsi="Times New Roman;sans-serif"/>
                  <w:b w:val="false"/>
                  <w:color w:val="0000FF"/>
                  <w:sz w:val="20"/>
                  <w:u w:val="single"/>
                </w:rPr>
                <w:t>3</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9">
              <w:r>
                <w:rPr>
                  <w:rStyle w:val="InternetLink"/>
                  <w:rFonts w:ascii="Times New Roman;sans-serif" w:hAnsi="Times New Roman;sans-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9">
              <w:r>
                <w:rPr>
                  <w:rStyle w:val="InternetLink"/>
                  <w:rFonts w:ascii="Times New Roman;sans-serif" w:hAnsi="Times New Roman;sans-serif"/>
                  <w:b w:val="false"/>
                  <w:color w:val="0000FF"/>
                  <w:sz w:val="20"/>
                  <w:u w:val="single"/>
                </w:rPr>
                <w:t>4</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e7c5b3c676470485408881f3b6eb73_22">
              <w:r>
                <w:rPr>
                  <w:rStyle w:val="InternetLink"/>
                  <w:rFonts w:ascii="Times New Roman;sans-serif" w:hAnsi="Times New Roman;sans-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22">
              <w:r>
                <w:rPr>
                  <w:rStyle w:val="InternetLink"/>
                  <w:rFonts w:ascii="Times New Roman;sans-serif" w:hAnsi="Times New Roman;sans-serif"/>
                  <w:b w:val="false"/>
                  <w:color w:val="0000FF"/>
                  <w:sz w:val="20"/>
                  <w:u w:val="single"/>
                </w:rPr>
                <w:t>5</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25">
              <w:r>
                <w:rPr>
                  <w:rStyle w:val="InternetLink"/>
                  <w:rFonts w:ascii="Times New Roman;sans-serif" w:hAnsi="Times New Roman;sans-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25">
              <w:r>
                <w:rPr>
                  <w:rStyle w:val="InternetLink"/>
                  <w:rFonts w:ascii="Times New Roman;sans-serif" w:hAnsi="Times New Roman;sans-serif"/>
                  <w:b w:val="false"/>
                  <w:color w:val="0000FF"/>
                  <w:sz w:val="20"/>
                  <w:u w:val="single"/>
                </w:rPr>
                <w:t>6</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2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28">
              <w:r>
                <w:rPr>
                  <w:rStyle w:val="InternetLink"/>
                  <w:rFonts w:ascii="Times New Roman;sans-serif" w:hAnsi="Times New Roman;sans-serif"/>
                  <w:b w:val="false"/>
                  <w:color w:val="0000FF"/>
                  <w:sz w:val="20"/>
                  <w:u w:val="single"/>
                </w:rPr>
                <w:t>7</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88">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88">
              <w:r>
                <w:rPr>
                  <w:rStyle w:val="InternetLink"/>
                  <w:rFonts w:ascii="Times New Roman;sans-serif" w:hAnsi="Times New Roman;sans-serif"/>
                  <w:b w:val="false"/>
                  <w:color w:val="0000FF"/>
                  <w:sz w:val="20"/>
                  <w:u w:val="single"/>
                </w:rPr>
                <w:t>31</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09">
              <w:r>
                <w:rPr>
                  <w:rStyle w:val="InternetLink"/>
                  <w:rFonts w:ascii="Times New Roman;sans-serif" w:hAnsi="Times New Roman;sans-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09">
              <w:r>
                <w:rPr>
                  <w:rStyle w:val="InternetLink"/>
                  <w:rFonts w:ascii="Times New Roman;sans-serif" w:hAnsi="Times New Roman;sans-serif"/>
                  <w:b w:val="false"/>
                  <w:color w:val="0000FF"/>
                  <w:sz w:val="20"/>
                  <w:u w:val="single"/>
                </w:rPr>
                <w:t>43</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12">
              <w:r>
                <w:rPr>
                  <w:rStyle w:val="InternetLink"/>
                  <w:rFonts w:ascii="Times New Roman;sans-serif" w:hAnsi="Times New Roman;sans-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12">
              <w:r>
                <w:rPr>
                  <w:rStyle w:val="InternetLink"/>
                  <w:rFonts w:ascii="Times New Roman;sans-serif" w:hAnsi="Times New Roman;sans-serif"/>
                  <w:b w:val="false"/>
                  <w:color w:val="0000FF"/>
                  <w:sz w:val="20"/>
                  <w:u w:val="single"/>
                </w:rPr>
                <w:t>43</w:t>
              </w:r>
            </w:hyperlink>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e7c5b3c676470485408881f3b6eb73_115">
              <w:r>
                <w:rPr>
                  <w:rStyle w:val="InternetLink"/>
                  <w:rFonts w:ascii="Times New Roman;sans-serif" w:hAnsi="Times New Roman;sans-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18">
              <w:r>
                <w:rPr>
                  <w:rStyle w:val="InternetLink"/>
                  <w:rFonts w:ascii="Times New Roman;sans-serif" w:hAnsi="Times New Roman;sans-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18">
              <w:r>
                <w:rPr>
                  <w:rStyle w:val="InternetLink"/>
                  <w:rFonts w:ascii="Times New Roman;sans-serif" w:hAnsi="Times New Roman;sans-serif"/>
                  <w:b w:val="false"/>
                  <w:color w:val="0000FF"/>
                  <w:sz w:val="20"/>
                  <w:u w:val="single"/>
                </w:rPr>
                <w:t>44</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21">
              <w:r>
                <w:rPr>
                  <w:rStyle w:val="InternetLink"/>
                  <w:rFonts w:ascii="Times New Roman;sans-serif" w:hAnsi="Times New Roman;sans-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21">
              <w:r>
                <w:rPr>
                  <w:rStyle w:val="InternetLink"/>
                  <w:rFonts w:ascii="Times New Roman;sans-serif" w:hAnsi="Times New Roman;sans-serif"/>
                  <w:b w:val="false"/>
                  <w:color w:val="0000FF"/>
                  <w:sz w:val="20"/>
                  <w:u w:val="single"/>
                </w:rPr>
                <w:t>44</w:t>
              </w:r>
            </w:hyperlink>
          </w:p>
        </w:tc>
      </w:tr>
      <w:tr>
        <w:trPr/>
        <w:tc>
          <w:tcPr>
            <w:tcW w:w="8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241">
              <w:r>
                <w:rPr>
                  <w:rStyle w:val="InternetLink"/>
                  <w:rFonts w:ascii="Times New Roman;sans-serif" w:hAnsi="Times New Roman;sans-serif"/>
                  <w:b w:val="false"/>
                  <w:color w:val="000080"/>
                  <w:sz w:val="20"/>
                  <w:u w:val="single"/>
                </w:rPr>
                <w:t xml:space="preserve">Item 5 </w:t>
              </w:r>
            </w:hyperlink>
            <w:hyperlink w:anchor="if7e7c5b3c676470485408881f3b6eb73_127">
              <w:r>
                <w:rPr>
                  <w:rStyle w:val="InternetLink"/>
                  <w:rFonts w:ascii="Times New Roman;sans-serif" w:hAnsi="Times New Roman;sans-serif"/>
                  <w:b w:val="false"/>
                  <w:color w:val="000080"/>
                  <w:sz w:val="20"/>
                  <w:u w:val="single"/>
                </w:rPr>
                <w:t>–</w:t>
              </w:r>
            </w:hyperlink>
            <w:hyperlink w:anchor="if7e7c5b3c676470485408881f3b6eb73_1241">
              <w:r>
                <w:rPr>
                  <w:rStyle w:val="InternetLink"/>
                  <w:rFonts w:ascii="Times New Roman;sans-serif" w:hAnsi="Times New Roman;sans-serif"/>
                  <w:b w:val="false"/>
                  <w:color w:val="000080"/>
                  <w:sz w:val="20"/>
                  <w:u w:val="single"/>
                </w:rPr>
                <w:t xml:space="preserve">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241">
              <w:r>
                <w:rPr>
                  <w:rStyle w:val="InternetLink"/>
                  <w:rFonts w:ascii="Times New Roman;sans-serif" w:hAnsi="Times New Roman;sans-serif"/>
                  <w:b w:val="false"/>
                  <w:color w:val="0000FF"/>
                  <w:sz w:val="20"/>
                  <w:u w:val="single"/>
                </w:rPr>
                <w:t>44</w:t>
              </w:r>
            </w:hyperlink>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7e7c5b3c676470485408881f3b6eb73_127">
              <w:r>
                <w:rPr>
                  <w:rStyle w:val="InternetLink"/>
                  <w:rFonts w:ascii="Times New Roman;sans-serif" w:hAnsi="Times New Roman;sans-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27">
              <w:r>
                <w:rPr>
                  <w:rStyle w:val="InternetLink"/>
                  <w:rFonts w:ascii="Times New Roman;sans-serif" w:hAnsi="Times New Roman;sans-serif"/>
                  <w:b w:val="false"/>
                  <w:color w:val="0000FF"/>
                  <w:sz w:val="20"/>
                  <w:u w:val="single"/>
                </w:rPr>
                <w:t>44</w:t>
              </w:r>
            </w:hyperlink>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e7c5b3c676470485408881f3b6eb73_130">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7c5b3c676470485408881f3b6eb73_130">
              <w:r>
                <w:rPr>
                  <w:rStyle w:val="InternetLink"/>
                  <w:rFonts w:ascii="Times New Roman;sans-serif" w:hAnsi="Times New Roman;sans-serif"/>
                  <w:b w:val="false"/>
                  <w:color w:val="0000FF"/>
                  <w:sz w:val="20"/>
                  <w:u w:val="single"/>
                </w:rPr>
                <w:t>45</w:t>
              </w:r>
            </w:hyperlink>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10135" w:type="dxa"/>
        <w:jc w:val="center"/>
        <w:tblInd w:w="0" w:type="dxa"/>
        <w:tblLayout w:type="fixed"/>
        <w:tblCellMar>
          <w:top w:w="28" w:type="dxa"/>
          <w:left w:w="28" w:type="dxa"/>
          <w:bottom w:w="28" w:type="dxa"/>
          <w:right w:w="28" w:type="dxa"/>
        </w:tblCellMar>
      </w:tblPr>
      <w:tblGrid>
        <w:gridCol w:w="1795"/>
        <w:gridCol w:w="1574"/>
        <w:gridCol w:w="1580"/>
        <w:gridCol w:w="259"/>
        <w:gridCol w:w="736"/>
        <w:gridCol w:w="145"/>
        <w:gridCol w:w="109"/>
        <w:gridCol w:w="109"/>
        <w:gridCol w:w="109"/>
        <w:gridCol w:w="201"/>
        <w:gridCol w:w="572"/>
        <w:gridCol w:w="112"/>
        <w:gridCol w:w="109"/>
        <w:gridCol w:w="109"/>
        <w:gridCol w:w="109"/>
        <w:gridCol w:w="224"/>
        <w:gridCol w:w="791"/>
        <w:gridCol w:w="124"/>
        <w:gridCol w:w="109"/>
        <w:gridCol w:w="109"/>
        <w:gridCol w:w="109"/>
        <w:gridCol w:w="196"/>
        <w:gridCol w:w="691"/>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amendment/refinancing of senior credit agreement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disposition of discontinued operations, net of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 of tax</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 of common stock:</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 of common stock:</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from continuing operations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 of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63"/>
        <w:gridCol w:w="2321"/>
        <w:gridCol w:w="2337"/>
        <w:gridCol w:w="209"/>
        <w:gridCol w:w="739"/>
        <w:gridCol w:w="116"/>
        <w:gridCol w:w="109"/>
        <w:gridCol w:w="109"/>
        <w:gridCol w:w="109"/>
        <w:gridCol w:w="204"/>
        <w:gridCol w:w="723"/>
        <w:gridCol w:w="166"/>
      </w:tblGrid>
      <w:tr>
        <w:trPr/>
        <w:tc>
          <w:tcPr>
            <w:tcW w:w="306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of DBT and Heat Transfer (includes cash and equivalents of $1.1 and $9.3 at September 30, 2023 and December 31, 2022, respectively) (Note 3)</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DBT and Heat Transfer (Note 3)</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15)</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(53,581,770 and 45,634,180 issued and outstanding at September 30, 2023, respectively, and 53,350,918 and 45,291,989 issued and outstanding at December 31, 2022, respectively)</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(deficit)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treasury (7,947,590 and 8,058,929 shares at September 30, 2023 and December 31, 2022, respectively)</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5"/>
        <w:gridCol w:w="483"/>
        <w:gridCol w:w="394"/>
        <w:gridCol w:w="249"/>
        <w:gridCol w:w="478"/>
        <w:gridCol w:w="140"/>
        <w:gridCol w:w="109"/>
        <w:gridCol w:w="109"/>
        <w:gridCol w:w="109"/>
        <w:gridCol w:w="206"/>
        <w:gridCol w:w="728"/>
        <w:gridCol w:w="114"/>
        <w:gridCol w:w="109"/>
        <w:gridCol w:w="109"/>
        <w:gridCol w:w="109"/>
        <w:gridCol w:w="234"/>
        <w:gridCol w:w="558"/>
        <w:gridCol w:w="130"/>
        <w:gridCol w:w="109"/>
        <w:gridCol w:w="109"/>
        <w:gridCol w:w="109"/>
        <w:gridCol w:w="360"/>
        <w:gridCol w:w="1025"/>
        <w:gridCol w:w="202"/>
        <w:gridCol w:w="109"/>
        <w:gridCol w:w="109"/>
        <w:gridCol w:w="109"/>
        <w:gridCol w:w="252"/>
        <w:gridCol w:w="766"/>
        <w:gridCol w:w="140"/>
        <w:gridCol w:w="109"/>
        <w:gridCol w:w="109"/>
        <w:gridCol w:w="109"/>
        <w:gridCol w:w="255"/>
        <w:gridCol w:w="902"/>
        <w:gridCol w:w="209"/>
      </w:tblGrid>
      <w:tr>
        <w:trPr/>
        <w:tc>
          <w:tcPr>
            <w:tcW w:w="7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1, 2023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7"/>
        <w:gridCol w:w="416"/>
        <w:gridCol w:w="418"/>
        <w:gridCol w:w="246"/>
        <w:gridCol w:w="473"/>
        <w:gridCol w:w="138"/>
        <w:gridCol w:w="109"/>
        <w:gridCol w:w="109"/>
        <w:gridCol w:w="109"/>
        <w:gridCol w:w="205"/>
        <w:gridCol w:w="724"/>
        <w:gridCol w:w="114"/>
        <w:gridCol w:w="109"/>
        <w:gridCol w:w="109"/>
        <w:gridCol w:w="109"/>
        <w:gridCol w:w="255"/>
        <w:gridCol w:w="657"/>
        <w:gridCol w:w="142"/>
        <w:gridCol w:w="109"/>
        <w:gridCol w:w="109"/>
        <w:gridCol w:w="109"/>
        <w:gridCol w:w="353"/>
        <w:gridCol w:w="1004"/>
        <w:gridCol w:w="198"/>
        <w:gridCol w:w="109"/>
        <w:gridCol w:w="109"/>
        <w:gridCol w:w="109"/>
        <w:gridCol w:w="247"/>
        <w:gridCol w:w="748"/>
        <w:gridCol w:w="137"/>
        <w:gridCol w:w="109"/>
        <w:gridCol w:w="109"/>
        <w:gridCol w:w="109"/>
        <w:gridCol w:w="251"/>
        <w:gridCol w:w="889"/>
        <w:gridCol w:w="208"/>
      </w:tblGrid>
      <w:tr>
        <w:trPr/>
        <w:tc>
          <w:tcPr>
            <w:tcW w:w="7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6"/>
        <w:gridCol w:w="485"/>
        <w:gridCol w:w="396"/>
        <w:gridCol w:w="249"/>
        <w:gridCol w:w="479"/>
        <w:gridCol w:w="140"/>
        <w:gridCol w:w="109"/>
        <w:gridCol w:w="109"/>
        <w:gridCol w:w="109"/>
        <w:gridCol w:w="206"/>
        <w:gridCol w:w="728"/>
        <w:gridCol w:w="114"/>
        <w:gridCol w:w="109"/>
        <w:gridCol w:w="109"/>
        <w:gridCol w:w="109"/>
        <w:gridCol w:w="218"/>
        <w:gridCol w:w="558"/>
        <w:gridCol w:w="121"/>
        <w:gridCol w:w="109"/>
        <w:gridCol w:w="109"/>
        <w:gridCol w:w="109"/>
        <w:gridCol w:w="361"/>
        <w:gridCol w:w="1029"/>
        <w:gridCol w:w="203"/>
        <w:gridCol w:w="109"/>
        <w:gridCol w:w="109"/>
        <w:gridCol w:w="109"/>
        <w:gridCol w:w="253"/>
        <w:gridCol w:w="769"/>
        <w:gridCol w:w="140"/>
        <w:gridCol w:w="109"/>
        <w:gridCol w:w="109"/>
        <w:gridCol w:w="109"/>
        <w:gridCol w:w="255"/>
        <w:gridCol w:w="904"/>
        <w:gridCol w:w="216"/>
      </w:tblGrid>
      <w:tr>
        <w:trPr/>
        <w:tc>
          <w:tcPr>
            <w:tcW w:w="7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1, 2022</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2, 2022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October 1, 2022</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8"/>
        <w:gridCol w:w="434"/>
        <w:gridCol w:w="436"/>
        <w:gridCol w:w="249"/>
        <w:gridCol w:w="479"/>
        <w:gridCol w:w="140"/>
        <w:gridCol w:w="109"/>
        <w:gridCol w:w="109"/>
        <w:gridCol w:w="109"/>
        <w:gridCol w:w="206"/>
        <w:gridCol w:w="728"/>
        <w:gridCol w:w="114"/>
        <w:gridCol w:w="109"/>
        <w:gridCol w:w="109"/>
        <w:gridCol w:w="109"/>
        <w:gridCol w:w="218"/>
        <w:gridCol w:w="558"/>
        <w:gridCol w:w="121"/>
        <w:gridCol w:w="109"/>
        <w:gridCol w:w="109"/>
        <w:gridCol w:w="109"/>
        <w:gridCol w:w="361"/>
        <w:gridCol w:w="1029"/>
        <w:gridCol w:w="203"/>
        <w:gridCol w:w="109"/>
        <w:gridCol w:w="109"/>
        <w:gridCol w:w="109"/>
        <w:gridCol w:w="253"/>
        <w:gridCol w:w="769"/>
        <w:gridCol w:w="140"/>
        <w:gridCol w:w="109"/>
        <w:gridCol w:w="109"/>
        <w:gridCol w:w="109"/>
        <w:gridCol w:w="255"/>
        <w:gridCol w:w="904"/>
        <w:gridCol w:w="215"/>
      </w:tblGrid>
      <w:tr>
        <w:trPr/>
        <w:tc>
          <w:tcPr>
            <w:tcW w:w="7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1, 2022</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October 1, 2022</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1,079.7 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SPX TECHNOLOGIES,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934"/>
        <w:gridCol w:w="2461"/>
        <w:gridCol w:w="2481"/>
        <w:gridCol w:w="244"/>
        <w:gridCol w:w="694"/>
        <w:gridCol w:w="136"/>
        <w:gridCol w:w="109"/>
        <w:gridCol w:w="109"/>
        <w:gridCol w:w="109"/>
        <w:gridCol w:w="199"/>
        <w:gridCol w:w="567"/>
        <w:gridCol w:w="162"/>
      </w:tblGrid>
      <w:tr>
        <w:trPr/>
        <w:tc>
          <w:tcPr>
            <w:tcW w:w="2934"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operating activities:</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Loss from discontinued operations, net of tax</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from (used in) operating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change in fair value of equity security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from acquisitions and divestitures: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other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spending on restructuring actions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continuing operations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operating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investing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related to company-owned life insurance policies,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continuing operations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financing activities: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credit facilities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senior credit facilities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trade receivables arrangement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trade receivables arrangement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other financing arrangements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withholdings paid on behalf of employees for net share settlements, net of proceeds from the exercise of employee stock options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 paid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continuing operations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financing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beginning of period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26" w:type="dxa"/>
        <w:jc w:val="center"/>
        <w:tblInd w:w="0" w:type="dxa"/>
        <w:tblLayout w:type="fixed"/>
        <w:tblCellMar>
          <w:top w:w="28" w:type="dxa"/>
          <w:left w:w="28" w:type="dxa"/>
          <w:bottom w:w="28" w:type="dxa"/>
          <w:right w:w="28" w:type="dxa"/>
        </w:tblCellMar>
      </w:tblPr>
      <w:tblGrid>
        <w:gridCol w:w="1748"/>
        <w:gridCol w:w="1538"/>
        <w:gridCol w:w="1543"/>
        <w:gridCol w:w="259"/>
        <w:gridCol w:w="736"/>
        <w:gridCol w:w="145"/>
        <w:gridCol w:w="109"/>
        <w:gridCol w:w="109"/>
        <w:gridCol w:w="109"/>
        <w:gridCol w:w="201"/>
        <w:gridCol w:w="571"/>
        <w:gridCol w:w="158"/>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Components of cash and equivalents: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included in assets of DBT and Heat Transfer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equivalents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“us” and “our” mean SPX Technologies, Inc. and its consolidated subsidiaries (“SPX”).</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Merger and Consummation of Holding Company Reorganization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15, 2022, SPX Technologies, Inc. (the “Company”)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The terms “SPX,” “we” and “our” include Legacy SPX for periods prior to the consummation of the Holding Company Reorganization as the context requires.</w:t>
      </w:r>
    </w:p>
    <w:p>
      <w:pPr>
        <w:pStyle w:val="TextBody"/>
        <w:bidi w:val="0"/>
        <w:spacing w:before="0" w:after="0"/>
        <w:jc w:val="left"/>
        <w:rPr/>
      </w:pPr>
      <w:r>
        <w:rPr/>
      </w:r>
    </w:p>
    <w:p>
      <w:pPr>
        <w:pStyle w:val="TextBody"/>
        <w:bidi w:val="0"/>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Divestiture of Asbestos Liabilities and Certain Assets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we divested three wholly-owned subsidiaries that hold asbestos liabilities and certain assets, including related insurance assets, to Canvas Holdco LLC (“Canvas”), an entity formed by a joint venture of Global Risk Capital LLC and an affiliate of Premia Holdings Ltd. In connection with the divestiture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As a result of this transaction, the Company divested all obligations with respect to pending and future asbestos claims relating to these matters. The board of managers of the divested subsidiaries each received a solvency opinion from an independent advisory firm that the divested subsidiaries were solvent after giving effect to the Asbestos Portfolio Sale.</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for the Asbestos Portfolio Sale contains customary representations and warranties with respect to the divested subsidiaries, the Company, and Canvas. Pursuant to the agreement, the Company and Canvas will each indemnify the other for breaches of representation and warranties or breaches of covenants, subject to certain limitations as set forth in the agreement. Refer to Note 15 for additional details.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Cincinnati Fan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December 15, 2021, we completed the acquisition of Cincinnati Fan &amp; Ventilator Co., Inc. (“Cincinnati Fan”), a leader in engineered air movement solutions, including blowers and critical exhaust systems. W</w:t>
      </w:r>
      <w:r>
        <w:rPr>
          <w:rFonts w:ascii="Times New Roman;sans-serif" w:hAnsi="Times New Roman;sans-serif"/>
          <w:b w:val="false"/>
          <w:color w:val="000000"/>
          <w:sz w:val="20"/>
        </w:rPr>
        <w:t>e purchased Cincinnati Fan for cash consideration of $145.2, net of (i) cash acquired of $2.5 and (ii) an adjustment to the purchase price received during the second quarter of 2022 related to acquired working capital of $0.4. The post acquisition operating results of Cincinnati Fan are reflected within our HVAC reportable segment.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ITL</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On March 31, 2022, we completed the acquisition of International Tower Lighting, LLC (</w:t>
      </w:r>
      <w:r>
        <w:rPr>
          <w:color w:val="000000"/>
          <w:shd w:fill="FFFFFF" w:val="clear"/>
        </w:rPr>
        <w:t>“</w:t>
      </w:r>
      <w:r>
        <w:rPr>
          <w:rFonts w:ascii="Times New Roman;sans-serif" w:hAnsi="Times New Roman;sans-serif"/>
          <w:b w:val="false"/>
          <w:color w:val="000000"/>
          <w:sz w:val="20"/>
        </w:rPr>
        <w:t>ITL</w:t>
      </w:r>
      <w:r>
        <w:rPr>
          <w:color w:val="000000"/>
          <w:shd w:fill="FFFFFF" w:val="clear"/>
        </w:rPr>
        <w:t>”</w:t>
      </w:r>
      <w:r>
        <w:rPr>
          <w:rFonts w:ascii="Times New Roman;sans-serif" w:hAnsi="Times New Roman;sans-serif"/>
          <w:b w:val="false"/>
          <w:color w:val="000000"/>
          <w:sz w:val="20"/>
        </w:rPr>
        <w:t>), a leader in the design and manufacture of highly-engineered Aids to Navigation systems, including obstruction lighting for telecommunications towers, wind turbines and numerous other terrestrial obstructions. We purchased ITL for cash consideration of $40.4, net of (i) cash acquired of $1.1 and (ii) an adjustment to the purchase price received during the third quarter of 2022 related to acquired working capital of $1.4. The post-acquisition operating results of ITL are reflected within our Detection and Measurement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TAMCO</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April 3, 2023, we completed the acquisition of T. A. Morrison &amp; Co. Inc. (</w:t>
      </w:r>
      <w:r>
        <w:rPr>
          <w:color w:val="000000"/>
        </w:rPr>
        <w:t>“</w:t>
      </w:r>
      <w:r>
        <w:rPr>
          <w:rFonts w:ascii="Times New Roman;sans-serif" w:hAnsi="Times New Roman;sans-serif"/>
          <w:b w:val="false"/>
          <w:color w:val="000000"/>
          <w:sz w:val="20"/>
        </w:rPr>
        <w:t>TAMCO”</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 market leader in motorized and non-motorized dampers that control airflow in large-scale specialty applications in commercial, industrial, and institutional markets</w:t>
      </w:r>
      <w:r>
        <w:rPr>
          <w:rFonts w:ascii="Times New Roman;sans-serif" w:hAnsi="Times New Roman;sans-serif"/>
          <w:b w:val="false"/>
          <w:color w:val="000000"/>
          <w:sz w:val="20"/>
          <w:shd w:fill="FFFFFF" w:val="clear"/>
        </w:rPr>
        <w:t xml:space="preserve">. We purchased TAMCO for cash consideration of $125.5, inclusive of an adjustment to the purchase price of $0.2 paid during the third quarter of 2023 related to acquired working capital and net of cash acquired of </w:t>
      </w:r>
      <w:r>
        <w:rPr>
          <w:rFonts w:ascii="Times New Roman;sans-serif" w:hAnsi="Times New Roman;sans-serif"/>
          <w:b w:val="false"/>
          <w:color w:val="000000"/>
          <w:sz w:val="20"/>
        </w:rPr>
        <w:t xml:space="preserve">$1.0. </w:t>
      </w:r>
      <w:r>
        <w:rPr>
          <w:rFonts w:ascii="Times New Roman;sans-serif" w:hAnsi="Times New Roman;sans-serif"/>
          <w:b w:val="false"/>
          <w:color w:val="000000"/>
          <w:sz w:val="20"/>
          <w:shd w:fill="FFFFFF" w:val="clear"/>
        </w:rPr>
        <w:t>The post-acquisition operating results of TAMCO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ASPEQ</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June 2, 2023, we completed the acquisition of ASPEQ Heating Group (</w:t>
      </w:r>
      <w:r>
        <w:rPr>
          <w:color w:val="000000"/>
        </w:rPr>
        <w:t>“</w:t>
      </w:r>
      <w:r>
        <w:rPr>
          <w:rFonts w:ascii="Times New Roman;sans-serif" w:hAnsi="Times New Roman;sans-serif"/>
          <w:b w:val="false"/>
          <w:color w:val="000000"/>
          <w:sz w:val="20"/>
        </w:rPr>
        <w:t>ASPEQ”), a leading provider of electrical heating solutions to customers in industrial and commercial markets. We purchased ASPEQ for cash consideration of $421.8, net of cash acquired of $0.9. The purchase price is subject to adjustment based upon the final calculation of working capital and cash as of the date of acquisition. The post-acquisition operating results of ASPEQ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in the TAMCO and ASPEQ transactions have been recorded at estimates of fair value as determined by management, based on information available and assumptions as to future operations and are subject to change, primarily for the final assessment and valuation of certain income tax amounts.</w:t>
      </w:r>
    </w:p>
    <w:p>
      <w:pPr>
        <w:pStyle w:val="TextBody"/>
        <w:bidi w:val="0"/>
        <w:spacing w:before="0" w:after="0"/>
        <w:jc w:val="both"/>
        <w:rPr/>
      </w:pPr>
      <w:r>
        <w:rPr/>
      </w:r>
    </w:p>
    <w:p>
      <w:pPr>
        <w:pStyle w:val="TextBody"/>
        <w:bidi w:val="0"/>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2022 (“our 2022 Annual Report on Form 10-K”). Interim results are not necessarily indicative of full year results.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 It is not practicable to estimate the impact of the one less day on our consolidated operating results for the nine months ended September 30, 2023, when compared to the consolidated operating results for the respective 2022 period.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Correction of Prior-Year Classification and Disclosure</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we concluded that, although the assessment of our reportable segments was performed using the appropriate measures as defined by the Segment Reporting Topic of the Accounting Standards Codification (“Codification”), the disclosure of operating income for each of our reportable segments (“Segment Income”) was not consistent with the measure used by our Chief Operating Decision Maker (“CODM”) when evaluating the results of, or allocating resources to, our reportable segments. We previously disclosed that Segment Income was determined before considering impairments and special charges, long-term incentive compensation, certain other operating income/expense, and other indirect corporate expenses. Our CODM also excludes the impact of intangible asset amortization, inventory step-up charges, and certain other acquisition-related costs from Segment Income. Accordingly, Segment Income, as presented in Note 6, now excludes all of the items noted above. This change had no impact to the amounts previously presented in our condensed consolidated statements of operations for the three and nine months ended October 1, 2022. Although the impact of this change to previously disclosed Segment Income is not material, we revised the prior-year presentation to be consistent with the current-year disclosure. The impact of this change on the Segment Income previously presented for the three and nine months ended October 1, 2022 is summarized below:</w:t>
      </w:r>
    </w:p>
    <w:tbl>
      <w:tblPr>
        <w:tblW w:w="10205" w:type="dxa"/>
        <w:jc w:val="left"/>
        <w:tblInd w:w="0" w:type="dxa"/>
        <w:tblLayout w:type="fixed"/>
        <w:tblCellMar>
          <w:top w:w="28" w:type="dxa"/>
          <w:left w:w="28" w:type="dxa"/>
          <w:bottom w:w="28" w:type="dxa"/>
          <w:right w:w="28" w:type="dxa"/>
        </w:tblCellMar>
      </w:tblPr>
      <w:tblGrid>
        <w:gridCol w:w="787"/>
        <w:gridCol w:w="530"/>
        <w:gridCol w:w="539"/>
        <w:gridCol w:w="299"/>
        <w:gridCol w:w="713"/>
        <w:gridCol w:w="168"/>
        <w:gridCol w:w="109"/>
        <w:gridCol w:w="109"/>
        <w:gridCol w:w="109"/>
        <w:gridCol w:w="250"/>
        <w:gridCol w:w="519"/>
        <w:gridCol w:w="139"/>
        <w:gridCol w:w="109"/>
        <w:gridCol w:w="109"/>
        <w:gridCol w:w="109"/>
        <w:gridCol w:w="309"/>
        <w:gridCol w:w="738"/>
        <w:gridCol w:w="173"/>
        <w:gridCol w:w="109"/>
        <w:gridCol w:w="109"/>
        <w:gridCol w:w="109"/>
        <w:gridCol w:w="299"/>
        <w:gridCol w:w="713"/>
        <w:gridCol w:w="168"/>
        <w:gridCol w:w="109"/>
        <w:gridCol w:w="109"/>
        <w:gridCol w:w="109"/>
        <w:gridCol w:w="241"/>
        <w:gridCol w:w="574"/>
        <w:gridCol w:w="134"/>
        <w:gridCol w:w="109"/>
        <w:gridCol w:w="109"/>
        <w:gridCol w:w="109"/>
        <w:gridCol w:w="304"/>
        <w:gridCol w:w="722"/>
        <w:gridCol w:w="251"/>
      </w:tblGrid>
      <w:tr>
        <w:trPr/>
        <w:tc>
          <w:tcPr>
            <w:tcW w:w="7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1, 2022</w:t>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Previously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Previously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Presentation</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reportable segments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 related costs </w:t>
            </w:r>
            <w:r>
              <w:rPr>
                <w:rFonts w:ascii="Times New Roman;sans-serif" w:hAnsi="Times New Roman;sans-serif"/>
                <w:b w:val="false"/>
                <w:color w:val="000000"/>
                <w:sz w:val="12"/>
              </w:rPr>
              <w:t>(1)</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additional “Cost of products sold” related to the step-up of inventory (to fair value) acquired in connection with the ITL acquisition of $0.1 and $1.1 during the three and nine months ended October 1, 2022, respectively.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new accounting pronouncements that apply or may apply to our business.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London Interbank Offered Rate (“LIBOR”) was discontinued on June 30, 2023. In an effort to address the various challenges created by such discontinuance, the Financial Accounting Standards Board (“FASB”) issued three amendments to existing guidance, Accounting Standards Update (“ASU”) No. 2020-04, No. 2021-01, and No. 2022-06, Reference Rate Reform. The amended guidance is designed to provide relief from the accounting analysis and impacts that may otherwise be required for modifications to agreements (e.g., loans, debt securities, derivatives, etc.) necessitated by the reference rate reform. It also provides optional expedients to enable companies to continue to apply hedge accounting to certain hedging relationships impacted by the reference rate reform. Application of the guidance in the amendments is optional, is only available in certain situations, and is only available for companies to apply until December 31, 2024. In conjunction with entering into an amended and restated credit agreement on August 12, 2022, we adopted this guidance with no material impact on our condensed consolidated financial statements.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ACQUISITIONS AND DISCONTINUED OPERATIONS</w:t>
      </w:r>
    </w:p>
    <w:p>
      <w:pPr>
        <w:pStyle w:val="TextBody"/>
        <w:bidi w:val="0"/>
        <w:spacing w:lineRule="auto" w:line="276"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Acquisition of ASPEQ</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indicated in Note 1, on June 2, 2023, we completed the acquisition of ASPEQ for $421.8, net of cash acquired of $0.9. We financed the acquisition with available cash and borrowings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following is a summary of the recorded preliminary fair values of the assets acquired and liabilities assumed for ASPEQ as of June 2, 2023: </w:t>
      </w:r>
    </w:p>
    <w:p>
      <w:pPr>
        <w:pStyle w:val="TextBody"/>
        <w:bidi w:val="0"/>
        <w:spacing w:before="0" w:after="0"/>
        <w:ind w:left="0" w:right="0" w:firstLine="72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net deferred income tax liabilities and other liabilities of $34.0 and $1.0, respectively.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acquired consist of customer relationships, trademarks, technology, and customer backlog of $142.3, $51.5, $47.8, and $4.5, respectively, with such amounts based on a preliminary assessment of the related fair values. We expect to amortize the customer relationships, technology, and customer backlog assets over 12.0, 16.0, and 1.0 years, respectively, with the trademarks acquired being indefinite lived.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gross receivables of $18.0, which had a fair value at the acquisition date of $17.9 based on our estimates of cash flows expected to be recovered.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 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revenues and net losses for ASPEQ of $26.0 and $0.8, and $34.6 and $1.3, respectively, for the three and nine months ended September 30, 2023 with the net loss impacted by charges during the three and nine months ended September 30, 2023 of (i) $6.7 and $9.4, respectively, associated with amortization of the various intangible assets mentioned above and (ii) $2.5 and $3.6, respectively, associated with the excess fair value (over historical cost) of inventory acquired which has been subsequently sold. During the nine months ended September 30, 2023, we incurred acquisition-related costs for ASPEQ of $5.1, which have been recorded to “Selling, general and administrative” within our condensed consolidated statements of operations and “Corporate expense” within consolidated operating income in Note 6.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presents our results of operations for the three and nine months ended September 30, 2023 and October 1, 2022, respectively, as if the acquisition of ASPEQ had taken place on January 1, 2022. The unaudited pro forma financial information is not intended to represent or be indicative of our consolidated results of operations that would have been reported had the acquisition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ASPEQ. These pro forma results of operations have been prepared for comparative purposes only and include additional interest expense on the borrowings required to finance the acquisition,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during the first quarter of 2022, and the related income tax effects.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06"/>
        <w:gridCol w:w="1236"/>
        <w:gridCol w:w="1246"/>
        <w:gridCol w:w="321"/>
        <w:gridCol w:w="912"/>
        <w:gridCol w:w="180"/>
        <w:gridCol w:w="109"/>
        <w:gridCol w:w="109"/>
        <w:gridCol w:w="109"/>
        <w:gridCol w:w="274"/>
        <w:gridCol w:w="779"/>
        <w:gridCol w:w="152"/>
        <w:gridCol w:w="109"/>
        <w:gridCol w:w="109"/>
        <w:gridCol w:w="109"/>
        <w:gridCol w:w="282"/>
        <w:gridCol w:w="997"/>
        <w:gridCol w:w="157"/>
        <w:gridCol w:w="109"/>
        <w:gridCol w:w="109"/>
        <w:gridCol w:w="109"/>
        <w:gridCol w:w="240"/>
        <w:gridCol w:w="848"/>
        <w:gridCol w:w="19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per share of common stock:</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of common stock:</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March 31, 2022 and April 3, 2023, we completed the acquisitions of ITL and TAMCO, respectively. The pro forma effects of these acquisitions are not material to our condensed consolidated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Sale of Transformer Solutions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October 1, 2021, we completed the sale of SPX Transformer Solutions, Inc. which is reported as a discontinued operation for all periods presented. During the first quarter of 2022, we agreed to the final adjustment of the purchase price which resulted in a payment to the buyer of </w:t>
      </w:r>
      <w:r>
        <w:rPr>
          <w:rFonts w:ascii="Times New Roman;sans-serif" w:hAnsi="Times New Roman;sans-serif"/>
          <w:b w:val="false"/>
          <w:color w:val="000000"/>
          <w:sz w:val="20"/>
        </w:rPr>
        <w:t>$13.9</w:t>
      </w:r>
      <w:r>
        <w:rPr>
          <w:color w:val="000000"/>
          <w:shd w:fill="FFFFFF" w:val="clear"/>
        </w:rPr>
        <w:t xml:space="preserve"> </w:t>
      </w:r>
      <w:r>
        <w:rPr>
          <w:rFonts w:ascii="Times New Roman;sans-serif" w:hAnsi="Times New Roman;sans-serif"/>
          <w:b w:val="false"/>
          <w:color w:val="000000"/>
          <w:sz w:val="20"/>
          <w:shd w:fill="FFFFFF" w:val="clear"/>
        </w:rPr>
        <w:t xml:space="preserve">and an increase to the gain on sale of </w:t>
      </w:r>
      <w:r>
        <w:rPr>
          <w:rFonts w:ascii="Times New Roman;sans-serif" w:hAnsi="Times New Roman;sans-serif"/>
          <w:b w:val="false"/>
          <w:color w:val="000000"/>
          <w:sz w:val="20"/>
        </w:rPr>
        <w:t>$0.2</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Wind-Down of DBT Business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the wind-down of our DBT Technologies (PTY) LTD (“DBT”) business after ceasing all operations, including those related to two large power projects in South Africa —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of approximately South African Rand 1,000.0 (or $52.1) and MHI had asserted, or issued letters of intent to claim for, alleged damages against DBT. Although it was reasonably possible that some loss may have been incurred in connection with these claims (which totaled approximately South African Rand 2,815.2 or $146.5),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have occurred or may occur in connection with these claims. Although we have experienced success in enforcing and defending our rights through the dispute resolution process over the past few years (including the matters mentioned below), we have invested, and would have continued to invest, significant management and financial resources to defend and pursue these matters.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three months ended September 30, 2023. The charge included the write-off of $15.2 in net amounts due from MHI. Such charge is included in “Loss from discontinued operations, net of tax” for the three and nine months ended September 30, 2023.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$6.8) was recorded as income during the quarter ended April 1, 2023, with such amount recorded within “Loss on disposition of discontinued operations, net of tax.” Additionally, in June 2023, the arbitration tribunal ruled DBT was entitled to recover $1.3 of legal costs incurred related to the arbitration. Such amount was recorded to “Loss on disposition of discontinued operations, net of tax” during the second quarter of 2023 with the cash payment received during the nine months ended September 30, 2023.</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May 2023, a separate arbitration tribunal ruled DBT was entitled to recover $5.5 of legal costs incurred related to a prior arbitration hearing. Such amount was recorded to “Loss on disposition of discontinued operations, net of tax” during the second quarter of 2023 with the cash payment received during the nine months ended September 30, 2023.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assets and liabilities of DBT have been included within “Assets of DBT and Heat Transfer” and “Liabilities of DBT and Heat Transfer,” respectively, on the condensed consolidated balance sheets as of September 30, 2023 and December 31, 2022.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shd w:fill="FFFFFF" w:val="clear"/>
        </w:rPr>
        <w:t>The major line items constituting DBT</w:t>
      </w:r>
      <w:r>
        <w:rPr>
          <w:color w:val="000000"/>
        </w:rPr>
        <w:t>’</w:t>
      </w:r>
      <w:r>
        <w:rPr>
          <w:rFonts w:ascii="Times New Roman;sans-serif" w:hAnsi="Times New Roman;sans-serif"/>
          <w:b w:val="false"/>
          <w:color w:val="000000"/>
          <w:sz w:val="20"/>
          <w:shd w:fill="FFFFFF" w:val="clear"/>
        </w:rPr>
        <w:t xml:space="preserve">s assets and liabilities as of </w:t>
      </w:r>
      <w:r>
        <w:rPr>
          <w:rFonts w:ascii="Times New Roman;sans-serif" w:hAnsi="Times New Roman;sans-serif"/>
          <w:b w:val="false"/>
          <w:color w:val="000000"/>
          <w:sz w:val="20"/>
        </w:rPr>
        <w:t>September 30, 2023 and December 31, 2022</w:t>
      </w:r>
      <w:r>
        <w:rPr>
          <w:rFonts w:ascii="Times New Roman;sans-serif" w:hAnsi="Times New Roman;sans-serif"/>
          <w:b w:val="false"/>
          <w:color w:val="000000"/>
          <w:sz w:val="20"/>
          <w:shd w:fill="FFFFFF" w:val="clear"/>
        </w:rPr>
        <w:t>:</w:t>
      </w:r>
    </w:p>
    <w:p>
      <w:pPr>
        <w:pStyle w:val="TextBody"/>
        <w:bidi w:val="0"/>
        <w:spacing w:before="0" w:after="0"/>
        <w:jc w:val="both"/>
        <w:rPr/>
      </w:pPr>
      <w:r>
        <w:rPr/>
      </w:r>
    </w:p>
    <w:tbl>
      <w:tblPr>
        <w:tblW w:w="6713" w:type="dxa"/>
        <w:jc w:val="left"/>
        <w:tblInd w:w="0" w:type="dxa"/>
        <w:tblLayout w:type="fixed"/>
        <w:tblCellMar>
          <w:top w:w="28" w:type="dxa"/>
          <w:left w:w="28" w:type="dxa"/>
          <w:bottom w:w="28" w:type="dxa"/>
          <w:right w:w="28" w:type="dxa"/>
        </w:tblCellMar>
      </w:tblPr>
      <w:tblGrid>
        <w:gridCol w:w="1035"/>
        <w:gridCol w:w="907"/>
        <w:gridCol w:w="922"/>
        <w:gridCol w:w="109"/>
        <w:gridCol w:w="109"/>
        <w:gridCol w:w="109"/>
        <w:gridCol w:w="407"/>
        <w:gridCol w:w="969"/>
        <w:gridCol w:w="229"/>
        <w:gridCol w:w="109"/>
        <w:gridCol w:w="109"/>
        <w:gridCol w:w="109"/>
        <w:gridCol w:w="382"/>
        <w:gridCol w:w="908"/>
        <w:gridCol w:w="300"/>
      </w:tblGrid>
      <w:tr>
        <w:trPr/>
        <w:tc>
          <w:tcPr>
            <w:tcW w:w="10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Accounts payable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56" w:before="0" w:after="6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DBT's remaining obligation under the Settlement Agreement to make a payment to MHI of South African Rand 480.9 (or $25.0 at September 30, 2023), due in September 2024. In connection with this remaining obligation, we entered into a foreign currency forward contract which we are accounting for as a fair value hedge. Refer to Note 13 for additional details.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Heat Transfer have been included within “Assets of DBT and Heat Transfer” and “Liabilities of DBT and Heat Transfer,” respectively, on the condensed consolidated balance sheets as of September 30, 2023 and December 31, 2022. The major line items constituting Heat Transfer’s assets and liabilities as of September 30, 2023 and December 31, 2022 are shown below:</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858"/>
        <w:gridCol w:w="753"/>
        <w:gridCol w:w="759"/>
        <w:gridCol w:w="109"/>
        <w:gridCol w:w="109"/>
        <w:gridCol w:w="109"/>
        <w:gridCol w:w="460"/>
        <w:gridCol w:w="886"/>
        <w:gridCol w:w="258"/>
        <w:gridCol w:w="109"/>
        <w:gridCol w:w="109"/>
        <w:gridCol w:w="109"/>
        <w:gridCol w:w="429"/>
        <w:gridCol w:w="823"/>
        <w:gridCol w:w="33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estimates associated with liabilities retained in connection with a business divestiture (e.g., income taxes) may occur. As a result, it is possible that the resulting gains/losses on these and other previous divestitures may be materially adjusted in subsequent periods. </w:t>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October 1, 2022, results of operations from our businesses reported as discontinued operations were as follows:</w:t>
      </w:r>
    </w:p>
    <w:tbl>
      <w:tblPr>
        <w:tblW w:w="9572" w:type="dxa"/>
        <w:jc w:val="left"/>
        <w:tblInd w:w="0" w:type="dxa"/>
        <w:tblLayout w:type="fixed"/>
        <w:tblCellMar>
          <w:top w:w="28" w:type="dxa"/>
          <w:left w:w="28" w:type="dxa"/>
          <w:bottom w:w="28" w:type="dxa"/>
          <w:right w:w="28" w:type="dxa"/>
        </w:tblCellMar>
      </w:tblPr>
      <w:tblGrid>
        <w:gridCol w:w="1038"/>
        <w:gridCol w:w="916"/>
        <w:gridCol w:w="925"/>
        <w:gridCol w:w="381"/>
        <w:gridCol w:w="951"/>
        <w:gridCol w:w="212"/>
        <w:gridCol w:w="109"/>
        <w:gridCol w:w="109"/>
        <w:gridCol w:w="109"/>
        <w:gridCol w:w="334"/>
        <w:gridCol w:w="770"/>
        <w:gridCol w:w="186"/>
        <w:gridCol w:w="109"/>
        <w:gridCol w:w="109"/>
        <w:gridCol w:w="109"/>
        <w:gridCol w:w="381"/>
        <w:gridCol w:w="951"/>
        <w:gridCol w:w="212"/>
        <w:gridCol w:w="109"/>
        <w:gridCol w:w="109"/>
        <w:gridCol w:w="109"/>
        <w:gridCol w:w="293"/>
        <w:gridCol w:w="811"/>
        <w:gridCol w:w="230"/>
      </w:tblGrid>
      <w:tr>
        <w:trPr/>
        <w:tc>
          <w:tcPr>
            <w:tcW w:w="103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DBT </w:t>
            </w:r>
            <w:r>
              <w:rPr>
                <w:rFonts w:ascii="Times New Roman;sans-serif" w:hAnsi="Times New Roman;sans-serif"/>
                <w:b/>
                <w:color w:val="000000"/>
                <w:sz w:val="12"/>
              </w:rPr>
              <w:t>(1)</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All other </w:t>
            </w:r>
            <w:r>
              <w:rPr>
                <w:rFonts w:ascii="Times New Roman;sans-serif" w:hAnsi="Times New Roman;sans-serif"/>
                <w:b/>
                <w:color w:val="000000"/>
                <w:sz w:val="12"/>
              </w:rPr>
              <w:t>(2)</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Loss for the three and nine months ended September 30, 2023 resulted primarily from the charge, and related income tax impacts, recorded in connection with the Settlement Agreement referred to above and legal costs incurred in connection with the various dispute resolution matters. This loss for the nine months ended September 30, 2023 was partially offset by the arbitration awards received, which are discussed above. Loss for the three and nine months ended October 1, 2022 resulted primarily from net legal costs, and related income tax impacts, incurred in connection with various dispute resolution matters related to the two large power projects.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Loss for the three and nine months ended September 30, 2023 resulted primarily from revisions to liabilities retained in connection with prior dispositions. Loss for the three and nine months ended October 1, 2022 resulted primarily from asbestos-related charges and revisions to liabilities, including income tax liabilities, retained in connection with prior dispositions.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discontinued operations for the nine months ended September 30, 2023 related primarily to (i) cash payments of $25.3 made by DBT to MHI during the three months ended September 30, 2023 in connection with the Settlement Agreement, (ii) disbursements of $14.5 for professional fees and support costs incurred principally in connection with the claims resolved by the Settlement Agreement, and (iii) local taxes of $3.8 paid in South Africa, which we subsequently recovered during the fourth quarter of 2023, partially offset by recovery of legal costs we were awarded in arbitration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proceedings between DBT and MHI of $6.8 mentioned above. Net cash used in discontinued operations for the nine months ended October 1, 2022 related primarily to (i) disbursements for professional fees incurred in connection with the South Africa claims matters, (ii) disbursements related to asbestos product liability matters,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REVENUES FROM CONTRACTS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nine months ended September 30, 2023 and October 1, 2022:</w:t>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3"/>
        <w:gridCol w:w="1677"/>
        <w:gridCol w:w="1683"/>
        <w:gridCol w:w="109"/>
        <w:gridCol w:w="109"/>
        <w:gridCol w:w="109"/>
        <w:gridCol w:w="196"/>
        <w:gridCol w:w="556"/>
        <w:gridCol w:w="109"/>
        <w:gridCol w:w="109"/>
        <w:gridCol w:w="109"/>
        <w:gridCol w:w="109"/>
        <w:gridCol w:w="451"/>
        <w:gridCol w:w="1282"/>
        <w:gridCol w:w="252"/>
        <w:gridCol w:w="109"/>
        <w:gridCol w:w="109"/>
        <w:gridCol w:w="109"/>
        <w:gridCol w:w="196"/>
        <w:gridCol w:w="691"/>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5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October 1, 2022</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3"/>
        <w:gridCol w:w="1677"/>
        <w:gridCol w:w="1683"/>
        <w:gridCol w:w="109"/>
        <w:gridCol w:w="109"/>
        <w:gridCol w:w="109"/>
        <w:gridCol w:w="196"/>
        <w:gridCol w:w="556"/>
        <w:gridCol w:w="109"/>
        <w:gridCol w:w="109"/>
        <w:gridCol w:w="109"/>
        <w:gridCol w:w="109"/>
        <w:gridCol w:w="451"/>
        <w:gridCol w:w="1282"/>
        <w:gridCol w:w="252"/>
        <w:gridCol w:w="109"/>
        <w:gridCol w:w="109"/>
        <w:gridCol w:w="109"/>
        <w:gridCol w:w="196"/>
        <w:gridCol w:w="691"/>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October 1, 2022</w:t>
            </w:r>
          </w:p>
        </w:tc>
      </w:tr>
      <w:tr>
        <w:trPr/>
        <w:tc>
          <w:tcPr>
            <w:tcW w:w="5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September 30, 2023 and December 31, 2022:</w:t>
      </w:r>
    </w:p>
    <w:p>
      <w:pPr>
        <w:pStyle w:val="TextBody"/>
        <w:bidi w:val="0"/>
        <w:spacing w:before="0" w:after="0"/>
        <w:ind w:left="0" w:right="0" w:firstLine="720"/>
        <w:jc w:val="both"/>
        <w:rPr/>
      </w:pPr>
      <w:r>
        <w:rPr/>
      </w:r>
    </w:p>
    <w:tbl>
      <w:tblPr>
        <w:tblW w:w="7139" w:type="dxa"/>
        <w:jc w:val="left"/>
        <w:tblInd w:w="0" w:type="dxa"/>
        <w:tblLayout w:type="fixed"/>
        <w:tblCellMar>
          <w:top w:w="28" w:type="dxa"/>
          <w:left w:w="28" w:type="dxa"/>
          <w:bottom w:w="28" w:type="dxa"/>
          <w:right w:w="28" w:type="dxa"/>
        </w:tblCellMar>
      </w:tblPr>
      <w:tblGrid>
        <w:gridCol w:w="952"/>
        <w:gridCol w:w="835"/>
        <w:gridCol w:w="837"/>
        <w:gridCol w:w="351"/>
        <w:gridCol w:w="997"/>
        <w:gridCol w:w="197"/>
        <w:gridCol w:w="109"/>
        <w:gridCol w:w="109"/>
        <w:gridCol w:w="109"/>
        <w:gridCol w:w="341"/>
        <w:gridCol w:w="969"/>
        <w:gridCol w:w="190"/>
        <w:gridCol w:w="109"/>
        <w:gridCol w:w="109"/>
        <w:gridCol w:w="109"/>
        <w:gridCol w:w="196"/>
        <w:gridCol w:w="46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Balances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Contract Accounts Receivable </w:t>
            </w:r>
            <w:r>
              <w:rPr>
                <w:rFonts w:ascii="Times New Roman;sans-serif" w:hAnsi="Times New Roman;sans-serif"/>
                <w:b w:val="false"/>
                <w:color w:val="000000"/>
                <w:sz w:val="12"/>
              </w:rPr>
              <w:t>(1)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Contract Liabilities - non-current </w:t>
            </w:r>
            <w:r>
              <w:rPr>
                <w:rFonts w:ascii="Times New Roman;sans-serif" w:hAnsi="Times New Roman;sans-serif"/>
                <w:b w:val="false"/>
                <w:color w:val="000000"/>
                <w:sz w:val="12"/>
              </w:rPr>
              <w:t>(2)</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balance</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firstLine="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Included in “Accounts receivable, net” within the accompanying condensed consolidated balance sheets.</w:t>
      </w:r>
    </w:p>
    <w:p>
      <w:pPr>
        <w:pStyle w:val="TextBody"/>
        <w:bidi w:val="0"/>
        <w:spacing w:before="0" w:after="0"/>
        <w:jc w:val="left"/>
        <w:rPr/>
      </w:pPr>
      <w:r>
        <w:rPr/>
      </w:r>
    </w:p>
    <w:p>
      <w:pPr>
        <w:pStyle w:val="TextBody"/>
        <w:bidi w:val="0"/>
        <w:spacing w:lineRule="auto" w:line="288" w:before="0" w:after="200"/>
        <w:ind w:left="0" w:right="0" w:firstLine="36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Included in “Other long-term liabilities” within the accompanying condensed consolidated balance sheets.</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w:t>
      </w:r>
      <w:r>
        <w:rPr>
          <w:rFonts w:ascii="Times New Roman;sans-serif" w:hAnsi="Times New Roman;sans-serif"/>
          <w:b w:val="false"/>
          <w:color w:val="000000"/>
          <w:sz w:val="20"/>
        </w:rPr>
        <w:t>$38.0 </w:t>
      </w:r>
      <w:r>
        <w:rPr>
          <w:rFonts w:ascii="Times New Roman;sans-serif" w:hAnsi="Times New Roman;sans-serif"/>
          <w:b w:val="false"/>
          <w:color w:val="000000"/>
          <w:sz w:val="20"/>
          <w:shd w:fill="FFFFFF" w:val="clear"/>
        </w:rPr>
        <w:t>in</w:t>
      </w:r>
      <w:r>
        <w:rPr>
          <w:rFonts w:ascii="Times New Roman;sans-serif" w:hAnsi="Times New Roman;sans-serif"/>
          <w:b w:val="false"/>
          <w:color w:val="000000"/>
          <w:sz w:val="20"/>
        </w:rPr>
        <w:t>crease in our net contract balance from December 31, 2022 to September 30, 2023 was due primarily to revenue recognized during the period, partially offset by cash payments received from customers during the period as well as the inclusion of net contract assets acquired with the ASPEQ and TAMCO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recognized revenues of $4.9 and $35.5, respectively, related to our contract liabilities at December 31, 2022.</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aggregate amount allocated to remaining performance obligations was $210.8. We expect to recognize revenue on approximately 76% and 89% of remaining performance obligations over the next 12 and 24 months, respectively, with the remaining recognized thereafter.</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operating and finance leases during the three and nine months ended September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INFORMATION ON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We are a global supplier of highly specializ</w:t>
      </w:r>
      <w:r>
        <w:rPr>
          <w:rFonts w:ascii="Times New Roman;sans-serif" w:hAnsi="Times New Roman;sans-serif"/>
          <w:b w:val="false"/>
          <w:color w:val="000000"/>
          <w:sz w:val="20"/>
          <w:shd w:fill="FFFFFF" w:val="clear"/>
        </w:rPr>
        <w:t xml:space="preserve">ed, engineered </w:t>
      </w:r>
      <w:r>
        <w:rPr>
          <w:rFonts w:ascii="Times New Roman;sans-serif" w:hAnsi="Times New Roman;sans-serif"/>
          <w:b w:val="false"/>
          <w:color w:val="000000"/>
          <w:sz w:val="20"/>
        </w:rPr>
        <w:t>solutions with operations in 15 countries and sales in over 100 countries around the world.</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acquisition-related costs. This is consistent with the way our CODM evaluates the results of each segment.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HVAC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HVAC reportable segment engineers, designs, manufactures, installs and services package and process cooling products and engineered air movement solutions for the HVAC industrial and power generation markets, as well as boilers and electrical heating and ventilation products for the residential and commercial markets. The primary distribution channels for the segment’s products are direct to customers, independent manufacturing representatives, third-party distributors, and retailers. The segment serves a customer base in North America, Europe, and Asia.</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Detection and Measurement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with a strong presence in North America, Europe, Africa and Asia.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Corporate Expense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 generally relates to the cost of our Charlotte, North Carolina corporate headquarters.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our reportable segments for the three and nine months ended September 30, 2023 and October 1, 2022 are presented below:</w:t>
      </w:r>
    </w:p>
    <w:tbl>
      <w:tblPr>
        <w:tblW w:w="10205" w:type="dxa"/>
        <w:jc w:val="left"/>
        <w:tblInd w:w="0" w:type="dxa"/>
        <w:tblLayout w:type="fixed"/>
        <w:tblCellMar>
          <w:top w:w="28" w:type="dxa"/>
          <w:left w:w="28" w:type="dxa"/>
          <w:bottom w:w="28" w:type="dxa"/>
          <w:right w:w="28" w:type="dxa"/>
        </w:tblCellMar>
      </w:tblPr>
      <w:tblGrid>
        <w:gridCol w:w="1223"/>
        <w:gridCol w:w="1021"/>
        <w:gridCol w:w="1027"/>
        <w:gridCol w:w="335"/>
        <w:gridCol w:w="952"/>
        <w:gridCol w:w="188"/>
        <w:gridCol w:w="109"/>
        <w:gridCol w:w="109"/>
        <w:gridCol w:w="109"/>
        <w:gridCol w:w="283"/>
        <w:gridCol w:w="804"/>
        <w:gridCol w:w="157"/>
        <w:gridCol w:w="109"/>
        <w:gridCol w:w="109"/>
        <w:gridCol w:w="109"/>
        <w:gridCol w:w="292"/>
        <w:gridCol w:w="1032"/>
        <w:gridCol w:w="162"/>
        <w:gridCol w:w="109"/>
        <w:gridCol w:w="109"/>
        <w:gridCol w:w="109"/>
        <w:gridCol w:w="248"/>
        <w:gridCol w:w="874"/>
        <w:gridCol w:w="137"/>
        <w:gridCol w:w="109"/>
        <w:gridCol w:w="109"/>
        <w:gridCol w:w="109"/>
        <w:gridCol w:w="162"/>
      </w:tblGrid>
      <w:tr>
        <w:trPr/>
        <w:tc>
          <w:tcPr>
            <w:tcW w:w="122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revenues</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reportable segments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Acquisition-related and other costs </w:t>
            </w:r>
            <w:r>
              <w:rPr>
                <w:rFonts w:ascii="Times New Roman;sans-serif" w:hAnsi="Times New Roman;sans-serif"/>
                <w:b w:val="false"/>
                <w:color w:val="000000"/>
                <w:sz w:val="12"/>
              </w:rPr>
              <w:t>(1)</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certain acquisition-related costs incurred of $2.9 and $5.0 during the three and nine months ended September 30, 2023, respectively, and $0.1 and $1.1 during the three and nine months ended October 1, 2022, respectively, including additional “Cost of products sold” related to the step-up of inventory (to fair value) acquired in connection with the ASPEQ acquisition of $2.5 and $3.6 during the three and nine months ended September 30, 2023, respectively, and the ITL acquisition of $0.1 and $1.1 during the three and nine months ended October 1, 2022, respectively.</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SPECIAL CHARGES,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special charges for the three and nine months ended September 30, 2023. No significant future charges are expected to be incurred under actions approved as of September 30, 2023. Special charges, net, for the three and nine months ended October 1, 2022 are described in more detail below:</w:t>
      </w:r>
    </w:p>
    <w:tbl>
      <w:tblPr>
        <w:tblW w:w="7318" w:type="dxa"/>
        <w:jc w:val="left"/>
        <w:tblInd w:w="0" w:type="dxa"/>
        <w:tblLayout w:type="fixed"/>
        <w:tblCellMar>
          <w:top w:w="28" w:type="dxa"/>
          <w:left w:w="28" w:type="dxa"/>
          <w:bottom w:w="28" w:type="dxa"/>
          <w:right w:w="28" w:type="dxa"/>
        </w:tblCellMar>
      </w:tblPr>
      <w:tblGrid>
        <w:gridCol w:w="1260"/>
        <w:gridCol w:w="1108"/>
        <w:gridCol w:w="1112"/>
        <w:gridCol w:w="430"/>
        <w:gridCol w:w="891"/>
        <w:gridCol w:w="239"/>
        <w:gridCol w:w="109"/>
        <w:gridCol w:w="109"/>
        <w:gridCol w:w="109"/>
        <w:gridCol w:w="423"/>
        <w:gridCol w:w="812"/>
        <w:gridCol w:w="235"/>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HVAC </w:t>
      </w:r>
      <w:r>
        <w:rPr>
          <w:color w:val="000000"/>
        </w:rPr>
        <w:t xml:space="preserve">— </w:t>
      </w:r>
      <w:r>
        <w:rPr>
          <w:rFonts w:ascii="Times New Roman;sans-serif" w:hAnsi="Times New Roman;sans-serif"/>
          <w:b w:val="false"/>
          <w:color w:val="000000"/>
          <w:sz w:val="20"/>
        </w:rPr>
        <w:t>Charges for the nine months ended October 1, 2022 related to severance costs associated with a restructuring action at one of the segment’s cooling businesses.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restructuring liabilities for the nine months ended September 30, 2023 and October 1, 2022:</w:t>
      </w:r>
    </w:p>
    <w:tbl>
      <w:tblPr>
        <w:tblW w:w="5471" w:type="dxa"/>
        <w:jc w:val="left"/>
        <w:tblInd w:w="0" w:type="dxa"/>
        <w:tblLayout w:type="fixed"/>
        <w:tblCellMar>
          <w:top w:w="28" w:type="dxa"/>
          <w:left w:w="28" w:type="dxa"/>
          <w:bottom w:w="28" w:type="dxa"/>
          <w:right w:w="28" w:type="dxa"/>
        </w:tblCellMar>
      </w:tblPr>
      <w:tblGrid>
        <w:gridCol w:w="1113"/>
        <w:gridCol w:w="979"/>
        <w:gridCol w:w="983"/>
        <w:gridCol w:w="314"/>
        <w:gridCol w:w="651"/>
        <w:gridCol w:w="175"/>
        <w:gridCol w:w="109"/>
        <w:gridCol w:w="109"/>
        <w:gridCol w:w="109"/>
        <w:gridCol w:w="241"/>
        <w:gridCol w:w="499"/>
        <w:gridCol w:w="189"/>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 — cash</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and other</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INVENTORIES,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under the first-in, first-out method and are comprised of the following at September 30, 2023 and December 31, 2022:</w:t>
      </w:r>
    </w:p>
    <w:tbl>
      <w:tblPr>
        <w:tblW w:w="5185" w:type="dxa"/>
        <w:jc w:val="left"/>
        <w:tblInd w:w="0" w:type="dxa"/>
        <w:tblLayout w:type="fixed"/>
        <w:tblCellMar>
          <w:top w:w="28" w:type="dxa"/>
          <w:left w:w="28" w:type="dxa"/>
          <w:bottom w:w="28" w:type="dxa"/>
          <w:right w:w="28" w:type="dxa"/>
        </w:tblCellMar>
      </w:tblPr>
      <w:tblGrid>
        <w:gridCol w:w="933"/>
        <w:gridCol w:w="820"/>
        <w:gridCol w:w="826"/>
        <w:gridCol w:w="259"/>
        <w:gridCol w:w="736"/>
        <w:gridCol w:w="145"/>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purchased parts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include material, labor and factory overhead costs and are reduced, when necessary, to estimated net realizable values.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nine months ended September 30, 2023 were as follows:</w:t>
      </w:r>
    </w:p>
    <w:tbl>
      <w:tblPr>
        <w:tblW w:w="9928"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66"/>
        <w:gridCol w:w="531"/>
        <w:gridCol w:w="149"/>
        <w:gridCol w:w="109"/>
        <w:gridCol w:w="109"/>
        <w:gridCol w:w="109"/>
        <w:gridCol w:w="256"/>
        <w:gridCol w:w="727"/>
        <w:gridCol w:w="201"/>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from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w:t>
            </w:r>
          </w:p>
          <w:p>
            <w:pPr>
              <w:pStyle w:val="TableContents"/>
              <w:bidi w:val="0"/>
              <w:spacing w:lineRule="auto" w:line="240" w:before="0" w:after="0"/>
              <w:jc w:val="center"/>
              <w:rPr/>
            </w:pPr>
            <w:r>
              <w:rPr>
                <w:rFonts w:ascii="Times New Roman;sans-serif" w:hAnsi="Times New Roman;sans-serif"/>
                <w:b/>
                <w:color w:val="000000"/>
                <w:sz w:val="16"/>
              </w:rPr>
              <w:t xml:space="preserve">Combinations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shd w:fill="FFFFFF" w:val="clear"/>
        </w:rPr>
        <w:t xml:space="preserve">Reflects (i) goodwill acquired with the TAMCO and ASPEQ acquisitions of </w:t>
      </w:r>
      <w:r>
        <w:rPr>
          <w:rFonts w:ascii="Times New Roman;sans-serif" w:hAnsi="Times New Roman;sans-serif"/>
          <w:b w:val="false"/>
          <w:color w:val="000000"/>
          <w:sz w:val="18"/>
        </w:rPr>
        <w:t>$51.1 and $168.9</w:t>
      </w:r>
      <w:r>
        <w:rPr>
          <w:rFonts w:ascii="Times New Roman;sans-serif" w:hAnsi="Times New Roman;sans-serif"/>
          <w:b w:val="false"/>
          <w:color w:val="000000"/>
          <w:sz w:val="18"/>
          <w:shd w:fill="FFFFFF" w:val="clear"/>
        </w:rPr>
        <w:t>, respectively, and (ii) an increase in ITL</w:t>
      </w:r>
      <w:r>
        <w:rPr>
          <w:color w:val="000000"/>
        </w:rPr>
        <w:t>’</w:t>
      </w:r>
      <w:r>
        <w:rPr>
          <w:rFonts w:ascii="Times New Roman;sans-serif" w:hAnsi="Times New Roman;sans-serif"/>
          <w:b w:val="false"/>
          <w:color w:val="000000"/>
          <w:sz w:val="18"/>
        </w:rPr>
        <w:t>s goodwill of</w:t>
      </w:r>
      <w:r>
        <w:rPr>
          <w:color w:val="000000"/>
          <w:shd w:fill="FFFFFF" w:val="clear"/>
        </w:rPr>
        <w:t xml:space="preserve"> </w:t>
      </w:r>
      <w:r>
        <w:rPr>
          <w:rFonts w:ascii="Times New Roman;sans-serif" w:hAnsi="Times New Roman;sans-serif"/>
          <w:b w:val="false"/>
          <w:color w:val="000000"/>
          <w:sz w:val="18"/>
          <w:shd w:fill="FFFFFF" w:val="clear"/>
        </w:rPr>
        <w:t>$0.8 resulting from revisions to the valuation of certain assets and liabilities. As indicated in Note 1, the acquired assets, including goodwill, and liabilities assumed in the TAMCO and ASPEQ acquisitions have been recorded at estimates of fair value and are subject to change upon completion of acquisition accounting.</w:t>
      </w:r>
    </w:p>
    <w:p>
      <w:pPr>
        <w:pStyle w:val="TextBody"/>
        <w:bidi w:val="0"/>
        <w:spacing w:before="0" w:after="0"/>
        <w:jc w:val="both"/>
        <w:rPr/>
      </w:pPr>
      <w:r>
        <w:rPr/>
      </w:r>
    </w:p>
    <w:p>
      <w:pPr>
        <w:pStyle w:val="TextBody"/>
        <w:bidi w:val="0"/>
        <w:spacing w:lineRule="auto" w:line="264"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Intangibles,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at September 30, 2023 and December 31, 2022 comprised the following:</w:t>
      </w:r>
    </w:p>
    <w:tbl>
      <w:tblPr>
        <w:tblW w:w="10205" w:type="dxa"/>
        <w:jc w:val="left"/>
        <w:tblInd w:w="0" w:type="dxa"/>
        <w:tblLayout w:type="fixed"/>
        <w:tblCellMar>
          <w:top w:w="28" w:type="dxa"/>
          <w:left w:w="28" w:type="dxa"/>
          <w:bottom w:w="28" w:type="dxa"/>
          <w:right w:w="28" w:type="dxa"/>
        </w:tblCellMar>
      </w:tblPr>
      <w:tblGrid>
        <w:gridCol w:w="1057"/>
        <w:gridCol w:w="929"/>
        <w:gridCol w:w="932"/>
        <w:gridCol w:w="196"/>
        <w:gridCol w:w="556"/>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69"/>
        <w:gridCol w:w="661"/>
        <w:gridCol w:w="151"/>
        <w:gridCol w:w="109"/>
        <w:gridCol w:w="109"/>
        <w:gridCol w:w="109"/>
        <w:gridCol w:w="196"/>
        <w:gridCol w:w="556"/>
        <w:gridCol w:w="155"/>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Intangible assets with determinable lives: </w:t>
            </w:r>
            <w:r>
              <w:rPr>
                <w:rFonts w:ascii="Times New Roman;sans-serif" w:hAnsi="Times New Roman;sans-serif"/>
                <w:b w:val="false"/>
                <w:color w:val="000000"/>
                <w:sz w:val="12"/>
              </w:rPr>
              <w:t>(1)</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Trademarks with indefinite lives </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shd w:fill="FFFFFF" w:val="clear"/>
        </w:rPr>
        <w:t>The identifiable intangible assets associated with the TAMCO acquisition consist of customer relationships of $59.7, technology of $9.3, definite-lived trademarks of $3.2,</w:t>
      </w:r>
      <w:r>
        <w:rPr>
          <w:color w:val="000000"/>
        </w:rPr>
        <w:t xml:space="preserve"> </w:t>
      </w:r>
      <w:r>
        <w:rPr>
          <w:rFonts w:ascii="Times New Roman;sans-serif" w:hAnsi="Times New Roman;sans-serif"/>
          <w:b w:val="false"/>
          <w:color w:val="000000"/>
          <w:sz w:val="18"/>
        </w:rPr>
        <w:t>and backlog of $1.0</w:t>
      </w:r>
      <w:r>
        <w:rPr>
          <w:rFonts w:ascii="Times New Roman;sans-serif" w:hAnsi="Times New Roman;sans-serif"/>
          <w:b w:val="false"/>
          <w:color w:val="000000"/>
          <w:sz w:val="18"/>
          <w:shd w:fill="FFFFFF" w:val="clear"/>
        </w:rPr>
        <w:t xml:space="preserve">. The identifiable intangible assets associated with the ASPEQ acquisition consist of customer relationships of </w:t>
      </w:r>
      <w:r>
        <w:rPr>
          <w:rFonts w:ascii="Times New Roman;sans-serif" w:hAnsi="Times New Roman;sans-serif"/>
          <w:b w:val="false"/>
          <w:color w:val="000000"/>
          <w:sz w:val="18"/>
        </w:rPr>
        <w:t>$142.3</w:t>
      </w:r>
      <w:r>
        <w:rPr>
          <w:rFonts w:ascii="Times New Roman;sans-serif" w:hAnsi="Times New Roman;sans-serif"/>
          <w:b w:val="false"/>
          <w:color w:val="000000"/>
          <w:sz w:val="18"/>
          <w:shd w:fill="FFFFFF" w:val="clear"/>
        </w:rPr>
        <w:t xml:space="preserve">, technology of </w:t>
      </w:r>
      <w:r>
        <w:rPr>
          <w:rFonts w:ascii="Times New Roman;sans-serif" w:hAnsi="Times New Roman;sans-serif"/>
          <w:b w:val="false"/>
          <w:color w:val="000000"/>
          <w:sz w:val="18"/>
        </w:rPr>
        <w:t>$47.8</w:t>
      </w:r>
      <w:r>
        <w:rPr>
          <w:rFonts w:ascii="Times New Roman;sans-serif" w:hAnsi="Times New Roman;sans-serif"/>
          <w:b w:val="false"/>
          <w:color w:val="000000"/>
          <w:sz w:val="18"/>
          <w:shd w:fill="FFFFFF" w:val="clear"/>
        </w:rPr>
        <w:t xml:space="preserve">, and backlog of </w:t>
      </w:r>
      <w:r>
        <w:rPr>
          <w:rFonts w:ascii="Times New Roman;sans-serif" w:hAnsi="Times New Roman;sans-serif"/>
          <w:b w:val="false"/>
          <w:color w:val="000000"/>
          <w:sz w:val="18"/>
        </w:rPr>
        <w:t>$4.5</w:t>
      </w:r>
      <w:r>
        <w:rPr>
          <w:rFonts w:ascii="Times New Roman;sans-serif" w:hAnsi="Times New Roman;sans-serif"/>
          <w:b w:val="false"/>
          <w:color w:val="000000"/>
          <w:sz w:val="18"/>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(2)</w:t>
      </w:r>
      <w:r>
        <w:rPr>
          <w:rFonts w:ascii="Times New Roman;sans-serif" w:hAnsi="Times New Roman;sans-serif"/>
          <w:b w:val="false"/>
          <w:color w:val="000000"/>
          <w:sz w:val="18"/>
          <w:shd w:fill="FFFFFF" w:val="clear"/>
        </w:rPr>
        <w:t xml:space="preserve">Includes </w:t>
      </w:r>
      <w:r>
        <w:rPr>
          <w:rFonts w:ascii="Times New Roman;sans-serif" w:hAnsi="Times New Roman;sans-serif"/>
          <w:b w:val="false"/>
          <w:color w:val="000000"/>
          <w:sz w:val="18"/>
        </w:rPr>
        <w:t>$51.5</w:t>
      </w:r>
      <w:r>
        <w:rPr>
          <w:color w:val="000000"/>
          <w:shd w:fill="FFFFFF" w:val="clear"/>
        </w:rPr>
        <w:t xml:space="preserve"> </w:t>
      </w:r>
      <w:r>
        <w:rPr>
          <w:rFonts w:ascii="Times New Roman;sans-serif" w:hAnsi="Times New Roman;sans-serif"/>
          <w:b w:val="false"/>
          <w:color w:val="000000"/>
          <w:sz w:val="18"/>
          <w:shd w:fill="FFFFFF" w:val="clear"/>
        </w:rPr>
        <w:t>of indefinite-lived trademarks associated with the ASPEQ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connection with the acquisitions of TAMCO and ASPEQ, </w:t>
      </w:r>
      <w:r>
        <w:rPr>
          <w:rFonts w:ascii="Times New Roman;sans-serif" w:hAnsi="Times New Roman;sans-serif"/>
          <w:b w:val="false"/>
          <w:color w:val="000000"/>
          <w:sz w:val="20"/>
        </w:rPr>
        <w:t>which have definite-lived intangible assets as noted above, we updated our estimated annual amortization expense related to intangible assets to approximately $44.0 for the full year 2023 and $46.0 for 2024 and each of the four years thereafter.</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At September 30, 2023</w:t>
      </w:r>
      <w:r>
        <w:rPr>
          <w:rFonts w:ascii="Times New Roman;sans-serif" w:hAnsi="Times New Roman;sans-serif"/>
          <w:b w:val="false"/>
          <w:color w:val="000000"/>
          <w:sz w:val="20"/>
        </w:rPr>
        <w:t>, the net carrying value of intangible assets with determinable lives consisted of $343.0 in the HVAC reportable segment and $125.1 in the Detection and Measurement reportable segment. At September 30, 2023, trademarks with indefinite lives consisted of $156.5 in the HVAC reportable segment and $63.3 in the Detection and Measurement reportable segment.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review goodwill and indefinite-lived intangible assets for impairment annually during th</w:t>
      </w:r>
      <w:r>
        <w:rPr>
          <w:rFonts w:ascii="Times New Roman;sans-serif" w:hAnsi="Times New Roman;sans-serif"/>
          <w:b w:val="false"/>
          <w:color w:val="000000"/>
          <w:sz w:val="20"/>
        </w:rPr>
        <w:t>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During the fourth quarter of 2022, we performed a quantitative analysis on the goodwill of our Cincinnati Fan reporting unit. The Cincinnati Fan analysis indicated that the fair value of its net assets exceeded the related carrying value by less than 10%. A change in assumptions used in Cincinnati Fan’s quantitative analysis (e.g., projected revenues and profit growth rates, discount rates, industry price multiples, etc.) could result in the reporting unit’s estimated fair value being less than the carrying value. If Cincinnati Fan is unable to achieve its current financial forecast, we may be required to record an impairment charge in a future period related to its goodwill. As of September 30, 2023, Cincinnati Fan’s goodwill totale</w:t>
      </w:r>
      <w:r>
        <w:rPr>
          <w:rFonts w:ascii="Times New Roman;sans-serif" w:hAnsi="Times New Roman;sans-serif"/>
          <w:b w:val="false"/>
          <w:color w:val="000000"/>
          <w:sz w:val="20"/>
        </w:rPr>
        <w:t>d $54.8.</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ans-serif" w:hAnsi="Times New Roman;sans-serif"/>
          <w:b w:val="false"/>
          <w:color w:val="000000"/>
          <w:sz w:val="20"/>
          <w:shd w:fill="FFFFFF" w:val="clear"/>
        </w:rPr>
        <w:t>Note 17)</w:t>
      </w:r>
      <w:r>
        <w:rPr>
          <w:rFonts w:ascii="Times New Roman;sans-serif" w:hAnsi="Times New Roman;sans-serif"/>
          <w:b w:val="false"/>
          <w:color w:val="000000"/>
          <w:sz w:val="20"/>
        </w:rPr>
        <w:t xml:space="preserve">. The primary basis for these projected revenues is the annual operating plan for each of the related businesses, which is prepared in the fourth quarter of each year. </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WARRANTY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product warranty accrual for the periods presented:</w:t>
      </w:r>
    </w:p>
    <w:tbl>
      <w:tblPr>
        <w:tblW w:w="4901" w:type="dxa"/>
        <w:jc w:val="left"/>
        <w:tblInd w:w="0" w:type="dxa"/>
        <w:tblLayout w:type="fixed"/>
        <w:tblCellMar>
          <w:top w:w="28" w:type="dxa"/>
          <w:left w:w="28" w:type="dxa"/>
          <w:bottom w:w="28" w:type="dxa"/>
          <w:right w:w="28" w:type="dxa"/>
        </w:tblCellMar>
      </w:tblPr>
      <w:tblGrid>
        <w:gridCol w:w="907"/>
        <w:gridCol w:w="797"/>
        <w:gridCol w:w="801"/>
        <w:gridCol w:w="289"/>
        <w:gridCol w:w="689"/>
        <w:gridCol w:w="162"/>
        <w:gridCol w:w="109"/>
        <w:gridCol w:w="109"/>
        <w:gridCol w:w="109"/>
        <w:gridCol w:w="223"/>
        <w:gridCol w:w="531"/>
        <w:gridCol w:w="17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10</w:t>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Usage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warranty</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2022, we transferred our existing liability under the SPX Postretirement Benefit Plans (the “Plans”) for a group of participants with retiree life insurance benefits to an insurance carrier for consideration payable to the insurance carrier of $10.0. Of this consideration, $9.0 was paid during the first quarter of 2022, with the remainder paid in the second quarter of 2022. This transaction resulted in a settlement charge of $0.7 recorded to “Other income (expense), net” during the first quarter of 2022. In addition, and in connection with this transfer, we remeasured the assets and liabilities of the Plans as of the transfer date, which resulted in a benefit of $0.4 recorded to “Other income (expense), net” for the three months ended April 2, 2022.</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SPX U.S. Pension Plan (the “U.S. Plan”) are eligible to elect a lump-sum payment option in lieu of a future pension benefit. During the first half of 2022, $10.0 was paid to participants who elected lump-sum payments. This triggered a plan settlement which resulted in a charge to “Other income (expense), net” of $2.3 during the second quarter of 2022. In addition, we remeasured assets and liabilities of the U.S. Plan at the settlement date, which resulted in an actuarial loss of $1.5 recorded to “Other income (expense), net” for the three months ended July 2, 2022.</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settlements by the U.S. Plan during the quarter ended October 1, 2022 resulted in a charge to “Other income (expense), net” of $2.0. We also remeasured the assets and liabilities of the U.S. Plan as of October 1, 2022, which resulted in an actuarial loss of $0.4 recorded to “Other income (expense), net” during the three months ended October 1, 2022.</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expense for our pension and postretirement plans include the following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Domestic Pension Plans</w:t>
      </w:r>
    </w:p>
    <w:tbl>
      <w:tblPr>
        <w:tblW w:w="7802" w:type="dxa"/>
        <w:jc w:val="left"/>
        <w:tblInd w:w="0" w:type="dxa"/>
        <w:tblLayout w:type="fixed"/>
        <w:tblCellMar>
          <w:top w:w="28" w:type="dxa"/>
          <w:left w:w="28" w:type="dxa"/>
          <w:bottom w:w="28" w:type="dxa"/>
          <w:right w:w="28" w:type="dxa"/>
        </w:tblCellMar>
      </w:tblPr>
      <w:tblGrid>
        <w:gridCol w:w="990"/>
        <w:gridCol w:w="865"/>
        <w:gridCol w:w="874"/>
        <w:gridCol w:w="327"/>
        <w:gridCol w:w="628"/>
        <w:gridCol w:w="184"/>
        <w:gridCol w:w="109"/>
        <w:gridCol w:w="109"/>
        <w:gridCol w:w="109"/>
        <w:gridCol w:w="254"/>
        <w:gridCol w:w="488"/>
        <w:gridCol w:w="143"/>
        <w:gridCol w:w="109"/>
        <w:gridCol w:w="109"/>
        <w:gridCol w:w="109"/>
        <w:gridCol w:w="327"/>
        <w:gridCol w:w="628"/>
        <w:gridCol w:w="184"/>
        <w:gridCol w:w="109"/>
        <w:gridCol w:w="109"/>
        <w:gridCol w:w="109"/>
        <w:gridCol w:w="250"/>
        <w:gridCol w:w="480"/>
        <w:gridCol w:w="19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and actuarial losses </w:t>
            </w:r>
            <w:r>
              <w:rPr>
                <w:rFonts w:ascii="Times New Roman;sans-serif" w:hAnsi="Times New Roman;sans-serif"/>
                <w:b w:val="false"/>
                <w:color w:val="000000"/>
                <w:sz w:val="12"/>
              </w:rPr>
              <w:t>(1)</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For the three months ended October 1, 2022, consists of a settlement loss of $2.0 and an actuarial loss of $0.4. For the nine months ended October 1, 2022, consists of settlement losses of $4.3 and actuarial losses of $1.9.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Pension Plans</w:t>
      </w:r>
    </w:p>
    <w:tbl>
      <w:tblPr>
        <w:tblW w:w="7742" w:type="dxa"/>
        <w:jc w:val="left"/>
        <w:tblInd w:w="0" w:type="dxa"/>
        <w:tblLayout w:type="fixed"/>
        <w:tblCellMar>
          <w:top w:w="28" w:type="dxa"/>
          <w:left w:w="28" w:type="dxa"/>
          <w:bottom w:w="28" w:type="dxa"/>
          <w:right w:w="28" w:type="dxa"/>
        </w:tblCellMar>
      </w:tblPr>
      <w:tblGrid>
        <w:gridCol w:w="968"/>
        <w:gridCol w:w="847"/>
        <w:gridCol w:w="855"/>
        <w:gridCol w:w="320"/>
        <w:gridCol w:w="640"/>
        <w:gridCol w:w="179"/>
        <w:gridCol w:w="109"/>
        <w:gridCol w:w="109"/>
        <w:gridCol w:w="109"/>
        <w:gridCol w:w="229"/>
        <w:gridCol w:w="528"/>
        <w:gridCol w:w="127"/>
        <w:gridCol w:w="109"/>
        <w:gridCol w:w="109"/>
        <w:gridCol w:w="109"/>
        <w:gridCol w:w="320"/>
        <w:gridCol w:w="640"/>
        <w:gridCol w:w="179"/>
        <w:gridCol w:w="109"/>
        <w:gridCol w:w="109"/>
        <w:gridCol w:w="109"/>
        <w:gridCol w:w="227"/>
        <w:gridCol w:w="524"/>
        <w:gridCol w:w="178"/>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income</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Postretirement Plans</w:t>
      </w:r>
    </w:p>
    <w:tbl>
      <w:tblPr>
        <w:tblW w:w="8747" w:type="dxa"/>
        <w:jc w:val="left"/>
        <w:tblInd w:w="0" w:type="dxa"/>
        <w:tblLayout w:type="fixed"/>
        <w:tblCellMar>
          <w:top w:w="28" w:type="dxa"/>
          <w:left w:w="28" w:type="dxa"/>
          <w:bottom w:w="28" w:type="dxa"/>
          <w:right w:w="28" w:type="dxa"/>
        </w:tblCellMar>
      </w:tblPr>
      <w:tblGrid>
        <w:gridCol w:w="1331"/>
        <w:gridCol w:w="1165"/>
        <w:gridCol w:w="1179"/>
        <w:gridCol w:w="320"/>
        <w:gridCol w:w="640"/>
        <w:gridCol w:w="179"/>
        <w:gridCol w:w="109"/>
        <w:gridCol w:w="109"/>
        <w:gridCol w:w="109"/>
        <w:gridCol w:w="229"/>
        <w:gridCol w:w="528"/>
        <w:gridCol w:w="127"/>
        <w:gridCol w:w="109"/>
        <w:gridCol w:w="109"/>
        <w:gridCol w:w="109"/>
        <w:gridCol w:w="320"/>
        <w:gridCol w:w="640"/>
        <w:gridCol w:w="179"/>
        <w:gridCol w:w="109"/>
        <w:gridCol w:w="109"/>
        <w:gridCol w:w="109"/>
        <w:gridCol w:w="227"/>
        <w:gridCol w:w="524"/>
        <w:gridCol w:w="178"/>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loss, net </w:t>
            </w:r>
            <w:r>
              <w:rPr>
                <w:rFonts w:ascii="Times New Roman;sans-serif" w:hAnsi="Times New Roman;sans-serif"/>
                <w:b w:val="false"/>
                <w:color w:val="000000"/>
                <w:sz w:val="12"/>
              </w:rPr>
              <w:t>(1)</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postretirement benefit income</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w:t>
      </w:r>
      <w:r>
        <w:rPr>
          <w:rFonts w:ascii="Times New Roman;sans-serif" w:hAnsi="Times New Roman;sans-serif"/>
          <w:b w:val="false"/>
          <w:color w:val="000000"/>
          <w:sz w:val="18"/>
        </w:rPr>
        <w:t>he nine months ended October 1, 2022, includes the impact of the transfer of the retiree life insurance benefits obligation.</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INDEBTEDNESS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debt activity (both current and non-current) for the nine months ended September 30, 2023:</w:t>
      </w:r>
    </w:p>
    <w:tbl>
      <w:tblPr>
        <w:tblW w:w="9443" w:type="dxa"/>
        <w:jc w:val="left"/>
        <w:tblInd w:w="0" w:type="dxa"/>
        <w:tblLayout w:type="fixed"/>
        <w:tblCellMar>
          <w:top w:w="28" w:type="dxa"/>
          <w:left w:w="28" w:type="dxa"/>
          <w:bottom w:w="28" w:type="dxa"/>
          <w:right w:w="28" w:type="dxa"/>
        </w:tblCellMar>
      </w:tblPr>
      <w:tblGrid>
        <w:gridCol w:w="1146"/>
        <w:gridCol w:w="1006"/>
        <w:gridCol w:w="1012"/>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51"/>
        <w:gridCol w:w="109"/>
        <w:gridCol w:w="109"/>
        <w:gridCol w:w="109"/>
        <w:gridCol w:w="109"/>
        <w:gridCol w:w="256"/>
        <w:gridCol w:w="727"/>
        <w:gridCol w:w="201"/>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Revolving loans </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Term loans </w:t>
            </w:r>
            <w:r>
              <w:rPr>
                <w:rFonts w:ascii="Times New Roman;sans-serif" w:hAnsi="Times New Roman;sans-serif"/>
                <w:b w:val="false"/>
                <w:color w:val="000000"/>
                <w:sz w:val="12"/>
              </w:rPr>
              <w:t>(2)(3)</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Trade receivables financing arrangement </w:t>
            </w:r>
            <w:r>
              <w:rPr>
                <w:rFonts w:ascii="Times New Roman;sans-serif" w:hAnsi="Times New Roman;sans-serif"/>
                <w:b w:val="false"/>
                <w:color w:val="000000"/>
                <w:sz w:val="12"/>
              </w:rPr>
              <w:t>(4)</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indebtedness </w:t>
            </w:r>
            <w:r>
              <w:rPr>
                <w:rFonts w:ascii="Times New Roman;sans-serif" w:hAnsi="Times New Roman;sans-serif"/>
                <w:b w:val="false"/>
                <w:color w:val="000000"/>
                <w:sz w:val="12"/>
              </w:rPr>
              <w:t>(5)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6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not due for repayment until August 2027 under the terms of our senior credit agreement, we classify within current liabilities the portion of the outstanding balance that we believe will be repaid over the next year, with such amount based on an estimate of cash that is expected to be generated over such period. The revolving loan facility was utilized as the initial funding mechanism for the TAMCO and ASPEQ acquisitions and was partially repaid with the funds borrowed on the Incremental Term Loan (see additional discussion below).</w:t>
      </w:r>
    </w:p>
    <w:p>
      <w:pPr>
        <w:pStyle w:val="TextBody"/>
        <w:bidi w:val="0"/>
        <w:spacing w:before="0" w:after="0"/>
        <w:jc w:val="left"/>
        <w:rPr/>
      </w:pPr>
      <w:r>
        <w:rPr/>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The term loans are repayable in quarterly installments equal to 0.625% of the balance of $545.0, beginning in December 2023 and in each of the first three quarters of 2024, and 1.25% during the fourth quarter of 2024, all quarters of 2025 and 2026, and the first two quarters of 2027. The remaining balances are payable in full on August 12, 2027. Balances are net of unamortized debt issuance costs of $1.8 and $0.7 at September 30, 2023 and December 31,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September 30, 2023, we had $18.0 of available borrowing capacity under this facility after giving effect to outstanding borrowings of $32.0.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Primarily includes balances under a purchase card program of $1.8 and $1.8 and finance lease obligations of $0.6 and $0.7 at September 30, 2023 and December 31, 2022,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(6)</w:t>
      </w:r>
      <w:r>
        <w:rPr>
          <w:color w:val="000000"/>
        </w:rPr>
        <w:t>“</w:t>
      </w:r>
      <w:r>
        <w:rPr>
          <w:rFonts w:ascii="Times New Roman;sans-serif" w:hAnsi="Times New Roman;sans-serif"/>
          <w:b w:val="false"/>
          <w:color w:val="000000"/>
          <w:sz w:val="18"/>
        </w:rPr>
        <w:t>Other” includes the capitalization and amortization of debt issuance costs. During the second quarter of 2023 we capitalized $1.3 of debt issuance costs associated with the Incremental Term Loan.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6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applicable to the Incremental Term Loan is, at our option, equal to either (x) an alternate base rate (the highest of (a) the federal funds effective rate plus 0.50%, (b) the prime rate of Bank of America, N.A., and (c) the one-month Term SOFR rate plus 1.00%) or (y) the Term SOFR rate for the applicable interest period plus 0.10%, plus, in each case, an applicable margin percentage, which varies based on the Company’s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SPX may elect interest periods of one, three or six months (and, if consented to by all relevant lenders, any other period not greater than twelve months) for Term SOFR borrowings. SPX will also pay a commitment fee to the incremental lenders on the daily unused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for the Incremental Term Loan, payable quarterly at a per annum rate which also varies based on the Company’s Consolidated Leverage Ratio. The commitment fee rate and interest rate margins for the Incremental Term Loan are as follows:</w:t>
      </w:r>
    </w:p>
    <w:p>
      <w:pPr>
        <w:pStyle w:val="TextBody"/>
        <w:bidi w:val="0"/>
        <w:spacing w:before="0" w:after="0"/>
        <w:jc w:val="both"/>
        <w:rPr/>
      </w:pPr>
      <w:r>
        <w:rPr/>
      </w:r>
    </w:p>
    <w:tbl>
      <w:tblPr>
        <w:tblW w:w="9212" w:type="dxa"/>
        <w:jc w:val="left"/>
        <w:tblInd w:w="0" w:type="dxa"/>
        <w:tblLayout w:type="fixed"/>
        <w:tblCellMar>
          <w:top w:w="28" w:type="dxa"/>
          <w:left w:w="28" w:type="dxa"/>
          <w:bottom w:w="28" w:type="dxa"/>
          <w:right w:w="28" w:type="dxa"/>
        </w:tblCellMar>
      </w:tblPr>
      <w:tblGrid>
        <w:gridCol w:w="1553"/>
        <w:gridCol w:w="1365"/>
        <w:gridCol w:w="1372"/>
        <w:gridCol w:w="109"/>
        <w:gridCol w:w="109"/>
        <w:gridCol w:w="109"/>
        <w:gridCol w:w="309"/>
        <w:gridCol w:w="309"/>
        <w:gridCol w:w="731"/>
        <w:gridCol w:w="109"/>
        <w:gridCol w:w="109"/>
        <w:gridCol w:w="109"/>
        <w:gridCol w:w="336"/>
        <w:gridCol w:w="336"/>
        <w:gridCol w:w="798"/>
        <w:gridCol w:w="109"/>
        <w:gridCol w:w="109"/>
        <w:gridCol w:w="109"/>
        <w:gridCol w:w="278"/>
        <w:gridCol w:w="278"/>
        <w:gridCol w:w="566"/>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ABR Loans</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Less than 2.00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0.225 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2.00 to 1.0 but less than 3.00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0.250 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3.00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0.275 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Incremental Term Loan is guaranteed by certain domestic material subsidiaries of the Company and secured by a first priority pledge and security interest in 100% of the capital stock of our domestic subsidiaries or the domestic subsidiary guarantors and 65% of the voting capital stock (and 100% of the non-voting capital stock) of material first-tier foreign subsidiaries, all subject to certain exceptions and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other credit facilities under the Credit Agreement.</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remaining senior credit facilities under the Credit Agreement is included in our 2022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$392.9 of available borrowing capacity under our revolving credit facilities, after giving effect to borrowings under the domestic revolving loan facility of $96.3 and $10.8 reserved for outstanding letters of credit. In addition, at September 30, 2023, we had $9.7 of available issuance capacity under our foreign credit instrument facilities after giving effect to $15.3 reserved for outstanding letters of credit.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the Credit Agreement was approximately 7.0% at September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we were in compliance with all covenants of the Credit Agreement.</w:t>
      </w:r>
    </w:p>
    <w:p>
      <w:pPr>
        <w:pStyle w:val="TextBody"/>
        <w:bidi w:val="0"/>
        <w:spacing w:before="0" w:after="0"/>
        <w:ind w:left="0" w:right="0" w:firstLine="45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 August 2022 amendment of the Credit Agreement, we recorded charges of $1.1 to “Loss on amendment/refinancing of senior credit agreement” related to the write-off of unamortized deferred financing costs totaling $0.7 and transaction costs of $0.4. Additionally, $1.5 of fees paid in connection with the August 2022 amendment were capitalized, with $1.2 related to our revolving loans and $0.3 related to the term loan.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DERIVATIVE FINANCIAL INSTRUMENTS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Swaps </w:t>
      </w:r>
    </w:p>
    <w:p>
      <w:pPr>
        <w:pStyle w:val="TextBody"/>
        <w:bidi w:val="0"/>
        <w:spacing w:lineRule="auto" w:line="276" w:before="0" w:after="200"/>
        <w:ind w:left="0" w:right="0" w:firstLine="720"/>
        <w:jc w:val="both"/>
        <w:rPr/>
      </w:pPr>
      <w:r>
        <w:rPr>
          <w:rFonts w:ascii="Times New Roman;sans-serif" w:hAnsi="Times New Roman;sans-serif"/>
          <w:b w:val="false"/>
          <w:color w:val="000000"/>
          <w:sz w:val="20"/>
        </w:rPr>
        <w:t>We maintain interest rate swap agreements (“Swaps”) that have a remaining notional amount of $221.9, cover the period through November 202</w:t>
      </w:r>
      <w:r>
        <w:rPr>
          <w:rFonts w:ascii="Times New Roman;sans-serif" w:hAnsi="Times New Roman;sans-serif"/>
          <w:b w:val="false"/>
          <w:color w:val="000000"/>
          <w:sz w:val="20"/>
          <w:shd w:fill="FFFFFF" w:val="clear"/>
        </w:rPr>
        <w:t>4, and effectively convert this portion of the borrowings under our senior credit facilities to a fixed rate of 1.077%, plus the applicable margin. We have designated, and are accounting for, our Swaps as cash flow hedges.</w:t>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 and December 31, 2022</w:t>
      </w:r>
      <w:r>
        <w:rPr>
          <w:rFonts w:ascii="Times New Roman;sans-serif" w:hAnsi="Times New Roman;sans-serif"/>
          <w:b w:val="false"/>
          <w:color w:val="000000"/>
          <w:sz w:val="20"/>
          <w:shd w:fill="FFFFFF" w:val="clear"/>
        </w:rPr>
        <w:t>, the unrealized gain, net of tax, recorded in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$8.1</w:t>
      </w:r>
      <w:r>
        <w:rPr>
          <w:color w:val="000000"/>
          <w:shd w:fill="FFFFFF" w:val="clear"/>
        </w:rPr>
        <w:t xml:space="preserve"> </w:t>
      </w:r>
      <w:r>
        <w:rPr>
          <w:rFonts w:ascii="Times New Roman;sans-serif" w:hAnsi="Times New Roman;sans-serif"/>
          <w:b w:val="false"/>
          <w:color w:val="000000"/>
          <w:sz w:val="20"/>
          <w:shd w:fill="FFFFFF" w:val="clear"/>
        </w:rPr>
        <w:t xml:space="preserve">and $11.0, respectively. In addition, the fair value of our Swaps was </w:t>
      </w:r>
      <w:r>
        <w:rPr>
          <w:rFonts w:ascii="Times New Roman;sans-serif" w:hAnsi="Times New Roman;sans-serif"/>
          <w:b w:val="false"/>
          <w:color w:val="000000"/>
          <w:sz w:val="20"/>
        </w:rPr>
        <w:t xml:space="preserve">$10.8 (with $9.6 recorded as a current asset and $1.2 as a non-current asset)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and $14.7 (with $8.7 recorded as a current asset and $6.0 as a non-current asset)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Changes in the fair value of our Swaps </w:t>
      </w:r>
      <w:r>
        <w:rPr>
          <w:rFonts w:ascii="Times New Roman;sans-serif" w:hAnsi="Times New Roman;sans-serif"/>
          <w:b w:val="false"/>
          <w:color w:val="000000"/>
          <w:sz w:val="20"/>
        </w:rPr>
        <w:t>are reclassified into earnings, as a component of interest expense, when the forecasted transaction impacts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Currency Forward Contracts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and Euro.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FX forward contracts related to continuing operations with an aggregate notional amount of $5.0 and $6.9 outstanding as of September 30, 2023 and December 31, 2022, respectively, with all of the $5.0 scheduled to mature within one year. The fair value of these FX forward contracts was less than $0.1 at September 30, 2023 and December 31, 2022.</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entered FX forward contracts associated with the Settlement Agreement, to mitigate our exposure to fluctuations in the South African Rand, with a notional amount of $25.0 and a fair value of $0.2, which is included within “Assets of DBT and Heat Transfer” on the condensed consolidated balance sheet as of September 30, 2023. All of the $25.0 is scheduled to mature within one year. Refer to Note 3 for additional details. </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STOCKHOLDERS' EQUITY AND LONG-TERM INCENTIVE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Income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weighted-average shares outstanding used in the computation of basic and diluted income per share:</w:t>
      </w:r>
    </w:p>
    <w:tbl>
      <w:tblPr>
        <w:tblW w:w="10205" w:type="dxa"/>
        <w:jc w:val="left"/>
        <w:tblInd w:w="0" w:type="dxa"/>
        <w:tblLayout w:type="fixed"/>
        <w:tblCellMar>
          <w:top w:w="28" w:type="dxa"/>
          <w:left w:w="28" w:type="dxa"/>
          <w:bottom w:w="28" w:type="dxa"/>
          <w:right w:w="28" w:type="dxa"/>
        </w:tblCellMar>
      </w:tblPr>
      <w:tblGrid>
        <w:gridCol w:w="1801"/>
        <w:gridCol w:w="1579"/>
        <w:gridCol w:w="1587"/>
        <w:gridCol w:w="370"/>
        <w:gridCol w:w="344"/>
        <w:gridCol w:w="346"/>
        <w:gridCol w:w="148"/>
        <w:gridCol w:w="148"/>
        <w:gridCol w:w="148"/>
        <w:gridCol w:w="323"/>
        <w:gridCol w:w="323"/>
        <w:gridCol w:w="272"/>
        <w:gridCol w:w="109"/>
        <w:gridCol w:w="109"/>
        <w:gridCol w:w="109"/>
        <w:gridCol w:w="370"/>
        <w:gridCol w:w="344"/>
        <w:gridCol w:w="346"/>
        <w:gridCol w:w="140"/>
        <w:gridCol w:w="140"/>
        <w:gridCol w:w="140"/>
        <w:gridCol w:w="323"/>
        <w:gridCol w:w="323"/>
        <w:gridCol w:w="363"/>
      </w:tblGrid>
      <w:tr>
        <w:trPr/>
        <w:tc>
          <w:tcPr>
            <w:tcW w:w="180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used in basic income per share</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securities — Employee stock options and restricted stock units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and dilutive securities used in diluted income per share</w:t>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46.751 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46.132 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46.560 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46.253 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weighted-average number of restricted stock units and stock options excluded from the computation of diluted income per share because the assumed proceeds for these instruments exceed the average market value of the underlying common stock for the related period </w:t>
      </w:r>
      <w:r>
        <w:rPr>
          <w:rFonts w:ascii="Times New Roman;sans-serif" w:hAnsi="Times New Roman;sans-serif"/>
          <w:b w:val="false"/>
          <w:color w:val="000000"/>
          <w:sz w:val="20"/>
          <w:shd w:fill="FFFFFF" w:val="clear"/>
        </w:rPr>
        <w:t>wer</w:t>
      </w:r>
      <w:r>
        <w:rPr>
          <w:rFonts w:ascii="Times New Roman;sans-serif" w:hAnsi="Times New Roman;sans-serif"/>
          <w:b w:val="false"/>
          <w:color w:val="000000"/>
          <w:sz w:val="20"/>
        </w:rPr>
        <w:t>e 0.184 and 0.488, respectively, for the three months ended September 30, 2023, and 0.191 and 0.521, respectively, for the nine months ende</w:t>
      </w: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0.243 and 0.655, r</w:t>
      </w:r>
      <w:r>
        <w:rPr>
          <w:rFonts w:ascii="Times New Roman;sans-serif" w:hAnsi="Times New Roman;sans-serif"/>
          <w:b w:val="false"/>
          <w:color w:val="000000"/>
          <w:sz w:val="20"/>
          <w:shd w:fill="FFFFFF" w:val="clear"/>
        </w:rPr>
        <w:t>espectively, for the three mon</w:t>
      </w:r>
      <w:r>
        <w:rPr>
          <w:rFonts w:ascii="Times New Roman;sans-serif" w:hAnsi="Times New Roman;sans-serif"/>
          <w:b w:val="false"/>
          <w:color w:val="000000"/>
          <w:sz w:val="20"/>
        </w:rPr>
        <w:t>ths ended October 1, 2022, and 0.270 and 0.720, respectively, for the nine months ended October 1, 2022.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 awards may be granted to certain eligible employees or non-employee directors. A detailed description of the awards granted prior to 2023 is included in our 2022 Annual Report on Form 10-K.</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Awards granted </w:t>
      </w:r>
      <w:r>
        <w:rPr>
          <w:rFonts w:ascii="Times New Roman;sans-serif" w:hAnsi="Times New Roman;sans-serif"/>
          <w:b w:val="false"/>
          <w:color w:val="000000"/>
          <w:sz w:val="20"/>
        </w:rPr>
        <w:t>on March 1</w:t>
      </w:r>
      <w:r>
        <w:rPr>
          <w:rFonts w:ascii="Times New Roman;sans-serif" w:hAnsi="Times New Roman;sans-serif"/>
          <w:b w:val="false"/>
          <w:color w:val="000000"/>
          <w:sz w:val="20"/>
          <w:shd w:fill="FFFFFF" w:val="clear"/>
        </w:rPr>
        <w:t xml:space="preserve">, 2023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S&amp;P 600 Capital Goods Index. Stock options and RSU’s vest ratably over the three-year period subsequent to the date of grant.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Effective May 9, 2023, we granted 0.014 RSU</w:t>
      </w:r>
      <w:r>
        <w:rPr>
          <w:color w:val="000000"/>
          <w:shd w:fill="FFFFFF" w:val="clear"/>
        </w:rPr>
        <w:t>’</w:t>
      </w:r>
      <w:r>
        <w:rPr>
          <w:rFonts w:ascii="Times New Roman;sans-serif" w:hAnsi="Times New Roman;sans-serif"/>
          <w:b w:val="false"/>
          <w:color w:val="000000"/>
          <w:sz w:val="20"/>
        </w:rPr>
        <w:t>s to our non-employee directors, which vest in their entirety immediately prior to the annual meeting of stockholders in May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 xml:space="preserve">ompensation expense within income from continuing operations related to long-term incentive awards totaled </w:t>
      </w:r>
      <w:r>
        <w:rPr>
          <w:rFonts w:ascii="Times New Roman;sans-serif" w:hAnsi="Times New Roman;sans-serif"/>
          <w:b w:val="false"/>
          <w:color w:val="000000"/>
          <w:sz w:val="20"/>
        </w:rPr>
        <w:t>$3.4</w:t>
      </w:r>
      <w:r>
        <w:rPr>
          <w:color w:val="000000"/>
          <w:shd w:fill="FFFFFF" w:val="clear"/>
        </w:rPr>
        <w:t xml:space="preserve">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$2.1</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October 1,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an</w:t>
      </w:r>
      <w:r>
        <w:rPr>
          <w:rFonts w:ascii="Times New Roman;sans-serif" w:hAnsi="Times New Roman;sans-serif"/>
          <w:b w:val="false"/>
          <w:color w:val="000000"/>
          <w:sz w:val="20"/>
        </w:rPr>
        <w:t xml:space="preserve">d $7.7 </w:t>
      </w:r>
      <w:r>
        <w:rPr>
          <w:rFonts w:ascii="Times New Roman;sans-serif" w:hAnsi="Times New Roman;sans-serif"/>
          <w:b w:val="false"/>
          <w:color w:val="000000"/>
          <w:sz w:val="20"/>
          <w:shd w:fill="FFFFFF" w:val="clear"/>
        </w:rPr>
        <w:t xml:space="preserve">for the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October 1, 2022</w:t>
      </w:r>
      <w:r>
        <w:rPr>
          <w:rFonts w:ascii="Times New Roman;sans-serif" w:hAnsi="Times New Roman;sans-serif"/>
          <w:b w:val="false"/>
          <w:color w:val="000000"/>
          <w:sz w:val="20"/>
          <w:shd w:fill="FFFFFF" w:val="clear"/>
        </w:rPr>
        <w:t>, respectively. The related tax b</w:t>
      </w:r>
      <w:r>
        <w:rPr>
          <w:rFonts w:ascii="Times New Roman;sans-serif" w:hAnsi="Times New Roman;sans-serif"/>
          <w:b w:val="false"/>
          <w:color w:val="000000"/>
          <w:sz w:val="20"/>
        </w:rPr>
        <w:t>enefit was $0.6 and $0.3 for the three months ended September 30, 2023 and October 1, 2022, respectively, and $1.7 a</w:t>
      </w:r>
      <w:r>
        <w:rPr>
          <w:rFonts w:ascii="Times New Roman;sans-serif" w:hAnsi="Times New Roman;sans-serif"/>
          <w:b w:val="false"/>
          <w:color w:val="000000"/>
          <w:sz w:val="20"/>
          <w:shd w:fill="FFFFFF" w:val="clear"/>
        </w:rPr>
        <w:t xml:space="preserve">nd </w:t>
      </w:r>
      <w:r>
        <w:rPr>
          <w:rFonts w:ascii="Times New Roman;sans-serif" w:hAnsi="Times New Roman;sans-serif"/>
          <w:b w:val="false"/>
          <w:color w:val="000000"/>
          <w:sz w:val="20"/>
        </w:rPr>
        <w:t xml:space="preserve">$1.2 </w:t>
      </w:r>
      <w:r>
        <w:rPr>
          <w:rFonts w:ascii="Times New Roman;sans-serif" w:hAnsi="Times New Roman;sans-serif"/>
          <w:b w:val="false"/>
          <w:color w:val="000000"/>
          <w:sz w:val="20"/>
          <w:shd w:fill="FFFFFF" w:val="clear"/>
        </w:rPr>
        <w:t xml:space="preserve">for the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October 1, 2022</w:t>
      </w:r>
      <w:r>
        <w:rPr>
          <w:rFonts w:ascii="Times New Roman;sans-serif" w:hAnsi="Times New Roman;sans-serif"/>
          <w:b w:val="false"/>
          <w:color w:val="000000"/>
          <w:sz w:val="20"/>
          <w:shd w:fill="FFFFFF" w:val="clear"/>
        </w:rPr>
        <w:t xml:space="preserve">,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Repurchases of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2022, and May 9, 2023, our Board of Directors authorized management, in its sole discretion, to repurchase, in any fiscal year, up to $100.0 of our common stock, subject to maintaining compliance with all covenants of our Credit Agreement. Pursuant to this authorization, during the three months ended July 2, 2022, we repurchased approximately 0.7 shares of our common stock for aggregate cash payments of $33.7.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September 30, 2023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$2.7</w:t>
      </w:r>
      <w:r>
        <w:rPr>
          <w:color w:val="000000"/>
          <w:shd w:fill="FFFFFF" w:val="clear"/>
        </w:rPr>
        <w:t xml:space="preserve"> </w:t>
      </w:r>
      <w:r>
        <w:rPr>
          <w:rFonts w:ascii="Times New Roman;sans-serif" w:hAnsi="Times New Roman;sans-serif"/>
          <w:b w:val="false"/>
          <w:color w:val="000000"/>
          <w:sz w:val="18"/>
          <w:shd w:fill="FFFFFF" w:val="clear"/>
        </w:rPr>
        <w:t>and</w:t>
      </w:r>
      <w:r>
        <w:rPr>
          <w:color w:val="000000"/>
        </w:rPr>
        <w:t xml:space="preserve"> </w:t>
      </w:r>
      <w:r>
        <w:rPr>
          <w:rFonts w:ascii="Times New Roman;sans-serif" w:hAnsi="Times New Roman;sans-serif"/>
          <w:b w:val="false"/>
          <w:color w:val="000000"/>
          <w:sz w:val="18"/>
        </w:rPr>
        <w:t>$3.1 as of September 30, 2023 and July 1, 2023,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$1.9 and </w:t>
      </w:r>
      <w:r>
        <w:rPr>
          <w:rFonts w:ascii="Times New Roman;sans-serif" w:hAnsi="Times New Roman;sans-serif"/>
          <w:b w:val="false"/>
          <w:color w:val="000000"/>
          <w:sz w:val="18"/>
          <w:shd w:fill="FFFFFF" w:val="clear"/>
        </w:rPr>
        <w:t>$2.2</w:t>
      </w:r>
      <w:r>
        <w:rPr>
          <w:color w:val="000000"/>
        </w:rPr>
        <w:t xml:space="preserve"> </w:t>
      </w:r>
      <w:r>
        <w:rPr>
          <w:rFonts w:ascii="Times New Roman;sans-serif" w:hAnsi="Times New Roman;sans-serif"/>
          <w:b w:val="false"/>
          <w:color w:val="000000"/>
          <w:sz w:val="18"/>
        </w:rPr>
        <w:t xml:space="preserve">as of September 30, 2023 and July 1, 2023, respectively. The balances as of September 30, 2023 and July 1, 2023 include unamortized prior service credits. </w:t>
      </w:r>
    </w:p>
    <w:p>
      <w:pPr>
        <w:pStyle w:val="TextBody"/>
        <w:bidi w:val="0"/>
        <w:spacing w:before="0" w:after="20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nine months ended September 30, 2023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14"/>
        <w:gridCol w:w="987"/>
        <w:gridCol w:w="23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$2.7 a</w:t>
      </w:r>
      <w:r>
        <w:rPr>
          <w:rFonts w:ascii="Times New Roman;sans-serif" w:hAnsi="Times New Roman;sans-serif"/>
          <w:b w:val="false"/>
          <w:color w:val="000000"/>
          <w:sz w:val="18"/>
          <w:shd w:fill="FFFFFF" w:val="clear"/>
        </w:rPr>
        <w:t>nd</w:t>
      </w:r>
      <w:r>
        <w:rPr>
          <w:color w:val="000000"/>
        </w:rPr>
        <w:t xml:space="preserve"> </w:t>
      </w:r>
      <w:r>
        <w:rPr>
          <w:rFonts w:ascii="Times New Roman;sans-serif" w:hAnsi="Times New Roman;sans-serif"/>
          <w:b w:val="false"/>
          <w:color w:val="000000"/>
          <w:sz w:val="18"/>
        </w:rPr>
        <w:t>$3.7 as of September 30, 2023 and December 31,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$1.9 and </w:t>
      </w:r>
      <w:r>
        <w:rPr>
          <w:rFonts w:ascii="Times New Roman;sans-serif" w:hAnsi="Times New Roman;sans-serif"/>
          <w:b w:val="false"/>
          <w:color w:val="000000"/>
          <w:sz w:val="18"/>
          <w:shd w:fill="FFFFFF" w:val="clear"/>
        </w:rPr>
        <w:t>$2.7</w:t>
      </w:r>
      <w:r>
        <w:rPr>
          <w:color w:val="000000"/>
        </w:rPr>
        <w:t xml:space="preserve"> </w:t>
      </w:r>
      <w:r>
        <w:rPr>
          <w:rFonts w:ascii="Times New Roman;sans-serif" w:hAnsi="Times New Roman;sans-serif"/>
          <w:b w:val="false"/>
          <w:color w:val="000000"/>
          <w:sz w:val="18"/>
        </w:rPr>
        <w:t xml:space="preserve">as of September 30, 2023 and December 31, 2022, respectively. The balances as of September 30, 2023 and December 31, 2022 include unamortized prior service credits. </w:t>
      </w:r>
    </w:p>
    <w:p>
      <w:pPr>
        <w:pStyle w:val="TextBody"/>
        <w:bidi w:val="0"/>
        <w:spacing w:before="0" w:after="20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October 1, 2022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14"/>
        <w:gridCol w:w="987"/>
        <w:gridCol w:w="23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$4.0 and $2.9 as of October 1, 2022 and July 2,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$3.0 and $3.2 as of October 1, 2022 and July 2, 2022, respectively. The balances as of October 1, 2022 and July 2, 2022 include unamortized prior service credits. </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nine months ended October 1, 2022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14"/>
        <w:gridCol w:w="987"/>
        <w:gridCol w:w="231"/>
        <w:gridCol w:w="109"/>
        <w:gridCol w:w="109"/>
        <w:gridCol w:w="109"/>
        <w:gridCol w:w="301"/>
        <w:gridCol w:w="716"/>
        <w:gridCol w:w="169"/>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$4.0 and $0.1 as of October 1, 2022 and December 31, 2021,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$3.0 and $3.7 as of October 1, 2022 and December 31, 2021, respectively. The balances as of October 1, 2022 and December 31, 2021 include unamortized prior service credits.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three months ended September 30, 2023 and October 1, 2022:</w:t>
      </w:r>
    </w:p>
    <w:tbl>
      <w:tblPr>
        <w:tblW w:w="10205" w:type="dxa"/>
        <w:jc w:val="left"/>
        <w:tblInd w:w="0" w:type="dxa"/>
        <w:tblLayout w:type="fixed"/>
        <w:tblCellMar>
          <w:top w:w="28" w:type="dxa"/>
          <w:left w:w="28" w:type="dxa"/>
          <w:bottom w:w="28" w:type="dxa"/>
          <w:right w:w="28" w:type="dxa"/>
        </w:tblCellMar>
      </w:tblPr>
      <w:tblGrid>
        <w:gridCol w:w="1388"/>
        <w:gridCol w:w="1177"/>
        <w:gridCol w:w="1181"/>
        <w:gridCol w:w="398"/>
        <w:gridCol w:w="826"/>
        <w:gridCol w:w="220"/>
        <w:gridCol w:w="154"/>
        <w:gridCol w:w="154"/>
        <w:gridCol w:w="154"/>
        <w:gridCol w:w="346"/>
        <w:gridCol w:w="690"/>
        <w:gridCol w:w="198"/>
        <w:gridCol w:w="109"/>
        <w:gridCol w:w="109"/>
        <w:gridCol w:w="109"/>
        <w:gridCol w:w="874"/>
        <w:gridCol w:w="874"/>
        <w:gridCol w:w="1244"/>
      </w:tblGrid>
      <w:tr>
        <w:trPr/>
        <w:tc>
          <w:tcPr>
            <w:tcW w:w="13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FX forward contracts</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nine months ended September 30, 2023 and October 1, 2022:</w:t>
      </w:r>
    </w:p>
    <w:tbl>
      <w:tblPr>
        <w:tblW w:w="10205" w:type="dxa"/>
        <w:jc w:val="left"/>
        <w:tblInd w:w="0" w:type="dxa"/>
        <w:tblLayout w:type="fixed"/>
        <w:tblCellMar>
          <w:top w:w="28" w:type="dxa"/>
          <w:left w:w="28" w:type="dxa"/>
          <w:bottom w:w="28" w:type="dxa"/>
          <w:right w:w="28" w:type="dxa"/>
        </w:tblCellMar>
      </w:tblPr>
      <w:tblGrid>
        <w:gridCol w:w="1388"/>
        <w:gridCol w:w="1177"/>
        <w:gridCol w:w="1181"/>
        <w:gridCol w:w="398"/>
        <w:gridCol w:w="826"/>
        <w:gridCol w:w="220"/>
        <w:gridCol w:w="154"/>
        <w:gridCol w:w="154"/>
        <w:gridCol w:w="154"/>
        <w:gridCol w:w="346"/>
        <w:gridCol w:w="690"/>
        <w:gridCol w:w="198"/>
        <w:gridCol w:w="109"/>
        <w:gridCol w:w="109"/>
        <w:gridCol w:w="109"/>
        <w:gridCol w:w="874"/>
        <w:gridCol w:w="874"/>
        <w:gridCol w:w="1244"/>
      </w:tblGrid>
      <w:tr>
        <w:trPr/>
        <w:tc>
          <w:tcPr>
            <w:tcW w:w="13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FX forward contracts</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(15)    CONTINGENT LIABILITIES AND OTHER MATTERS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Our recorded liab</w:t>
      </w:r>
      <w:r>
        <w:rPr>
          <w:rFonts w:ascii="Times New Roman;sans-serif" w:hAnsi="Times New Roman;sans-serif"/>
          <w:b w:val="false"/>
          <w:color w:val="000000"/>
          <w:sz w:val="20"/>
        </w:rPr>
        <w:t>ilities related to these matters, primarily associated with environmental matters, totaled $37.1 and $39.5 at September 30, 2023 and December 31, 2022, respectively. Of these amounts, $30.1 and $30.8 are</w:t>
      </w:r>
      <w:r>
        <w:rPr>
          <w:color w:val="000000"/>
          <w:shd w:fill="FFFFFF" w:val="clear"/>
        </w:rPr>
        <w:t xml:space="preserve"> </w:t>
      </w:r>
      <w:r>
        <w:rPr>
          <w:rFonts w:ascii="Times New Roman;sans-serif" w:hAnsi="Times New Roman;sans-serif"/>
          <w:b w:val="false"/>
          <w:color w:val="000000"/>
          <w:sz w:val="20"/>
          <w:shd w:fill="FFFFFF" w:val="clear"/>
        </w:rPr>
        <w:t xml:space="preserve">included in “Other long-term liabilities” within our condensed consolidated balance sheets at </w:t>
      </w:r>
      <w:r>
        <w:rPr>
          <w:rFonts w:ascii="Times New Roman;sans-serif" w:hAnsi="Times New Roman;sans-serif"/>
          <w:b w:val="false"/>
          <w:color w:val="000000"/>
          <w:sz w:val="20"/>
        </w:rPr>
        <w:t>September 30, 2023 and December 31, 2022</w:t>
      </w:r>
      <w:r>
        <w:rPr>
          <w:rFonts w:ascii="Times New Roman;sans-serif" w:hAnsi="Times New Roman;sans-serif"/>
          <w:b w:val="false"/>
          <w:color w:val="000000"/>
          <w:sz w:val="20"/>
          <w:shd w:fill="FFFFFF" w:val="clear"/>
        </w:rPr>
        <w:t>,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Asbestos Matters</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indicated in Note 1, we completed the Asbestos Portfolio Sale on November 1, 2022, which resulted in the divestiture of three wholly-owned subsidiaries that hold asbestos liabilities and certain assets, including related insurance assets. As a result of this transaction, the Company divested all obligations with respect to pending and future asbestos claims relating to these subsidiaries.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nine months ended October 1, 2022, our payments for asbestos-related claims, net of respective insurance recoveries of $27.7, were $20.2.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October 1, 2022, we recorded charges for asbestos-related matters of $21.7 and $24.0, respectively, with $16.5 and $18.8, respectively, recorded to continuing operations and the remainder to discontinued operations. Of such charges, $21.7 (continuing operations - $16.5 and discontinued operations - $5.2) resulted from a ruling by a North Carolina trial court, during the third quarter of 2022, that certain excess insurance carriers associated with our asbestos product liability matters are not required to cover the costs of defending suits that are dismissed without an indemnity payment.</w:t>
      </w:r>
    </w:p>
    <w:p>
      <w:pPr>
        <w:pStyle w:val="TextBody"/>
        <w:bidi w:val="0"/>
        <w:spacing w:before="0" w:after="0"/>
        <w:ind w:left="0" w:right="0" w:firstLine="72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Large Power Projects in South Africa</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Overview</w:t>
      </w:r>
      <w:r>
        <w:rPr>
          <w:color w:val="000000"/>
          <w:shd w:fill="FFFFFF" w:val="clear"/>
        </w:rPr>
        <w:t xml:space="preserve"> </w:t>
      </w:r>
      <w:r>
        <w:rPr>
          <w:rFonts w:ascii="Times New Roman;sans-serif" w:hAnsi="Times New Roman;sans-serif"/>
          <w:b w:val="false"/>
          <w:color w:val="000000"/>
          <w:sz w:val="20"/>
          <w:shd w:fill="FFFFFF" w:val="clear"/>
        </w:rPr>
        <w:t xml:space="preserve">- Since 2008, DBT had been executing on two large power projects in South Africa (Kusile and Medupi), on which it has completed its scope 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Since substantial completion of the works, DBT’s remaining responsibilities related largely to resolution of various claims, primarily between itself and MHI, the remaining prime contractor. As noted below, SPX and DBT entered into a Settlement Agreement with MHI during the third quarter of 2023. Prior to the Settlement Agreement, DBT had asserted claims against MHI of approximately South African Rand </w:t>
      </w:r>
      <w:r>
        <w:rPr>
          <w:rFonts w:ascii="Times New Roman;sans-serif" w:hAnsi="Times New Roman;sans-serif"/>
          <w:b w:val="false"/>
          <w:color w:val="000000"/>
          <w:sz w:val="20"/>
        </w:rPr>
        <w:t>1,000.0</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$52.1</w:t>
      </w:r>
      <w:r>
        <w:rPr>
          <w:rFonts w:ascii="Times New Roman;sans-serif" w:hAnsi="Times New Roman;sans-serif"/>
          <w:b w:val="false"/>
          <w:color w:val="000000"/>
          <w:sz w:val="20"/>
          <w:shd w:fill="FFFFFF" w:val="clear"/>
        </w:rPr>
        <w:t xml:space="preserve">) and MHI had asserted, or issued letters of intent to claim for, alleged damages against DBT. Although it was reasonably possible that some loss may have been incurred in connection with these claims (which totaled approximately South African Rand </w:t>
      </w:r>
      <w:r>
        <w:rPr>
          <w:rFonts w:ascii="Times New Roman;sans-serif" w:hAnsi="Times New Roman;sans-serif"/>
          <w:b w:val="false"/>
          <w:color w:val="000000"/>
          <w:sz w:val="20"/>
        </w:rPr>
        <w:t>2,815.2</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$146.5</w:t>
      </w:r>
      <w:r>
        <w:rPr>
          <w:rFonts w:ascii="Times New Roman;sans-serif" w:hAnsi="Times New Roman;sans-serif"/>
          <w:b w:val="false"/>
          <w:color w:val="000000"/>
          <w:sz w:val="20"/>
          <w:shd w:fill="FFFFFF" w:val="clear"/>
        </w:rPr>
        <w:t xml:space="preserve">),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may have occurred in connection with these claims. Prior to the Settlement Agreement, DBT had experienced success in enforcing its rights through dispute resolution processes, including favorable arbitration rulings during 2023 related to awards for (i) costs incurred in connection with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on the Kusile project of South African Rand </w:t>
      </w:r>
      <w:r>
        <w:rPr>
          <w:rFonts w:ascii="Times New Roman;sans-serif" w:hAnsi="Times New Roman;sans-serif"/>
          <w:b w:val="false"/>
          <w:color w:val="000000"/>
          <w:sz w:val="20"/>
        </w:rPr>
        <w:t>126.6</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$6.8</w:t>
      </w:r>
      <w:r>
        <w:rPr>
          <w:rFonts w:ascii="Times New Roman;sans-serif" w:hAnsi="Times New Roman;sans-serif"/>
          <w:b w:val="false"/>
          <w:color w:val="000000"/>
          <w:sz w:val="20"/>
          <w:shd w:fill="FFFFFF" w:val="clear"/>
        </w:rPr>
        <w:t>) during the first quarter of 2023 and (ii) recovery of legal costs related to arbitration proceedings of $6.8 during the second quarter of 2023, with such amounts recorded within “Loss on disposition of discontinued operations, net of tax.” There were no rulings or awards during the third quarter of 2023.</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Resolution of Remaining Prime Contractor Claims</w:t>
      </w:r>
      <w:r>
        <w:rPr>
          <w:color w:val="000000"/>
          <w:shd w:fill="FFFFFF" w:val="clear"/>
        </w:rPr>
        <w:t xml:space="preserve"> </w:t>
      </w:r>
      <w:r>
        <w:rPr>
          <w:rFonts w:ascii="Times New Roman;sans-serif" w:hAnsi="Times New Roman;sans-serif"/>
          <w:b w:val="false"/>
          <w:color w:val="000000"/>
          <w:sz w:val="20"/>
          <w:shd w:fill="FFFFFF" w:val="clear"/>
        </w:rPr>
        <w:t>- We have invested, and would have continued to invest, significant management and financial resources to defend and pursue these matters. On September 5, 2023, SPX Technologies and DBT entered into the Settlement Agreement with MHI to affect the negotiated resolution of all outstanding claims between the parties with respect to the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3 for additional details.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Claim against Surety</w:t>
      </w:r>
      <w:r>
        <w:rPr>
          <w:color w:val="000000"/>
          <w:shd w:fill="FFFFFF" w:val="clear"/>
        </w:rPr>
        <w:t xml:space="preserve"> </w:t>
      </w:r>
      <w:r>
        <w:rPr>
          <w:rFonts w:ascii="Times New Roman;sans-serif" w:hAnsi="Times New Roman;sans-serif"/>
          <w:b w:val="false"/>
          <w:color w:val="000000"/>
          <w:sz w:val="20"/>
          <w:shd w:fill="FFFFFF" w:val="clear"/>
        </w:rPr>
        <w:t>- On February 5, 2021, DBT received payment of $6.7 on bonds issued in support of performance by one of DBT’s subcontractors. The subcontractor maintains a right to seek recovery of such amount and, thus, the amount received by DBT has not been reflected in our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Claim for Contingent Consideration Related to ULC Robotics (“ULC”)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our acquisition of ULC in September 2020, the seller of ULC was eligible for additional cash consideration of up to $45.0 upon achievement of certain operating and financial performance milestones. During the third quarter of 2021, we concluded that the operational and financial performance milestones noted above were not achieved and, thus, no amount is due to the seller.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SPX has numerous defenses against this claim and, thus, we do not believe we have a probable loss associated with the claim.</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17</w:t>
      </w:r>
      <w:r>
        <w:rPr>
          <w:color w:val="000000"/>
          <w:shd w:fill="FFFFFF" w:val="clear"/>
        </w:rPr>
        <w:t xml:space="preserve"> </w:t>
      </w:r>
      <w:r>
        <w:rPr>
          <w:rFonts w:ascii="Times New Roman;sans-serif" w:hAnsi="Times New Roman;sans-serif"/>
          <w:b w:val="false"/>
          <w:color w:val="000000"/>
          <w:sz w:val="20"/>
        </w:rPr>
        <w:t>sites that we own or control, or formerly owned and controlled, as of September 30, 2023 and December 31, 2022.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the revision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contamination at offsite, third-party disposal sites, as of September 30, 2023 and December 31, 2022,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after considering accruals established for such purposes,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Self-insured Risk Management Matters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(16)</w:t>
      </w:r>
      <w:r>
        <w:rPr>
          <w:color w:val="000000"/>
        </w:rPr>
        <w:t>    </w:t>
      </w:r>
      <w:r>
        <w:rPr>
          <w:rFonts w:ascii="Times New Roman;sans-serif" w:hAnsi="Times New Roman;sans-serif"/>
          <w:b/>
          <w:color w:val="000000"/>
          <w:sz w:val="20"/>
        </w:rPr>
        <w:t>INCOME AND OTHER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Uncertain Tax Benefits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As of September 30, 2023</w:t>
      </w:r>
      <w:r>
        <w:rPr>
          <w:rFonts w:ascii="Times New Roman;sans-serif" w:hAnsi="Times New Roman;sans-serif"/>
          <w:b w:val="false"/>
          <w:color w:val="000000"/>
          <w:sz w:val="20"/>
          <w:shd w:fill="FFFFFF" w:val="clear"/>
        </w:rPr>
        <w:t>, we had gross unrecognized tax be</w:t>
      </w:r>
      <w:r>
        <w:rPr>
          <w:rFonts w:ascii="Times New Roman;sans-serif" w:hAnsi="Times New Roman;sans-serif"/>
          <w:b w:val="false"/>
          <w:color w:val="000000"/>
          <w:sz w:val="20"/>
        </w:rPr>
        <w:t>nefits of $2.4 (net unrecognized tax benefits of $2.4). All of these net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and penalties related to unrecognized tax benefits as a component of our income tax provision. As of September 30, 2023, gross accrued interest totaled $1.3 (net accrued interest of $1.2). As of September 30, 2023, we had no accrual for penalties included in our unrecognized tax benefits.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outcome of certain examinations or as a result of the expiration of statutes of limitations for certain jurisdictions, we believe that within the next 12 months it is reasonably possible that our previously unrecognized tax benefits could decrease by up to $1.0. The previously unrecognized tax benefits relate to a variety of tax matters including transfer pricing and various state matters.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Tax Matters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we recorded an income tax provision of $12.4 on $48.1 of pre-tax income from continuing operations, resulting in an effective rate of 25.8%. This compares to an income tax benefit for the three months ended October 1, 2022 of $2.5 on $10.0 of pre-tax income from continuing operations, resulting in an effective rate of (25.0)%. The most significant items impacting the income tax provision for the third quarter of 2023 are (i) $0.8 of foreign withholding tax, and (ii) $0.3 of excess tax benefits associated with stock-based compensation awards that vested and/or were exercised during the period. The most significant item impacting the income tax benefit for the third quarter of 2022 was a tax benefit of $4.2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recorded an income tax provision of $31.5 on $144.6 of pre-tax income from continuing operations, resulting in an effective rate of 21.8%. This compares to an income tax provision for the nine months ended October 1, 2022 of $4.5 on $49.1 of pre-tax income from continuing operations, resulting in an effective rate of 9.2%. The most significant items impacting the income tax provision during the first nine months of 2023 and 2022 were (i) $1.8 and $4.2, respectively, of tax benefit related to the release of valuation allowances recognized against certain deferred tax assets as we now expect these deferred tax assets to be realized, (ii) $1.7 and $0.7, respectively, of excess tax benefits associated with stock-based compensation awards that vested and/or were exercised during the period, and (iii) $1.2 and $0.7, respectively, of tax benefits related to revisions to liabilities for uncertain tax positions.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have various foreign income tax returns under examination. We believe that any uncertain tax positions related to these examinations have been adequately provided for.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resolution of one or more of the above matters could have a material impact on our financial position,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ans-serif" w:hAnsi="Times New Roman;sans-serif"/>
          <w:b w:val="false"/>
          <w:color w:val="000000"/>
          <w:sz w:val="20"/>
          <w:shd w:fill="FFFFFF" w:val="clear"/>
        </w:rPr>
        <w:t>ented.</w:t>
      </w:r>
    </w:p>
    <w:p>
      <w:pPr>
        <w:pStyle w:val="TextBody"/>
        <w:bidi w:val="0"/>
        <w:spacing w:lineRule="auto" w:line="288" w:before="0" w:after="20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Methods Used to Measure Fair Value on a Non-Recurring Basis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 xml:space="preserve">Contingent Consideration for Sensors &amp; Software and Enterprise Control Systems </w:t>
      </w:r>
      <w:r>
        <w:rPr>
          <w:rFonts w:ascii="Times New Roman;sans-serif" w:hAnsi="Times New Roman;sans-serif"/>
          <w:b w:val="false"/>
          <w:i/>
          <w:color w:val="000000"/>
          <w:sz w:val="20"/>
        </w:rPr>
        <w:t xml:space="preserve">Acquisitions — </w:t>
      </w:r>
      <w:r>
        <w:rPr>
          <w:rFonts w:ascii="Times New Roman;sans-serif" w:hAnsi="Times New Roman;sans-serif"/>
          <w:b w:val="false"/>
          <w:color w:val="000000"/>
          <w:sz w:val="20"/>
        </w:rPr>
        <w:t>In connection with the acquisition of Sensors &amp; Software in 2020, the sellers were eligible for additional cash consideration of up to $3.7</w:t>
      </w:r>
      <w:r>
        <w:rPr>
          <w:rFonts w:ascii="Times New Roman;sans-serif" w:hAnsi="Times New Roman;sans-serif"/>
          <w:b w:val="false"/>
          <w:color w:val="000000"/>
          <w:sz w:val="20"/>
          <w:shd w:fill="FFFFFF" w:val="clear"/>
        </w:rPr>
        <w:t xml:space="preserve">, with payment of such contingent consideration dependent upon the achievement of certain milestones. Such contingent consideration totaled $1.3, and was paid during the quarter ended April 2, 2022.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In connection with the acquisition of Enterprise Control Systems Ltd. in 2021, the seller was eligible for additional cash consideration of up to $15.2</w:t>
      </w:r>
      <w:r>
        <w:rPr>
          <w:rFonts w:ascii="Times New Roman;sans-serif" w:hAnsi="Times New Roman;sans-serif"/>
          <w:b w:val="false"/>
          <w:color w:val="000000"/>
          <w:sz w:val="20"/>
          <w:shd w:fill="FFFFFF" w:val="clear"/>
        </w:rPr>
        <w:t xml:space="preserve">, with payment of such contingent consideration dependent upon </w:t>
      </w:r>
      <w:r>
        <w:rPr>
          <w:rFonts w:ascii="Times New Roman;sans-serif" w:hAnsi="Times New Roman;sans-serif"/>
          <w:b w:val="false"/>
          <w:color w:val="000000"/>
          <w:sz w:val="20"/>
        </w:rPr>
        <w:t>the achievement of certain milestones. During the first and second quarters of 2022, we concluded the probability of achieving the financial performance milestones had lessened due to a delay in the execution of certain large orders. Thus, during the quarters ended April 2, 2022 and July 2, 2022, we reduced the fair value/liability by $0.9 and $0.4, respectively, with such amounts recorded to “Other operating expense, net.” The estimated fair value of such contingent consideration was $0.0 at September 30, 2023 and December 31, 2022 as we determined no additional cash consideration was due to the seller.</w:t>
      </w:r>
    </w:p>
    <w:p>
      <w:pPr>
        <w:pStyle w:val="TextBody"/>
        <w:bidi w:val="0"/>
        <w:spacing w:lineRule="auto" w:line="288" w:before="160" w:after="160"/>
        <w:ind w:left="0" w:right="0" w:firstLine="720"/>
        <w:jc w:val="both"/>
        <w:rPr/>
      </w:pPr>
      <w:r>
        <w:rPr>
          <w:rFonts w:ascii="Times New Roman;sans-serif" w:hAnsi="Times New Roman;sans-serif"/>
          <w:b w:val="false"/>
          <w:i/>
          <w:color w:val="000000"/>
          <w:sz w:val="20"/>
        </w:rPr>
        <w:t>Goodwill, Indefinite-Lived Intangible and Other Long-Lived Assets</w:t>
      </w:r>
      <w:r>
        <w:rPr>
          <w:color w:val="000000"/>
        </w:rPr>
        <w:t xml:space="preserve"> — </w:t>
      </w:r>
      <w:r>
        <w:rPr>
          <w:rFonts w:ascii="Times New Roman;sans-serif" w:hAnsi="Times New Roman;sans-serif"/>
          <w:b w:val="false"/>
          <w:color w:val="000000"/>
          <w:sz w:val="20"/>
        </w:rPr>
        <w:t xml:space="preserve">Certain of our non-financial assets are subject to impairment analysis,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asset impairment would result in the asset being recorded at its fair value.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Valuation Methods Used to Measure Fair Value on a Recurring Basis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Derivative Financial Instruments —</w:t>
      </w:r>
      <w:r>
        <w:rPr>
          <w:color w:val="000000"/>
        </w:rPr>
        <w:t xml:space="preserve"> </w:t>
      </w:r>
      <w:r>
        <w:rPr>
          <w:rFonts w:ascii="Times New Roman;sans-serif" w:hAnsi="Times New Roman;sans-serif"/>
          <w:b w:val="false"/>
          <w:color w:val="000000"/>
          <w:sz w:val="20"/>
        </w:rPr>
        <w:t>Our financial derivative assets and liabilities include interest rate swaps and FX forward contracts, valued using valuation models based on observable market inputs such as forward rates, inte</w:t>
      </w:r>
      <w:r>
        <w:rPr>
          <w:rFonts w:ascii="Times New Roman;sans-serif" w:hAnsi="Times New Roman;sans-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Equity Security</w:t>
      </w:r>
      <w:r>
        <w:rPr>
          <w:color w:val="000000"/>
          <w:shd w:fill="FFFFFF" w:val="clear"/>
        </w:rPr>
        <w:t xml:space="preserve"> — </w:t>
      </w:r>
      <w:r>
        <w:rPr>
          <w:rFonts w:ascii="Times New Roman;sans-serif" w:hAnsi="Times New Roman;sans-serif"/>
          <w:b w:val="false"/>
          <w:color w:val="000000"/>
          <w:sz w:val="20"/>
          <w:shd w:fill="FFFFFF" w:val="clear"/>
        </w:rPr>
        <w:t>We estimate the fair value of an equity security that we hold utilizing a practical expedient under existing guidance, with such estimated fair value based on our ownership percentage applied to the net asset value as provided quarterly by the investee. The value is updated annually, during the first quarter, based on the investee</w:t>
      </w:r>
      <w:r>
        <w:rPr>
          <w:color w:val="000000"/>
        </w:rPr>
        <w:t>’</w:t>
      </w:r>
      <w:r>
        <w:rPr>
          <w:rFonts w:ascii="Times New Roman;sans-serif" w:hAnsi="Times New Roman;sans-serif"/>
          <w:b w:val="false"/>
          <w:color w:val="000000"/>
          <w:sz w:val="20"/>
        </w:rPr>
        <w:t xml:space="preserve">s most recent audited financial statements. </w:t>
      </w:r>
      <w:r>
        <w:rPr>
          <w:rFonts w:ascii="Times New Roman;sans-serif" w:hAnsi="Times New Roman;sans-serif"/>
          <w:b w:val="false"/>
          <w:color w:val="000000"/>
          <w:sz w:val="20"/>
          <w:shd w:fill="FFFFFF" w:val="clear"/>
        </w:rPr>
        <w:t xml:space="preserve">During the three and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October 1, 2022</w:t>
      </w:r>
      <w:r>
        <w:rPr>
          <w:rFonts w:ascii="Times New Roman;sans-serif" w:hAnsi="Times New Roman;sans-serif"/>
          <w:b w:val="false"/>
          <w:color w:val="000000"/>
          <w:sz w:val="20"/>
          <w:shd w:fill="FFFFFF" w:val="clear"/>
        </w:rPr>
        <w:t>, we re</w:t>
      </w:r>
      <w:r>
        <w:rPr>
          <w:rFonts w:ascii="Times New Roman;sans-serif" w:hAnsi="Times New Roman;sans-serif"/>
          <w:b w:val="false"/>
          <w:color w:val="000000"/>
          <w:sz w:val="20"/>
        </w:rPr>
        <w:t xml:space="preserve">corded gains (losses) of $0.0 and $(7.4), respectively, and $3.6 and $(3.0), respectively, to “Other income (expense), net” to reflect the change in the estimated fair value of the equity security. As of September 30, 2023 and December 31, 2022, the equity security had an estimated fair value of $39.4 and $35.8,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Indebtedness and Other</w:t>
      </w:r>
      <w:r>
        <w:rPr>
          <w:color w:val="000000"/>
        </w:rPr>
        <w:t xml:space="preserve"> — </w:t>
      </w:r>
      <w:r>
        <w:rPr>
          <w:rFonts w:ascii="Times New Roman;sans-serif" w:hAnsi="Times New Roman;sans-serif"/>
          <w:b w:val="false"/>
          <w:color w:val="000000"/>
          <w:sz w:val="20"/>
        </w:rPr>
        <w:t>The estimated fair value of our debt instruments as of September 30, 2023 and December 31, 2022 approximated the related carrying values due primarily to the variable market-based interest rates for such instruments. Se</w:t>
      </w:r>
      <w:r>
        <w:rPr>
          <w:rFonts w:ascii="Times New Roman;sans-serif" w:hAnsi="Times New Roman;sans-serif"/>
          <w:b w:val="false"/>
          <w:color w:val="000000"/>
          <w:sz w:val="20"/>
          <w:shd w:fill="FFFFFF" w:val="clear"/>
        </w:rPr>
        <w:t>e Note 12 f</w:t>
      </w:r>
      <w:r>
        <w:rPr>
          <w:rFonts w:ascii="Times New Roman;sans-serif" w:hAnsi="Times New Roman;sans-serif"/>
          <w:b w:val="false"/>
          <w:color w:val="000000"/>
          <w:sz w:val="20"/>
        </w:rPr>
        <w:t>or further details.</w:t>
      </w:r>
    </w:p>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 Management’s Discussion and Analysis of Financial Condition and Results of Operations</w:t>
      </w:r>
      <w:r>
        <w:rPr>
          <w:color w:val="000000"/>
        </w:rPr>
        <w:t xml:space="preserve"> </w:t>
      </w:r>
      <w:r>
        <w:rPr>
          <w:rFonts w:ascii="Times New Roman;sans-serif" w:hAnsi="Times New Roman;sans-serif"/>
          <w:b/>
          <w:color w:val="000000"/>
          <w:sz w:val="20"/>
        </w:rPr>
        <w:t>(in millions,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forward-looking statements are qualified in their entirety by reference to the factors discussed under the heading “Risk Factors” in our 2022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SUPPLY CHAIN DISRUPTIONS, LABOR SHORTAGES, AND COST INCREASES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impact of the COVID-19 pandemic on our operating results throughout 2023 was minimal. </w:t>
      </w:r>
      <w:r>
        <w:rPr>
          <w:rFonts w:ascii="Times New Roman;sans-serif" w:hAnsi="Times New Roman;sans-serif"/>
          <w:b w:val="false"/>
          <w:color w:val="000000"/>
          <w:sz w:val="20"/>
        </w:rPr>
        <w:t xml:space="preserve">However, during January 2022, there was an increase in pandemic cases at certain of our manufacturing facilities, which resulted in a high-level of absenteeism at such facilities during the month. In addition, certain of our businesses experienced supply chain disruptions, as well as labor shortages, while all of our businesses experienced increases in raw material, component, and transportation costs. The combination of these matters negatively impacted our operating results during the first quarter of 2022, as we experienced lower absorption of manufacturing costs and, in some cases, the negative impact of cost increases on fixed-price customer contracts. </w:t>
      </w:r>
      <w:r>
        <w:rPr>
          <w:rFonts w:ascii="Times New Roman;sans-serif" w:hAnsi="Times New Roman;sans-serif"/>
          <w:b w:val="false"/>
          <w:color w:val="000000"/>
          <w:sz w:val="20"/>
          <w:shd w:fill="FFFFFF" w:val="clear"/>
        </w:rPr>
        <w:t>During 2023, we experienced more stable labor and supply chain environments and continue to actively manage these matters.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Russia/Ukraine conflict, and governmental actions implemented in response to the conflict, did not have a significant adverse impact on our operating results during the three and nine months ended September 30, 2023 and October 2, 2022. We are monitoring the availability of certain raw materials that are supplied by businesses in these countries. However, at this time, we do not expect the potential impact to be material to our operating results. The Russia/Ukraine conflict has created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demand for certain products within our communication technologies business. Any longer-term impact of these global events on our business, as well as impacts from the armed conflict involving Israel and Hamas,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MATTERS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International Tower Lighting, LLC (“ITL”)</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Acquired on March 31, 2022 for cash consideration of $40.4, net of (i) cash acquired of $1.1 and (ii) an adjustment to the purchase price received during the third quarter of 2022 related to acquired working capital of $1.4.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ITL are included within our Detection and Measurement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 A. Morrison &amp; Co. Inc. (“TAMCO”)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Acquired on April 3, 2023 </w:t>
      </w:r>
      <w:r>
        <w:rPr>
          <w:rFonts w:ascii="Times New Roman;sans-serif" w:hAnsi="Times New Roman;sans-serif"/>
          <w:b w:val="false"/>
          <w:color w:val="000000"/>
          <w:sz w:val="20"/>
          <w:shd w:fill="FFFFFF" w:val="clear"/>
        </w:rPr>
        <w:t xml:space="preserve">for cash consideration of $125.5, inclusive of an adjustment to the purchase price of $0.2 paid during the third quarter of 2023 related to acquired working capital and net of cash acquired of </w:t>
      </w:r>
      <w:r>
        <w:rPr>
          <w:rFonts w:ascii="Times New Roman;sans-serif" w:hAnsi="Times New Roman;sans-serif"/>
          <w:b w:val="false"/>
          <w:color w:val="000000"/>
          <w:sz w:val="20"/>
        </w:rPr>
        <w:t>$1.0.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TAMCO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ASPEQ Heating Group (“ASPEQ”)</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Acquired on June 2, 2023 for cash consideration of $421.8, net of cash acquired of $0.9.</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The purchase price is subject to adjustment based upon the final settlement of working capital and cash as of the date of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ASPEQ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Disposition of SPX Transformer Solutions, Inc. (“Transformer Solutions”)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October 1, 2021, we completed the sale of Transformer Solutions, which is included in discontinued operations for all periods presented.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During the first quarter of 2022, we paid $13.9 to the buyer of Transformer Solutions related primarily to the settlement of the final working capital balances of the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Asbestos-Related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On November 1, 2022, we completed the divestiture of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wholly-owned subsidiaries that hold asbestos liabilities and certain assets, including related insurance assets (the “Asbestos Portfolio Sale”). As a result of this transaction, the Company divested all obligations with respect to pending and future asbestos claims relating to these subsidiaries.</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During the nine months ended October 1, 2022, our payments for asbestos-related claims, net of respective insurance recoveries of $27.7, were $20.2.</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During the third quarter of 2022, we received a ruling from a North Carolina trial court that certain excess insurance carriers associated with our asbestos product liability matters are not required to cover the costs of defending suits that are dismissed without an indemnity payment.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During the three and nine months ended October 1, 2022, we recorded charges for asbestos-related matters of $21.7 and $24.0, respectively, with $16.5 and $18.8, respectively, recorded to continuing operations and the remainder to discontinued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See Notes 1 and 15 to our condensed consolidated financial statements for additional details.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Transfer of Postretirement Life Insurance Benefit Obligation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February 17, 2022, we transferred our obligation for life insurance benefits under our postretirement benefit plans to an insurance carrier for total cash consideration of $10.0.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paid $9.0 at the time of the transfer and an additional $1.0 during the second quarter of 2022.</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 connection with the transfer, we recorded a net charge of $0.3 within our first quarter 2022 results.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See Note 11 to our condensed consolidated financial statements for additional details.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Settlement and Actuarial Losses - U.S. Pension Plan (“U.S.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 connection with the sale of Transformer Solutions, a significant number of participants of the U.S. Plan who were employees of Transformer Solutions elected to receive lump-sum payments from the U.S.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extent of these lump-sum payments, combined with other lump-sum payments that were made by the U.S. Plan during the first nine months of 2022, required us to record settlement and actuarial losses of $2.4 and $6.2 during the three and nine months ended October 1, 2022, respectively.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See Note 11 to our condensed consolidated financial statements for additional details.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Repurchases of Common Stock — During the second quarter of 2022, we repurchased 0.7 shares of our common stock for $33.7.</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Estimated Fair Value of an Equity Security</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We recorded gains (losses) during the three and nine months ended September 30, 2023 and October 1, 2022 of $0.0 and $(7.4), respectively, and $3.6 and $(3.0), respectively.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See Note 17 to our condensed consolidated financial statements for additional details.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Incremental Term Loan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April 21, 2023, we amended and restated our senior credit agreement (the “Credit Agreement”).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amendment provided for an additional senior secured term loan in the aggregate amount of $300.0, which was borrowed during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funds from the additional term loan (“Incremental Term Loan”) were used to partially fund the acquisition of ASPEQ.</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12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Resolution of Claims with Prime Contractor of South Africa Power Projects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On September 5, 2023, SPX Technologies and our DBT Technologies (PTY) LTD (“DBT”) business entered into an agreement with MHI to affect the negotiated resolution of all claims between the parties with respect to DBT’s involvement in two large power projects in South Africa - Kusile and Medupi (the “Settlement Agreement”).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 connection with the Settlement Agreement, the Company incurred a charge, net of tax, of $54.2 during the three months ended September 30, 2023. The charge included the write-off of $15.2 in net amounts due from MHI. Such charge is included in “Loss from discontinued operations, net of tax” for the three and nine months ended September 30, 2023. In addition, DBT made payments of $25.3 to MHI during the three and nine months ended September 30, 2023 in connection with the Settlement Agreement.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See Notes 3 and 15 to our condensed consolidated financial statements for additional details.</w:t>
      </w:r>
    </w:p>
    <w:p>
      <w:pPr>
        <w:pStyle w:val="TextBody"/>
        <w:bidi w:val="0"/>
        <w:spacing w:before="0" w:after="0"/>
        <w:jc w:val="both"/>
        <w:rPr/>
      </w:pPr>
      <w:r>
        <w:rPr/>
      </w:r>
    </w:p>
    <w:p>
      <w:pPr>
        <w:pStyle w:val="TextBody"/>
        <w:bidi w:val="0"/>
        <w:spacing w:lineRule="auto" w:line="312"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 OF OPERATING RESULTS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Revenues for the three and nine months ended September 30, 2023 totaled $448.7 and $1,271.8, respectively, compared to $370.5 and $1,031.6 during the respective periods in 2022. Th</w:t>
      </w:r>
      <w:r>
        <w:rPr>
          <w:rFonts w:ascii="Times New Roman;sans-serif" w:hAnsi="Times New Roman;sans-serif"/>
          <w:b w:val="false"/>
          <w:color w:val="000000"/>
          <w:sz w:val="20"/>
          <w:shd w:fill="FFFFFF" w:val="clear"/>
        </w:rPr>
        <w:t>e increase in</w:t>
      </w:r>
      <w:r>
        <w:rPr>
          <w:color w:val="000000"/>
        </w:rPr>
        <w:t xml:space="preserve"> </w:t>
      </w:r>
      <w:r>
        <w:rPr>
          <w:rFonts w:ascii="Times New Roman;sans-serif" w:hAnsi="Times New Roman;sans-serif"/>
          <w:b w:val="false"/>
          <w:color w:val="000000"/>
          <w:sz w:val="20"/>
        </w:rPr>
        <w:t xml:space="preserve">revenues during the three and nine months ended September 30, 2023, compared to the respective prior-year periods, was due primarily to the impact </w:t>
      </w:r>
      <w:r>
        <w:rPr>
          <w:rFonts w:ascii="Times New Roman;sans-serif" w:hAnsi="Times New Roman;sans-serif"/>
          <w:b w:val="false"/>
          <w:color w:val="000000"/>
          <w:sz w:val="20"/>
          <w:shd w:fill="FFFFFF" w:val="clear"/>
        </w:rPr>
        <w:t xml:space="preserve">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volume and price increases. Organic revenue growth within the Detection and Measurement reportable segment was due primarily to higher volumes of large projects within the communication technologies, transportation and aids to navigation businesses.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During the three and nine months ended September 30, 2023, we generated operating income of $57.7 and $158.8, respectively, compared to $37.3 and $75.9 for the respective periods in 2022. The </w:t>
      </w:r>
      <w:r>
        <w:rPr>
          <w:rFonts w:ascii="Times New Roman;sans-serif" w:hAnsi="Times New Roman;sans-serif"/>
          <w:b w:val="false"/>
          <w:color w:val="000000"/>
          <w:sz w:val="20"/>
          <w:shd w:fill="FFFFFF" w:val="clear"/>
        </w:rPr>
        <w:t>increase in operating income during the three and nine months ended September 30, 2023, compared to the respective periods in 2022, was due primarily to (i) higher income for both our HVAC and Detection and Measurement reportable segments and (ii) lower corporate expense primarily related to higher costs incurred on strategic and transformational initiatives executed during 2022, as well as expenses incurred in connection with asbestos-related matters during 2022, prior to the Asbestos Portfolio Sale. These increases in operating income were partially offset by increases in (i) intangible asset amortization, (ii) employee compensation, including increases in short-term incentive compensation expense, and (iii) acquisition-related and other integration costs, resulting from the acquisitions of TAMCO and ASPEQ. The increase in income for our HVAC reportable segment was primarily due to the organic revenue growth mentioned above and greater absorption of manufacturing costs resulting from higher volumes and more stable labor and supply chain environments, as well as the income associated with the TAMCO and ASPEQ acquisitions. The increase in income for our Detection and Measurement reportable segment was due primarily to the organic revenue growth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Cash flows</w:t>
      </w:r>
      <w:r>
        <w:rPr>
          <w:color w:val="000000"/>
          <w:shd w:fill="FFFFFF" w:val="clear"/>
        </w:rPr>
        <w:t xml:space="preserve"> </w:t>
      </w:r>
      <w:r>
        <w:rPr>
          <w:rFonts w:ascii="Times New Roman;sans-serif" w:hAnsi="Times New Roman;sans-serif"/>
          <w:b w:val="false"/>
          <w:color w:val="000000"/>
          <w:sz w:val="20"/>
          <w:shd w:fill="FFFFFF" w:val="clear"/>
        </w:rPr>
        <w:t>from operating activities associated with continuing operations totaled $120.0 for the nine months ended September 30, 2023, compared to cash flows used in operating activities of $89.4 during the nine months ended October 1, 2022. The increase in c</w:t>
      </w:r>
      <w:r>
        <w:rPr>
          <w:rFonts w:ascii="Times New Roman;sans-serif" w:hAnsi="Times New Roman;sans-serif"/>
          <w:b w:val="false"/>
          <w:color w:val="000000"/>
          <w:sz w:val="20"/>
        </w:rPr>
        <w:t xml:space="preserve">ash flows from operating activities was due </w:t>
      </w:r>
      <w:r>
        <w:rPr>
          <w:rFonts w:ascii="Times New Roman;sans-serif" w:hAnsi="Times New Roman;sans-serif"/>
          <w:b w:val="false"/>
          <w:color w:val="000000"/>
          <w:sz w:val="20"/>
          <w:shd w:fill="FFFFFF" w:val="clear"/>
        </w:rPr>
        <w:t>primar</w:t>
      </w:r>
      <w:r>
        <w:rPr>
          <w:rFonts w:ascii="Times New Roman;sans-serif" w:hAnsi="Times New Roman;sans-serif"/>
          <w:b w:val="false"/>
          <w:color w:val="000000"/>
          <w:sz w:val="20"/>
        </w:rPr>
        <w:t>ily to</w:t>
      </w:r>
      <w:r>
        <w:rPr>
          <w:color w:val="000000"/>
          <w:shd w:fill="FFFFFF" w:val="clear"/>
        </w:rPr>
        <w:t xml:space="preserve"> </w:t>
      </w:r>
      <w:r>
        <w:rPr>
          <w:rFonts w:ascii="Times New Roman;sans-serif" w:hAnsi="Times New Roman;sans-serif"/>
          <w:b w:val="false"/>
          <w:color w:val="000000"/>
          <w:sz w:val="20"/>
          <w:shd w:fill="FFFFFF" w:val="clear"/>
        </w:rPr>
        <w:t xml:space="preserve">(i) the increase in income during the period discussed above, (ii) a reduction in the level of elevated purchases of raw materials and components during 2023, primarily within our HVAC reportable segment, due to a more stable supply chain environment, (iii) working capital improvements at certain of our project-related businesses, as cash flows for these businesses are often subject to contract milestones that can impact the timing of cash flows from period to period, (iv) net payments for asbestos-related matters made prior to the Asbestos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Portfolio Sale in 2022, of $15.5, (v) income tax payments of $42.2 during 2023 compared to income tax payments of $55.7 during 2022, with a significant portion of the 2022 payments related to the gain on sale of Transformer Solutions, and (vi) a cash payment of $10.0 during the first half of 2022 in connection with the transfer of our postretirement life insurance benefit obligation to an insurance carrier (see Note 11 to our condensed consolidated financial statements for additional details).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information included in this Quarterly Report on Form 10-Q should be read in conjunction with the consolidated financial statements contained in our 2022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 It is not practicable to estimate the impact of the one less day on our consolidated operating results for the nine months ended September 30, 2023, when compared to the consolidated operating results for the respective 2022 period.</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Cyclicality of End Markets, Seasonality and Competition </w:t>
      </w:r>
      <w:r>
        <w:rPr>
          <w:color w:val="000000"/>
        </w:rPr>
        <w:t xml:space="preserve">— </w:t>
      </w:r>
      <w:r>
        <w:rPr>
          <w:rFonts w:ascii="Times New Roman;sans-serif" w:hAnsi="Times New Roman;sans-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Non-GAAP Measures</w:t>
      </w:r>
      <w:r>
        <w:rPr>
          <w:color w:val="000000"/>
        </w:rPr>
        <w:t xml:space="preserve"> — </w:t>
      </w:r>
      <w:r>
        <w:rPr>
          <w:rFonts w:ascii="Times New Roman;sans-serif" w:hAnsi="Times New Roman;sans-serif"/>
          <w:b w:val="false"/>
          <w:color w:val="000000"/>
          <w:sz w:val="20"/>
        </w:rPr>
        <w:t>Organic revenue growth (decline) presented herein is defined as revenue growth (decline) excluding the effects of foreign 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 for the three and nine months ended September 30, 2023 and October 1, 2022, including the reconciliation of organic revenue increase to the net revenue increase:</w:t>
      </w:r>
    </w:p>
    <w:tbl>
      <w:tblPr>
        <w:tblW w:w="10205" w:type="dxa"/>
        <w:jc w:val="left"/>
        <w:tblInd w:w="0" w:type="dxa"/>
        <w:tblLayout w:type="fixed"/>
        <w:tblCellMar>
          <w:top w:w="28" w:type="dxa"/>
          <w:left w:w="28" w:type="dxa"/>
          <w:bottom w:w="28" w:type="dxa"/>
          <w:right w:w="28" w:type="dxa"/>
        </w:tblCellMar>
      </w:tblPr>
      <w:tblGrid>
        <w:gridCol w:w="878"/>
        <w:gridCol w:w="772"/>
        <w:gridCol w:w="756"/>
        <w:gridCol w:w="206"/>
        <w:gridCol w:w="586"/>
        <w:gridCol w:w="269"/>
        <w:gridCol w:w="109"/>
        <w:gridCol w:w="109"/>
        <w:gridCol w:w="109"/>
        <w:gridCol w:w="196"/>
        <w:gridCol w:w="556"/>
        <w:gridCol w:w="256"/>
        <w:gridCol w:w="109"/>
        <w:gridCol w:w="109"/>
        <w:gridCol w:w="109"/>
        <w:gridCol w:w="290"/>
        <w:gridCol w:w="290"/>
        <w:gridCol w:w="291"/>
        <w:gridCol w:w="109"/>
        <w:gridCol w:w="109"/>
        <w:gridCol w:w="109"/>
        <w:gridCol w:w="196"/>
        <w:gridCol w:w="691"/>
        <w:gridCol w:w="256"/>
        <w:gridCol w:w="109"/>
        <w:gridCol w:w="109"/>
        <w:gridCol w:w="109"/>
        <w:gridCol w:w="196"/>
        <w:gridCol w:w="691"/>
        <w:gridCol w:w="256"/>
        <w:gridCol w:w="109"/>
        <w:gridCol w:w="109"/>
        <w:gridCol w:w="109"/>
        <w:gridCol w:w="278"/>
        <w:gridCol w:w="278"/>
        <w:gridCol w:w="382"/>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amendment/refinancing of senior credit agreement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Not meaningful for comparison purposes.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 </w:t>
      </w:r>
      <w:r>
        <w:rPr>
          <w:rFonts w:ascii="Times New Roman;sans-serif" w:hAnsi="Times New Roman;sans-serif"/>
          <w:b w:val="false"/>
          <w:color w:val="000000"/>
          <w:sz w:val="20"/>
        </w:rPr>
        <w:t>For the three and nine months ended September 30, 2023, the</w:t>
      </w:r>
      <w:r>
        <w:rPr>
          <w:color w:val="000000"/>
          <w:shd w:fill="FFFFFF" w:val="clear"/>
        </w:rPr>
        <w:t xml:space="preserve"> </w:t>
      </w:r>
      <w:r>
        <w:rPr>
          <w:rFonts w:ascii="Times New Roman;sans-serif" w:hAnsi="Times New Roman;sans-serif"/>
          <w:b w:val="false"/>
          <w:color w:val="000000"/>
          <w:sz w:val="20"/>
          <w:shd w:fill="FFFFFF" w:val="clear"/>
        </w:rPr>
        <w:t xml:space="preserve">increase in revenues, compared to the respective periods in 2022, was due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price and volume increases. Organic revenue growth within the Detection and Measurement reportable segment was due primarily to higher volumes of large projects within the communication technologies, transportation and aids to navigation businesses.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Gross Profit</w:t>
      </w:r>
      <w:r>
        <w:rPr>
          <w:color w:val="000000"/>
          <w:shd w:fill="FFFFFF" w:val="clear"/>
        </w:rPr>
        <w:t xml:space="preserve"> — </w:t>
      </w:r>
      <w:r>
        <w:rPr>
          <w:rFonts w:ascii="Times New Roman;sans-serif" w:hAnsi="Times New Roman;sans-serif"/>
          <w:b w:val="false"/>
          <w:color w:val="000000"/>
          <w:sz w:val="20"/>
        </w:rPr>
        <w:t>For the three and nine months ended September 30, 2023, the</w:t>
      </w:r>
      <w:r>
        <w:rPr>
          <w:color w:val="000000"/>
          <w:shd w:fill="FFFFFF" w:val="clear"/>
        </w:rPr>
        <w:t xml:space="preserve"> </w:t>
      </w:r>
      <w:r>
        <w:rPr>
          <w:rFonts w:ascii="Times New Roman;sans-serif" w:hAnsi="Times New Roman;sans-serif"/>
          <w:b w:val="false"/>
          <w:color w:val="000000"/>
          <w:sz w:val="20"/>
          <w:shd w:fill="FFFFFF" w:val="clear"/>
        </w:rPr>
        <w:t>increase in gross profit and gross profit as a percentage of revenues, compared to the respective periods in 2022, was due primarily to the increase in revenues noted above and greater absorption of manufacturing costs as a result of higher volumes. The higher volumes were aided by improved operational execution resulting from investments in plant automation and more stable labor and supply chain environments, particularly within our HVAC reportable segment. The resulting favorable impact on gross profit as a percentage of revenue was partially offset by less favorable sales mix within our Detection and Measurement reportable segment.</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shd w:fill="FFFFFF" w:val="clear"/>
        </w:rPr>
        <w:t>Selling, General and Administrative (“SG&amp;A”) Expense</w:t>
      </w:r>
      <w:r>
        <w:rPr>
          <w:color w:val="000000"/>
          <w:shd w:fill="FFFFFF" w:val="clear"/>
        </w:rPr>
        <w:t xml:space="preserve"> — </w:t>
      </w:r>
      <w:r>
        <w:rPr>
          <w:rFonts w:ascii="Times New Roman;sans-serif" w:hAnsi="Times New Roman;sans-serif"/>
          <w:b w:val="false"/>
          <w:color w:val="000000"/>
          <w:sz w:val="20"/>
          <w:shd w:fill="FFFFFF" w:val="clear"/>
        </w:rPr>
        <w:t>For the three and nine months ended September 30, 2023, the increase in SG&amp;A expense, compared to the respective periods in 2022, was due primarily to (i) increases in sales incentive plan expense driven by the higher revenues mentioned above, (ii) higher employee compensation, inclusive of increases in short-term incentive compensation expense, (iii) acquisition-related costs and SG&amp;A expenses associated with the TAMCO and ASPEQ acquisitions, and (iv) higher travel expense. These increases were partially offset during the three and nine months ended September 30, 2023, compared to the respective periods in 2022, by (i) lower costs related to various strategic and transformational initiatives during 2023 and (ii) expenses in connection with asbestos-related matters incurred during 2022 prior to the Asbestos Portfolio Sale.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Intangible Amortiz</w:t>
      </w:r>
      <w:r>
        <w:rPr>
          <w:rFonts w:ascii="Times New Roman;sans-serif" w:hAnsi="Times New Roman;sans-serif"/>
          <w:b w:val="false"/>
          <w:i/>
          <w:color w:val="000000"/>
          <w:sz w:val="20"/>
          <w:u w:val="single"/>
          <w:shd w:fill="FFFFFF" w:val="clear"/>
        </w:rPr>
        <w:t>ation</w:t>
      </w:r>
      <w:r>
        <w:rPr>
          <w:color w:val="000000"/>
          <w:shd w:fill="FFFFFF" w:val="clear"/>
        </w:rPr>
        <w:t xml:space="preserve"> — </w:t>
      </w:r>
      <w:r>
        <w:rPr>
          <w:rFonts w:ascii="Times New Roman;sans-serif" w:hAnsi="Times New Roman;sans-serif"/>
          <w:b w:val="false"/>
          <w:color w:val="000000"/>
          <w:sz w:val="20"/>
          <w:shd w:fill="FFFFFF" w:val="clear"/>
        </w:rPr>
        <w:t>For the three and nine months ended September 30, 2023, the increase i</w:t>
      </w:r>
      <w:r>
        <w:rPr>
          <w:rFonts w:ascii="Times New Roman;sans-serif" w:hAnsi="Times New Roman;sans-serif"/>
          <w:b w:val="false"/>
          <w:color w:val="000000"/>
          <w:sz w:val="20"/>
        </w:rPr>
        <w:t>n i</w:t>
      </w:r>
      <w:r>
        <w:rPr>
          <w:rFonts w:ascii="Times New Roman;sans-serif" w:hAnsi="Times New Roman;sans-serif"/>
          <w:b w:val="false"/>
          <w:color w:val="000000"/>
          <w:sz w:val="20"/>
          <w:shd w:fill="FFFFFF" w:val="clear"/>
        </w:rPr>
        <w:t xml:space="preserve">ntangible amortization, compared to the respective periods in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was primarily due to incremental intangible amortization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backlog and other intangible assets associated with the TAMCO and ASPEQ acquisitions. In addition,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included nine months of intangible amortization related to the ITL acquisition, compared to six months in the 2022 period.</w:t>
      </w:r>
    </w:p>
    <w:p>
      <w:pPr>
        <w:pStyle w:val="TextBody"/>
        <w:bidi w:val="0"/>
        <w:spacing w:before="0" w:after="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Special Charges, net</w:t>
      </w:r>
      <w:r>
        <w:rPr>
          <w:color w:val="000000"/>
        </w:rPr>
        <w:t xml:space="preserve"> — </w:t>
      </w:r>
      <w:r>
        <w:rPr>
          <w:rFonts w:ascii="Times New Roman;sans-serif" w:hAnsi="Times New Roman;sans-serif"/>
          <w:b w:val="false"/>
          <w:color w:val="000000"/>
          <w:sz w:val="20"/>
        </w:rPr>
        <w:t xml:space="preserve">Special charges, net, for the nine months ended October 1, 2022 </w:t>
      </w:r>
      <w:r>
        <w:rPr>
          <w:rFonts w:ascii="Times New Roman;sans-serif" w:hAnsi="Times New Roman;sans-serif"/>
          <w:b w:val="false"/>
          <w:color w:val="000000"/>
          <w:sz w:val="20"/>
          <w:shd w:fill="FFFFFF" w:val="clear"/>
        </w:rPr>
        <w:t>related primarily to severance costs associated with a restructuring action at one of our HVAC reportable segment</w:t>
      </w:r>
      <w:r>
        <w:rPr>
          <w:color w:val="000000"/>
        </w:rPr>
        <w:t>’</w:t>
      </w:r>
      <w:r>
        <w:rPr>
          <w:rFonts w:ascii="Times New Roman;sans-serif" w:hAnsi="Times New Roman;sans-serif"/>
          <w:b w:val="false"/>
          <w:color w:val="000000"/>
          <w:sz w:val="20"/>
        </w:rPr>
        <w:t>s cooling businesses. See Note 7 to our condensed consolidated financial statements for the details of actions taken in the first nine months of 2022.</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Other Operating Expense, net</w:t>
      </w:r>
      <w:r>
        <w:rPr>
          <w:color w:val="000000"/>
          <w:shd w:fill="FFFFFF" w:val="clear"/>
        </w:rPr>
        <w:t xml:space="preserve"> — </w:t>
      </w:r>
      <w:r>
        <w:rPr>
          <w:rFonts w:ascii="Times New Roman;sans-serif" w:hAnsi="Times New Roman;sans-serif"/>
          <w:b w:val="false"/>
          <w:color w:val="000000"/>
          <w:sz w:val="20"/>
          <w:shd w:fill="FFFFFF" w:val="clear"/>
        </w:rPr>
        <w:t>Other operating expense, net, for the nine months ended October 1, 2022 related to asbestos-related charges of</w:t>
      </w:r>
      <w:r>
        <w:rPr>
          <w:color w:val="000000"/>
        </w:rPr>
        <w:t xml:space="preserve"> </w:t>
      </w:r>
      <w:r>
        <w:rPr>
          <w:rFonts w:ascii="Times New Roman;sans-serif" w:hAnsi="Times New Roman;sans-serif"/>
          <w:b w:val="false"/>
          <w:color w:val="000000"/>
          <w:sz w:val="20"/>
        </w:rPr>
        <w:t>$2.3</w:t>
      </w:r>
      <w:r>
        <w:rPr>
          <w:rFonts w:ascii="Times New Roman;sans-serif" w:hAnsi="Times New Roman;sans-serif"/>
          <w:b w:val="false"/>
          <w:color w:val="000000"/>
          <w:sz w:val="20"/>
          <w:shd w:fill="FFFFFF" w:val="clear"/>
        </w:rPr>
        <w:t>, partially offset by a reduction in the fair value/liability associated with the contingent consideration related to the Enterprise Control Systems Ltd acquisition of $1.3.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Other Income (Expense), net</w:t>
      </w:r>
      <w:r>
        <w:rPr>
          <w:color w:val="000000"/>
          <w:shd w:fill="FFFFFF" w:val="clear"/>
        </w:rPr>
        <w:t xml:space="preserve"> — </w:t>
      </w:r>
      <w:r>
        <w:rPr>
          <w:rFonts w:ascii="Times New Roman;sans-serif" w:hAnsi="Times New Roman;sans-serif"/>
          <w:b w:val="false"/>
          <w:color w:val="000000"/>
          <w:sz w:val="20"/>
          <w:shd w:fill="FFFFFF" w:val="clear"/>
        </w:rPr>
        <w:t>Other expense, net, for the three months ended September 30, 2023 was composed primarily of environmental remediation charges of $0.3 and pension and postretirement expense of $0.2, partially offset by foreign currency transaction gains of $0.3.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Other expense, net, for the three months ended October 1, 2022 was comprised primarily of (i) </w:t>
      </w:r>
      <w:r>
        <w:rPr>
          <w:rFonts w:ascii="Times New Roman;sans-serif" w:hAnsi="Times New Roman;sans-serif"/>
          <w:b w:val="false"/>
          <w:color w:val="000000"/>
          <w:sz w:val="20"/>
        </w:rPr>
        <w:t>$16.5</w:t>
      </w:r>
      <w:r>
        <w:rPr>
          <w:color w:val="000000"/>
          <w:shd w:fill="FFFFFF" w:val="clear"/>
        </w:rPr>
        <w:t xml:space="preserve"> </w:t>
      </w:r>
      <w:r>
        <w:rPr>
          <w:rFonts w:ascii="Times New Roman;sans-serif" w:hAnsi="Times New Roman;sans-serif"/>
          <w:b w:val="false"/>
          <w:color w:val="000000"/>
          <w:sz w:val="20"/>
          <w:shd w:fill="FFFFFF" w:val="clear"/>
        </w:rPr>
        <w:t xml:space="preserve">of asbestos-related charges, (ii) a loss of $7.4 related to changes in the estimated fair value of an equity security we hold, (iii) pension and postretirement expense of $2.0 (inclusive of settlement and actuarial losses of $2.4), and (iv) environmental remediation charges of $1.1, partially offset by income of </w:t>
      </w:r>
      <w:r>
        <w:rPr>
          <w:rFonts w:ascii="Times New Roman;sans-serif" w:hAnsi="Times New Roman;sans-serif"/>
          <w:b w:val="false"/>
          <w:color w:val="000000"/>
          <w:sz w:val="20"/>
        </w:rPr>
        <w:t>$1.3 derived</w:t>
      </w:r>
      <w:r>
        <w:rPr>
          <w:color w:val="000000"/>
          <w:shd w:fill="FFFFFF" w:val="clear"/>
        </w:rPr>
        <w:t xml:space="preserve"> </w:t>
      </w:r>
      <w:r>
        <w:rPr>
          <w:rFonts w:ascii="Times New Roman;sans-serif" w:hAnsi="Times New Roman;sans-serif"/>
          <w:b w:val="false"/>
          <w:color w:val="000000"/>
          <w:sz w:val="20"/>
          <w:shd w:fill="FFFFFF" w:val="clear"/>
        </w:rPr>
        <w:t xml:space="preserve">from company-owned life insurance policies and </w:t>
      </w:r>
      <w:r>
        <w:rPr>
          <w:rFonts w:ascii="Times New Roman;sans-serif" w:hAnsi="Times New Roman;sans-serif"/>
          <w:b w:val="false"/>
          <w:color w:val="000000"/>
          <w:sz w:val="20"/>
        </w:rPr>
        <w:t xml:space="preserve">$0.6 </w:t>
      </w:r>
      <w:r>
        <w:rPr>
          <w:rFonts w:ascii="Times New Roman;sans-serif" w:hAnsi="Times New Roman;sans-serif"/>
          <w:b w:val="false"/>
          <w:color w:val="000000"/>
          <w:sz w:val="20"/>
          <w:shd w:fill="FFFFFF" w:val="clear"/>
        </w:rPr>
        <w:t>associated with a transition services agreement.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for the nine months ended September 30, 2023 was composed primarily of a gain of (i) $3.6 related to a change in the estimated fair value of an equity security that we hold and (ii) $0.4 related to income derived from company-owned life insurance policies, partially offset by foreign currency transaction losses of $0.4, pension and postretirement expense of $0.6, and environmental remediation charges of $0.5.</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shd w:fill="FFFFFF" w:val="clear"/>
        </w:rPr>
        <w:t xml:space="preserve">Other expense, net, for the nine months ended October 1, 2022 was comprised primarily of </w:t>
      </w:r>
      <w:r>
        <w:rPr>
          <w:rFonts w:ascii="Times New Roman;sans-serif" w:hAnsi="Times New Roman;sans-serif"/>
          <w:b w:val="false"/>
          <w:color w:val="000000"/>
          <w:sz w:val="20"/>
        </w:rPr>
        <w:t>$16.5</w:t>
      </w:r>
      <w:r>
        <w:rPr>
          <w:color w:val="000000"/>
          <w:shd w:fill="FFFFFF" w:val="clear"/>
        </w:rPr>
        <w:t xml:space="preserve"> </w:t>
      </w:r>
      <w:r>
        <w:rPr>
          <w:rFonts w:ascii="Times New Roman;sans-serif" w:hAnsi="Times New Roman;sans-serif"/>
          <w:b w:val="false"/>
          <w:color w:val="000000"/>
          <w:sz w:val="20"/>
          <w:shd w:fill="FFFFFF" w:val="clear"/>
        </w:rPr>
        <w:t>of asbestos-related charges, a loss of $3.0 related to a change in the estimated fair value of an equity security that we hold, pension and postretirement expense (inclusive of actuarial and settlement losses of $6.2) of $3.9, and environmental remediation charges of $1.1, partially offset by income of</w:t>
      </w:r>
      <w:r>
        <w:rPr>
          <w:color w:val="000000"/>
        </w:rPr>
        <w:t xml:space="preserve"> </w:t>
      </w:r>
      <w:r>
        <w:rPr>
          <w:rFonts w:ascii="Times New Roman;sans-serif" w:hAnsi="Times New Roman;sans-serif"/>
          <w:b w:val="false"/>
          <w:color w:val="000000"/>
          <w:sz w:val="20"/>
        </w:rPr>
        <w:t>$2.0 d</w:t>
      </w:r>
      <w:r>
        <w:rPr>
          <w:rFonts w:ascii="Times New Roman;sans-serif" w:hAnsi="Times New Roman;sans-serif"/>
          <w:b w:val="false"/>
          <w:color w:val="000000"/>
          <w:sz w:val="20"/>
          <w:shd w:fill="FFFFFF" w:val="clear"/>
        </w:rPr>
        <w:t>erived from company-owned life insurance policies and</w:t>
      </w:r>
      <w:r>
        <w:rPr>
          <w:color w:val="000000"/>
        </w:rPr>
        <w:t xml:space="preserve"> </w:t>
      </w:r>
      <w:r>
        <w:rPr>
          <w:rFonts w:ascii="Times New Roman;sans-serif" w:hAnsi="Times New Roman;sans-serif"/>
          <w:b w:val="false"/>
          <w:color w:val="000000"/>
          <w:sz w:val="20"/>
        </w:rPr>
        <w:t xml:space="preserve">$2.4 </w:t>
      </w:r>
      <w:r>
        <w:rPr>
          <w:rFonts w:ascii="Times New Roman;sans-serif" w:hAnsi="Times New Roman;sans-serif"/>
          <w:b w:val="false"/>
          <w:color w:val="000000"/>
          <w:sz w:val="20"/>
          <w:shd w:fill="FFFFFF" w:val="clear"/>
        </w:rPr>
        <w:t>associated with a transition services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Interest Expense, net</w:t>
      </w:r>
      <w:r>
        <w:rPr>
          <w:color w:val="000000"/>
          <w:shd w:fill="FFFFFF" w:val="clear"/>
        </w:rPr>
        <w:t xml:space="preserve"> — </w:t>
      </w:r>
      <w:r>
        <w:rPr>
          <w:rFonts w:ascii="Times New Roman;sans-serif" w:hAnsi="Times New Roman;sans-serif"/>
          <w:b w:val="false"/>
          <w:color w:val="000000"/>
          <w:sz w:val="20"/>
          <w:shd w:fill="FFFFFF" w:val="clear"/>
        </w:rPr>
        <w:t>Interest expense, net, includes both interest e</w:t>
      </w:r>
      <w:r>
        <w:rPr>
          <w:rFonts w:ascii="Times New Roman;sans-serif" w:hAnsi="Times New Roman;sans-serif"/>
          <w:b w:val="false"/>
          <w:color w:val="000000"/>
          <w:sz w:val="20"/>
        </w:rPr>
        <w:t xml:space="preserve">xpense and interest income. The increase in interest expense, net, during the three and nine months ended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compared to the respective periods in 2022, was the result of higher average debt balances and a higher average effective interest rate during the 2023 periods, with the higher average debt balances primarily resulting from borrowings in connection with the TAMCO and ASPEQ acquisitions.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rPr>
        <w:t>Loss on Amendment/Refinancing of Senior Credit Agreement</w:t>
      </w:r>
      <w:r>
        <w:rPr>
          <w:color w:val="000000"/>
        </w:rPr>
        <w:t xml:space="preserve"> — </w:t>
      </w:r>
      <w:r>
        <w:rPr>
          <w:rFonts w:ascii="Times New Roman;sans-serif" w:hAnsi="Times New Roman;sans-serif"/>
          <w:b w:val="false"/>
          <w:color w:val="000000"/>
          <w:sz w:val="20"/>
        </w:rPr>
        <w:t>During the third quarter of 2022, we amended our senior credit agreement. In connection with the amendment, we recorded a charge $1.1, which consisted of the write-off of a portion of the unamortized deferred financing costs related to our senior credit facilities ($0.7) and certain expenses incurred in connection with the amendment ($0.4).</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Income Tax (Provision) Benefit</w:t>
      </w:r>
      <w:r>
        <w:rPr>
          <w:color w:val="000000"/>
          <w:shd w:fill="FFFFFF" w:val="clear"/>
        </w:rPr>
        <w:t xml:space="preserve"> — </w:t>
      </w:r>
      <w:r>
        <w:rPr>
          <w:rFonts w:ascii="Times New Roman;sans-serif" w:hAnsi="Times New Roman;sans-serif"/>
          <w:b w:val="false"/>
          <w:color w:val="000000"/>
          <w:sz w:val="20"/>
          <w:shd w:fill="FFFFFF" w:val="clear"/>
        </w:rPr>
        <w:t xml:space="preserve">For the three </w:t>
      </w:r>
      <w:r>
        <w:rPr>
          <w:rFonts w:ascii="Times New Roman;sans-serif" w:hAnsi="Times New Roman;sans-serif"/>
          <w:b w:val="false"/>
          <w:color w:val="000000"/>
          <w:sz w:val="20"/>
        </w:rPr>
        <w:t>months ended September 30, 2023, we recorded an income tax provision of $12.4 on $48.1 of pre-tax income from continuing operations, resulting in an effective rate of 25.8%. This compares to an income tax benefit for the three months ended October 1, 2022 of $2.5 on $10.0 of pre-tax income from continuing operations, resulting in an effective rate of (25.0)%. The most significant items impacting the income tax expense for the third quarter 2023 are (i) $0.8 of foreign withholding tax, and (ii) $0.3 of excess tax benefits associated with stock-based compensation awards that vested and/or were exercised during the period. The most significant item impacting the income tax benefit for the third quarter of 2022 was a tax benefit of $4.2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recorded an income tax provision of $31.5 on $144.6 of pre-tax income from continuing operations, resulting in an effective rate of 21.8%. This compares to an income tax provision for the nine months ended October 1, 2022 of $4.5 on $49.1 of pre-tax income from continuing operations, resulting in an effective rate of 9.2%. The most significant items impacting the income tax provision during the first nine months of 2023 and 2022 were (i) $1.8 and $4.2, respectively, of tax benefit related to the release of valuation allowances recognized against certain deferred tax assets as we now expect the deferred tax assets to be realized, (ii) $1.7 and $0.7, respectively, of excess tax benefits associated with stock-based compensation awards that vested and/or were exercised during the period, and (iii) $1.2 and $0.7, respectively, of tax benefits related to revisions to liabilities for uncertain tax positions.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REPORTABLE SEGMENTS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ans-serif" w:hAnsi="Times New Roman;sans-serif"/>
          <w:b w:val="false"/>
          <w:color w:val="000000"/>
          <w:sz w:val="20"/>
          <w:shd w:fill="FFFFFF" w:val="clear"/>
        </w:rPr>
        <w:t>Note 6</w:t>
      </w:r>
      <w:r>
        <w:rPr>
          <w:color w:val="000000"/>
        </w:rPr>
        <w:t xml:space="preserve"> </w:t>
      </w:r>
      <w:r>
        <w:rPr>
          <w:rFonts w:ascii="Times New Roman;sans-serif" w:hAnsi="Times New Roman;sans-serif"/>
          <w:b w:val="false"/>
          <w:color w:val="000000"/>
          <w:sz w:val="20"/>
        </w:rPr>
        <w:t>to our condensed consolidated financial statements for a description of our reportable segments.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Non-GAAP Measures</w:t>
      </w:r>
      <w:r>
        <w:rPr>
          <w:color w:val="000000"/>
        </w:rPr>
        <w:t xml:space="preserve"> — </w:t>
      </w:r>
      <w:r>
        <w:rPr>
          <w:rFonts w:ascii="Times New Roman;sans-serif" w:hAnsi="Times New Roman;sans-serif"/>
          <w:b w:val="false"/>
          <w:color w:val="000000"/>
          <w:sz w:val="20"/>
        </w:rPr>
        <w:t>Throughout the following discussion of segment results, we use “organic revenue” growth (decline) to facilitate 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Presentation of Segment Income</w:t>
      </w:r>
      <w:r>
        <w:rPr>
          <w:color w:val="000000"/>
        </w:rPr>
        <w:t xml:space="preserve"> — </w:t>
      </w:r>
      <w:r>
        <w:rPr>
          <w:rFonts w:ascii="Times New Roman;sans-serif" w:hAnsi="Times New Roman;sans-serif"/>
          <w:b w:val="false"/>
          <w:color w:val="000000"/>
          <w:sz w:val="20"/>
        </w:rPr>
        <w:t>During 2022, we concluded that, although the assessment of our reportable segments was performed using the appropriate measures as defined by the Segment Reporting Topic of the Accounting Standards Codification (“Codification”), the disclosure of operating income for each of our reportable segments (“Segment Income”) was not consistent with these measures or the measures used by our Chief Operating Decision Maker (“CODM”) when evaluating the results of, or allocating resources to, our reportable segments. We previously disclosed that Segment Income was determined before considering impairment and special charges, long-term incentive compensation, certain other operating income/expense, and other indirect corporate expenses. Our CODM also excludes the impact of intangible asset amortization, inventory step-up charges, and other acquisition-related costs from Segment Income. Accordingly, these amounts have now been excluded, for all periods presented, from Segment Income and presented separately in our reconciliation of Segment Income to consolidated operating income within this quarterly report on Form 10-Q. Refer to Notes 1 and 6 to our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HVAC Reportable Segment</w:t>
      </w:r>
    </w:p>
    <w:tbl>
      <w:tblPr>
        <w:tblW w:w="10205" w:type="dxa"/>
        <w:jc w:val="left"/>
        <w:tblInd w:w="0" w:type="dxa"/>
        <w:tblLayout w:type="fixed"/>
        <w:tblCellMar>
          <w:top w:w="28" w:type="dxa"/>
          <w:left w:w="28" w:type="dxa"/>
          <w:bottom w:w="28" w:type="dxa"/>
          <w:right w:w="28" w:type="dxa"/>
        </w:tblCellMar>
      </w:tblPr>
      <w:tblGrid>
        <w:gridCol w:w="684"/>
        <w:gridCol w:w="593"/>
        <w:gridCol w:w="556"/>
        <w:gridCol w:w="254"/>
        <w:gridCol w:w="721"/>
        <w:gridCol w:w="332"/>
        <w:gridCol w:w="109"/>
        <w:gridCol w:w="109"/>
        <w:gridCol w:w="109"/>
        <w:gridCol w:w="226"/>
        <w:gridCol w:w="643"/>
        <w:gridCol w:w="295"/>
        <w:gridCol w:w="109"/>
        <w:gridCol w:w="109"/>
        <w:gridCol w:w="109"/>
        <w:gridCol w:w="290"/>
        <w:gridCol w:w="290"/>
        <w:gridCol w:w="291"/>
        <w:gridCol w:w="109"/>
        <w:gridCol w:w="109"/>
        <w:gridCol w:w="109"/>
        <w:gridCol w:w="254"/>
        <w:gridCol w:w="721"/>
        <w:gridCol w:w="332"/>
        <w:gridCol w:w="109"/>
        <w:gridCol w:w="109"/>
        <w:gridCol w:w="109"/>
        <w:gridCol w:w="226"/>
        <w:gridCol w:w="643"/>
        <w:gridCol w:w="295"/>
        <w:gridCol w:w="109"/>
        <w:gridCol w:w="109"/>
        <w:gridCol w:w="109"/>
        <w:gridCol w:w="268"/>
        <w:gridCol w:w="268"/>
        <w:gridCol w:w="388"/>
      </w:tblGrid>
      <w:tr>
        <w:trPr/>
        <w:tc>
          <w:tcPr>
            <w:tcW w:w="6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Organic </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For the three and nine months ended September 30, 2023, the increase in revenues, compared to the respective periods in 2022, was due primarily to </w:t>
      </w:r>
      <w:r>
        <w:rPr>
          <w:rFonts w:ascii="Times New Roman;sans-serif" w:hAnsi="Times New Roman;sans-serif"/>
          <w:b w:val="false"/>
          <w:color w:val="000000"/>
          <w:sz w:val="20"/>
          <w:shd w:fill="FFFFFF" w:val="clear"/>
        </w:rPr>
        <w:t>(i) organic revenue growth driven primarily by increased sales of cooling products and (ii) the impact of the TAMCO and ASPEQ acquisitions. The increase in organic revenue was associated with volume increases, primarily of cooling products, resulting from greater plant throughput and more stable labor and supply chain environments, and price increases.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shd w:fill="FFFFFF" w:val="clear"/>
        </w:rPr>
        <w:t>Income</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For the three and nine months ended September 30, 2023, the increase in income, compared to the respective periods in 2022, was due primarily to </w:t>
      </w:r>
      <w:r>
        <w:rPr>
          <w:rFonts w:ascii="Times New Roman;sans-serif" w:hAnsi="Times New Roman;sans-serif"/>
          <w:b w:val="false"/>
          <w:color w:val="000000"/>
          <w:sz w:val="20"/>
          <w:shd w:fill="FFFFFF" w:val="clear"/>
        </w:rPr>
        <w:t>the impact of the revenue growth mentioned above. For the three and nine months ended September 30, 2023, the increase in margin, compared to the respective periods in 2022, was due primarily to price increases and greater absorption of manufacturing costs as a result of higher volumes, as well as favorable sales mix associated with acquisitions. The higher volumes were aided by improved operational execution resulting from investments in plant automation and more stable labor and supply chain environments.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 xml:space="preserve">The segment had backlog of </w:t>
      </w:r>
      <w:r>
        <w:rPr>
          <w:rFonts w:ascii="Times New Roman;sans-serif" w:hAnsi="Times New Roman;sans-serif"/>
          <w:b w:val="false"/>
          <w:color w:val="000000"/>
          <w:sz w:val="20"/>
          <w:shd w:fill="FFFFFF" w:val="clear"/>
        </w:rPr>
        <w:t>$338.2</w:t>
      </w:r>
      <w:r>
        <w:rPr>
          <w:color w:val="000000"/>
        </w:rPr>
        <w:t xml:space="preserve"> </w:t>
      </w:r>
      <w:r>
        <w:rPr>
          <w:rFonts w:ascii="Times New Roman;sans-serif" w:hAnsi="Times New Roman;sans-serif"/>
          <w:b w:val="false"/>
          <w:color w:val="000000"/>
          <w:sz w:val="20"/>
        </w:rPr>
        <w:t>and $287.7 as of September 30, 2023 and October 1, 2022, respectively. Backlog associated with TAMCO and ASPEQ totaled</w:t>
      </w:r>
      <w:r>
        <w:rPr>
          <w:color w:val="000000"/>
          <w:shd w:fill="FFFFFF" w:val="clear"/>
        </w:rPr>
        <w:t xml:space="preserve"> </w:t>
      </w:r>
      <w:r>
        <w:rPr>
          <w:rFonts w:ascii="Times New Roman;sans-serif" w:hAnsi="Times New Roman;sans-serif"/>
          <w:b w:val="false"/>
          <w:color w:val="000000"/>
          <w:sz w:val="20"/>
          <w:shd w:fill="FFFFFF" w:val="clear"/>
        </w:rPr>
        <w:t>$38.6 a</w:t>
      </w:r>
      <w:r>
        <w:rPr>
          <w:rFonts w:ascii="Times New Roman;sans-serif" w:hAnsi="Times New Roman;sans-serif"/>
          <w:b w:val="false"/>
          <w:color w:val="000000"/>
          <w:sz w:val="20"/>
        </w:rPr>
        <w:t>s of September 30,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Detection and Measurement Reportable Segment</w:t>
      </w:r>
    </w:p>
    <w:tbl>
      <w:tblPr>
        <w:tblW w:w="10205" w:type="dxa"/>
        <w:jc w:val="left"/>
        <w:tblInd w:w="0" w:type="dxa"/>
        <w:tblLayout w:type="fixed"/>
        <w:tblCellMar>
          <w:top w:w="28" w:type="dxa"/>
          <w:left w:w="28" w:type="dxa"/>
          <w:bottom w:w="28" w:type="dxa"/>
          <w:right w:w="28" w:type="dxa"/>
        </w:tblCellMar>
      </w:tblPr>
      <w:tblGrid>
        <w:gridCol w:w="684"/>
        <w:gridCol w:w="593"/>
        <w:gridCol w:w="556"/>
        <w:gridCol w:w="254"/>
        <w:gridCol w:w="721"/>
        <w:gridCol w:w="332"/>
        <w:gridCol w:w="109"/>
        <w:gridCol w:w="109"/>
        <w:gridCol w:w="109"/>
        <w:gridCol w:w="226"/>
        <w:gridCol w:w="643"/>
        <w:gridCol w:w="295"/>
        <w:gridCol w:w="109"/>
        <w:gridCol w:w="109"/>
        <w:gridCol w:w="109"/>
        <w:gridCol w:w="290"/>
        <w:gridCol w:w="290"/>
        <w:gridCol w:w="291"/>
        <w:gridCol w:w="109"/>
        <w:gridCol w:w="109"/>
        <w:gridCol w:w="109"/>
        <w:gridCol w:w="254"/>
        <w:gridCol w:w="721"/>
        <w:gridCol w:w="332"/>
        <w:gridCol w:w="109"/>
        <w:gridCol w:w="109"/>
        <w:gridCol w:w="109"/>
        <w:gridCol w:w="226"/>
        <w:gridCol w:w="643"/>
        <w:gridCol w:w="295"/>
        <w:gridCol w:w="109"/>
        <w:gridCol w:w="109"/>
        <w:gridCol w:w="109"/>
        <w:gridCol w:w="268"/>
        <w:gridCol w:w="268"/>
        <w:gridCol w:w="388"/>
      </w:tblGrid>
      <w:tr>
        <w:trPr/>
        <w:tc>
          <w:tcPr>
            <w:tcW w:w="6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and nine months ended September 30, 2023, the increase in revenues, compared to the respective periods in 2022, was due p</w:t>
      </w:r>
      <w:r>
        <w:rPr>
          <w:rFonts w:ascii="Times New Roman;sans-serif" w:hAnsi="Times New Roman;sans-serif"/>
          <w:b w:val="false"/>
          <w:color w:val="000000"/>
          <w:sz w:val="20"/>
          <w:shd w:fill="FFFFFF" w:val="clear"/>
        </w:rPr>
        <w:t xml:space="preserve">rimarily to organic revenue growth and, for the nine month period, the impact of the ITL acquisition. The organic revenue growth was driven primarily by higher volumes of large projects within the communication technologies, transportation, and aids to navigation businesses.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Income</w:t>
      </w:r>
      <w:r>
        <w:rPr>
          <w:color w:val="000000"/>
        </w:rPr>
        <w:t xml:space="preserve"> — </w:t>
      </w:r>
      <w:r>
        <w:rPr>
          <w:rFonts w:ascii="Times New Roman;sans-serif" w:hAnsi="Times New Roman;sans-serif"/>
          <w:b w:val="false"/>
          <w:color w:val="000000"/>
          <w:sz w:val="20"/>
        </w:rPr>
        <w:t xml:space="preserve">For the three and nine months ended September 30, 2023, the increase in income, compared to the respective periods in 2022, </w:t>
      </w:r>
      <w:r>
        <w:rPr>
          <w:rFonts w:ascii="Times New Roman;sans-serif" w:hAnsi="Times New Roman;sans-serif"/>
          <w:b w:val="false"/>
          <w:color w:val="000000"/>
          <w:sz w:val="20"/>
          <w:shd w:fill="FFFFFF" w:val="clear"/>
        </w:rPr>
        <w:t>was due primarily to the revenue growth mentioned above. For the three and nine months ended September 30, 2023, the decrease in margin, compared to the respective periods in 2022, was due primarily to a less favorable sales mix associated with certain of the large projects mentioned above.</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w:t>
      </w:r>
      <w:r>
        <w:rPr>
          <w:rFonts w:ascii="Times New Roman;sans-serif" w:hAnsi="Times New Roman;sans-serif"/>
          <w:b w:val="false"/>
          <w:color w:val="000000"/>
          <w:sz w:val="20"/>
          <w:shd w:fill="FFFFFF" w:val="clear"/>
        </w:rPr>
        <w:t xml:space="preserve">klog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$233.6</w:t>
      </w:r>
      <w:r>
        <w:rPr>
          <w:color w:val="000000"/>
        </w:rPr>
        <w:t xml:space="preserve"> </w:t>
      </w:r>
      <w:r>
        <w:rPr>
          <w:rFonts w:ascii="Times New Roman;sans-serif" w:hAnsi="Times New Roman;sans-serif"/>
          <w:b w:val="false"/>
          <w:color w:val="000000"/>
          <w:sz w:val="20"/>
        </w:rPr>
        <w:t xml:space="preserve">and $275.1 as of September 30, 2023 and October 1, 2022, respectively. </w:t>
      </w:r>
    </w:p>
    <w:p>
      <w:pPr>
        <w:pStyle w:val="TextBody"/>
        <w:bidi w:val="0"/>
        <w:spacing w:before="0" w:after="200"/>
        <w:ind w:left="0" w:right="0" w:firstLine="76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AND OTHER EXPENSES</w:t>
      </w:r>
    </w:p>
    <w:tbl>
      <w:tblPr>
        <w:tblW w:w="10205" w:type="dxa"/>
        <w:jc w:val="left"/>
        <w:tblInd w:w="0" w:type="dxa"/>
        <w:tblLayout w:type="fixed"/>
        <w:tblCellMar>
          <w:top w:w="28" w:type="dxa"/>
          <w:left w:w="28" w:type="dxa"/>
          <w:bottom w:w="28" w:type="dxa"/>
          <w:right w:w="28" w:type="dxa"/>
        </w:tblCellMar>
      </w:tblPr>
      <w:tblGrid>
        <w:gridCol w:w="733"/>
        <w:gridCol w:w="597"/>
        <w:gridCol w:w="601"/>
        <w:gridCol w:w="237"/>
        <w:gridCol w:w="674"/>
        <w:gridCol w:w="310"/>
        <w:gridCol w:w="109"/>
        <w:gridCol w:w="109"/>
        <w:gridCol w:w="109"/>
        <w:gridCol w:w="218"/>
        <w:gridCol w:w="618"/>
        <w:gridCol w:w="284"/>
        <w:gridCol w:w="109"/>
        <w:gridCol w:w="109"/>
        <w:gridCol w:w="109"/>
        <w:gridCol w:w="290"/>
        <w:gridCol w:w="290"/>
        <w:gridCol w:w="291"/>
        <w:gridCol w:w="109"/>
        <w:gridCol w:w="109"/>
        <w:gridCol w:w="109"/>
        <w:gridCol w:w="223"/>
        <w:gridCol w:w="788"/>
        <w:gridCol w:w="292"/>
        <w:gridCol w:w="109"/>
        <w:gridCol w:w="109"/>
        <w:gridCol w:w="109"/>
        <w:gridCol w:w="206"/>
        <w:gridCol w:w="726"/>
        <w:gridCol w:w="269"/>
        <w:gridCol w:w="109"/>
        <w:gridCol w:w="109"/>
        <w:gridCol w:w="109"/>
        <w:gridCol w:w="268"/>
        <w:gridCol w:w="268"/>
        <w:gridCol w:w="387"/>
      </w:tblGrid>
      <w:tr>
        <w:trPr/>
        <w:tc>
          <w:tcPr>
            <w:tcW w:w="7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54" w:before="0" w:after="0"/>
        <w:ind w:left="0" w:right="0" w:firstLine="720"/>
        <w:jc w:val="both"/>
        <w:rPr/>
      </w:pPr>
      <w:r>
        <w:rPr>
          <w:rFonts w:ascii="Times New Roman;sans-serif" w:hAnsi="Times New Roman;sans-serif"/>
          <w:b w:val="false"/>
          <w:i/>
          <w:color w:val="000000"/>
          <w:sz w:val="20"/>
          <w:u w:val="single"/>
        </w:rPr>
        <w:t>Corporate Expense</w:t>
      </w:r>
      <w:r>
        <w:rPr>
          <w:color w:val="000000"/>
        </w:rPr>
        <w:t xml:space="preserve"> — </w:t>
      </w:r>
      <w:r>
        <w:rPr>
          <w:rFonts w:ascii="Times New Roman;sans-serif" w:hAnsi="Times New Roman;sans-serif"/>
          <w:b w:val="false"/>
          <w:color w:val="000000"/>
          <w:sz w:val="20"/>
        </w:rPr>
        <w:t>Corporate expense generally relates to the cost of our Charlotte, North Carolina corporate headquarters. The d</w:t>
      </w:r>
      <w:r>
        <w:rPr>
          <w:rFonts w:ascii="Times New Roman;sans-serif" w:hAnsi="Times New Roman;sans-serif"/>
          <w:b w:val="false"/>
          <w:color w:val="000000"/>
          <w:sz w:val="20"/>
          <w:shd w:fill="FFFFFF" w:val="clear"/>
        </w:rPr>
        <w:t>ecrease in co</w:t>
      </w:r>
      <w:r>
        <w:rPr>
          <w:rFonts w:ascii="Times New Roman;sans-serif" w:hAnsi="Times New Roman;sans-serif"/>
          <w:b w:val="false"/>
          <w:color w:val="000000"/>
          <w:sz w:val="20"/>
        </w:rPr>
        <w:t>rporate expense during the three and nine months ended September 30, 2023, compared to the respective periods in 2022, was d</w:t>
      </w:r>
      <w:r>
        <w:rPr>
          <w:rFonts w:ascii="Times New Roman;sans-serif" w:hAnsi="Times New Roman;sans-serif"/>
          <w:b w:val="false"/>
          <w:color w:val="000000"/>
          <w:sz w:val="20"/>
          <w:shd w:fill="FFFFFF" w:val="clear"/>
        </w:rPr>
        <w:t>ue primarily to (i) higher costs related to various strategic and transformational initiatives during 2022 and (ii) expenses in connection with asbestos-related matters incurred during 2022 prior to the Asbestos Portfolio Sale, partially offset by higher short-term incentive compensation and, for the nine months ended, higher acquisition-related costs associated with the TAMCO and ASPEQ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Long-Term Incentive Compensation Expense</w:t>
      </w:r>
      <w:r>
        <w:rPr>
          <w:color w:val="000000"/>
          <w:shd w:fill="FFFFFF" w:val="clear"/>
        </w:rPr>
        <w:t xml:space="preserve"> — </w:t>
      </w:r>
      <w:r>
        <w:rPr>
          <w:rFonts w:ascii="Times New Roman;sans-serif" w:hAnsi="Times New Roman;sans-serif"/>
          <w:b w:val="false"/>
          <w:color w:val="000000"/>
          <w:sz w:val="20"/>
        </w:rPr>
        <w:t>Long-term incentive compensation expense represents our consolidated expense, which we do not allocate for segment reporting purposes. F</w:t>
      </w:r>
      <w:r>
        <w:rPr>
          <w:rFonts w:ascii="Times New Roman;sans-serif" w:hAnsi="Times New Roman;sans-serif"/>
          <w:b w:val="false"/>
          <w:color w:val="000000"/>
          <w:sz w:val="20"/>
          <w:shd w:fill="FFFFFF" w:val="clear"/>
        </w:rPr>
        <w:t>or the three and nine months ended September 30, 2023, the increase in long-term incentive compensation expense, compared to the respective periods in 2022, was due primarily to the impact of forfeitures resulting from various participant resignations 2022.</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LIQUIDITY AND FINANCIAL CONDITION</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cash flows from (used in) operating, investing, and financing activities of continuing operations and cash flows from (used in) discontinued operations, as well as the net change in cash and equivalents for the nine months ended September 30, 2023 and October 1, 2022.</w:t>
      </w:r>
    </w:p>
    <w:tbl>
      <w:tblPr>
        <w:tblW w:w="9116" w:type="dxa"/>
        <w:jc w:val="left"/>
        <w:tblInd w:w="0" w:type="dxa"/>
        <w:tblLayout w:type="fixed"/>
        <w:tblCellMar>
          <w:top w:w="28" w:type="dxa"/>
          <w:left w:w="28" w:type="dxa"/>
          <w:bottom w:w="28" w:type="dxa"/>
          <w:right w:w="28" w:type="dxa"/>
        </w:tblCellMar>
      </w:tblPr>
      <w:tblGrid>
        <w:gridCol w:w="2143"/>
        <w:gridCol w:w="1879"/>
        <w:gridCol w:w="1888"/>
        <w:gridCol w:w="351"/>
        <w:gridCol w:w="997"/>
        <w:gridCol w:w="197"/>
        <w:gridCol w:w="109"/>
        <w:gridCol w:w="109"/>
        <w:gridCol w:w="109"/>
        <w:gridCol w:w="266"/>
        <w:gridCol w:w="859"/>
        <w:gridCol w:w="209"/>
      </w:tblGrid>
      <w:tr>
        <w:trPr/>
        <w:tc>
          <w:tcPr>
            <w:tcW w:w="214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financing activities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discontinued operations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Operating Activities</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 xml:space="preserve">The increase in cash flows from operating activities of continuing operations during the nine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compared to the respective period in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was due primar</w:t>
      </w:r>
      <w:r>
        <w:rPr>
          <w:rFonts w:ascii="Times New Roman;sans-serif" w:hAnsi="Times New Roman;sans-serif"/>
          <w:b w:val="false"/>
          <w:color w:val="000000"/>
          <w:sz w:val="20"/>
        </w:rPr>
        <w:t>ily to</w:t>
      </w:r>
      <w:r>
        <w:rPr>
          <w:color w:val="000000"/>
          <w:shd w:fill="FFFFFF" w:val="clear"/>
        </w:rPr>
        <w:t xml:space="preserve"> </w:t>
      </w:r>
      <w:r>
        <w:rPr>
          <w:rFonts w:ascii="Times New Roman;sans-serif" w:hAnsi="Times New Roman;sans-serif"/>
          <w:b w:val="false"/>
          <w:color w:val="000000"/>
          <w:sz w:val="20"/>
          <w:shd w:fill="FFFFFF" w:val="clear"/>
        </w:rPr>
        <w:t>(i) the increase in income during the period discussed above, (ii) a reduction in the level of elevated purchases of raw materials and components, primarily within our HVAC reportable segment, during 2023, due to a more stable supply chain environment, (iii) working capital improvements at certain of our project-related businesses, as cash flows for these businesses are often subject to contract milestones that can impact the timing of cash flows from period to period, (iv) net payments for asbestos-related matters made prior to the Asbestos Portfolio Sale in 2022, of $15.5, (v) income tax payments of $42.2 during 2023 compared to income tax payments of $55.7 during 2022, with a significant portion of the 2022 payments related to the gain on sale of Transformer Solutions, and (vi) a cash payment of $10.0 during the first half of 2022 in connection with the transfer of our postretirement life insurance benefit obligation to an insurance carrier (see Note 11 to our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shd w:fill="FFFFFF" w:val="clear"/>
        </w:rPr>
        <w:t>Investing Activities</w:t>
      </w:r>
      <w:r>
        <w:rPr>
          <w:color w:val="000000"/>
          <w:shd w:fill="FFFFFF" w:val="clear"/>
        </w:rPr>
        <w:t xml:space="preserve"> — </w:t>
      </w:r>
      <w:r>
        <w:rPr>
          <w:rFonts w:ascii="Times New Roman;sans-serif" w:hAnsi="Times New Roman;sans-serif"/>
          <w:b w:val="false"/>
          <w:color w:val="000000"/>
          <w:sz w:val="20"/>
          <w:shd w:fill="FFFFFF" w:val="clear"/>
        </w:rPr>
        <w:t>Cash flows used in investing activities of continuing operations for the nine months ended September 30, 2023 were comprised of net cash utilized in the acquisitions of TAMCO and ASPEQ of $547.3 and capital expenditures of $16.5, partially offset by proceeds from company-owned life insurance policies of $2.6. Cash flows used in investing activities of continuing operations for the nine months ended October 1, 2022 were comprised of cash utilized in the acquisition of ITL of $41.8 and capital expenditures of $10.0, partially offset by proceeds from company-owned life insurance policies of $4.6 and $1.8 received upon agreement with the sellers on acquired working capital balances associated with the Cincinnati Fan and ITL acquisitions.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rPr>
        <w:t>Financing Activities</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Cash flows from financing activities of continuing operations for the nine months ended September 30, 2023 were comprised of net borrowings under the Credit Agreement and trade receivables financing arrangement of $396.3 and $32.0, respectively, primarily in connection with the TAMCO and ASPEQ acquisitions. These borrowings were partially offset by minimum withholdings paid on behalf of employees on long-term incentive awards, net of proceeds from options exercised, of $1.5, and fees paid in connection with the Incremental Term Loan of $1.3. Net repayments under our other various debt instruments totaled $0.4.</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shd w:fill="FFFFFF" w:val="clear"/>
        </w:rPr>
        <w:t>Cash flows used</w:t>
      </w:r>
      <w:r>
        <w:rPr>
          <w:color w:val="000000"/>
        </w:rPr>
        <w:t xml:space="preserve"> </w:t>
      </w:r>
      <w:r>
        <w:rPr>
          <w:rFonts w:ascii="Times New Roman;sans-serif" w:hAnsi="Times New Roman;sans-serif"/>
          <w:b w:val="false"/>
          <w:color w:val="000000"/>
          <w:sz w:val="20"/>
        </w:rPr>
        <w:t xml:space="preserve">in financing activities of continuing operations for the nine months ended October 1, 2022 were comprised of repurchases of common stock of $33.7, minimum tax withholdings paid on behalf of employees on net-share settlements of long-term incentive awards, net of proceeds from options exercised, of $4.9, and contingent consideration paid of $1.3 related to a prior acquisition. Additionally, prior to the August 12, 2022 execution of our Amended and Restated Credit Agreement (the “Credit Agreement”), we made scheduled repayments under our then-existing term loan of $6.3 and in connection with entering the Credit Agreement, we received $245.0 under our new term loan and (i) repaid the remaining balance under the then-existing term loan of $237.4 and (ii) paid fees in connection with the refinancing of $1.9. Net repayments under our various other debt instruments totaled $0.7.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rPr>
        <w:t>Discontinued Operations</w:t>
      </w:r>
      <w:r>
        <w:rPr>
          <w:color w:val="000000"/>
        </w:rPr>
        <w:t xml:space="preserve"> — </w:t>
      </w:r>
      <w:r>
        <w:rPr>
          <w:rFonts w:ascii="Times New Roman;sans-serif" w:hAnsi="Times New Roman;sans-serif"/>
          <w:b w:val="false"/>
          <w:color w:val="000000"/>
          <w:sz w:val="20"/>
        </w:rPr>
        <w:t>Cash flows used in discontinued operations for the nine months ended September 30, 2023 relate primarily to (i) cash payments of $25.3 made by DBT to MHI during the three months ended September 30, 2023 in connection with the Settlement Agreement, (ii) disbursements of $14.5 for professional fees and support costs incurred principally in connection with the claims resolved by the Settlement Agreement, and (iii) local taxes of $3.8 paid in South Africa, which we subsequently recovered during the fourth quarter of 2023, partially offset by the recovery of legal costs we were awarded in arbitration proceedings between DBT and MHI of $6.8. Refer to Notes 3 and 15 to the condensed consolidated financial statements for additional details related to the Settlement Agreement.</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Cash flo</w:t>
      </w:r>
      <w:r>
        <w:rPr>
          <w:rFonts w:ascii="Times New Roman;sans-serif" w:hAnsi="Times New Roman;sans-serif"/>
          <w:b w:val="false"/>
          <w:color w:val="000000"/>
          <w:sz w:val="20"/>
          <w:shd w:fill="FFFFFF" w:val="clear"/>
        </w:rPr>
        <w:t>ws used in discontinued operat</w:t>
      </w:r>
      <w:r>
        <w:rPr>
          <w:rFonts w:ascii="Times New Roman;sans-serif" w:hAnsi="Times New Roman;sans-serif"/>
          <w:b w:val="false"/>
          <w:color w:val="000000"/>
          <w:sz w:val="20"/>
        </w:rPr>
        <w:t xml:space="preserve">ions for the nine months ended October 1, 2022 related primarily to (i) disbursements for professional fees incurred in connection with the South Africa claims matters (see Notes 3 and 15 to the condensed consolidated financial statements for additional details), (ii) disbursements related to asbestos product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matters,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options exercised of $1.0.</w: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Change in Cash and Equivalents due to Changes in Foreign Currency Exchange Rate</w:t>
      </w:r>
      <w:r>
        <w:rPr>
          <w:rFonts w:ascii="Times New Roman;sans-serif" w:hAnsi="Times New Roman;sans-serif"/>
          <w:b w:val="false"/>
          <w:i/>
          <w:color w:val="000000"/>
          <w:sz w:val="20"/>
          <w:u w:val="single"/>
        </w:rPr>
        <w:t>s</w:t>
      </w:r>
      <w:r>
        <w:rPr>
          <w:color w:val="000000"/>
        </w:rPr>
        <w:t xml:space="preserve"> — </w:t>
      </w:r>
      <w:r>
        <w:rPr>
          <w:rFonts w:ascii="Times New Roman;sans-serif" w:hAnsi="Times New Roman;sans-serif"/>
          <w:b w:val="false"/>
          <w:color w:val="000000"/>
          <w:sz w:val="20"/>
        </w:rPr>
        <w:t>Changes in foreign currency exchange rates did not have a significant impact on our cash and equivalents during the first nine months of 2023 and 2022.</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Borrowings and Availability</w:t>
      </w:r>
    </w:p>
    <w:p>
      <w:pPr>
        <w:pStyle w:val="TextBody"/>
        <w:bidi w:val="0"/>
        <w:spacing w:lineRule="auto" w:line="288" w:before="0" w:after="60"/>
        <w:ind w:left="0" w:right="0" w:firstLine="720"/>
        <w:jc w:val="left"/>
        <w:rPr/>
      </w:pPr>
      <w:r>
        <w:rPr>
          <w:rFonts w:ascii="Times New Roman;sans-serif" w:hAnsi="Times New Roman;sans-serif"/>
          <w:b w:val="false"/>
          <w:i/>
          <w:color w:val="000000"/>
          <w:sz w:val="20"/>
          <w:u w:val="single"/>
        </w:rPr>
        <w:t>Borrowings</w:t>
      </w:r>
      <w:r>
        <w:rPr>
          <w:color w:val="000000"/>
        </w:rPr>
        <w:t xml:space="preserve"> — </w:t>
      </w:r>
      <w:r>
        <w:rPr>
          <w:rFonts w:ascii="Times New Roman;sans-serif" w:hAnsi="Times New Roman;sans-serif"/>
          <w:b w:val="false"/>
          <w:color w:val="000000"/>
          <w:sz w:val="20"/>
        </w:rPr>
        <w:t>The following summarizes our debt activity (both current and non-current) for the nine months ended September 30, 2023.</w:t>
      </w:r>
    </w:p>
    <w:tbl>
      <w:tblPr>
        <w:tblW w:w="9399"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51"/>
        <w:gridCol w:w="109"/>
        <w:gridCol w:w="109"/>
        <w:gridCol w:w="109"/>
        <w:gridCol w:w="109"/>
        <w:gridCol w:w="256"/>
        <w:gridCol w:w="727"/>
        <w:gridCol w:w="201"/>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Revolving loans </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(2)(3)</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(4)</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not due for repayment until August 2027 under the terms of our senior credit agreement, we classify within current liabilities the portion of the outstanding balance that we believe will be repaid over the next year, with such amount based on an estimate of cash that is expected to be generated over such period. The revolving loan facility was utilized as the initial funding mechanism for the TAMCO and ASPEQ acquisitions and was partially repaid with the funds borrowed on the Incremental Term Loan (see additional discussion below).</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The term loans are repayable in quarterly installments equal to 0.625% of the balance of $545.0, beginning in December 2023 and in each of the first three quarters of 2024, and 1.25% during the fourth quarter of 2024, all quarters of 2025 and 2026, and the first two quarters of 2027. The remaining balances are payable in full on August 12, 2027. Balances are net of unamortized debt issuance costs of $1.8 and $0.7 at September 30, 2023 and December 31,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September 30, 2023, we had $18.0 of available borrowing capacity under this facility after giving effect to outstanding borrowings of $32.0.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Primarily includes balances under a purchase card program of $1.8 and $1.8 and finance lease obligations of $0.6 and $0.7 at September 30, 2023 and December 31, 2022,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(6)</w:t>
      </w:r>
      <w:r>
        <w:rPr>
          <w:color w:val="000000"/>
        </w:rPr>
        <w:t>“</w:t>
      </w:r>
      <w:r>
        <w:rPr>
          <w:rFonts w:ascii="Times New Roman;sans-serif" w:hAnsi="Times New Roman;sans-serif"/>
          <w:b w:val="false"/>
          <w:color w:val="000000"/>
          <w:sz w:val="18"/>
        </w:rPr>
        <w:t xml:space="preserve">Other” includes the capitalization and amortization of debt issuance costs. During the second quarter of 2023 we capitalized $1.3 of debt issuance costs associated with the Incremental Term Loan.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6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Incremental Term Loan is, at our option, equal to either (x) an alternate base rate (the highest of (a) the federal funds effective rate plus 0.50%, (b) the prime rate of Bank of America, N.A., and (c) the one-month Term SOFR rate plus 1.00%) or (y) the Term SOFR rate for the applicable interest period plus 0.10%, plus, in each case, an applicable margin percentage, which varies based on the Company’s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SPX may elect interest periods of one, three or six months (and, if consented to by all relevant lenders, any other period not greater than twelve months) for Term SOFR borrowings. SPX will also pay a commitment fee to the incremental lenders on the daily unused amount of the commitments for the Incremental Term Loan, payable quarterly at a per annum rate which also varies based on the Company’s Consolidated Leverage Ratio. The commitment fee rate and interest rate margins for the Incremental Term Loan are as follows:</w:t>
      </w:r>
    </w:p>
    <w:p>
      <w:pPr>
        <w:pStyle w:val="TextBody"/>
        <w:bidi w:val="0"/>
        <w:spacing w:before="0" w:after="0"/>
        <w:jc w:val="both"/>
        <w:rPr/>
      </w:pPr>
      <w:r>
        <w:rPr/>
      </w:r>
    </w:p>
    <w:tbl>
      <w:tblPr>
        <w:tblW w:w="9212" w:type="dxa"/>
        <w:jc w:val="left"/>
        <w:tblInd w:w="0" w:type="dxa"/>
        <w:tblLayout w:type="fixed"/>
        <w:tblCellMar>
          <w:top w:w="28" w:type="dxa"/>
          <w:left w:w="28" w:type="dxa"/>
          <w:bottom w:w="28" w:type="dxa"/>
          <w:right w:w="28" w:type="dxa"/>
        </w:tblCellMar>
      </w:tblPr>
      <w:tblGrid>
        <w:gridCol w:w="1553"/>
        <w:gridCol w:w="1365"/>
        <w:gridCol w:w="1372"/>
        <w:gridCol w:w="109"/>
        <w:gridCol w:w="109"/>
        <w:gridCol w:w="109"/>
        <w:gridCol w:w="309"/>
        <w:gridCol w:w="309"/>
        <w:gridCol w:w="731"/>
        <w:gridCol w:w="109"/>
        <w:gridCol w:w="109"/>
        <w:gridCol w:w="109"/>
        <w:gridCol w:w="336"/>
        <w:gridCol w:w="336"/>
        <w:gridCol w:w="798"/>
        <w:gridCol w:w="109"/>
        <w:gridCol w:w="109"/>
        <w:gridCol w:w="109"/>
        <w:gridCol w:w="278"/>
        <w:gridCol w:w="278"/>
        <w:gridCol w:w="566"/>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ABR Loans</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than 2.00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0.225 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2.00 to 1.0 but less than 3.00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0.250 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3.00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0.275 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Incremental Term Loan is guaranteed by certain domestic material subsidiaries of the Company and secured by a first priority pledge and security interest in 100% of the capital stock of our domestic subsidiaries or the domestic subsidiary guarantors and 65% of the voting capital stock (and 100% of the non-voting capital stock) of material first-tier foreign subsidiaries, all subject to certain exceptions and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other credit facilities under the Credit Agreement.</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remaining senior credit facilities under the Credit Agreement is included in our 2022 Annual Report on Form 10-K.</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Availability</w:t>
      </w:r>
      <w:r>
        <w:rPr>
          <w:color w:val="000000"/>
        </w:rPr>
        <w:t xml:space="preserve"> — </w:t>
      </w:r>
      <w:r>
        <w:rPr>
          <w:rFonts w:ascii="Times New Roman;sans-serif" w:hAnsi="Times New Roman;sans-serif"/>
          <w:b w:val="false"/>
          <w:color w:val="000000"/>
          <w:sz w:val="20"/>
        </w:rPr>
        <w:t>At September 30, 2023, we had $392.9 of available borrowing capacity under our revolving credit facilities, after giving effect to borrowings under the domestic revolving loan facility of $96.3 and $10.8 reserved for outstanding letters of credit. In addition, at September 30, 2023, we had $9.7 of available issuance capacity under our foreign credit instrument facilities after giving effect to $15.3 reserved for outstanding letters of credit.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the Credit Agreement was approximately 7.0% at September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we were in compliance with all covenants of the Credit Agreement.</w:t>
      </w:r>
    </w:p>
    <w:p>
      <w:pPr>
        <w:pStyle w:val="TextBody"/>
        <w:bidi w:val="0"/>
        <w:spacing w:before="0" w:after="0"/>
        <w:ind w:left="0" w:right="0" w:firstLine="45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 August 2022 amendment of the Credit Agreement, we recorded charges of $1.1 to “Loss on amendment/refinancing of senior credit agreement” related to the write-off of unamortized deferred financing costs totaling $0.7 and transaction costs of $0.4. Additionally, $1.5 of fees paid in connection with the August 2022 amendment were capitalized, with $1.2 related to our revolving loans and $0.3 related to the term loan.</w:t>
      </w:r>
    </w:p>
    <w:p>
      <w:pPr>
        <w:pStyle w:val="TextBody"/>
        <w:bidi w:val="0"/>
        <w:spacing w:before="0" w:after="0"/>
        <w:ind w:left="0" w:right="0" w:firstLine="450"/>
        <w:jc w:val="left"/>
        <w:rPr/>
      </w:pPr>
      <w:r>
        <w:rPr/>
      </w:r>
    </w:p>
    <w:p>
      <w:pPr>
        <w:pStyle w:val="TextBody"/>
        <w:bidi w:val="0"/>
        <w:spacing w:lineRule="auto" w:line="288" w:before="0" w:after="200"/>
        <w:ind w:left="0" w:right="0" w:firstLine="450"/>
        <w:jc w:val="both"/>
        <w:rPr/>
      </w:pPr>
      <w:r>
        <w:rPr>
          <w:rFonts w:ascii="Times New Roman;sans-serif" w:hAnsi="Times New Roman;sans-serif"/>
          <w:b w:val="false"/>
          <w:color w:val="000000"/>
          <w:sz w:val="20"/>
          <w:shd w:fill="FFFFFF" w:val="clear"/>
        </w:rPr>
        <w:t>Financing instruments may be used from time to time including,</w:t>
      </w:r>
      <w:r>
        <w:rPr>
          <w:color w:val="000000"/>
        </w:rPr>
        <w:t xml:space="preserve"> </w:t>
      </w:r>
      <w:r>
        <w:rPr>
          <w:rFonts w:ascii="Times New Roman;sans-serif" w:hAnsi="Times New Roman;sans-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of cash and equivalents, trade accounts receivable, and interest rate swap and foreign currency forwards contracts. These financial instruments, other than trade accounts receivable, are placed with high-quality financial institutions. We periodically evaluate the credit standing of these financial institutions.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w:t>
      </w:r>
      <w:r>
        <w:rPr>
          <w:rFonts w:ascii="Times New Roman;sans-serif" w:hAnsi="Times New Roman;sans-serif"/>
          <w:b w:val="false"/>
          <w:color w:val="000000"/>
          <w:sz w:val="20"/>
          <w:shd w:fill="FFFFFF" w:val="clear"/>
        </w:rPr>
        <w:t>10%</w:t>
      </w:r>
      <w:r>
        <w:rPr>
          <w:color w:val="000000"/>
        </w:rPr>
        <w:t xml:space="preserve"> </w:t>
      </w:r>
      <w:r>
        <w:rPr>
          <w:rFonts w:ascii="Times New Roman;sans-serif" w:hAnsi="Times New Roman;sans-serif"/>
          <w:b w:val="false"/>
          <w:color w:val="000000"/>
          <w:sz w:val="20"/>
        </w:rPr>
        <w:t>of our revenues for any period presented.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Contractual Obligations</w:t>
      </w:r>
      <w:r>
        <w:rPr>
          <w:color w:val="000000"/>
        </w:rPr>
        <w:t xml:space="preserve"> — </w:t>
      </w:r>
      <w:r>
        <w:rPr>
          <w:rFonts w:ascii="Times New Roman;sans-serif" w:hAnsi="Times New Roman;sans-serif"/>
          <w:b w:val="false"/>
          <w:color w:val="000000"/>
          <w:sz w:val="20"/>
        </w:rPr>
        <w:t>There have been no material changes in the amounts of our contractual obligations from those disclosed in our 2022 Annual Report on Form 10-K. Our total net liabilities for unrecognized tax benefits including interest were $3.6 as of September 30, 2023. Based on the outcome of certain examinations or as a result of the expiration of statutes of limitations for certain jurisdictions, we believe that within the next 12 months it is reasonably possible that our previously unrecognized tax benefits could decrease by up to $1.0.</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Contingencies and Other Matters</w:t>
      </w:r>
      <w:r>
        <w:rPr>
          <w:color w:val="000000"/>
        </w:rPr>
        <w:t xml:space="preserve"> — </w:t>
      </w:r>
      <w:r>
        <w:rPr>
          <w:rFonts w:ascii="Times New Roman;sans-serif" w:hAnsi="Times New Roman;sans-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hyperlink w:anchor="if7e7c5b3c676470485408881f3b6eb73_76">
        <w:r>
          <w:rPr>
            <w:rStyle w:val="InternetLink"/>
            <w:rFonts w:ascii="Times New Roman;sans-serif" w:hAnsi="Times New Roman;sans-serif"/>
            <w:b w:val="false"/>
            <w:color w:val="0000FF"/>
            <w:sz w:val="20"/>
            <w:u w:val="single"/>
            <w:shd w:fill="FFFFFF" w:val="clear"/>
          </w:rPr>
          <w:t>Note 15</w:t>
        </w:r>
      </w:hyperlink>
      <w:r>
        <w:rPr>
          <w:color w:val="000000"/>
        </w:rPr>
        <w:t xml:space="preserve"> </w:t>
      </w:r>
      <w:r>
        <w:rPr>
          <w:rFonts w:ascii="Times New Roman;sans-serif" w:hAnsi="Times New Roman;sans-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 should read “Management’s Discussion and Analysis of Financial Condition and Results of Operations — Other Matters” herein, and “Risk Factors” in our 2022 Annual Report on Form 10-K,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Fonts w:ascii="Times New Roman;sans-serif" w:hAnsi="Times New Roman;sans-serif"/>
            <w:b w:val="false"/>
            <w:color w:val="0000FF"/>
            <w:sz w:val="20"/>
            <w:u w:val="single"/>
          </w:rPr>
          <w:t>2022 Annual Report on Form 10-K</w:t>
        </w:r>
      </w:hyperlink>
      <w:r>
        <w:rPr>
          <w:rFonts w:ascii="Times New Roman;sans-serif" w:hAnsi="Times New Roman;sans-serif"/>
          <w:b w:val="false"/>
          <w:color w:val="000000"/>
          <w:sz w:val="20"/>
        </w:rPr>
        <w:t>, the discussion within which is incorporated herein by reference</w:t>
      </w:r>
      <w:r>
        <w:rPr>
          <w:rFonts w:ascii="Times New Roman;sans-serif" w:hAnsi="Times New Roman;sans-serif"/>
          <w:b w:val="false"/>
          <w:color w:val="000000"/>
          <w:sz w:val="20"/>
          <w:shd w:fill="FFFFFF" w:val="clear"/>
        </w:rPr>
        <w:t>. We have affected no material change in either our critical accounting policies or use of estimates since the filing of our 2022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our exposure to market risk has significantly changed since December 31, 2022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SPX management, including the Chief Executive Officer and Chief Financial Officer, conducted an evaluation of the effectiveness of disclosure controls and procedures, pursuant to Exchange Act Rule 13a-15(b), as of September 30, 2023. Based on that evaluation, the Chief Executive Officer and Chief Financial Officer concluded that our disclosure controls and procedures were effective as of September 30, 2023.</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September 30, 2023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f7e7c5b3c676470485408881f3b6eb73_76">
        <w:r>
          <w:rPr>
            <w:rStyle w:val="InternetLink"/>
            <w:rFonts w:ascii="Times New Roman;sans-serif" w:hAnsi="Times New Roman;sans-serif"/>
            <w:b w:val="false"/>
            <w:color w:val="0000FF"/>
            <w:sz w:val="20"/>
            <w:u w:val="single"/>
            <w:shd w:fill="FFFFFF" w:val="clear"/>
          </w:rPr>
          <w:t>Note 15</w:t>
        </w:r>
      </w:hyperlink>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other information set forth in this report, you should carefully consider the factors discussed in Part I, “Item 1A. Risk Factors” in our </w:t>
      </w:r>
      <w:hyperlink r:id="rId3">
        <w:r>
          <w:rPr>
            <w:rStyle w:val="InternetLink"/>
            <w:rFonts w:ascii="Times New Roman;sans-serif" w:hAnsi="Times New Roman;sans-serif"/>
            <w:b w:val="false"/>
            <w:color w:val="0000FF"/>
            <w:sz w:val="20"/>
            <w:u w:val="single"/>
          </w:rPr>
          <w:t>2022 Annual Report on Form 10-K</w:t>
        </w:r>
      </w:hyperlink>
      <w:r>
        <w:rPr>
          <w:rFonts w:ascii="Times New Roman;sans-serif" w:hAnsi="Times New Roman;sans-serif"/>
          <w:b w:val="false"/>
          <w:color w:val="000000"/>
          <w:sz w:val="20"/>
        </w:rPr>
        <w:t>, which could materially affect our business, financial condition or future results.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officer of the Company adopted, modified or terminated a “Rule 10b5-1 trading arrangement” or a “non-Rule 10b5-1 trading arrangement” (as such terms are defined in Item 408 of Regulation S-K) during the three months ended September 30, 2023.</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3"/>
        <w:gridCol w:w="257"/>
        <w:gridCol w:w="259"/>
        <w:gridCol w:w="2744"/>
        <w:gridCol w:w="2744"/>
        <w:gridCol w:w="3898"/>
      </w:tblGrid>
      <w:tr>
        <w:trPr/>
        <w:tc>
          <w:tcPr>
            <w:tcW w:w="3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3.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Definitions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330"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408"/>
        <w:gridCol w:w="408"/>
        <w:gridCol w:w="408"/>
        <w:gridCol w:w="1366"/>
        <w:gridCol w:w="1366"/>
        <w:gridCol w:w="194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SPX TECHNOLOGIES,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Eugene J. Lowe, III</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A. Carano</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Vice President, Chief Financial Officer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5309" w:type="dxa"/>
        <w:jc w:val="left"/>
        <w:tblInd w:w="0" w:type="dxa"/>
        <w:tblLayout w:type="fixed"/>
        <w:tblCellMar>
          <w:top w:w="28" w:type="dxa"/>
          <w:left w:w="28" w:type="dxa"/>
          <w:bottom w:w="28" w:type="dxa"/>
          <w:right w:w="28" w:type="dxa"/>
        </w:tblCellMar>
      </w:tblPr>
      <w:tblGrid>
        <w:gridCol w:w="759"/>
        <w:gridCol w:w="668"/>
        <w:gridCol w:w="672"/>
        <w:gridCol w:w="940"/>
        <w:gridCol w:w="940"/>
        <w:gridCol w:w="133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Mark A. Carano, certify that: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509" w:type="dxa"/>
        <w:jc w:val="left"/>
        <w:tblInd w:w="0" w:type="dxa"/>
        <w:tblLayout w:type="fixed"/>
        <w:tblCellMar>
          <w:top w:w="28" w:type="dxa"/>
          <w:left w:w="28" w:type="dxa"/>
          <w:bottom w:w="28" w:type="dxa"/>
          <w:right w:w="28" w:type="dxa"/>
        </w:tblCellMar>
      </w:tblPr>
      <w:tblGrid>
        <w:gridCol w:w="759"/>
        <w:gridCol w:w="668"/>
        <w:gridCol w:w="672"/>
        <w:gridCol w:w="1290"/>
        <w:gridCol w:w="1290"/>
        <w:gridCol w:w="183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br/>
              <w:t>Vice President, Chief Financial Officer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ans-serif" w:hAnsi="Times New Roman;sans-serif"/>
          <w:b w:val="false"/>
          <w:color w:val="000000"/>
          <w:sz w:val="20"/>
        </w:rPr>
        <w:t>In connection with the Quarterly Report of SPX Technologies, Inc. on Form 10-Q for the period ended September 30, 2023,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bl>
    <w:p>
      <w:pPr>
        <w:pStyle w:val="TextBody"/>
        <w:bidi w:val="0"/>
        <w:spacing w:lineRule="auto" w:line="34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88205/000008820523000007/spxc-20221231.htm" TargetMode="External"/><Relationship Id="rId3" Type="http://schemas.openxmlformats.org/officeDocument/2006/relationships/hyperlink" Target="https://www.sec.gov/ix?doc=/Archives/edgar/data/0000088205/000008820523000007/spxc-202212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26006</Words>
  <Characters>144215</Characters>
  <CharactersWithSpaces>168917</CharactersWithSpaces>
  <Paragraphs>3160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