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20"/>
        </w:rPr>
        <w:t>September 27, 2025</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SPX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(980) 474-3700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p>
    <w:p>
      <w:pPr>
        <w:pStyle w:val="TextBody"/>
        <w:bidi w:val="0"/>
        <w:spacing w:lineRule="auto" w:line="288" w:before="0" w:after="0"/>
        <w:jc w:val="center"/>
        <w:rPr/>
      </w:pPr>
      <w:r>
        <w:rPr>
          <w:rFonts w:ascii="Times New Roman;serif" w:hAnsi="Times New Roman;serif"/>
          <w:b w:val="false"/>
          <w:color w:val="000000"/>
          <w:sz w:val="20"/>
        </w:rPr>
        <w:t xml:space="preserve">Common shares outstanding </w:t>
      </w:r>
      <w:r>
        <w:rPr>
          <w:rFonts w:ascii="Times New Roman;serif" w:hAnsi="Times New Roman;serif"/>
          <w:b w:val="false"/>
          <w:color w:val="000000"/>
          <w:sz w:val="20"/>
          <w:shd w:fill="FFFFFF" w:val="clear"/>
        </w:rPr>
        <w:t>October 24, 2025</w:t>
      </w:r>
      <w:r>
        <w:rPr>
          <w:rFonts w:ascii="Times New Roman;serif" w:hAnsi="Times New Roman;serif"/>
          <w:b w:val="false"/>
          <w:color w:val="000000"/>
          <w:sz w:val="20"/>
        </w:rPr>
        <w:t xml:space="preserve">, 49,835,573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INDEX</w:t>
      </w:r>
    </w:p>
    <w:tbl>
      <w:tblPr>
        <w:tblW w:w="8934" w:type="dxa"/>
        <w:jc w:val="center"/>
        <w:tblInd w:w="0" w:type="dxa"/>
        <w:tblLayout w:type="fixed"/>
        <w:tblCellMar>
          <w:top w:w="28" w:type="dxa"/>
          <w:left w:w="28" w:type="dxa"/>
          <w:bottom w:w="28" w:type="dxa"/>
          <w:right w:w="28" w:type="dxa"/>
        </w:tblCellMar>
      </w:tblPr>
      <w:tblGrid>
        <w:gridCol w:w="2980"/>
        <w:gridCol w:w="2625"/>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08c856d52414588616fa413053d91_10">
              <w:r>
                <w:rPr>
                  <w:rStyle w:val="InternetLink"/>
                  <w:rFonts w:ascii="Times New Roman;serif" w:hAnsi="Times New Roman;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3">
              <w:r>
                <w:rPr>
                  <w:rStyle w:val="InternetLink"/>
                  <w:rFonts w:ascii="Times New Roman;serif" w:hAnsi="Times New Roman;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6">
              <w:r>
                <w:rPr>
                  <w:rStyle w:val="InternetLink"/>
                  <w:rFonts w:ascii="Times New Roman;serif" w:hAnsi="Times New Roman;serif"/>
                  <w:b w:val="false"/>
                  <w:color w:val="0000FF"/>
                  <w:sz w:val="20"/>
                  <w:u w:val="single"/>
                </w:rPr>
                <w:t>Condensed Consolidated Statements of Operations and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6">
              <w:r>
                <w:rPr>
                  <w:rStyle w:val="InternetLink"/>
                  <w:rFonts w:ascii="Times New Roman;serif" w:hAnsi="Times New Roman;serif"/>
                  <w:b w:val="false"/>
                  <w:color w:val="0000FF"/>
                  <w:sz w:val="20"/>
                  <w:u w:val="single"/>
                </w:rPr>
                <w:t>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9">
              <w:r>
                <w:rPr>
                  <w:rStyle w:val="InternetLink"/>
                  <w:rFonts w:ascii="Times New Roman;serif" w:hAnsi="Times New Roman;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9">
              <w:r>
                <w:rPr>
                  <w:rStyle w:val="InternetLink"/>
                  <w:rFonts w:ascii="Times New Roman;serif" w:hAnsi="Times New Roman;serif"/>
                  <w:b w:val="false"/>
                  <w:color w:val="0000FF"/>
                  <w:sz w:val="20"/>
                  <w:u w:val="single"/>
                </w:rPr>
                <w:t>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08c856d52414588616fa413053d91_22">
              <w:r>
                <w:rPr>
                  <w:rStyle w:val="InternetLink"/>
                  <w:rFonts w:ascii="Times New Roman;serif" w:hAnsi="Times New Roman;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22">
              <w:r>
                <w:rPr>
                  <w:rStyle w:val="InternetLink"/>
                  <w:rFonts w:ascii="Times New Roman;serif" w:hAnsi="Times New Roman;serif"/>
                  <w:b w:val="false"/>
                  <w:color w:val="0000FF"/>
                  <w:sz w:val="20"/>
                  <w:u w:val="single"/>
                </w:rPr>
                <w:t>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25">
              <w:r>
                <w:rPr>
                  <w:rStyle w:val="InternetLink"/>
                  <w:rFonts w:ascii="Times New Roman;serif" w:hAnsi="Times New Roman;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25">
              <w:r>
                <w:rPr>
                  <w:rStyle w:val="InternetLink"/>
                  <w:rFonts w:ascii="Times New Roman;serif" w:hAnsi="Times New Roman;serif"/>
                  <w:b w:val="false"/>
                  <w:color w:val="0000FF"/>
                  <w:sz w:val="20"/>
                  <w:u w:val="single"/>
                </w:rPr>
                <w:t>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28">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28">
              <w:r>
                <w:rPr>
                  <w:rStyle w:val="InternetLink"/>
                  <w:rFonts w:ascii="Times New Roman;serif" w:hAnsi="Times New Roman;serif"/>
                  <w:b w:val="false"/>
                  <w:color w:val="0000FF"/>
                  <w:sz w:val="20"/>
                  <w:u w:val="single"/>
                </w:rPr>
                <w:t>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88">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88">
              <w:r>
                <w:rPr>
                  <w:rStyle w:val="InternetLink"/>
                  <w:rFonts w:ascii="Times New Roman;serif" w:hAnsi="Times New Roman;serif"/>
                  <w:b w:val="false"/>
                  <w:color w:val="0000FF"/>
                  <w:sz w:val="20"/>
                  <w:u w:val="single"/>
                </w:rPr>
                <w:t>34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09">
              <w:r>
                <w:rPr>
                  <w:rStyle w:val="InternetLink"/>
                  <w:rFonts w:ascii="Times New Roman;serif" w:hAnsi="Times New Roman;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09">
              <w:r>
                <w:rPr>
                  <w:rStyle w:val="InternetLink"/>
                  <w:rFonts w:ascii="Times New Roman;serif" w:hAnsi="Times New Roman;serif"/>
                  <w:b w:val="false"/>
                  <w:color w:val="0000FF"/>
                  <w:sz w:val="20"/>
                  <w:u w:val="single"/>
                </w:rPr>
                <w:t>45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12">
              <w:r>
                <w:rPr>
                  <w:rStyle w:val="InternetLink"/>
                  <w:rFonts w:ascii="Times New Roman;serif" w:hAnsi="Times New Roman;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12">
              <w:r>
                <w:rPr>
                  <w:rStyle w:val="InternetLink"/>
                  <w:rFonts w:ascii="Times New Roman;serif" w:hAnsi="Times New Roman;serif"/>
                  <w:b w:val="false"/>
                  <w:color w:val="0000FF"/>
                  <w:sz w:val="20"/>
                  <w:u w:val="single"/>
                </w:rPr>
                <w:t>45</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08c856d52414588616fa413053d91_115">
              <w:r>
                <w:rPr>
                  <w:rStyle w:val="InternetLink"/>
                  <w:rFonts w:ascii="Times New Roman;serif" w:hAnsi="Times New Roman;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18">
              <w:r>
                <w:rPr>
                  <w:rStyle w:val="InternetLink"/>
                  <w:rFonts w:ascii="Times New Roman;serif" w:hAnsi="Times New Roman;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18">
              <w:r>
                <w:rPr>
                  <w:rStyle w:val="InternetLink"/>
                  <w:rFonts w:ascii="Times New Roman;serif" w:hAnsi="Times New Roman;serif"/>
                  <w:b w:val="false"/>
                  <w:color w:val="0000FF"/>
                  <w:sz w:val="20"/>
                  <w:u w:val="single"/>
                </w:rPr>
                <w:t>46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21">
              <w:r>
                <w:rPr>
                  <w:rStyle w:val="InternetLink"/>
                  <w:rFonts w:ascii="Times New Roman;serif" w:hAnsi="Times New Roman;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21">
              <w:r>
                <w:rPr>
                  <w:rStyle w:val="InternetLink"/>
                  <w:rFonts w:ascii="Times New Roman;serif" w:hAnsi="Times New Roman;serif"/>
                  <w:b w:val="false"/>
                  <w:color w:val="0000FF"/>
                  <w:sz w:val="20"/>
                  <w:u w:val="single"/>
                </w:rPr>
                <w:t>46</w:t>
              </w:r>
            </w:hyperlink>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27">
              <w:r>
                <w:rPr>
                  <w:rStyle w:val="InternetLink"/>
                  <w:rFonts w:ascii="Times New Roman;serif" w:hAnsi="Times New Roman;serif"/>
                  <w:b w:val="false"/>
                  <w:color w:val="0000FF"/>
                  <w:sz w:val="20"/>
                  <w:u w:val="single"/>
                </w:rPr>
                <w:t>Item 5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27">
              <w:r>
                <w:rPr>
                  <w:rStyle w:val="InternetLink"/>
                  <w:rFonts w:ascii="Times New Roman;serif" w:hAnsi="Times New Roman;serif"/>
                  <w:b w:val="false"/>
                  <w:color w:val="0000FF"/>
                  <w:sz w:val="20"/>
                  <w:u w:val="single"/>
                </w:rPr>
                <w:t>46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c308c856d52414588616fa413053d91_133">
              <w:r>
                <w:rPr>
                  <w:rStyle w:val="InternetLink"/>
                  <w:rFonts w:ascii="Times New Roman;serif" w:hAnsi="Times New Roman;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33">
              <w:r>
                <w:rPr>
                  <w:rStyle w:val="InternetLink"/>
                  <w:rFonts w:ascii="Times New Roman;serif" w:hAnsi="Times New Roman;serif"/>
                  <w:b w:val="false"/>
                  <w:color w:val="0000FF"/>
                  <w:sz w:val="20"/>
                  <w:u w:val="single"/>
                </w:rPr>
                <w:t>47</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08c856d52414588616fa413053d91_136">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08c856d52414588616fa413053d91_136">
              <w:r>
                <w:rPr>
                  <w:rStyle w:val="InternetLink"/>
                  <w:rFonts w:ascii="Times New Roman;serif" w:hAnsi="Times New Roman;serif"/>
                  <w:b w:val="false"/>
                  <w:color w:val="0000FF"/>
                  <w:sz w:val="20"/>
                  <w:u w:val="single"/>
                </w:rPr>
                <w:t>48</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726"/>
        <w:gridCol w:w="1475"/>
        <w:gridCol w:w="1480"/>
        <w:gridCol w:w="254"/>
        <w:gridCol w:w="722"/>
        <w:gridCol w:w="142"/>
        <w:gridCol w:w="109"/>
        <w:gridCol w:w="109"/>
        <w:gridCol w:w="109"/>
        <w:gridCol w:w="254"/>
        <w:gridCol w:w="722"/>
        <w:gridCol w:w="142"/>
        <w:gridCol w:w="109"/>
        <w:gridCol w:w="109"/>
        <w:gridCol w:w="109"/>
        <w:gridCol w:w="221"/>
        <w:gridCol w:w="783"/>
        <w:gridCol w:w="122"/>
        <w:gridCol w:w="109"/>
        <w:gridCol w:w="109"/>
        <w:gridCol w:w="109"/>
        <w:gridCol w:w="220"/>
        <w:gridCol w:w="779"/>
        <w:gridCol w:w="182"/>
      </w:tblGrid>
      <w:tr>
        <w:trPr/>
        <w:tc>
          <w:tcPr>
            <w:tcW w:w="172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amendment/refinancing of senior credit agreement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disposition of discontinued operations, net of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income per share of common stock:</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 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income per share of common stock:</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from continuing operations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 diluted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63"/>
        <w:gridCol w:w="2321"/>
        <w:gridCol w:w="2337"/>
        <w:gridCol w:w="209"/>
        <w:gridCol w:w="739"/>
        <w:gridCol w:w="116"/>
        <w:gridCol w:w="109"/>
        <w:gridCol w:w="109"/>
        <w:gridCol w:w="109"/>
        <w:gridCol w:w="204"/>
        <w:gridCol w:w="723"/>
        <w:gridCol w:w="166"/>
      </w:tblGrid>
      <w:tr>
        <w:trPr/>
        <w:tc>
          <w:tcPr>
            <w:tcW w:w="306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Assets of DBT and Heat Transfer (includes cash and equivalents of $2.0 and $4.5 at September 27, 2025 and December 31, 2024, respectively) (Note 3)</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of DBT and Heat Transfer (Note 3)</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15)</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(57,535,118 and 49,828,522 issued and outstanding at September 27, 2025, respectively, and 54,196,620 and 46,368,240 issued and outstanding at December 31, 2024, respectively)</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in treasury (7,706,596 and 7,828,380 shares at September 27, 2025 and December 31, 2024, respectively)</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9"/>
        <w:gridCol w:w="480"/>
        <w:gridCol w:w="484"/>
        <w:gridCol w:w="239"/>
        <w:gridCol w:w="459"/>
        <w:gridCol w:w="134"/>
        <w:gridCol w:w="109"/>
        <w:gridCol w:w="109"/>
        <w:gridCol w:w="109"/>
        <w:gridCol w:w="202"/>
        <w:gridCol w:w="715"/>
        <w:gridCol w:w="112"/>
        <w:gridCol w:w="109"/>
        <w:gridCol w:w="109"/>
        <w:gridCol w:w="109"/>
        <w:gridCol w:w="215"/>
        <w:gridCol w:w="612"/>
        <w:gridCol w:w="120"/>
        <w:gridCol w:w="109"/>
        <w:gridCol w:w="109"/>
        <w:gridCol w:w="109"/>
        <w:gridCol w:w="332"/>
        <w:gridCol w:w="944"/>
        <w:gridCol w:w="186"/>
        <w:gridCol w:w="109"/>
        <w:gridCol w:w="109"/>
        <w:gridCol w:w="109"/>
        <w:gridCol w:w="233"/>
        <w:gridCol w:w="700"/>
        <w:gridCol w:w="129"/>
        <w:gridCol w:w="109"/>
        <w:gridCol w:w="109"/>
        <w:gridCol w:w="109"/>
        <w:gridCol w:w="241"/>
        <w:gridCol w:w="853"/>
        <w:gridCol w:w="201"/>
      </w:tblGrid>
      <w:tr>
        <w:trPr/>
        <w:tc>
          <w:tcPr>
            <w:tcW w:w="9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27, 2025</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28, 2025</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underwritten public offering, net of offering costs of $23.9</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27, 2025</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0"/>
        <w:gridCol w:w="526"/>
        <w:gridCol w:w="528"/>
        <w:gridCol w:w="239"/>
        <w:gridCol w:w="459"/>
        <w:gridCol w:w="134"/>
        <w:gridCol w:w="109"/>
        <w:gridCol w:w="109"/>
        <w:gridCol w:w="109"/>
        <w:gridCol w:w="202"/>
        <w:gridCol w:w="715"/>
        <w:gridCol w:w="112"/>
        <w:gridCol w:w="109"/>
        <w:gridCol w:w="109"/>
        <w:gridCol w:w="109"/>
        <w:gridCol w:w="215"/>
        <w:gridCol w:w="612"/>
        <w:gridCol w:w="120"/>
        <w:gridCol w:w="109"/>
        <w:gridCol w:w="109"/>
        <w:gridCol w:w="109"/>
        <w:gridCol w:w="332"/>
        <w:gridCol w:w="944"/>
        <w:gridCol w:w="186"/>
        <w:gridCol w:w="109"/>
        <w:gridCol w:w="109"/>
        <w:gridCol w:w="109"/>
        <w:gridCol w:w="233"/>
        <w:gridCol w:w="700"/>
        <w:gridCol w:w="129"/>
        <w:gridCol w:w="109"/>
        <w:gridCol w:w="109"/>
        <w:gridCol w:w="109"/>
        <w:gridCol w:w="241"/>
        <w:gridCol w:w="853"/>
        <w:gridCol w:w="200"/>
      </w:tblGrid>
      <w:tr>
        <w:trPr/>
        <w:tc>
          <w:tcPr>
            <w:tcW w:w="89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27, 2025</w:t>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underwritten public offering, net of offering costs of $23.9</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27, 2025</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3"/>
        <w:gridCol w:w="442"/>
        <w:gridCol w:w="38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3"/>
      </w:tblGrid>
      <w:tr>
        <w:trPr/>
        <w:tc>
          <w:tcPr>
            <w:tcW w:w="77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28, 2024</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29, 2024</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28, 2024</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2"/>
        <w:gridCol w:w="424"/>
        <w:gridCol w:w="42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2"/>
      </w:tblGrid>
      <w:tr>
        <w:trPr/>
        <w:tc>
          <w:tcPr>
            <w:tcW w:w="7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28, 2024</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28, 2024</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SPX TECHNOLOGIES, INC.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874"/>
        <w:gridCol w:w="2400"/>
        <w:gridCol w:w="2418"/>
        <w:gridCol w:w="243"/>
        <w:gridCol w:w="690"/>
        <w:gridCol w:w="136"/>
        <w:gridCol w:w="109"/>
        <w:gridCol w:w="109"/>
        <w:gridCol w:w="109"/>
        <w:gridCol w:w="240"/>
        <w:gridCol w:w="684"/>
        <w:gridCol w:w="193"/>
      </w:tblGrid>
      <w:tr>
        <w:trPr/>
        <w:tc>
          <w:tcPr>
            <w:tcW w:w="2874"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operating activities:</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from discontinued operations, net of tax</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from continuing operations to net cash from operating activities: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change in fair value of equity security</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amendment/refinancing of senior credit agreement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compensation expense related to acquisition (Refer to Note 3)</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employee benefits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acquisitions and divestitures: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other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related to employee retention agreements from acquisition (Refer to Note 3)</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spending on restructuring actions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continuing operations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discontinued operations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operating activities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investing activities: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Proceeds/borrowings (repayments) related to company-owned life insurance policies, net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continuing operations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discontinued operations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financing activities: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senior credit facilities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senior credit facilities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trade receivables arrangement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trade receivables arrangement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 (repayments) under other financing arrangements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withholdings paid on behalf of employees for net share settlements, net of proceeds from the exercise of employee stock options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of issuance of common stock in underwritten public offering, net of offering costs of $23.9</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fees paid</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continuing operations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(used in) discontinued operations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financing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equivalents due to changes in foreign currency exchange rates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equivalents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cash and equivalents, beginning of period</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cash and equivalents, end of period</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80" w:type="dxa"/>
        <w:jc w:val="center"/>
        <w:tblInd w:w="0" w:type="dxa"/>
        <w:tblLayout w:type="fixed"/>
        <w:tblCellMar>
          <w:top w:w="28" w:type="dxa"/>
          <w:left w:w="28" w:type="dxa"/>
          <w:bottom w:w="28" w:type="dxa"/>
          <w:right w:w="28" w:type="dxa"/>
        </w:tblCellMar>
      </w:tblPr>
      <w:tblGrid>
        <w:gridCol w:w="1748"/>
        <w:gridCol w:w="1538"/>
        <w:gridCol w:w="1543"/>
        <w:gridCol w:w="259"/>
        <w:gridCol w:w="736"/>
        <w:gridCol w:w="145"/>
        <w:gridCol w:w="109"/>
        <w:gridCol w:w="109"/>
        <w:gridCol w:w="109"/>
        <w:gridCol w:w="256"/>
        <w:gridCol w:w="727"/>
        <w:gridCol w:w="201"/>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Components of cash and equivalents: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 included in assets of DBT and Heat Transfer</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equivalents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“we,” “us” and “our” mean SPX Technologies, Inc. and its consolidated subsidiaries (“SPX”).</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10-Q.</w:t>
      </w:r>
    </w:p>
    <w:p>
      <w:pPr>
        <w:pStyle w:val="TextBody"/>
        <w:bidi w:val="0"/>
        <w:spacing w:lineRule="auto" w:line="276" w:before="0" w:after="0"/>
        <w:jc w:val="both"/>
        <w:rPr/>
      </w:pPr>
      <w:r>
        <w:rPr>
          <w:rFonts w:ascii="Times New Roman;serif" w:hAnsi="Times New Roman;serif"/>
          <w:b/>
          <w:color w:val="000000"/>
          <w:sz w:val="20"/>
        </w:rPr>
        <w:t xml:space="preserve">Acquisition of </w:t>
      </w:r>
      <w:r>
        <w:rPr>
          <w:rFonts w:ascii="Times New Roman;serif" w:hAnsi="Times New Roman;serif"/>
          <w:b/>
          <w:color w:val="000000"/>
          <w:sz w:val="20"/>
          <w:shd w:fill="FFFFFF" w:val="clear"/>
        </w:rPr>
        <w:t>Ingénia</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$292.0, net of (i) an adjustment to the purchase price of $2.1 received during the third quarter of 2024 related to acquired working capital and (ii) cash acquired of $1.5. The post-acquisition operating results of Ingénia are reflected within our HVAC reportable segment.</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KTS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2025, we completed the acquisition of Kranze Technology Solutions, Inc. (“KTS”) which specializes in digital interoperability and tactical networking solutions, primarily for the defense industry. We purchased KTS for net cash consideration of $340.0, inclusive of amounts related to future service obligations of certain existing employees of $46.5 and net of an adjustment to the purchase price of $2.4 received during the third quarter of 2025 related to acquired working capital. The post-acquisition operating results of KTS are reflected within our Detection and Measurement reportable segment. We financed the acquisition with available borrowings on our revolving credit facilities under our senior credit facilities. </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Sigma &amp; Omega</w:t>
      </w:r>
    </w:p>
    <w:p>
      <w:pPr>
        <w:pStyle w:val="TextBody"/>
        <w:bidi w:val="0"/>
        <w:spacing w:lineRule="auto" w:line="276" w:before="160" w:after="160"/>
        <w:ind w:left="0" w:right="0" w:firstLine="720"/>
        <w:jc w:val="both"/>
        <w:rPr/>
      </w:pPr>
      <w:r>
        <w:rPr>
          <w:rFonts w:ascii="Times New Roman;serif" w:hAnsi="Times New Roman;serif"/>
          <w:b w:val="false"/>
          <w:color w:val="000000"/>
          <w:sz w:val="20"/>
          <w:shd w:fill="FFFFFF" w:val="clear"/>
        </w:rPr>
        <w:t>On April 15, 2025, we completed the acquisition of Sigma Heating and Cooling and Omega Heat Pump (“</w:t>
      </w:r>
      <w:r>
        <w:rPr>
          <w:rFonts w:ascii="Times New Roman;serif" w:hAnsi="Times New Roman;serif"/>
          <w:b w:val="false"/>
          <w:color w:val="000000"/>
          <w:sz w:val="20"/>
        </w:rPr>
        <w:t>Sigma &amp; Omega</w:t>
      </w:r>
      <w:r>
        <w:rPr>
          <w:color w:val="000000"/>
          <w:shd w:fill="FFFFFF" w:val="clear"/>
        </w:rPr>
        <w:t>”</w:t>
      </w:r>
      <w:r>
        <w:rPr>
          <w:rFonts w:ascii="Times New Roman;serif" w:hAnsi="Times New Roman;serif"/>
          <w:b w:val="false"/>
          <w:color w:val="000000"/>
          <w:sz w:val="20"/>
          <w:shd w:fill="FFFFFF" w:val="clear"/>
        </w:rPr>
        <w:t>) which specialize in highly engineered hydronic heating and cooling equipment, including vertical stack heat pumps and fan coils, institutional heating products, and both air-cooled and water-cooled commercial self-contained units. We purchased</w:t>
      </w:r>
      <w:r>
        <w:rPr>
          <w:color w:val="000000"/>
        </w:rPr>
        <w:t xml:space="preserve"> </w:t>
      </w:r>
      <w:r>
        <w:rPr>
          <w:rFonts w:ascii="Times New Roman;serif" w:hAnsi="Times New Roman;serif"/>
          <w:b w:val="false"/>
          <w:color w:val="000000"/>
          <w:sz w:val="20"/>
        </w:rPr>
        <w:t>Sigma &amp; Omega for</w:t>
      </w:r>
      <w:r>
        <w:rPr>
          <w:color w:val="000000"/>
          <w:shd w:fill="FFFFFF" w:val="clear"/>
        </w:rPr>
        <w:t xml:space="preserve"> </w:t>
      </w:r>
      <w:r>
        <w:rPr>
          <w:rFonts w:ascii="Times New Roman;serif" w:hAnsi="Times New Roman;serif"/>
          <w:b w:val="false"/>
          <w:color w:val="000000"/>
          <w:sz w:val="20"/>
          <w:shd w:fill="FFFFFF" w:val="clear"/>
        </w:rPr>
        <w:t xml:space="preserve">cash consideration of $143.6, net of cash acquired of $0.2. </w:t>
      </w:r>
      <w:r>
        <w:rPr>
          <w:rFonts w:ascii="Times New Roman;serif" w:hAnsi="Times New Roman;serif"/>
          <w:b w:val="false"/>
          <w:color w:val="000000"/>
          <w:sz w:val="20"/>
        </w:rPr>
        <w:t>The purchase price is subject to adjustment based on the final calculation of working capital and cash as of the date of acquisition.</w:t>
      </w:r>
      <w:r>
        <w:rPr>
          <w:color w:val="000000"/>
          <w:shd w:fill="FFFFFF" w:val="clear"/>
        </w:rPr>
        <w:t xml:space="preserve"> </w:t>
      </w:r>
      <w:r>
        <w:rPr>
          <w:rFonts w:ascii="Times New Roman;serif" w:hAnsi="Times New Roman;serif"/>
          <w:b w:val="false"/>
          <w:color w:val="000000"/>
          <w:sz w:val="20"/>
          <w:shd w:fill="FFFFFF" w:val="clear"/>
        </w:rPr>
        <w:t>The acquisition was financed primarily through cash on hand, supplemented by borrowings on our revolving credit facilities under our senior credit facilities. The post-acquisition operating results of Sigma &amp; Omega are reflected within our HVAC reportable segment.</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assets acquired and liabilities assumed in the KTS and Sigma &amp; Omega transactions have been recorded at estimates of fair value as determined by management, based on information available and assumptions as to future operations and are subject to change, primarily for the final assessment and valuation of certain tax amounts and other judgmental reserves.</w:t>
      </w:r>
    </w:p>
    <w:p>
      <w:pPr>
        <w:pStyle w:val="TextBody"/>
        <w:bidi w:val="0"/>
        <w:spacing w:before="0" w:after="20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2024 (“our 2024 Annual Report on Form 10-K”). Interim results are not necessarily indicative of full year results.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2025 are March 29, June 28, and September 27, compared to the respective March 30, June 29, and September 28 dates of 2024. We had two less days in the first quarter of 2025 and will have one more day in the fourth quarter of 2025 than in the respective 2024 periods. It is not practicable to estimate the impact of the two less days on our consolidated operating results for the nine months ended September 27, 2025, when compared to the consolidated operating results for the respective 2024 period.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NEW ACCOUNTING PRONOUNCEMENTS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new accounting pronouncements that apply or may apply to our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our consolidated financial position, results of operations or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our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our consolidated financial position, results of operations or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which replaces the stage-based capitalization model for the treatment of development costs of internal-use software with a principles-based framework, reflecting modern software development practices. In addition, ASU 2025-06 requires companies to capitalize software costs once management authorizes and commits to funding with probable completion and use. ASU 2025-06 will be effective for annual reporting periods beginning after December 15, 2027, and for interim periods within annual reporting periods within those annual reporting periods, and allows multiple transition methods, including retrospective, prospective, or modified prospective application, with early adoption permitted. We are currently evaluating the impact of ASU 2025-06 on our consolidated financial position, results of operations and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(3)    ACQUISITIONS AND DISCONTINUED OPERATIONS</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10-Q. During the nine months ended September 27, 2025, cash outflows, net of cash acquired, related to this activity totaled $8.2. The post-acquisition operating results are reflected within our HVAC reportable segment and have no significant impact to our financial outlook and end markets.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Sigma &amp; Omega</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As indicated in Note 1, on April 15, 2025, we completed the acquisition of Sigma &amp; Omega for cash consideration of $143.6, net of cash acquired of $0.2. </w:t>
      </w:r>
      <w:r>
        <w:rPr>
          <w:rFonts w:ascii="Times New Roman;serif" w:hAnsi="Times New Roman;serif"/>
          <w:b w:val="false"/>
          <w:color w:val="000000"/>
          <w:sz w:val="20"/>
        </w:rPr>
        <w:t xml:space="preserve">The purchase price is subject to adjustment based on the final calculation of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and cash as of the date of acquisition. The pro forma effect of this acquisition is not material to our condensed consolidated results of operations. </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preliminary fair values of the assets acquired and liabilities assumed for Sigma &amp; Omega as of April 15, 2025:</w:t>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including cash and equivalents of $0.2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consis</w:t>
      </w:r>
      <w:r>
        <w:rPr>
          <w:rFonts w:ascii="Times New Roman;serif" w:hAnsi="Times New Roman;serif"/>
          <w:b w:val="false"/>
          <w:color w:val="000000"/>
          <w:sz w:val="20"/>
          <w:shd w:fill="FFFFFF" w:val="clear"/>
        </w:rPr>
        <w:t>t of customer relationships, customer backlog, technology, and definite-lived trademarks of $56.3, $8.9, $8.5, and $3.9, respectively, with suc</w:t>
      </w:r>
      <w:r>
        <w:rPr>
          <w:rFonts w:ascii="Times New Roman;serif" w:hAnsi="Times New Roman;serif"/>
          <w:b w:val="false"/>
          <w:color w:val="000000"/>
          <w:sz w:val="20"/>
        </w:rPr>
        <w:t xml:space="preserve">h amounts based on an assessment of the related fair values. We expect to amortize the </w:t>
      </w:r>
      <w:r>
        <w:rPr>
          <w:rFonts w:ascii="Times New Roman;serif" w:hAnsi="Times New Roman;serif"/>
          <w:b w:val="false"/>
          <w:color w:val="000000"/>
          <w:sz w:val="20"/>
          <w:shd w:fill="FFFFFF" w:val="clear"/>
        </w:rPr>
        <w:t>customer relationships, customer backlog, technology, and definite-lived trademarks</w:t>
      </w:r>
      <w:r>
        <w:rPr>
          <w:color w:val="000000"/>
        </w:rPr>
        <w:t xml:space="preserve"> </w:t>
      </w:r>
      <w:r>
        <w:rPr>
          <w:rFonts w:ascii="Times New Roman;serif" w:hAnsi="Times New Roman;serif"/>
          <w:b w:val="false"/>
          <w:color w:val="000000"/>
          <w:sz w:val="20"/>
        </w:rPr>
        <w:t xml:space="preserve">over </w:t>
      </w:r>
      <w:r>
        <w:rPr>
          <w:rFonts w:ascii="Times New Roman;serif" w:hAnsi="Times New Roman;serif"/>
          <w:b w:val="false"/>
          <w:color w:val="000000"/>
          <w:sz w:val="20"/>
          <w:shd w:fill="FFFFFF" w:val="clear"/>
        </w:rPr>
        <w:t xml:space="preserve">11.0, 1.0, 9.0, and 8.0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w:t>
      </w:r>
      <w:r>
        <w:rPr>
          <w:rFonts w:ascii="Times New Roman;serif" w:hAnsi="Times New Roman;serif"/>
          <w:b w:val="false"/>
          <w:color w:val="000000"/>
          <w:sz w:val="20"/>
          <w:shd w:fill="FFFFFF" w:val="clear"/>
        </w:rPr>
        <w:t>ss receivables of $9.6, which had a fair value of $9.3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include expected domestic and global market growth for Sigma &amp; Omega's existing operations, increased volumes achieved by selling Sigma &amp; Omega products through existing SPX sales channels, procurement and operational savings and efficiencies, and various other factors.</w:t>
      </w:r>
      <w:r>
        <w:rPr>
          <w:color w:val="000000"/>
        </w:rPr>
        <w:t xml:space="preserve"> </w:t>
      </w:r>
      <w:r>
        <w:rPr>
          <w:rFonts w:ascii="Times New Roman;serif" w:hAnsi="Times New Roman;serif"/>
          <w:b w:val="false"/>
          <w:color w:val="000000"/>
          <w:sz w:val="20"/>
        </w:rPr>
        <w:t>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We recognized revenues and net losses </w:t>
      </w:r>
      <w:r>
        <w:rPr>
          <w:rFonts w:ascii="Times New Roman;serif" w:hAnsi="Times New Roman;serif"/>
          <w:b w:val="false"/>
          <w:color w:val="000000"/>
          <w:sz w:val="20"/>
        </w:rPr>
        <w:t>for Sigma &amp; Omega of $20.1 and $0.3, and $35.2 and $0.7, respectively, for the three and nine months ended September 27, 2025, with the net losses i</w:t>
      </w:r>
      <w:r>
        <w:rPr>
          <w:rFonts w:ascii="Times New Roman;serif" w:hAnsi="Times New Roman;serif"/>
          <w:b w:val="false"/>
          <w:color w:val="000000"/>
          <w:sz w:val="20"/>
          <w:shd w:fill="FFFFFF" w:val="clear"/>
        </w:rPr>
        <w:t xml:space="preserve">mpacted by charges during the three and nine months ended September 27, 2025 of $5.0 and $9.4, respectively, associated with amortization of the various intangible assets mentioned above and $0.1 associated with the excess fair value (over historical cost) of inventory acquired which was subsequently sold.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Acquisition of KTS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indicated in Note 1, on January 27, 2025, we completed the acquisition of KTS for net cash consideration of $340.0, inclusive of amounts paid related to future service obligations of certain employees of $46.5 described further below and net of an adjustment to the purchase price of $2.4 received during the third quarter of 2025 related to acquired working capital. We financed the acquisition with available borrowings on our revolving credit facilities under our senior credit facilities. The excess of the purchase price over the total of the fair values assigned to tangible and identifiable intangible assets acquired and liabilities assumed is recognized as goodwill.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the acquisition of KTS, and as required by the acquisition agreement, we assumed employee retention agreements with certain employees, totaling $46.5, that include future service obligations. In the event employees forfeit any amounts under the terms of the agreements, such amounts are due to the seller of KTS. We funded the amounts related to these retention agreements through a reduction in the purchase price, with $46.5 paid into an escrow account at the time of the acquisition closing, as required by the acquisition agreement. The deferred compensation assets related to these agreements will be amortized over the agreement terms which range from 2 to 8 years. During the three and nine months ended September 27, 2025, we recognized compensation costs of $6.5 and $17.4, respectively, </w:t>
      </w:r>
      <w:r>
        <w:rPr>
          <w:rFonts w:ascii="Times New Roman;serif" w:hAnsi="Times New Roman;serif"/>
          <w:b w:val="false"/>
          <w:color w:val="000000"/>
          <w:sz w:val="20"/>
          <w:shd w:fill="FFFFFF" w:val="clear"/>
        </w:rPr>
        <w:t>which have been recorded to “Selling, general and administrative” within our condensed consolidated statements of operations,</w:t>
      </w:r>
      <w:r>
        <w:rPr>
          <w:color w:val="000000"/>
        </w:rPr>
        <w:t xml:space="preserve"> </w:t>
      </w:r>
      <w:r>
        <w:rPr>
          <w:rFonts w:ascii="Times New Roman;serif" w:hAnsi="Times New Roman;serif"/>
          <w:b w:val="false"/>
          <w:color w:val="000000"/>
          <w:sz w:val="20"/>
        </w:rPr>
        <w:t xml:space="preserve">related to such retention agreements. The remaining deferred compensation assets of $15.6 and $13.5 are recorded within </w:t>
      </w:r>
      <w:r>
        <w:rPr>
          <w:color w:val="000000"/>
          <w:shd w:fill="FFFFFF" w:val="clear"/>
        </w:rPr>
        <w:t>“</w:t>
      </w:r>
      <w:r>
        <w:rPr>
          <w:rFonts w:ascii="Times New Roman;serif" w:hAnsi="Times New Roman;serif"/>
          <w:b w:val="false"/>
          <w:color w:val="000000"/>
          <w:sz w:val="20"/>
        </w:rPr>
        <w:t>Other current assets</w:t>
      </w:r>
      <w:r>
        <w:rPr>
          <w:color w:val="000000"/>
          <w:shd w:fill="FFFFFF" w:val="clear"/>
        </w:rPr>
        <w:t>”</w:t>
      </w:r>
      <w:r>
        <w:rPr>
          <w:color w:val="000000"/>
        </w:rPr>
        <w:t xml:space="preserve"> </w:t>
      </w:r>
      <w:r>
        <w:rPr>
          <w:rFonts w:ascii="Times New Roman;serif" w:hAnsi="Times New Roman;serif"/>
          <w:b w:val="false"/>
          <w:color w:val="000000"/>
          <w:sz w:val="20"/>
        </w:rPr>
        <w:t xml:space="preserve">and </w:t>
      </w:r>
      <w:r>
        <w:rPr>
          <w:color w:val="000000"/>
          <w:shd w:fill="FFFFFF" w:val="clear"/>
        </w:rPr>
        <w:t>“</w:t>
      </w:r>
      <w:r>
        <w:rPr>
          <w:rFonts w:ascii="Times New Roman;serif" w:hAnsi="Times New Roman;serif"/>
          <w:b w:val="false"/>
          <w:color w:val="000000"/>
          <w:sz w:val="20"/>
        </w:rPr>
        <w:t>Other assets</w:t>
      </w:r>
      <w:r>
        <w:rPr>
          <w:color w:val="000000"/>
          <w:shd w:fill="FFFFFF" w:val="clear"/>
        </w:rPr>
        <w:t>”</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rPr>
        <w:t xml:space="preserve">within our condensed consolidated balance sheet as of September 27, 2025.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preliminary fair values of the assets acquired and liabilities assumed for KTS as of January 27, 2025:</w:t>
      </w:r>
    </w:p>
    <w:p>
      <w:pPr>
        <w:pStyle w:val="TextBody"/>
        <w:bidi w:val="0"/>
        <w:spacing w:before="0" w:after="0"/>
        <w:ind w:left="0" w:right="0" w:firstLine="720"/>
        <w:jc w:val="both"/>
        <w:rPr/>
      </w:pPr>
      <w:r>
        <w:rPr/>
      </w:r>
    </w:p>
    <w:tbl>
      <w:tblPr>
        <w:tblW w:w="3482"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196"/>
        <w:gridCol w:w="55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Current assets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assets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w:t>
      </w:r>
      <w:r>
        <w:rPr>
          <w:color w:val="000000"/>
          <w:shd w:fill="FFFFFF" w:val="clear"/>
        </w:rPr>
        <w:t xml:space="preserve"> </w:t>
      </w:r>
      <w:r>
        <w:rPr>
          <w:rFonts w:ascii="Times New Roman;serif" w:hAnsi="Times New Roman;serif"/>
          <w:b w:val="false"/>
          <w:color w:val="000000"/>
          <w:sz w:val="18"/>
          <w:shd w:fill="FFFFFF" w:val="clear"/>
        </w:rPr>
        <w:t xml:space="preserve">$26.2 </w:t>
      </w:r>
      <w:r>
        <w:rPr>
          <w:rFonts w:ascii="Times New Roman;serif" w:hAnsi="Times New Roman;serif"/>
          <w:b w:val="false"/>
          <w:color w:val="000000"/>
          <w:sz w:val="18"/>
        </w:rPr>
        <w:t>and $20.3 within “Current assets” and “Other assets”, respectively, for deferred compensation assets related to the employee retention agreements discussed previously.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consis</w:t>
      </w:r>
      <w:r>
        <w:rPr>
          <w:rFonts w:ascii="Times New Roman;serif" w:hAnsi="Times New Roman;serif"/>
          <w:b w:val="false"/>
          <w:color w:val="000000"/>
          <w:sz w:val="20"/>
          <w:shd w:fill="FFFFFF" w:val="clear"/>
        </w:rPr>
        <w:t>t of technology, customer relationships and contracts, trademarks, and customer backlog of $79.8, $70.7, $6.7, and $7.3, respectively, with suc</w:t>
      </w:r>
      <w:r>
        <w:rPr>
          <w:rFonts w:ascii="Times New Roman;serif" w:hAnsi="Times New Roman;serif"/>
          <w:b w:val="false"/>
          <w:color w:val="000000"/>
          <w:sz w:val="20"/>
        </w:rPr>
        <w:t xml:space="preserve">h amounts based on an assessment of the related fair values. We expect to amortize the </w:t>
      </w:r>
      <w:r>
        <w:rPr>
          <w:rFonts w:ascii="Times New Roman;serif" w:hAnsi="Times New Roman;serif"/>
          <w:b w:val="false"/>
          <w:color w:val="000000"/>
          <w:sz w:val="20"/>
          <w:shd w:fill="FFFFFF" w:val="clear"/>
        </w:rPr>
        <w:t>technology, customer relationships and contracts, trademarks, and customer backlog</w:t>
      </w:r>
      <w:r>
        <w:rPr>
          <w:color w:val="000000"/>
        </w:rPr>
        <w:t xml:space="preserve"> </w:t>
      </w:r>
      <w:r>
        <w:rPr>
          <w:rFonts w:ascii="Times New Roman;serif" w:hAnsi="Times New Roman;serif"/>
          <w:b w:val="false"/>
          <w:color w:val="000000"/>
          <w:sz w:val="20"/>
        </w:rPr>
        <w:t>assets ove</w:t>
      </w:r>
      <w:r>
        <w:rPr>
          <w:rFonts w:ascii="Times New Roman;serif" w:hAnsi="Times New Roman;serif"/>
          <w:b w:val="false"/>
          <w:color w:val="000000"/>
          <w:sz w:val="20"/>
          <w:shd w:fill="FFFFFF" w:val="clear"/>
        </w:rPr>
        <w:t xml:space="preserve">r 12.0, 15.0, 9.0, and 2.0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w:t>
      </w:r>
      <w:r>
        <w:rPr>
          <w:rFonts w:ascii="Times New Roman;serif" w:hAnsi="Times New Roman;serif"/>
          <w:b w:val="false"/>
          <w:color w:val="000000"/>
          <w:sz w:val="20"/>
          <w:shd w:fill="FFFFFF" w:val="clear"/>
        </w:rPr>
        <w:t>ss receivables of $7.2, which had the same fair value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include expected domestic and global market growth for KTS's existing operations, increased volumes achieved through product synergies with existing SPX businesses, procurement and operational savings and efficiencies, and various other factors.</w:t>
      </w:r>
      <w:r>
        <w:rPr>
          <w:color w:val="000000"/>
        </w:rPr>
        <w:t xml:space="preserve"> </w:t>
      </w:r>
      <w:r>
        <w:rPr>
          <w:rFonts w:ascii="Times New Roman;serif" w:hAnsi="Times New Roman;serif"/>
          <w:b w:val="false"/>
          <w:color w:val="000000"/>
          <w:sz w:val="20"/>
        </w:rPr>
        <w:t>We expect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We recognized revenues an</w:t>
      </w:r>
      <w:r>
        <w:rPr>
          <w:rFonts w:ascii="Times New Roman;serif" w:hAnsi="Times New Roman;serif"/>
          <w:b w:val="false"/>
          <w:color w:val="000000"/>
          <w:sz w:val="20"/>
        </w:rPr>
        <w:t>d net losses for KTS of $17.3 and $6.6, and $47.4 and $15.5, respectively, for the three and nine months ended September 27, 2025, with the net losses i</w:t>
      </w:r>
      <w:r>
        <w:rPr>
          <w:rFonts w:ascii="Times New Roman;serif" w:hAnsi="Times New Roman;serif"/>
          <w:b w:val="false"/>
          <w:color w:val="000000"/>
          <w:sz w:val="20"/>
          <w:shd w:fill="FFFFFF" w:val="clear"/>
        </w:rPr>
        <w:t>mpacted by charges during the three and nine months ended September 27, 2025 of (i) $6.5 and $17.4, respectively, for amortization of compensation costs related to acquired retention agreements, (ii) $5.5 and $14.7, respectively, associated with amortization of the various intangible assets mentioned above, and (iii) $0.5 and $1.3, respectively, associated with the excess fair value (over historical cost) of inventory acquired which was subsequently sold.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Acquisition of Ingénia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indicated in Note 1, on February 7, 2024, we completed the acquisition of Ingénia, for $292.0, net of (i) an adjustment to the purchase price of $2.1 received during the third quarter of 2024 related to acquired working capital and (ii) cash acquired of $1.5. We financed the acquisition with available borrowings on our revolving credit facilities under our senior credit facilities. The excess of the purchase price over the total of the fair values assigned to tangible and identifiable intangible assets acquired and liabilities assumed is recognized as goodwill.</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final fair values of the assets acquired and liabilities assumed for Ingénia as of February 7, 2024:</w:t>
      </w:r>
    </w:p>
    <w:p>
      <w:pPr>
        <w:pStyle w:val="TextBody"/>
        <w:bidi w:val="0"/>
        <w:spacing w:before="0" w:after="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including cash and equivalents of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consis</w:t>
      </w:r>
      <w:r>
        <w:rPr>
          <w:rFonts w:ascii="Times New Roman;serif" w:hAnsi="Times New Roman;serif"/>
          <w:b w:val="false"/>
          <w:color w:val="000000"/>
          <w:sz w:val="20"/>
          <w:shd w:fill="FFFFFF" w:val="clear"/>
        </w:rPr>
        <w:t>t of technology, customer relationships and contracts, trademarks, and customer backlog of $46.7, $23.5, $13.9, and $13.8, respectively, with suc</w:t>
      </w:r>
      <w:r>
        <w:rPr>
          <w:rFonts w:ascii="Times New Roman;serif" w:hAnsi="Times New Roman;serif"/>
          <w:b w:val="false"/>
          <w:color w:val="000000"/>
          <w:sz w:val="20"/>
        </w:rPr>
        <w:t xml:space="preserve">h amounts based on an assessment of the related fair values. We expect to amortize the </w:t>
      </w:r>
      <w:r>
        <w:rPr>
          <w:rFonts w:ascii="Times New Roman;serif" w:hAnsi="Times New Roman;serif"/>
          <w:b w:val="false"/>
          <w:color w:val="000000"/>
          <w:sz w:val="20"/>
          <w:shd w:fill="FFFFFF" w:val="clear"/>
        </w:rPr>
        <w:t>technology, customer relationships and contracts, trademarks, and customer backlog</w:t>
      </w:r>
      <w:r>
        <w:rPr>
          <w:color w:val="000000"/>
        </w:rPr>
        <w:t xml:space="preserve"> </w:t>
      </w:r>
      <w:r>
        <w:rPr>
          <w:rFonts w:ascii="Times New Roman;serif" w:hAnsi="Times New Roman;serif"/>
          <w:b w:val="false"/>
          <w:color w:val="000000"/>
          <w:sz w:val="20"/>
        </w:rPr>
        <w:t>assets ove</w:t>
      </w:r>
      <w:r>
        <w:rPr>
          <w:rFonts w:ascii="Times New Roman;serif" w:hAnsi="Times New Roman;serif"/>
          <w:b w:val="false"/>
          <w:color w:val="000000"/>
          <w:sz w:val="20"/>
          <w:shd w:fill="FFFFFF" w:val="clear"/>
        </w:rPr>
        <w:t xml:space="preserve">r 12.0, 7.0, 8.0, and 1.0 years, respectively.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w:t>
      </w:r>
      <w:r>
        <w:rPr>
          <w:rFonts w:ascii="Times New Roman;serif" w:hAnsi="Times New Roman;serif"/>
          <w:b w:val="false"/>
          <w:color w:val="000000"/>
          <w:sz w:val="20"/>
          <w:shd w:fill="FFFFFF" w:val="clear"/>
        </w:rPr>
        <w:t>ss receivables of $16.1, which had the same fair value at the acquisition date based on our estimates of cash flows expected to be recovered.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w:t>
      </w:r>
      <w:r>
        <w:rPr>
          <w:color w:val="000000"/>
        </w:rPr>
        <w:t xml:space="preserve"> </w:t>
      </w:r>
      <w:r>
        <w:rPr>
          <w:rFonts w:ascii="Times New Roman;serif" w:hAnsi="Times New Roman;serif"/>
          <w:b w:val="false"/>
          <w:color w:val="000000"/>
          <w:sz w:val="20"/>
        </w:rPr>
        <w:t>We expect none of the goodwill described above to be deductible for tax purposes.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Duri</w:t>
      </w:r>
      <w:r>
        <w:rPr>
          <w:rFonts w:ascii="Times New Roman;serif" w:hAnsi="Times New Roman;serif"/>
          <w:b w:val="false"/>
          <w:color w:val="000000"/>
          <w:sz w:val="20"/>
        </w:rPr>
        <w:t>ng the three and nine months ended September 27, 2025, we incurred acquisition-related and other costs for Ingénia, KTS and Sigma &amp; Omega of $7.4 and $23.0, respectively. During the three and nine months ended September 28, 2024, we incurred acquisition-related and other costs for Ingénia of $0.9 and $4.8, respectively. These costs have been recorded to “Selling, general and administrative” within our condensed consolidated statements of operations. In addition, we recorded these amounts as shown below within consolidated operating income in Note 6:</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96"/>
        <w:gridCol w:w="876"/>
        <w:gridCol w:w="877"/>
        <w:gridCol w:w="137"/>
        <w:gridCol w:w="137"/>
        <w:gridCol w:w="137"/>
        <w:gridCol w:w="415"/>
        <w:gridCol w:w="797"/>
        <w:gridCol w:w="225"/>
        <w:gridCol w:w="137"/>
        <w:gridCol w:w="137"/>
        <w:gridCol w:w="137"/>
        <w:gridCol w:w="415"/>
        <w:gridCol w:w="797"/>
        <w:gridCol w:w="225"/>
        <w:gridCol w:w="137"/>
        <w:gridCol w:w="137"/>
        <w:gridCol w:w="137"/>
        <w:gridCol w:w="371"/>
        <w:gridCol w:w="866"/>
        <w:gridCol w:w="200"/>
        <w:gridCol w:w="137"/>
        <w:gridCol w:w="137"/>
        <w:gridCol w:w="137"/>
        <w:gridCol w:w="402"/>
        <w:gridCol w:w="772"/>
        <w:gridCol w:w="327"/>
      </w:tblGrid>
      <w:tr>
        <w:trPr/>
        <w:tc>
          <w:tcPr>
            <w:tcW w:w="99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 and integration-related costs for Ingénia, KTS and Sigma &amp; Omega</w:t>
            </w:r>
          </w:p>
        </w:tc>
      </w:tr>
      <w:tr>
        <w:trPr/>
        <w:tc>
          <w:tcPr>
            <w:tcW w:w="2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Note 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integration-related costs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unaudited pro forma information presents our condensed consolidated results of operations for the three and nine months ended September 27, 2025 and September 28, 2024, respectively, as if the acquisitions of KTS and Ingénia had taken place on January 1, 2024 and January 1, 2023, respectively. The unaudited pro forma financial information is not intended to represent or be indicative of our condensed consolidated results of operations that would have been reported had the acquisitions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KTS and Ingénia.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intangible assets and compensation costs related to acquired retention agreements, adjustments to reflect charges associated with acquisition-related costs and charges associated with the excess fair value (over historical cost) of inventory acquired and subsequently sold as if they were incurred beginning during the first quarter of 2024 for KTS and first quarter of 2023 for Ingénia, and the related income tax effects.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16"/>
        <w:gridCol w:w="1157"/>
        <w:gridCol w:w="1165"/>
        <w:gridCol w:w="310"/>
        <w:gridCol w:w="883"/>
        <w:gridCol w:w="174"/>
        <w:gridCol w:w="109"/>
        <w:gridCol w:w="109"/>
        <w:gridCol w:w="109"/>
        <w:gridCol w:w="310"/>
        <w:gridCol w:w="883"/>
        <w:gridCol w:w="174"/>
        <w:gridCol w:w="109"/>
        <w:gridCol w:w="109"/>
        <w:gridCol w:w="109"/>
        <w:gridCol w:w="275"/>
        <w:gridCol w:w="972"/>
        <w:gridCol w:w="153"/>
        <w:gridCol w:w="109"/>
        <w:gridCol w:w="109"/>
        <w:gridCol w:w="109"/>
        <w:gridCol w:w="272"/>
        <w:gridCol w:w="960"/>
        <w:gridCol w:w="220"/>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per share of common stock:</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Wind-Down of DBT Business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completed the wind-down of our DBT Technologies (PTY) LTD (“DBT”) business after ceasing all operations, including those related to two large power projects in South Africa —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which had also asserted claims against DBT.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our 2024 Annual Report on Form 10-K, 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assets and liabilities of DBT have been included within </w:t>
      </w:r>
      <w:r>
        <w:rPr>
          <w:color w:val="000000"/>
        </w:rPr>
        <w:t>“</w:t>
      </w:r>
      <w:r>
        <w:rPr>
          <w:rFonts w:ascii="Times New Roman;serif" w:hAnsi="Times New Roman;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and </w:t>
      </w:r>
      <w:r>
        <w:rPr>
          <w:color w:val="000000"/>
        </w:rPr>
        <w:t>“</w:t>
      </w:r>
      <w:r>
        <w:rPr>
          <w:rFonts w:ascii="Times New Roman;serif" w:hAnsi="Times New Roman;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respectively, on the condensed consolidated balance sheets as of </w:t>
      </w:r>
      <w:r>
        <w:rPr>
          <w:rFonts w:ascii="Times New Roman;serif" w:hAnsi="Times New Roman;serif"/>
          <w:b w:val="false"/>
          <w:color w:val="000000"/>
          <w:sz w:val="20"/>
        </w:rPr>
        <w:t>September 27, 2025 and December 31, 2024</w:t>
      </w:r>
      <w:r>
        <w:rPr>
          <w:rFonts w:ascii="Times New Roman;serif" w:hAnsi="Times New Roman;serif"/>
          <w:b w:val="false"/>
          <w:color w:val="000000"/>
          <w:sz w:val="20"/>
          <w:shd w:fill="FFFFFF" w:val="clear"/>
        </w:rPr>
        <w:t>. The major line items constituting DBT</w:t>
      </w:r>
      <w:r>
        <w:rPr>
          <w:color w:val="000000"/>
        </w:rPr>
        <w:t>’</w:t>
      </w:r>
      <w:r>
        <w:rPr>
          <w:rFonts w:ascii="Times New Roman;serif" w:hAnsi="Times New Roman;serif"/>
          <w:b w:val="false"/>
          <w:color w:val="000000"/>
          <w:sz w:val="20"/>
          <w:shd w:fill="FFFFFF" w:val="clear"/>
        </w:rPr>
        <w:t xml:space="preserve">s assets and liabilities as of </w:t>
      </w:r>
      <w:r>
        <w:rPr>
          <w:rFonts w:ascii="Times New Roman;serif" w:hAnsi="Times New Roman;serif"/>
          <w:b w:val="false"/>
          <w:color w:val="000000"/>
          <w:sz w:val="20"/>
        </w:rPr>
        <w:t>September 27, 2025 and December 31, 2024</w:t>
      </w:r>
      <w:r>
        <w:rPr>
          <w:color w:val="000000"/>
          <w:shd w:fill="FFFFFF" w:val="clear"/>
        </w:rPr>
        <w:t xml:space="preserve"> </w:t>
      </w:r>
      <w:r>
        <w:rPr>
          <w:rFonts w:ascii="Times New Roman;serif" w:hAnsi="Times New Roman;serif"/>
          <w:b w:val="false"/>
          <w:color w:val="000000"/>
          <w:sz w:val="20"/>
          <w:shd w:fill="FFFFFF" w:val="clear"/>
        </w:rPr>
        <w:t>are shown below:</w:t>
      </w:r>
    </w:p>
    <w:p>
      <w:pPr>
        <w:pStyle w:val="TextBody"/>
        <w:bidi w:val="0"/>
        <w:spacing w:before="0" w:after="0"/>
        <w:jc w:val="both"/>
        <w:rPr/>
      </w:pPr>
      <w:r>
        <w:rPr/>
      </w:r>
    </w:p>
    <w:tbl>
      <w:tblPr>
        <w:tblW w:w="5933" w:type="dxa"/>
        <w:jc w:val="left"/>
        <w:tblInd w:w="0" w:type="dxa"/>
        <w:tblLayout w:type="fixed"/>
        <w:tblCellMar>
          <w:top w:w="28" w:type="dxa"/>
          <w:left w:w="28" w:type="dxa"/>
          <w:bottom w:w="28" w:type="dxa"/>
          <w:right w:w="28" w:type="dxa"/>
        </w:tblCellMar>
      </w:tblPr>
      <w:tblGrid>
        <w:gridCol w:w="753"/>
        <w:gridCol w:w="660"/>
        <w:gridCol w:w="671"/>
        <w:gridCol w:w="109"/>
        <w:gridCol w:w="109"/>
        <w:gridCol w:w="109"/>
        <w:gridCol w:w="407"/>
        <w:gridCol w:w="969"/>
        <w:gridCol w:w="229"/>
        <w:gridCol w:w="109"/>
        <w:gridCol w:w="109"/>
        <w:gridCol w:w="109"/>
        <w:gridCol w:w="382"/>
        <w:gridCol w:w="908"/>
        <w:gridCol w:w="300"/>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current assets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liabilities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long-term liabilities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 </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28, 2024, and in connection with the Settlement Agreement, DBT made a payment of South African Rand 480.9 ($27.1 at the time of payment). In connection with this remaining obligation, we had entered into a foreign currency forward contract, which we accounted for as a fair-value hedge and which matured at the time of the final payment to MHI. The resulting cash received of $2.0 is presented within “Net cash used in discontinued operations” within the condensed consolidated statement of cash flows for the nine months ended September 28, 2024. Refer to Note 13 for additional details. There are no further payment obligations to MHI under the terms of the Settlement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of Heat Transfer have been included within “Assets of DBT and Heat Transfer” and “Liabilities of DBT and Heat Transfer,” respectively, on the condensed consolidated balance sheets as of September 27, 2025 and December 31, 2024. The major line items constituting Heat Transfer’s assets and liabilities as of September 27, 2025 and December 31, 2024 are shown below:</w:t>
      </w:r>
    </w:p>
    <w:p>
      <w:pPr>
        <w:pStyle w:val="TextBody"/>
        <w:bidi w:val="0"/>
        <w:spacing w:before="0" w:after="0"/>
        <w:jc w:val="both"/>
        <w:rPr/>
      </w:pPr>
      <w:r>
        <w:rPr/>
      </w:r>
    </w:p>
    <w:tbl>
      <w:tblPr>
        <w:tblW w:w="6217" w:type="dxa"/>
        <w:jc w:val="left"/>
        <w:tblInd w:w="0" w:type="dxa"/>
        <w:tblLayout w:type="fixed"/>
        <w:tblCellMar>
          <w:top w:w="28" w:type="dxa"/>
          <w:left w:w="28" w:type="dxa"/>
          <w:bottom w:w="28" w:type="dxa"/>
          <w:right w:w="28" w:type="dxa"/>
        </w:tblCellMar>
      </w:tblPr>
      <w:tblGrid>
        <w:gridCol w:w="856"/>
        <w:gridCol w:w="750"/>
        <w:gridCol w:w="763"/>
        <w:gridCol w:w="109"/>
        <w:gridCol w:w="109"/>
        <w:gridCol w:w="109"/>
        <w:gridCol w:w="460"/>
        <w:gridCol w:w="886"/>
        <w:gridCol w:w="258"/>
        <w:gridCol w:w="109"/>
        <w:gridCol w:w="109"/>
        <w:gridCol w:w="109"/>
        <w:gridCol w:w="429"/>
        <w:gridCol w:w="823"/>
        <w:gridCol w:w="338"/>
      </w:tblGrid>
      <w:tr>
        <w:trPr/>
        <w:tc>
          <w:tcPr>
            <w:tcW w:w="8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Heat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Heat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pStyle w:val="TextBody"/>
        <w:bidi w:val="0"/>
        <w:spacing w:before="160" w:after="283"/>
        <w:ind w:left="0" w:right="0" w:firstLine="720"/>
        <w:jc w:val="both"/>
        <w:rPr/>
      </w:pPr>
      <w:r>
        <w:rPr/>
      </w:r>
    </w:p>
    <w:p>
      <w:pPr>
        <w:pStyle w:val="TextBody"/>
        <w:bidi w:val="0"/>
        <w:spacing w:before="160" w:after="283"/>
        <w:ind w:left="0" w:right="0" w:firstLine="720"/>
        <w:jc w:val="both"/>
        <w:rPr/>
      </w:pPr>
      <w:r>
        <w:rPr/>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27, 2025 and September 28, 2024, results of operations from our businesses reported as discontinued operations were as follows:</w:t>
      </w:r>
    </w:p>
    <w:tbl>
      <w:tblPr>
        <w:tblW w:w="10082" w:type="dxa"/>
        <w:jc w:val="left"/>
        <w:tblInd w:w="0" w:type="dxa"/>
        <w:tblLayout w:type="fixed"/>
        <w:tblCellMar>
          <w:top w:w="28" w:type="dxa"/>
          <w:left w:w="28" w:type="dxa"/>
          <w:bottom w:w="28" w:type="dxa"/>
          <w:right w:w="28" w:type="dxa"/>
        </w:tblCellMar>
      </w:tblPr>
      <w:tblGrid>
        <w:gridCol w:w="1044"/>
        <w:gridCol w:w="917"/>
        <w:gridCol w:w="919"/>
        <w:gridCol w:w="434"/>
        <w:gridCol w:w="867"/>
        <w:gridCol w:w="243"/>
        <w:gridCol w:w="109"/>
        <w:gridCol w:w="109"/>
        <w:gridCol w:w="109"/>
        <w:gridCol w:w="434"/>
        <w:gridCol w:w="867"/>
        <w:gridCol w:w="243"/>
        <w:gridCol w:w="109"/>
        <w:gridCol w:w="109"/>
        <w:gridCol w:w="109"/>
        <w:gridCol w:w="434"/>
        <w:gridCol w:w="867"/>
        <w:gridCol w:w="243"/>
        <w:gridCol w:w="109"/>
        <w:gridCol w:w="109"/>
        <w:gridCol w:w="109"/>
        <w:gridCol w:w="420"/>
        <w:gridCol w:w="838"/>
        <w:gridCol w:w="331"/>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from discontinued operations</w:t>
            </w:r>
            <w:r>
              <w:rPr>
                <w:rFonts w:ascii="Times New Roman;serif" w:hAnsi="Times New Roman;serif"/>
                <w:b w:val="false"/>
                <w:color w:val="000000"/>
                <w:sz w:val="12"/>
              </w:rPr>
              <w:t>(1)</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Loss for the three and nine months ended September 27, 2025 and September 28, 2024 related primarily to costs incurred to support DBT through the subcontractor liquidation process mentioned above.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(4)    REVENUES FROM CONTRACTS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nine months ended September 27, 2025 and September 28, 2024:</w:t>
      </w:r>
    </w:p>
    <w:tbl>
      <w:tblPr>
        <w:tblW w:w="10205" w:type="dxa"/>
        <w:jc w:val="left"/>
        <w:tblInd w:w="0" w:type="dxa"/>
        <w:tblLayout w:type="fixed"/>
        <w:tblCellMar>
          <w:top w:w="28" w:type="dxa"/>
          <w:left w:w="28" w:type="dxa"/>
          <w:bottom w:w="28" w:type="dxa"/>
          <w:right w:w="28" w:type="dxa"/>
        </w:tblCellMar>
      </w:tblPr>
      <w:tblGrid>
        <w:gridCol w:w="2066"/>
        <w:gridCol w:w="1741"/>
        <w:gridCol w:w="1747"/>
        <w:gridCol w:w="109"/>
        <w:gridCol w:w="109"/>
        <w:gridCol w:w="109"/>
        <w:gridCol w:w="196"/>
        <w:gridCol w:w="556"/>
        <w:gridCol w:w="109"/>
        <w:gridCol w:w="109"/>
        <w:gridCol w:w="109"/>
        <w:gridCol w:w="109"/>
        <w:gridCol w:w="432"/>
        <w:gridCol w:w="1226"/>
        <w:gridCol w:w="241"/>
        <w:gridCol w:w="109"/>
        <w:gridCol w:w="109"/>
        <w:gridCol w:w="109"/>
        <w:gridCol w:w="196"/>
        <w:gridCol w:w="556"/>
        <w:gridCol w:w="158"/>
      </w:tblGrid>
      <w:tr>
        <w:trPr/>
        <w:tc>
          <w:tcPr>
            <w:tcW w:w="20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27, 2025</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989"/>
        <w:gridCol w:w="1665"/>
        <w:gridCol w:w="1671"/>
        <w:gridCol w:w="109"/>
        <w:gridCol w:w="109"/>
        <w:gridCol w:w="109"/>
        <w:gridCol w:w="196"/>
        <w:gridCol w:w="691"/>
        <w:gridCol w:w="109"/>
        <w:gridCol w:w="109"/>
        <w:gridCol w:w="109"/>
        <w:gridCol w:w="109"/>
        <w:gridCol w:w="423"/>
        <w:gridCol w:w="1201"/>
        <w:gridCol w:w="236"/>
        <w:gridCol w:w="109"/>
        <w:gridCol w:w="109"/>
        <w:gridCol w:w="109"/>
        <w:gridCol w:w="196"/>
        <w:gridCol w:w="691"/>
        <w:gridCol w:w="156"/>
      </w:tblGrid>
      <w:tr>
        <w:trPr/>
        <w:tc>
          <w:tcPr>
            <w:tcW w:w="198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27, 2025</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66"/>
        <w:gridCol w:w="1741"/>
        <w:gridCol w:w="1747"/>
        <w:gridCol w:w="109"/>
        <w:gridCol w:w="109"/>
        <w:gridCol w:w="109"/>
        <w:gridCol w:w="196"/>
        <w:gridCol w:w="556"/>
        <w:gridCol w:w="109"/>
        <w:gridCol w:w="109"/>
        <w:gridCol w:w="109"/>
        <w:gridCol w:w="109"/>
        <w:gridCol w:w="432"/>
        <w:gridCol w:w="1226"/>
        <w:gridCol w:w="241"/>
        <w:gridCol w:w="109"/>
        <w:gridCol w:w="109"/>
        <w:gridCol w:w="109"/>
        <w:gridCol w:w="196"/>
        <w:gridCol w:w="556"/>
        <w:gridCol w:w="158"/>
      </w:tblGrid>
      <w:tr>
        <w:trPr/>
        <w:tc>
          <w:tcPr>
            <w:tcW w:w="20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28, 2024</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8"/>
        <w:gridCol w:w="1703"/>
        <w:gridCol w:w="1709"/>
        <w:gridCol w:w="109"/>
        <w:gridCol w:w="109"/>
        <w:gridCol w:w="109"/>
        <w:gridCol w:w="196"/>
        <w:gridCol w:w="556"/>
        <w:gridCol w:w="109"/>
        <w:gridCol w:w="109"/>
        <w:gridCol w:w="109"/>
        <w:gridCol w:w="109"/>
        <w:gridCol w:w="427"/>
        <w:gridCol w:w="1214"/>
        <w:gridCol w:w="239"/>
        <w:gridCol w:w="109"/>
        <w:gridCol w:w="109"/>
        <w:gridCol w:w="109"/>
        <w:gridCol w:w="196"/>
        <w:gridCol w:w="691"/>
        <w:gridCol w:w="156"/>
      </w:tblGrid>
      <w:tr>
        <w:trPr/>
        <w:tc>
          <w:tcPr>
            <w:tcW w:w="202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28, 2024</w:t>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Project volumes, primarily within our communication technologies, aids to navigation, cooling products, and transportation systems businesses, can vary from period to period based on the timing of project execution.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balances consisted of the following as of September 27, 2025 and December 31, 2024:</w:t>
      </w:r>
    </w:p>
    <w:p>
      <w:pPr>
        <w:pStyle w:val="TextBody"/>
        <w:bidi w:val="0"/>
        <w:spacing w:before="0" w:after="0"/>
        <w:ind w:left="0" w:right="0" w:firstLine="720"/>
        <w:jc w:val="both"/>
        <w:rPr/>
      </w:pPr>
      <w:r>
        <w:rPr/>
      </w:r>
    </w:p>
    <w:tbl>
      <w:tblPr>
        <w:tblW w:w="7095" w:type="dxa"/>
        <w:jc w:val="left"/>
        <w:tblInd w:w="0" w:type="dxa"/>
        <w:tblLayout w:type="fixed"/>
        <w:tblCellMar>
          <w:top w:w="28" w:type="dxa"/>
          <w:left w:w="28" w:type="dxa"/>
          <w:bottom w:w="28" w:type="dxa"/>
          <w:right w:w="28" w:type="dxa"/>
        </w:tblCellMar>
      </w:tblPr>
      <w:tblGrid>
        <w:gridCol w:w="936"/>
        <w:gridCol w:w="821"/>
        <w:gridCol w:w="823"/>
        <w:gridCol w:w="351"/>
        <w:gridCol w:w="997"/>
        <w:gridCol w:w="197"/>
        <w:gridCol w:w="109"/>
        <w:gridCol w:w="109"/>
        <w:gridCol w:w="109"/>
        <w:gridCol w:w="341"/>
        <w:gridCol w:w="969"/>
        <w:gridCol w:w="190"/>
        <w:gridCol w:w="109"/>
        <w:gridCol w:w="109"/>
        <w:gridCol w:w="109"/>
        <w:gridCol w:w="196"/>
        <w:gridCol w:w="4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Contract Balances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Accounts Receivable</w:t>
            </w:r>
            <w:r>
              <w:rPr>
                <w:rFonts w:ascii="Times New Roman;serif" w:hAnsi="Times New Roman;serif"/>
                <w:b w:val="false"/>
                <w:color w:val="000000"/>
                <w:sz w:val="12"/>
              </w:rPr>
              <w:t>(1)</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Liabilities - non-current</w:t>
            </w:r>
            <w:r>
              <w:rPr>
                <w:rFonts w:ascii="Times New Roman;serif" w:hAnsi="Times New Roman;serif"/>
                <w:b w:val="false"/>
                <w:color w:val="000000"/>
                <w:sz w:val="12"/>
              </w:rPr>
              <w:t>(2)</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balance</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in “Accounts receivable, net” within the accompanying condensed consolidated balance sheets.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Included in “Other long-term liabilities” within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balances consisted of the following as of September 28, 2024 and December 31, 2023:</w:t>
      </w:r>
    </w:p>
    <w:tbl>
      <w:tblPr>
        <w:tblW w:w="6945" w:type="dxa"/>
        <w:jc w:val="left"/>
        <w:tblInd w:w="0" w:type="dxa"/>
        <w:tblLayout w:type="fixed"/>
        <w:tblCellMar>
          <w:top w:w="28" w:type="dxa"/>
          <w:left w:w="28" w:type="dxa"/>
          <w:bottom w:w="28" w:type="dxa"/>
          <w:right w:w="28" w:type="dxa"/>
        </w:tblCellMar>
      </w:tblPr>
      <w:tblGrid>
        <w:gridCol w:w="882"/>
        <w:gridCol w:w="773"/>
        <w:gridCol w:w="775"/>
        <w:gridCol w:w="351"/>
        <w:gridCol w:w="997"/>
        <w:gridCol w:w="197"/>
        <w:gridCol w:w="109"/>
        <w:gridCol w:w="109"/>
        <w:gridCol w:w="109"/>
        <w:gridCol w:w="341"/>
        <w:gridCol w:w="969"/>
        <w:gridCol w:w="190"/>
        <w:gridCol w:w="109"/>
        <w:gridCol w:w="109"/>
        <w:gridCol w:w="109"/>
        <w:gridCol w:w="196"/>
        <w:gridCol w:w="46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Contract Balances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Accounts Receivable</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non-current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balance</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and amount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and nine months ended September 27, 2025, changes in contract balances were not significantly impacted by any other factors besides the acquisition of KTS. At September 27, 2025, Contract Account Receivables, contract assets, and current contract liabilities attributable to KTS were $10.3, $0.8, and $13.3, respectively.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27, 2025, we recognized revenues of $8.5 and $47.5, respectively, related to our contract liabilities at December 31, 2024. During the three and nine months ended September 28, 2024, we recognized revenues of $7.0 and $47.7, respectively, related to our contract liabilities at December 31, 2023.</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September 27, 2025, the aggre</w:t>
      </w:r>
      <w:r>
        <w:rPr>
          <w:rFonts w:ascii="Times New Roman;serif" w:hAnsi="Times New Roman;serif"/>
          <w:b w:val="false"/>
          <w:color w:val="000000"/>
          <w:sz w:val="20"/>
          <w:shd w:fill="FFFFFF" w:val="clear"/>
        </w:rPr>
        <w:t xml:space="preserve">gate </w:t>
      </w:r>
      <w:r>
        <w:rPr>
          <w:rFonts w:ascii="Times New Roman;serif" w:hAnsi="Times New Roman;serif"/>
          <w:b w:val="false"/>
          <w:color w:val="000000"/>
          <w:sz w:val="20"/>
        </w:rPr>
        <w:t>amount allocated to remaining performance obligations was $341.1. We expect to recognize revenue on approximately 62% and 75% of these remaining performance obligations over the next 12 and 24 months, respectively, with the remaining recognized thereafter.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shd w:fill="FFFFFF" w:val="clear"/>
        </w:rPr>
        <w:t>(5)    </w:t>
      </w:r>
      <w:r>
        <w:rPr>
          <w:rFonts w:ascii="Times New Roman;serif" w:hAnsi="Times New Roman;serif"/>
          <w:b/>
          <w:color w:val="000000"/>
          <w:sz w:val="20"/>
        </w:rPr>
        <w:t>LEASES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27, 2025 lease obligations were not significantly impacted by any other factors besides the acquisition of KTS. At September 27, 2025, we obtained operating right-of-use assets in exchange for new lease obligations of $4.7 related to the KTS acquisition.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(6)    INFORMATION ON REPORTABLE SEGMENTS AND CORPORATE EXPENSE</w:t>
      </w:r>
    </w:p>
    <w:p>
      <w:pPr>
        <w:pStyle w:val="TextBody"/>
        <w:bidi w:val="0"/>
        <w:spacing w:lineRule="auto" w:line="288" w:before="0" w:after="200"/>
        <w:ind w:left="0" w:right="0" w:firstLine="720"/>
        <w:jc w:val="both"/>
        <w:rPr/>
      </w:pPr>
      <w:r>
        <w:rPr>
          <w:rFonts w:ascii="Times New Roman;serif" w:hAnsi="Times New Roman;serif"/>
          <w:b w:val="false"/>
          <w:color w:val="000000"/>
          <w:sz w:val="20"/>
        </w:rPr>
        <w:t>We are a global supplier of highly specializ</w:t>
      </w:r>
      <w:r>
        <w:rPr>
          <w:rFonts w:ascii="Times New Roman;serif" w:hAnsi="Times New Roman;serif"/>
          <w:b w:val="false"/>
          <w:color w:val="000000"/>
          <w:sz w:val="20"/>
          <w:shd w:fill="FFFFFF" w:val="clear"/>
        </w:rPr>
        <w:t xml:space="preserve">ed, engineered </w:t>
      </w:r>
      <w:r>
        <w:rPr>
          <w:rFonts w:ascii="Times New Roman;serif" w:hAnsi="Times New Roman;serif"/>
          <w:b w:val="false"/>
          <w:color w:val="000000"/>
          <w:sz w:val="20"/>
        </w:rPr>
        <w:t>solutions with operations in 16 countries and sales in over 100 countries around the world.</w:t>
      </w:r>
    </w:p>
    <w:p>
      <w:pPr>
        <w:pStyle w:val="TextBody"/>
        <w:bidi w:val="0"/>
        <w:spacing w:lineRule="auto" w:line="26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our reportable segments, we apply the threshold criteria of the Segment Reporting Topic of the Financial Accounting Standards Board Codification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w:t>
      </w:r>
    </w:p>
    <w:p>
      <w:pPr>
        <w:pStyle w:val="TextBody"/>
        <w:bidi w:val="0"/>
        <w:spacing w:lineRule="auto" w:line="26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CODM, who is our President and Chief Executive Officer, uses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2025. Our CODM assesses segment income performance in comparison to prior years, previously forecasted results, and anticipated/experienced market trends when determining how to allocate operating and capital resources. The only significant segment expense categories reviewed by our CODM are total selling, general, and administrative expense and cost of products sold. Our CODM does not review asset or liability information for our operating segments as this information is not used to assess performance or allocate resources.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HVAC Reportable Segment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HVAC reportable segment engineers, designs, manufactures, installs and services package and process cooling products and engineered air movement and handling solutions for the HVAC industrial, commercial, data center, and power generation markets, as well as hydronic and electrical heating and ventilation products for the residential, institutional, industrial,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Detection and Measurement Reportable Segment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Corporate Expense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 expense generally relates to the personnel and general operating costs of our corporate headquarters based in Charlotte, North Carolina.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data for our reportable segments for the three and nine months ended September 27, 2025 and September 28, 2024 are presented below:</w:t>
      </w:r>
    </w:p>
    <w:tbl>
      <w:tblPr>
        <w:tblW w:w="10205" w:type="dxa"/>
        <w:jc w:val="left"/>
        <w:tblInd w:w="0" w:type="dxa"/>
        <w:tblLayout w:type="fixed"/>
        <w:tblCellMar>
          <w:top w:w="28" w:type="dxa"/>
          <w:left w:w="28" w:type="dxa"/>
          <w:bottom w:w="28" w:type="dxa"/>
          <w:right w:w="28" w:type="dxa"/>
        </w:tblCellMar>
      </w:tblPr>
      <w:tblGrid>
        <w:gridCol w:w="1529"/>
        <w:gridCol w:w="1331"/>
        <w:gridCol w:w="1341"/>
        <w:gridCol w:w="257"/>
        <w:gridCol w:w="732"/>
        <w:gridCol w:w="144"/>
        <w:gridCol w:w="109"/>
        <w:gridCol w:w="109"/>
        <w:gridCol w:w="109"/>
        <w:gridCol w:w="257"/>
        <w:gridCol w:w="732"/>
        <w:gridCol w:w="144"/>
        <w:gridCol w:w="109"/>
        <w:gridCol w:w="109"/>
        <w:gridCol w:w="109"/>
        <w:gridCol w:w="223"/>
        <w:gridCol w:w="788"/>
        <w:gridCol w:w="123"/>
        <w:gridCol w:w="109"/>
        <w:gridCol w:w="109"/>
        <w:gridCol w:w="109"/>
        <w:gridCol w:w="223"/>
        <w:gridCol w:w="788"/>
        <w:gridCol w:w="123"/>
        <w:gridCol w:w="109"/>
        <w:gridCol w:w="109"/>
        <w:gridCol w:w="109"/>
        <w:gridCol w:w="162"/>
      </w:tblGrid>
      <w:tr>
        <w:trPr/>
        <w:tc>
          <w:tcPr>
            <w:tcW w:w="15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HVAC reportable segment</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sold</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Detection and Measurement reportable segment</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sold</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revenues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income for segments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and integration-related costs </w:t>
            </w:r>
            <w:r>
              <w:rPr>
                <w:rFonts w:ascii="Times New Roman;serif" w:hAnsi="Times New Roman;serif"/>
                <w:b w:val="false"/>
                <w:color w:val="000000"/>
                <w:sz w:val="12"/>
              </w:rPr>
              <w:t>(1)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operating expense, net </w:t>
            </w:r>
            <w:r>
              <w:rPr>
                <w:rFonts w:ascii="Times New Roman;serif" w:hAnsi="Times New Roman;serif"/>
                <w:b w:val="false"/>
                <w:color w:val="000000"/>
                <w:sz w:val="12"/>
              </w:rPr>
              <w:t>(2)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amendment/refinancing of senior credit agreement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HVAC reportable segment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Detection and Measurement reportable segment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HVAC reportable segment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Detection and Measurement reportable segment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8659" w:type="dxa"/>
        <w:jc w:val="left"/>
        <w:tblInd w:w="0" w:type="dxa"/>
        <w:tblLayout w:type="fixed"/>
        <w:tblCellMar>
          <w:top w:w="28" w:type="dxa"/>
          <w:left w:w="28" w:type="dxa"/>
          <w:bottom w:w="28" w:type="dxa"/>
          <w:right w:w="28" w:type="dxa"/>
        </w:tblCellMar>
      </w:tblPr>
      <w:tblGrid>
        <w:gridCol w:w="835"/>
        <w:gridCol w:w="735"/>
        <w:gridCol w:w="739"/>
        <w:gridCol w:w="259"/>
        <w:gridCol w:w="736"/>
        <w:gridCol w:w="145"/>
        <w:gridCol w:w="109"/>
        <w:gridCol w:w="109"/>
        <w:gridCol w:w="109"/>
        <w:gridCol w:w="259"/>
        <w:gridCol w:w="736"/>
        <w:gridCol w:w="145"/>
        <w:gridCol w:w="109"/>
        <w:gridCol w:w="109"/>
        <w:gridCol w:w="109"/>
        <w:gridCol w:w="304"/>
        <w:gridCol w:w="1073"/>
        <w:gridCol w:w="168"/>
        <w:gridCol w:w="109"/>
        <w:gridCol w:w="109"/>
        <w:gridCol w:w="109"/>
        <w:gridCol w:w="290"/>
        <w:gridCol w:w="1026"/>
        <w:gridCol w:w="228"/>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8"/>
              </w:rPr>
              <w:t xml:space="preserve">Revenues: </w:t>
            </w:r>
            <w:r>
              <w:rPr>
                <w:rFonts w:ascii="Times New Roman;serif" w:hAnsi="Times New Roman;serif"/>
                <w:b w:val="false"/>
                <w:color w:val="000000"/>
                <w:sz w:val="12"/>
              </w:rPr>
              <w:t>(3)</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Long-Lived Assets: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tangible long-lived assets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integration costs incurred in connection with acquisitions of $7.7 and $21.0 during the three and nine months ended September 27, 2025, respectively, and $1.4 and $6.3 during the three and nine months ended September 28, 2024, respectively. The three and nine months ended September 27, 2025 includes amortization of a deferred compensation asset acquired in connection with the KTS acquisition of $6.5 and $17.4, respectively. Additionally, the three and nine months ended September 27, 2025 includes additional “Cost of products sold” related to the step-up of inventory (to fair value) acquired in connection with the KTS acquisition of $0.5 and $1.3, respectively, and the Sigma &amp; Omega acquisition of $0.1 and $0.1, respectively. The nine months ended September 28, 2024 includes $1.8 of additional “Cost of products sold” related to the step-up of inventory (to fair value) associated with the Ingénia acquisition.</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Represents a charge of $8.4 incurred during the nine months ended September 28, 2024 related to a settlement with the seller of ULC Robotics (“ULC”) regarding additional contingent consideration. </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Revenues are included in the above geographic areas based on the country that recorded the revenue.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SPECIAL CHARGES, 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Special charges, net, for the three and nine months ended September 27, 2025 and September 28, 2024 are described in more detail below:</w:t>
      </w:r>
    </w:p>
    <w:p>
      <w:pPr>
        <w:pStyle w:val="TextBody"/>
        <w:bidi w:val="0"/>
        <w:spacing w:before="0" w:after="0"/>
        <w:jc w:val="left"/>
        <w:rPr/>
      </w:pPr>
      <w:r>
        <w:rPr/>
      </w:r>
    </w:p>
    <w:tbl>
      <w:tblPr>
        <w:tblW w:w="9500" w:type="dxa"/>
        <w:jc w:val="left"/>
        <w:tblInd w:w="0" w:type="dxa"/>
        <w:tblLayout w:type="fixed"/>
        <w:tblCellMar>
          <w:top w:w="28" w:type="dxa"/>
          <w:left w:w="28" w:type="dxa"/>
          <w:bottom w:w="28" w:type="dxa"/>
          <w:right w:w="28" w:type="dxa"/>
        </w:tblCellMar>
      </w:tblPr>
      <w:tblGrid>
        <w:gridCol w:w="1260"/>
        <w:gridCol w:w="1108"/>
        <w:gridCol w:w="1112"/>
        <w:gridCol w:w="314"/>
        <w:gridCol w:w="651"/>
        <w:gridCol w:w="175"/>
        <w:gridCol w:w="109"/>
        <w:gridCol w:w="109"/>
        <w:gridCol w:w="109"/>
        <w:gridCol w:w="314"/>
        <w:gridCol w:w="651"/>
        <w:gridCol w:w="175"/>
        <w:gridCol w:w="109"/>
        <w:gridCol w:w="109"/>
        <w:gridCol w:w="109"/>
        <w:gridCol w:w="320"/>
        <w:gridCol w:w="640"/>
        <w:gridCol w:w="179"/>
        <w:gridCol w:w="109"/>
        <w:gridCol w:w="109"/>
        <w:gridCol w:w="109"/>
        <w:gridCol w:w="327"/>
        <w:gridCol w:w="628"/>
        <w:gridCol w:w="184"/>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HVAC reportable segment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Detection and Measurement reportable segment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rPr>
        <w:t xml:space="preserve">HVAC </w:t>
      </w:r>
      <w:r>
        <w:rPr>
          <w:color w:val="000000"/>
        </w:rPr>
        <w:t xml:space="preserve">— </w:t>
      </w:r>
      <w:r>
        <w:rPr>
          <w:rFonts w:ascii="Times New Roman;serif" w:hAnsi="Times New Roman;serif"/>
          <w:b w:val="false"/>
          <w:color w:val="000000"/>
          <w:sz w:val="20"/>
        </w:rPr>
        <w:t>Special charges, net for the nine months ended September 27, 2025 and September 28, 2024 related primarily to recording, and subsequent adjustments of, severance costs associated with restructuring actions at one of the segment’s cooling businesses.</w:t>
      </w:r>
    </w:p>
    <w:p>
      <w:pPr>
        <w:pStyle w:val="TextBody"/>
        <w:bidi w:val="0"/>
        <w:spacing w:lineRule="auto" w:line="288" w:before="0" w:after="200"/>
        <w:ind w:left="0" w:right="0" w:firstLine="720"/>
        <w:jc w:val="both"/>
        <w:rPr/>
      </w:pPr>
      <w:r>
        <w:rPr>
          <w:rFonts w:ascii="Times New Roman;serif" w:hAnsi="Times New Roman;serif"/>
          <w:b w:val="false"/>
          <w:i/>
          <w:color w:val="000000"/>
          <w:sz w:val="20"/>
        </w:rPr>
        <w:t>Detection and Measurement</w:t>
      </w:r>
      <w:r>
        <w:rPr>
          <w:color w:val="000000"/>
        </w:rPr>
        <w:t xml:space="preserve"> — </w:t>
      </w:r>
      <w:r>
        <w:rPr>
          <w:rFonts w:ascii="Times New Roman;serif" w:hAnsi="Times New Roman;serif"/>
          <w:b w:val="false"/>
          <w:color w:val="000000"/>
          <w:sz w:val="20"/>
        </w:rPr>
        <w:t>Special charges, net for the three and nine months ended September 27, 2025 related primarily to severance costs associated with restructuring actions at the segment's inspection and rehabilitation business. Charges for the three and nine months ended September 28, 2024 related primarily to severance costs associated with a restructuring action at the segment's location and inspection business. In addition, special charges, net for the nine months ended September 28, 2024 included severance costs associated with a restructuring action at the segment's aids to navigation business.</w:t>
      </w:r>
    </w:p>
    <w:p>
      <w:pPr>
        <w:pStyle w:val="TextBody"/>
        <w:bidi w:val="0"/>
        <w:spacing w:lineRule="auto" w:line="276" w:before="0" w:after="200"/>
        <w:ind w:left="0" w:right="0" w:firstLine="720"/>
        <w:jc w:val="both"/>
        <w:rPr/>
      </w:pPr>
      <w:r>
        <w:rPr>
          <w:rFonts w:ascii="Times New Roman;serif" w:hAnsi="Times New Roman;serif"/>
          <w:b w:val="false"/>
          <w:i/>
          <w:color w:val="000000"/>
          <w:sz w:val="20"/>
        </w:rPr>
        <w:t>Corporate</w:t>
      </w:r>
      <w:r>
        <w:rPr>
          <w:color w:val="000000"/>
          <w:shd w:fill="FFFFFF" w:val="clear"/>
        </w:rPr>
        <w:t xml:space="preserve"> — </w:t>
      </w:r>
      <w:r>
        <w:rPr>
          <w:rFonts w:ascii="Times New Roman;serif" w:hAnsi="Times New Roman;serif"/>
          <w:b w:val="false"/>
          <w:color w:val="000000"/>
          <w:sz w:val="20"/>
          <w:shd w:fill="FFFFFF" w:val="clear"/>
        </w:rPr>
        <w:t>Special charges, net for the nine months ended September 27, 2025 related primarily to severance costs associated with a restructuring 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significant future charges are expected to be incurred under actions approved as of September 27,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an analysis of our restructuring liabilities for the nine months ended September 27, 2025 and September 28, 2024:</w:t>
      </w:r>
    </w:p>
    <w:tbl>
      <w:tblPr>
        <w:tblW w:w="4780" w:type="dxa"/>
        <w:jc w:val="left"/>
        <w:tblInd w:w="0" w:type="dxa"/>
        <w:tblLayout w:type="fixed"/>
        <w:tblCellMar>
          <w:top w:w="28" w:type="dxa"/>
          <w:left w:w="28" w:type="dxa"/>
          <w:bottom w:w="28" w:type="dxa"/>
          <w:right w:w="28" w:type="dxa"/>
        </w:tblCellMar>
      </w:tblPr>
      <w:tblGrid>
        <w:gridCol w:w="771"/>
        <w:gridCol w:w="678"/>
        <w:gridCol w:w="681"/>
        <w:gridCol w:w="327"/>
        <w:gridCol w:w="628"/>
        <w:gridCol w:w="184"/>
        <w:gridCol w:w="109"/>
        <w:gridCol w:w="109"/>
        <w:gridCol w:w="109"/>
        <w:gridCol w:w="319"/>
        <w:gridCol w:w="613"/>
        <w:gridCol w:w="252"/>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Utilization — cash</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INVENTORIES, NET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are accounted for under the first-in, first-out method and are comprised of the following at September 27, 2025 and December 31, 2024:</w:t>
      </w:r>
    </w:p>
    <w:tbl>
      <w:tblPr>
        <w:tblW w:w="5185" w:type="dxa"/>
        <w:jc w:val="left"/>
        <w:tblInd w:w="0" w:type="dxa"/>
        <w:tblLayout w:type="fixed"/>
        <w:tblCellMar>
          <w:top w:w="28" w:type="dxa"/>
          <w:left w:w="28" w:type="dxa"/>
          <w:bottom w:w="28" w:type="dxa"/>
          <w:right w:w="28" w:type="dxa"/>
        </w:tblCellMar>
      </w:tblPr>
      <w:tblGrid>
        <w:gridCol w:w="933"/>
        <w:gridCol w:w="820"/>
        <w:gridCol w:w="826"/>
        <w:gridCol w:w="259"/>
        <w:gridCol w:w="736"/>
        <w:gridCol w:w="145"/>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purchased parts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include material, labor and factory overhead costs and are reduced, when necessary, to estimated net realizable values.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(9)    GOODWILL AND OTHER INTANGIBLE ASSETS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nine months ended September 27, 2025 were as follows:</w:t>
      </w:r>
    </w:p>
    <w:tbl>
      <w:tblPr>
        <w:tblW w:w="9929" w:type="dxa"/>
        <w:jc w:val="left"/>
        <w:tblInd w:w="0" w:type="dxa"/>
        <w:tblLayout w:type="fixed"/>
        <w:tblCellMar>
          <w:top w:w="28" w:type="dxa"/>
          <w:left w:w="28" w:type="dxa"/>
          <w:bottom w:w="28" w:type="dxa"/>
          <w:right w:w="28" w:type="dxa"/>
        </w:tblCellMar>
      </w:tblPr>
      <w:tblGrid>
        <w:gridCol w:w="1375"/>
        <w:gridCol w:w="1205"/>
        <w:gridCol w:w="1214"/>
        <w:gridCol w:w="249"/>
        <w:gridCol w:w="707"/>
        <w:gridCol w:w="138"/>
        <w:gridCol w:w="109"/>
        <w:gridCol w:w="109"/>
        <w:gridCol w:w="109"/>
        <w:gridCol w:w="109"/>
        <w:gridCol w:w="109"/>
        <w:gridCol w:w="289"/>
        <w:gridCol w:w="823"/>
        <w:gridCol w:w="163"/>
        <w:gridCol w:w="109"/>
        <w:gridCol w:w="109"/>
        <w:gridCol w:w="109"/>
        <w:gridCol w:w="109"/>
        <w:gridCol w:w="109"/>
        <w:gridCol w:w="109"/>
        <w:gridCol w:w="109"/>
        <w:gridCol w:w="240"/>
        <w:gridCol w:w="571"/>
        <w:gridCol w:w="135"/>
        <w:gridCol w:w="109"/>
        <w:gridCol w:w="109"/>
        <w:gridCol w:w="109"/>
        <w:gridCol w:w="223"/>
        <w:gridCol w:w="787"/>
        <w:gridCol w:w="175"/>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Goodwill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Resulting 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Business</w:t>
            </w:r>
          </w:p>
          <w:p>
            <w:pPr>
              <w:pStyle w:val="TableContents"/>
              <w:bidi w:val="0"/>
              <w:spacing w:lineRule="auto" w:line="240" w:before="0" w:after="0"/>
              <w:jc w:val="center"/>
              <w:rPr/>
            </w:pPr>
            <w:r>
              <w:rPr>
                <w:rFonts w:ascii="Times New Roman;serif" w:hAnsi="Times New Roman;serif"/>
                <w:b/>
                <w:color w:val="000000"/>
                <w:sz w:val="16"/>
              </w:rPr>
              <w:t xml:space="preserve">Combinations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HVAC reportable segment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goodwill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impairments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goodwill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40" w:before="0" w:after="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shd w:fill="FFFFFF" w:val="clear"/>
        </w:rPr>
        <w:t>Reflects (i) goodwill acquired with the KTS and Sigma &amp; Omega acquisitions o</w:t>
      </w:r>
      <w:r>
        <w:rPr>
          <w:rFonts w:ascii="Times New Roman;serif" w:hAnsi="Times New Roman;serif"/>
          <w:b w:val="false"/>
          <w:color w:val="000000"/>
          <w:sz w:val="18"/>
        </w:rPr>
        <w:t>f $102.8 and $75.3, respectively, and an immaterial acquisition within the HVAC reportable segment. As indicated in Note 1, the acquired assets, including goodwill, and liabilities assumed in the KTS and Sigma &amp; Omega</w:t>
      </w:r>
      <w:r>
        <w:rPr>
          <w:color w:val="000000"/>
          <w:shd w:fill="FFFFFF" w:val="clear"/>
        </w:rPr>
        <w:t xml:space="preserve"> </w:t>
      </w:r>
      <w:r>
        <w:rPr>
          <w:rFonts w:ascii="Times New Roman;serif" w:hAnsi="Times New Roman;serif"/>
          <w:b w:val="false"/>
          <w:color w:val="000000"/>
          <w:sz w:val="18"/>
          <w:shd w:fill="FFFFFF" w:val="clear"/>
        </w:rPr>
        <w:t>acquisitions have been recorded at estimates of fair value and are subject to change upon completion of acquisition accounting.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200"/>
        <w:jc w:val="both"/>
        <w:rPr>
          <w:rFonts w:ascii="Times New Roman;serif" w:hAnsi="Times New Roman;serif"/>
          <w:b/>
          <w:i/>
          <w:color w:val="000000"/>
          <w:sz w:val="20"/>
        </w:rPr>
      </w:pPr>
      <w:r>
        <w:rPr>
          <w:rFonts w:ascii="Times New Roman;serif" w:hAnsi="Times New Roman;serif"/>
          <w:b/>
          <w:i/>
          <w:color w:val="000000"/>
          <w:sz w:val="20"/>
        </w:rPr>
        <w:t>Other Intangibles, Net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at September 27, 2025 and December 31, 2024 comprised the following:</w:t>
      </w:r>
    </w:p>
    <w:tbl>
      <w:tblPr>
        <w:tblW w:w="10205" w:type="dxa"/>
        <w:jc w:val="left"/>
        <w:tblInd w:w="0" w:type="dxa"/>
        <w:tblLayout w:type="fixed"/>
        <w:tblCellMar>
          <w:top w:w="28" w:type="dxa"/>
          <w:left w:w="28" w:type="dxa"/>
          <w:bottom w:w="28" w:type="dxa"/>
          <w:right w:w="28" w:type="dxa"/>
        </w:tblCellMar>
      </w:tblPr>
      <w:tblGrid>
        <w:gridCol w:w="1008"/>
        <w:gridCol w:w="886"/>
        <w:gridCol w:w="888"/>
        <w:gridCol w:w="196"/>
        <w:gridCol w:w="691"/>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41"/>
        <w:gridCol w:w="704"/>
        <w:gridCol w:w="136"/>
        <w:gridCol w:w="109"/>
        <w:gridCol w:w="109"/>
        <w:gridCol w:w="109"/>
        <w:gridCol w:w="196"/>
        <w:gridCol w:w="556"/>
        <w:gridCol w:w="156"/>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Intangible assets with determinable lives: </w:t>
            </w:r>
            <w:r>
              <w:rPr>
                <w:rFonts w:ascii="Times New Roman;serif" w:hAnsi="Times New Roman;serif"/>
                <w:b w:val="false"/>
                <w:color w:val="000000"/>
                <w:sz w:val="12"/>
              </w:rPr>
              <w:t>(1)</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with indefinite lives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4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 gross carrying value of identifiable intangible assets acquired with the KTS acquisition consist of technology of $79.8, customer relationships and contracts of $70.7, definite-lived trademarks of $6.7, and customer backlog of $7.3. The gross carrying value of identifiable intangible assets acquired with the Sigma &amp; Omega acquisition consist of customer relationships of $56.3, customer backlog of $8.9, technology of $8.5, and definite-lived trademarks of $3.9.</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acquisitions of KTS and Sigma &amp; Omega, which have definite-lived intangible assets as noted above, we updated our estimated annual amortization expense related to intangible assets to approximately $90.0 for the full year 2025, $73.0 for 2026, and $70.0 for each of the three years thereafter.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27, 2025, the net carrying value of intangible assets with determinable lives consisted of $423.4 in the HVAC reportable segment and $242.9 in the Detection and Measurement reportable segment. At September 27, 2025, trademarks with indefinite lives consisted of $157.1 in the HVAC reportable segment and $64.9 in the Detection and Measurement reportable segment.</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We review goodwill and indefinite-lived intangible assets for impairment annually during th</w:t>
      </w:r>
      <w:r>
        <w:rPr>
          <w:rFonts w:ascii="Times New Roman;serif" w:hAnsi="Times New Roman;serif"/>
          <w:b w:val="false"/>
          <w:color w:val="000000"/>
          <w:sz w:val="20"/>
        </w:rPr>
        <w:t>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The fair value of the net assets related to the Sigma &amp; Omega, KTS and </w:t>
      </w:r>
      <w:r>
        <w:rPr>
          <w:rFonts w:ascii="Times New Roman;serif" w:hAnsi="Times New Roman;serif"/>
          <w:b w:val="false"/>
          <w:color w:val="000000"/>
          <w:sz w:val="20"/>
          <w:shd w:fill="FFFFFF" w:val="clear"/>
        </w:rPr>
        <w:t>Ingénia</w:t>
      </w:r>
      <w:r>
        <w:rPr>
          <w:color w:val="000000"/>
        </w:rPr>
        <w:t xml:space="preserve"> </w:t>
      </w:r>
      <w:r>
        <w:rPr>
          <w:rFonts w:ascii="Times New Roman;serif" w:hAnsi="Times New Roman;serif"/>
          <w:b w:val="false"/>
          <w:color w:val="000000"/>
          <w:sz w:val="20"/>
        </w:rPr>
        <w:t>acquisitions approximate their respective carrying values. If Sigma &amp; Omega, KTS or Ingénia are unable to achieve their current financial forecasts, or there is a change in key assumptions used in the fair value analyses (e.g. projected revenues and profit growth rates, industry price multiples, discount rates, etc.), we may be required to record an impairment charge in a future period related to their goodwill. As of September 27, 2025, Sigma &amp; Omega, KTS and Ingénia's goodwill totaled $75.2, $102.8 and $138.2, respectively.</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perform our annual indefinite-lived trademarks impairment testing during the fourth quarter, or on a more frequent basis, if there are indications of potential impairment. The fair value of these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erif" w:hAnsi="Times New Roman;serif"/>
          <w:b w:val="false"/>
          <w:color w:val="000000"/>
          <w:sz w:val="20"/>
          <w:shd w:fill="FFFFFF" w:val="clear"/>
        </w:rPr>
        <w:t>Note 17)</w:t>
      </w:r>
      <w:r>
        <w:rPr>
          <w:rFonts w:ascii="Times New Roman;serif" w:hAnsi="Times New Roman;serif"/>
          <w:b w:val="false"/>
          <w:color w:val="000000"/>
          <w:sz w:val="20"/>
        </w:rPr>
        <w:t xml:space="preserve">. The primary basis for these projected revenues is the annual operating plan for each of the related businesses, which is prepared in the fourth quarter of each year. During the fourth quarter of 2024, in connection with the 2024 annual trademark impairment analyses, we determined that the implied value of ASPEQ’s trademarks approximated their carrying value. If ASPEQ is unable to achieve its current revenue forecast, or there is a change in assumptions used in ASPEQ’s analysis (e.g., projected revenues and discount rates, etc.), we may be required to record an impairment charge in a future period related to its trademarks. As of September 27, 2025, ASPEQ’s trademarks totaled $51.5.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WARRANTY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an analysis of our product warranty accrual for the periods presented:</w:t>
      </w:r>
    </w:p>
    <w:tbl>
      <w:tblPr>
        <w:tblW w:w="5156" w:type="dxa"/>
        <w:jc w:val="left"/>
        <w:tblInd w:w="0" w:type="dxa"/>
        <w:tblLayout w:type="fixed"/>
        <w:tblCellMar>
          <w:top w:w="28" w:type="dxa"/>
          <w:left w:w="28" w:type="dxa"/>
          <w:bottom w:w="28" w:type="dxa"/>
          <w:right w:w="28" w:type="dxa"/>
        </w:tblCellMar>
      </w:tblPr>
      <w:tblGrid>
        <w:gridCol w:w="907"/>
        <w:gridCol w:w="797"/>
        <w:gridCol w:w="801"/>
        <w:gridCol w:w="289"/>
        <w:gridCol w:w="689"/>
        <w:gridCol w:w="162"/>
        <w:gridCol w:w="109"/>
        <w:gridCol w:w="109"/>
        <w:gridCol w:w="109"/>
        <w:gridCol w:w="284"/>
        <w:gridCol w:w="677"/>
        <w:gridCol w:w="223"/>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10</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Usage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warranty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warranty</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(11)    EMPLOYEE BENEFIT PLANS</w:t>
      </w:r>
    </w:p>
    <w:p>
      <w:pPr>
        <w:pStyle w:val="TextBody"/>
        <w:bidi w:val="0"/>
        <w:spacing w:lineRule="auto" w:line="25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fourth quarter of 2023, we initiated the wind-up of our Canadian defined benefit pension plans (collectively, the “Canadian Pension Plans”). We received regulatory approval for the wind-up which was completed during the first quarter of 2025. This transaction resulted in a settlement loss of $0.3 recorded in net periodic pension benefit expense during the nine months ended September 27, 2025. In addition, and in connection with this wind-up, we remeasured the assets and liabilities of the Canadian Pension Plans, which resulted in a loss of $0.5 recorded in net periodic pension benefit expense for the nine months ended September 27, 2025. Lastly, as a result of the wind-up, we have eliminated the third-party cost and internal resource requirements associated with administering these benefit plans.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periodic benefit (income) expense for our pension and postretirement plans included the following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Domestic Pension Plans</w:t>
      </w:r>
    </w:p>
    <w:tbl>
      <w:tblPr>
        <w:tblW w:w="8315" w:type="dxa"/>
        <w:jc w:val="left"/>
        <w:tblInd w:w="0" w:type="dxa"/>
        <w:tblLayout w:type="fixed"/>
        <w:tblCellMar>
          <w:top w:w="28" w:type="dxa"/>
          <w:left w:w="28" w:type="dxa"/>
          <w:bottom w:w="28" w:type="dxa"/>
          <w:right w:w="28" w:type="dxa"/>
        </w:tblCellMar>
      </w:tblPr>
      <w:tblGrid>
        <w:gridCol w:w="990"/>
        <w:gridCol w:w="866"/>
        <w:gridCol w:w="874"/>
        <w:gridCol w:w="314"/>
        <w:gridCol w:w="651"/>
        <w:gridCol w:w="175"/>
        <w:gridCol w:w="109"/>
        <w:gridCol w:w="109"/>
        <w:gridCol w:w="109"/>
        <w:gridCol w:w="314"/>
        <w:gridCol w:w="651"/>
        <w:gridCol w:w="175"/>
        <w:gridCol w:w="109"/>
        <w:gridCol w:w="109"/>
        <w:gridCol w:w="109"/>
        <w:gridCol w:w="314"/>
        <w:gridCol w:w="651"/>
        <w:gridCol w:w="175"/>
        <w:gridCol w:w="109"/>
        <w:gridCol w:w="109"/>
        <w:gridCol w:w="109"/>
        <w:gridCol w:w="306"/>
        <w:gridCol w:w="635"/>
        <w:gridCol w:w="24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 expense</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Pension Plans</w:t>
      </w:r>
    </w:p>
    <w:tbl>
      <w:tblPr>
        <w:tblW w:w="8315" w:type="dxa"/>
        <w:jc w:val="left"/>
        <w:tblInd w:w="0" w:type="dxa"/>
        <w:tblLayout w:type="fixed"/>
        <w:tblCellMar>
          <w:top w:w="28" w:type="dxa"/>
          <w:left w:w="28" w:type="dxa"/>
          <w:bottom w:w="28" w:type="dxa"/>
          <w:right w:w="28" w:type="dxa"/>
        </w:tblCellMar>
      </w:tblPr>
      <w:tblGrid>
        <w:gridCol w:w="990"/>
        <w:gridCol w:w="866"/>
        <w:gridCol w:w="874"/>
        <w:gridCol w:w="314"/>
        <w:gridCol w:w="651"/>
        <w:gridCol w:w="175"/>
        <w:gridCol w:w="109"/>
        <w:gridCol w:w="109"/>
        <w:gridCol w:w="109"/>
        <w:gridCol w:w="314"/>
        <w:gridCol w:w="651"/>
        <w:gridCol w:w="175"/>
        <w:gridCol w:w="109"/>
        <w:gridCol w:w="109"/>
        <w:gridCol w:w="109"/>
        <w:gridCol w:w="314"/>
        <w:gridCol w:w="651"/>
        <w:gridCol w:w="175"/>
        <w:gridCol w:w="109"/>
        <w:gridCol w:w="109"/>
        <w:gridCol w:w="109"/>
        <w:gridCol w:w="306"/>
        <w:gridCol w:w="635"/>
        <w:gridCol w:w="24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Settlement loss </w:t>
            </w:r>
            <w:r>
              <w:rPr>
                <w:rFonts w:ascii="Times New Roman;serif" w:hAnsi="Times New Roman;serif"/>
                <w:b w:val="false"/>
                <w:color w:val="000000"/>
                <w:sz w:val="12"/>
              </w:rPr>
              <w:t>(1)</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Recognized net actuarial loss </w:t>
            </w:r>
            <w:r>
              <w:rPr>
                <w:rFonts w:ascii="Times New Roman;serif" w:hAnsi="Times New Roman;serif"/>
                <w:b w:val="false"/>
                <w:color w:val="000000"/>
                <w:sz w:val="12"/>
              </w:rPr>
              <w:t>(1)</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 expense</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Relates to the wind-up of the Canadian Pension Plans referred to previously.</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Postretirement Plans</w:t>
      </w:r>
    </w:p>
    <w:tbl>
      <w:tblPr>
        <w:tblW w:w="9260" w:type="dxa"/>
        <w:jc w:val="left"/>
        <w:tblInd w:w="0" w:type="dxa"/>
        <w:tblLayout w:type="fixed"/>
        <w:tblCellMar>
          <w:top w:w="28" w:type="dxa"/>
          <w:left w:w="28" w:type="dxa"/>
          <w:bottom w:w="28" w:type="dxa"/>
          <w:right w:w="28" w:type="dxa"/>
        </w:tblCellMar>
      </w:tblPr>
      <w:tblGrid>
        <w:gridCol w:w="1331"/>
        <w:gridCol w:w="1165"/>
        <w:gridCol w:w="1179"/>
        <w:gridCol w:w="314"/>
        <w:gridCol w:w="651"/>
        <w:gridCol w:w="175"/>
        <w:gridCol w:w="109"/>
        <w:gridCol w:w="109"/>
        <w:gridCol w:w="109"/>
        <w:gridCol w:w="314"/>
        <w:gridCol w:w="651"/>
        <w:gridCol w:w="175"/>
        <w:gridCol w:w="109"/>
        <w:gridCol w:w="109"/>
        <w:gridCol w:w="109"/>
        <w:gridCol w:w="314"/>
        <w:gridCol w:w="651"/>
        <w:gridCol w:w="175"/>
        <w:gridCol w:w="109"/>
        <w:gridCol w:w="109"/>
        <w:gridCol w:w="109"/>
        <w:gridCol w:w="306"/>
        <w:gridCol w:w="635"/>
        <w:gridCol w:w="243"/>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unrecognized prior service credits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postretirement benefit income</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(12)    INDEBTEDNESS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our debt activity (both current and non-current) for the nine months ended September 27, 2025:</w:t>
      </w:r>
    </w:p>
    <w:tbl>
      <w:tblPr>
        <w:tblW w:w="9484"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196"/>
        <w:gridCol w:w="691"/>
        <w:gridCol w:w="109"/>
        <w:gridCol w:w="109"/>
        <w:gridCol w:w="109"/>
        <w:gridCol w:w="109"/>
        <w:gridCol w:w="196"/>
        <w:gridCol w:w="766"/>
        <w:gridCol w:w="109"/>
        <w:gridCol w:w="109"/>
        <w:gridCol w:w="109"/>
        <w:gridCol w:w="109"/>
        <w:gridCol w:w="196"/>
        <w:gridCol w:w="406"/>
        <w:gridCol w:w="109"/>
        <w:gridCol w:w="109"/>
        <w:gridCol w:w="109"/>
        <w:gridCol w:w="109"/>
        <w:gridCol w:w="256"/>
        <w:gridCol w:w="727"/>
        <w:gridCol w:w="201"/>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Revolving loans</w:t>
            </w:r>
            <w:r>
              <w:rPr>
                <w:rFonts w:ascii="Times New Roman;serif" w:hAnsi="Times New Roman;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 loans</w:t>
            </w:r>
            <w:r>
              <w:rPr>
                <w:rFonts w:ascii="Times New Roman;serif" w:hAnsi="Times New Roman;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Trade receivables financing arrangement</w:t>
            </w:r>
            <w:r>
              <w:rPr>
                <w:rFonts w:ascii="Times New Roman;serif" w:hAnsi="Times New Roman;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indebtedness</w:t>
            </w:r>
            <w:r>
              <w:rPr>
                <w:rFonts w:ascii="Times New Roman;serif" w:hAnsi="Times New Roman;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76" w:before="0" w:after="20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rPr>
        <w:t xml:space="preserve">As noted below, we amended our senior credit agreement on September 9, 2025. The amendment extends the revolving credit facility through September 9, 2030. The revolving credit facilities are primarily used to provide liquidity for funding acquisitions, including related fees and expenses and were utilized as a funding mechanism for the KTS and Sigma &amp; Omega acquisitions. In connection with the consummation of the underwritten public offering (refer to Note 14 for additional details), amounts then owing under our revolving credit facilities were fully repaid. </w:t>
      </w:r>
    </w:p>
    <w:p>
      <w:pPr>
        <w:pStyle w:val="TextBody"/>
        <w:bidi w:val="0"/>
        <w:spacing w:lineRule="auto" w:line="276" w:before="0" w:after="20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term loan is repayable in quarterly installments equal to 0.625% of the initial term loan balance of $500.0, beginning in December 2026 and in each of the first three quarters of 2027, and 1.25% during the fourth quarter of 2027, all quarters of 2028 and 2029, and the first two quarters of 2030. The remaining balances are payable in full on September 9, 2030. Balances are net of unamortized debt issuance costs of $0.9 and $1.2 at September 27, 2025 and December 31, 2024, respectively.</w:t>
      </w:r>
    </w:p>
    <w:p>
      <w:pPr>
        <w:pStyle w:val="TextBody"/>
        <w:bidi w:val="0"/>
        <w:spacing w:lineRule="auto" w:line="276" w:before="0" w:after="20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Under this arrangement, we can borrow, on a continuous basis, up to $100.0, as available. Borrowings under this arrangement are collateralized by eligible trade receivables of certain of our businesses. At September 27, 2025, we had $86.1 of available borrowing capacity under this facility after giving effect to outstanding borrowings of $0.0.</w:t>
      </w:r>
    </w:p>
    <w:p>
      <w:pPr>
        <w:pStyle w:val="TextBody"/>
        <w:bidi w:val="0"/>
        <w:spacing w:lineRule="auto" w:line="288" w:before="0" w:after="20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Primarily includes balances under a purchase card program of $1.4 and $1.1 and finance lease obligations of $1.1 and $1.2 at September 27,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erif" w:hAnsi="Times New Roman;serif"/>
          <w:b w:val="false"/>
          <w:color w:val="000000"/>
          <w:sz w:val="12"/>
        </w:rPr>
        <w:t>(5)</w:t>
      </w:r>
      <w:r>
        <w:rPr>
          <w:color w:val="000000"/>
        </w:rPr>
        <w:t>“</w:t>
      </w:r>
      <w:r>
        <w:rPr>
          <w:rFonts w:ascii="Times New Roman;serif" w:hAnsi="Times New Roman;serif"/>
          <w:b w:val="false"/>
          <w:color w:val="000000"/>
          <w:sz w:val="18"/>
        </w:rPr>
        <w:t>Other” includes the capitalization and amortization of debt issuance costs incurred in connection with the term loan.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Senior Credit Facilities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9, 2025 (the “Third Amendment Effective Date”), we entered into a Third Amendment to the Amended and Restated Credit Agreement and Amendment to the Amended and Restated Guarantee and Collateral Agreement (the “Third Amendment”) with Bank of America, N.A., as administrative agent (the “Administrative Agent”), the lenders party thereto, and certain domestic subsidiaries of SPX, as guarantors, which amends the Amended and Restated Credit Agreement (as previously amended, the “Existing Credit Agreement”), with the lenders party thereto, Deutsche Bank AG, as foreign trade facility agent, and the Administrative Agent (the “Amended Credit Agreement”).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provides for committed senior secured financing in the aggregate amount of $2,025.0, consisting of the following facilities (collectively, the “Senior Credit Facilities”), each with a final maturity of September 9, 2030:</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term loan facility in the aggregate principal amount of $500.0;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multicurrency revolving credit facility, which will be available for loans and letters of credit in U.S. Dollars, Euros, British Pounds Sterling and other currencies, in an aggregate principal amount up to the equivalent of $1,500.0 (with sublimits equal to the equivalents of $200.0 for financial letters of credit, $50.0 for non-financial letters of credit, and $250.0 for non-U.S. exposure);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bilateral foreign credit instrument facility, which will be available for performance letters of credit and bank undertakings, in an aggregate principal amount in various currencies up to the equivalent of $25.0.</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SPX may also seek additional commitments, without consent from the existing lenders, to add incremental term loan facilities and/or increase the commitments in respect of the revolving credit facility and/or the bilateral foreign credit instrument facility by up to an aggregate principal amount not to exceed (x) the greater of (i) $500.0 and (ii) the amount of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EBITDA (as defined in the Amended Credit Agreement) for the four fiscal quarters ended most recently before the date of determination, plus (y) an unlimited amount so long as, immediately after giving effect thereto, our Consolidated Senior Secured Leverage Ratio (defined in the Amended Credit Agreement generally as the ratio of consolidated total debt (excluding the face amount of undrawn letters of credit, bank undertakings, or analogous instruments and net of unrestricted cash and cash equivalents) at the date of determination secured by liens to Consolidated EBITDA for the four fiscal quarters ended most recently before such date) does not exceed 3.00:1.00, plus (z) an amount equal to all voluntary prepayments of the term loan facility and voluntary prepayments accompanied by permanent commitment reductions of the revolving credit facility and foreign credit instrument facility.</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SPX Enterprises, LLC, a direct wholly owned subsidiary of SPX Technologies, Inc., is the borrower under each of the above facilities, and may designate certain foreign subsidiaries to be borrowers under the revolving credit facility and the foreign credit instrument facility. There are no foreign subsidiary borrowers as of the Third Amendment Effective Date. All borrowings and other extensions of credit under the Credit Agreement are subject to the satisfaction of customary conditions, including absence of defaults and accuracy in material respects of representations and warranties. The proceeds of the initial borrowings were used to repay indebtedness outstanding under the Existing Credit Agreement.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interest rates applicable to loans in U.S. Dollars under the Senior Credit Facilities are, at our option, equal to either (x) an alternate base rate (the highest of (a) the federal funds effective rate plus 0.50%, (b) the prime rate of Bank of America, N.A., and (c) the one-month Term Secured Overnight Financing Rate (“SOFR”) plus 1.00%) or (y) the Term SOFR rate for the applicable interest period, plus, in each case, an applicable margin percentage, which varies based on our Consolidated Leverage Ratio (defined in the Amended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The interest rates applicable to loans in other currencies under the Senior Credit Facilities are, at the applicable borrower's option, equal to either (x) an adjusted alternative currency daily rate or (y) an adjusted alternative currency term rate for the applicable interest period, plus, in each case, the applicable margin percentage. The borrowers may elect interest periods of one, three or six months (and, if consented to by all relevant lenders, any other period not greater than twelve months) for term rate borrowings, subject in each case to availability in the applicable currency.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applicable per annum fees and interest rate margins are as follows:</w:t>
      </w:r>
    </w:p>
    <w:tbl>
      <w:tblPr>
        <w:tblW w:w="10205" w:type="dxa"/>
        <w:jc w:val="left"/>
        <w:tblInd w:w="0" w:type="dxa"/>
        <w:tblLayout w:type="fixed"/>
        <w:tblCellMar>
          <w:top w:w="28" w:type="dxa"/>
          <w:left w:w="28" w:type="dxa"/>
          <w:bottom w:w="28" w:type="dxa"/>
          <w:right w:w="28" w:type="dxa"/>
        </w:tblCellMar>
      </w:tblPr>
      <w:tblGrid>
        <w:gridCol w:w="470"/>
        <w:gridCol w:w="413"/>
        <w:gridCol w:w="415"/>
        <w:gridCol w:w="109"/>
        <w:gridCol w:w="109"/>
        <w:gridCol w:w="109"/>
        <w:gridCol w:w="321"/>
        <w:gridCol w:w="267"/>
        <w:gridCol w:w="594"/>
        <w:gridCol w:w="109"/>
        <w:gridCol w:w="109"/>
        <w:gridCol w:w="109"/>
        <w:gridCol w:w="383"/>
        <w:gridCol w:w="210"/>
        <w:gridCol w:w="468"/>
        <w:gridCol w:w="109"/>
        <w:gridCol w:w="109"/>
        <w:gridCol w:w="109"/>
        <w:gridCol w:w="382"/>
        <w:gridCol w:w="262"/>
        <w:gridCol w:w="584"/>
        <w:gridCol w:w="109"/>
        <w:gridCol w:w="109"/>
        <w:gridCol w:w="109"/>
        <w:gridCol w:w="326"/>
        <w:gridCol w:w="312"/>
        <w:gridCol w:w="694"/>
        <w:gridCol w:w="109"/>
        <w:gridCol w:w="109"/>
        <w:gridCol w:w="109"/>
        <w:gridCol w:w="372"/>
        <w:gridCol w:w="266"/>
        <w:gridCol w:w="589"/>
        <w:gridCol w:w="109"/>
        <w:gridCol w:w="109"/>
        <w:gridCol w:w="109"/>
        <w:gridCol w:w="278"/>
        <w:gridCol w:w="278"/>
        <w:gridCol w:w="359"/>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Commitment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Letter of Credit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Credit Instrument (FCI) Commitment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FCI Fee and Non-Financial Letter of Credit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Loans/Alternative Currency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ABR Loans</w:t>
            </w:r>
          </w:p>
        </w:tc>
      </w:tr>
      <w:tr>
        <w:trPr/>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than 0.75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0.200 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0.200 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0.750 </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or equal to 0.75 to 1.0 but less than 2.00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0.225 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0.800 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0.375 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or equal to 2.00 to 1.0 but less than 3.00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0.250 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0.250 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0.875 </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Greater than or equal to 3.00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0.275 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weighted-average interest rate of outstanding borrowings under our senior credit agreement was approximately 5.5% at September 27, 2025.</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fees for bilateral foreign credit instruments are as specified above unless otherwise agreed with the bilateral foreign issuing lender. The applicable borrower will also pay fronting fees on the outstanding amounts of financial and non-financial letters of credit at the rates of 0.125% per annum and 0.25% per annum, respectively.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letters of credit under the revolving credit facility are stand-by letters of credit requested by SPX on behalf of any of our subsidiaries or certain joint ventures. The foreign credit instrument facility is used to issue foreign credit instruments, including bank undertakings to support our operations.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Credit Facilities require mandatory prepayments in amounts equal to the net proceeds from the sale or other disposition of (including from any casualty to, or governmental taking of) property in excess of specified values (other than in the ordinary course of business and subject to other exceptions) by us. Mandatory prepayments will be applied first to repay amounts outstanding under any term loans and then to amounts outstanding under the revolving credit facility (without reducing the commitments thereunder). No prepayment is required generally to the extent the net proceeds are reinvested (or committed to be reinvested) in permitted acquisitions, permitted investments or assets to be used in our business within 365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days (and if committed to be reinvested, actually reinvested within 180 days after the end of such 365-day period) of the receipt of such proceeds.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voluntarily prepay loans under the Senior Credit Facilities, in whole or in part, without premium or penalty. Any voluntary prepayment of loans will be subject to reimbursement of the lenders' breakage costs in the case of a prepayment of term rate borrowings other than on the last day of the relevant interest period.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under the Senior Credit Facilities (and certain specified hedging and treasury obligations) are guaranteed by:</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Each existing and subsequently acquired or organized domestic material subsidiary of SPX Technologies, Inc., with specified exceptions;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SPX Technologies, Inc. with respect to the obligations of foreign borrower subsidiaries under the revolving credit facility and the bilateral foreign credit instrument facility. </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under the Senior Credit Facilities (and certain specified hedging and treasury obligations) are secured by a first priority pledge and security interest in 100% of the capital stock of domestic subsidiaries (with certain exceptions) held by SPX Technologies, Inc. or the domestic subsidiary guarantors and 65% of the voting capital stock (and 100% of the non-voting capital stock) of material first-tier foreign subsidiaries (with certain exceptions). If we obtain a corporate credit rating from Moody’s and S&amp;P and such corporate credit rating is less than “Ba2” (or not rated) by Moody’s and less than “BB” (or not rated) by S&amp;P, then SPX Technologies, Inc., the borrowers and the domestic subsidiary guarantors are required to grant security interests, mortgages and other liens on substantially all of their assets. If our corporate credit rating is “Baa3” or better by Moody’s or “BBB-” or better by S&amp;P and no defaults would exist, then all collateral security will be released and the indebtedness under the Senior Credit Facilities will be unsecured.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requires that we maintain: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Consolidated Interest Coverage Ratio (defined in the Amended Credit Agreement generally as the ratio of Consolidated EBITDA for the four fiscal quarters then ended to consolidated cash interest expense for such period) as of the last day of any fiscal quarter of at least 3.00 to 1.00;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Consolidated Leverage Ratio as of the last day of any fiscal quarter of not more than 3.75 to 1.00 (or 4.25 to 1.00 for the four fiscal quarters after certain permitted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contains covenants that, among other things, restrict our ability to incur additional indebtedness, grant liens, make investments, loans or guarantees, make restricted junior payments, including dividends, redemptions of capital stock, and voluntary prepayments or repurchase of subordinated indebtedness, engage in mergers, acquisitions or sales of assets, enter into sale and leaseback transactions, or engage in certain transactions with affiliates. The Amended Credit Agreement contains customary representations, warranties, affirmative covenants and events of default.</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27, 2025, we had $1,489.0 of available borrowing capacity under our revolving credit facilities, after giving effect to borrowings under the domestic revolving loan facility of $0.0 and $11.0 reserved for outstanding letters of credit. In addition, at September 27, 2025, we had $12.8 of available issuance capacity under our foreign credit instrument facilities after giving effect to $12.2 reserved for outstanding letters of credit.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27, 2025, we were in compliance with all covenants of the Amended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third quarter of 2025, we capitalized $4.2 of debt issuance costs associated with the entry into the Third Amendment and recorded charges of $1.5 to “Loss on amendment/refinancing of senior credit agreement” related to the write-off of a portion of previously unamortized deferred financing costs totaling $1.0 and transaction costs of $0.5.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Borrowings and Financing Activities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renewed our trade receivables financing agreement for 12 months, whereby we can borrow, on a continuous basis, up to $100.0, as available.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Company-owned Life Insurance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investments in company-owned life insurance (“COLI”) policies, which are recorded at their cash surrender value at each balance sheet date. Changes in the cash surrender value during the period are recorded as a gain or loss within “Other expense, net” within our condensed consolidated statements of operations. We have the ability to borrow against a portion of our investment in the COLI policies as an additional source of liquidity. During the first nine months of 2024, we borrowed $41.2 against the cash surrender value of these COLI policies. During the nine months ended September 27, 2025, we repaid the outstanding borrowings totaling $37.4, inclusive of accrued interest. The amounts borrowed totaled $0.0 at September 27, 2025 and $39.0 at December 31, 2024, respectively, and incurred interest at a rate of 5.3%. At September 27, 2025, we had capacity to borrow approximately $35.0 against the policies. The cash surrender value of our investments in COLI assets, net of any aforementioned borrowings, was $60.9 and $36.2 at September 27, 2025 and December 31, 2024, respectively, recorded in “Other assets” on the condensed consolidated balance sheets.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(13)    DERIVATIVE FINANCIAL INSTRUMENTS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Interest Rate Swaps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2020, we entered into interest swap agreements (“Initial Swaps”) that covered the period through November 2024, and effectively converted borrowings under our senior credit facilities to a fixed rate of 1.077%, plus the applicable margin. In September 2024, commensurate with an amendment to our senior credit agreement, we entered into additional interest rate swap agreements (“Additional Swaps”). During the three months ended September 27, 2025, commensurate with the Third Amendment, we settled the Additional Swaps which resulted in a gain recorded to “Other expense, net” and cash received of $0.4. Prior to settlement, the Additional Swaps covered the period from December 2024 to June 2026, and effectively converted a portion of the borrowings under our senior credit facilities to a fixed rate of 3.58%, plus the applicable margin. We had designated, and accounted for, our Additional Swaps (and, prior to their maturity, accounted for the Initial Swaps) as cash flow hedges.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27, 2025 and December 31, 2024</w:t>
      </w:r>
      <w:r>
        <w:rPr>
          <w:rFonts w:ascii="Times New Roman;serif" w:hAnsi="Times New Roman;serif"/>
          <w:b w:val="false"/>
          <w:color w:val="000000"/>
          <w:sz w:val="20"/>
          <w:shd w:fill="FFFFFF" w:val="clear"/>
        </w:rPr>
        <w:t>, the unrealized (loss) gain, net of tax, recorded in accumulated other comprehensive income (</w:t>
      </w:r>
      <w:r>
        <w:rPr>
          <w:color w:val="000000"/>
        </w:rPr>
        <w:t>“</w:t>
      </w:r>
      <w:r>
        <w:rPr>
          <w:rFonts w:ascii="Times New Roman;serif" w:hAnsi="Times New Roman;serif"/>
          <w:b w:val="false"/>
          <w:color w:val="000000"/>
          <w:sz w:val="20"/>
          <w:shd w:fill="FFFFFF" w:val="clear"/>
        </w:rPr>
        <w:t>AOCI</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$0.0 and $2.6, respectively. In addition, the fair value of our interest rate swap agreements was $0.0 and $3.4 (with $2.7 recorded as a current asset and $0.7 as a non-current asset) as of September 27, 2025 and December 31, 2024, respectively. Changes in the fair value of our Swaps were reclassified into earnings, as a component of interest expense, when the forecasted transaction impacted earnings.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Currency Forward Contracts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British Pound Sterling, Canadian Dollar, Euro, and South African Rand.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the cumulative change in the derivatives’ fair value is recorded into earnings in the period in which the transaction is no longer considered probable of occurring.</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We had FX forward contracts with an aggregate notional amount of $31.1 and $22.9 outstanding as of September 27, 2025 and December 31, 2024, respectively, with all of the $31.1 scheduled to mature within one year. </w:t>
      </w:r>
      <w:r>
        <w:rPr>
          <w:rFonts w:ascii="Times New Roman;serif" w:hAnsi="Times New Roman;serif"/>
          <w:b w:val="false"/>
          <w:color w:val="000000"/>
          <w:sz w:val="20"/>
          <w:shd w:fill="FFFFFF" w:val="clear"/>
        </w:rPr>
        <w:t xml:space="preserve">There were no unrealized gains/losses recorded in AOCI related to FX forward contracts designated as cash flow hedges as of September 27, 2025 and December 31, 2024. </w:t>
      </w:r>
      <w:r>
        <w:rPr>
          <w:rFonts w:ascii="Times New Roman;serif" w:hAnsi="Times New Roman;serif"/>
          <w:b w:val="false"/>
          <w:color w:val="000000"/>
          <w:sz w:val="20"/>
        </w:rPr>
        <w:t>The fair value of our FX forward contracts was less than $0.1 at September 27, 2025 and December 31,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above, we entered FX forward contracts associated with the Settlement Agreement, to mitigate our exposure to fluctuations in the South African Rand, with a notional amount of South African Rand 480.9 (or $24.9 at the time of execution). We designated and accounted for these FX forward contracts as fair value hedges. These FX forward contracts matured during the quarter ended September 28, 2024 commensurate with the final payment under the Settlement Agreement, resulting in cash received of $2.0 presented within “Net cash used in discontinued operations” within the condensed consolidated statement of cash flows for the nine months ended September 28, 2024. Refer to Note 3 for additional details.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(14)    STOCKHOLDERS' EQUITY AND LONG-TERM INCENTIVE COMPENSATION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Per Share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weighted-average shares outstanding used in the computation of basic and diluted income per share:</w:t>
      </w:r>
    </w:p>
    <w:tbl>
      <w:tblPr>
        <w:tblW w:w="10205" w:type="dxa"/>
        <w:jc w:val="left"/>
        <w:tblInd w:w="0" w:type="dxa"/>
        <w:tblLayout w:type="fixed"/>
        <w:tblCellMar>
          <w:top w:w="28" w:type="dxa"/>
          <w:left w:w="28" w:type="dxa"/>
          <w:bottom w:w="28" w:type="dxa"/>
          <w:right w:w="28" w:type="dxa"/>
        </w:tblCellMar>
      </w:tblPr>
      <w:tblGrid>
        <w:gridCol w:w="1720"/>
        <w:gridCol w:w="1509"/>
        <w:gridCol w:w="1517"/>
        <w:gridCol w:w="369"/>
        <w:gridCol w:w="341"/>
        <w:gridCol w:w="342"/>
        <w:gridCol w:w="145"/>
        <w:gridCol w:w="145"/>
        <w:gridCol w:w="145"/>
        <w:gridCol w:w="369"/>
        <w:gridCol w:w="341"/>
        <w:gridCol w:w="342"/>
        <w:gridCol w:w="109"/>
        <w:gridCol w:w="109"/>
        <w:gridCol w:w="109"/>
        <w:gridCol w:w="369"/>
        <w:gridCol w:w="341"/>
        <w:gridCol w:w="342"/>
        <w:gridCol w:w="138"/>
        <w:gridCol w:w="138"/>
        <w:gridCol w:w="138"/>
        <w:gridCol w:w="346"/>
        <w:gridCol w:w="326"/>
        <w:gridCol w:w="455"/>
      </w:tblGrid>
      <w:tr>
        <w:trPr/>
        <w:tc>
          <w:tcPr>
            <w:tcW w:w="172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used in basic income per share</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46.127 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securities — Employee stock options, performance stock units and restricted stock units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and dilutive securities used in diluted income per share</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48.919 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47.265 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47.794 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47.003 </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weighted-average number of restricted stock units, performance stock units and stock options excluded from the computation of diluted income per share because the assumed proceeds for these instruments exceed the average market value of the underlying common stock for the related period were 0.106 and 0.208, r</w:t>
      </w:r>
      <w:r>
        <w:rPr>
          <w:rFonts w:ascii="Times New Roman;serif" w:hAnsi="Times New Roman;serif"/>
          <w:b w:val="false"/>
          <w:color w:val="000000"/>
          <w:sz w:val="20"/>
          <w:shd w:fill="FFFFFF" w:val="clear"/>
        </w:rPr>
        <w:t>espectively, for the three mon</w:t>
      </w:r>
      <w:r>
        <w:rPr>
          <w:rFonts w:ascii="Times New Roman;serif" w:hAnsi="Times New Roman;serif"/>
          <w:b w:val="false"/>
          <w:color w:val="000000"/>
          <w:sz w:val="20"/>
        </w:rPr>
        <w:t>ths ended September 27, 2025, and 0.121 and 0.243, respectively, for the nine months ended September 27,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weighted-average number of restricted stock units, performance stock units and stock options excluded from the computation of diluted income per share because the assumed proceeds for these instruments exceed the average market value of the underlying common stock for the related period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0.126 and 0.248, respectively, for the three months ended September 28, 2024, and 0.134 and 0.290, respectively, for the nine months ende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September 28, 2024</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Long-Term Incentive Compensation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incentive compensation awards may be granted to certain eligible employees or non-employee directors. A detailed description of the awards granted prior to 2025 is included in our 2024 Annual Report on Form 10-K.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Awards granted on March 3, 2025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May 13, 2025, we granted 0.007 RSU’s to our non-employee directors, which vest in their entirety immediately prior to the annual meeting of stockholders in May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ompensation expense within income from continuing operations related to long-term incentive awards totaled</w:t>
      </w:r>
      <w:r>
        <w:rPr>
          <w:color w:val="000000"/>
        </w:rPr>
        <w:t xml:space="preserve"> </w:t>
      </w:r>
      <w:r>
        <w:rPr>
          <w:rFonts w:ascii="Times New Roman;serif" w:hAnsi="Times New Roman;serif"/>
          <w:b w:val="false"/>
          <w:color w:val="000000"/>
          <w:sz w:val="20"/>
        </w:rPr>
        <w:t>$4.2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$4.0</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September 27,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September 28, 2024</w:t>
      </w:r>
      <w:r>
        <w:rPr>
          <w:rFonts w:ascii="Times New Roman;serif" w:hAnsi="Times New Roman;serif"/>
          <w:b w:val="false"/>
          <w:color w:val="000000"/>
          <w:sz w:val="20"/>
          <w:shd w:fill="FFFFFF" w:val="clear"/>
        </w:rPr>
        <w:t>, respectively, an</w:t>
      </w:r>
      <w:r>
        <w:rPr>
          <w:rFonts w:ascii="Times New Roman;serif" w:hAnsi="Times New Roman;serif"/>
          <w:b w:val="false"/>
          <w:color w:val="000000"/>
          <w:sz w:val="20"/>
        </w:rPr>
        <w:t xml:space="preserve">d $11.8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 xml:space="preserve">d $11.0 </w:t>
      </w:r>
      <w:r>
        <w:rPr>
          <w:rFonts w:ascii="Times New Roman;serif" w:hAnsi="Times New Roman;serif"/>
          <w:b w:val="false"/>
          <w:color w:val="000000"/>
          <w:sz w:val="20"/>
          <w:shd w:fill="FFFFFF" w:val="clear"/>
        </w:rPr>
        <w:t xml:space="preserve">for the nine months ended </w:t>
      </w:r>
      <w:r>
        <w:rPr>
          <w:rFonts w:ascii="Times New Roman;serif" w:hAnsi="Times New Roman;serif"/>
          <w:b w:val="false"/>
          <w:color w:val="000000"/>
          <w:sz w:val="20"/>
        </w:rPr>
        <w:t>September 27,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September 28, 2024</w:t>
      </w:r>
      <w:r>
        <w:rPr>
          <w:rFonts w:ascii="Times New Roman;serif" w:hAnsi="Times New Roman;serif"/>
          <w:b w:val="false"/>
          <w:color w:val="000000"/>
          <w:sz w:val="20"/>
          <w:shd w:fill="FFFFFF" w:val="clear"/>
        </w:rPr>
        <w:t>, respectively. The related tax benefit w</w:t>
      </w:r>
      <w:r>
        <w:rPr>
          <w:rFonts w:ascii="Times New Roman;serif" w:hAnsi="Times New Roman;serif"/>
          <w:b w:val="false"/>
          <w:color w:val="000000"/>
          <w:sz w:val="20"/>
        </w:rPr>
        <w:t>as $0.7 for the three months ended September 27, 2025 and September 28, 2024 and $2.0 and $1.9 for the nine months e</w:t>
      </w:r>
      <w:r>
        <w:rPr>
          <w:rFonts w:ascii="Times New Roman;serif" w:hAnsi="Times New Roman;serif"/>
          <w:b w:val="false"/>
          <w:color w:val="000000"/>
          <w:sz w:val="20"/>
          <w:shd w:fill="FFFFFF" w:val="clear"/>
        </w:rPr>
        <w:t xml:space="preserve">nded </w:t>
      </w:r>
      <w:r>
        <w:rPr>
          <w:rFonts w:ascii="Times New Roman;serif" w:hAnsi="Times New Roman;serif"/>
          <w:b w:val="false"/>
          <w:color w:val="000000"/>
          <w:sz w:val="20"/>
        </w:rPr>
        <w:t>September 27,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September 28, 2024</w:t>
      </w:r>
      <w:r>
        <w:rPr>
          <w:rFonts w:ascii="Times New Roman;serif" w:hAnsi="Times New Roman;serif"/>
          <w:b w:val="false"/>
          <w:color w:val="000000"/>
          <w:sz w:val="20"/>
          <w:shd w:fill="FFFFFF" w:val="clear"/>
        </w:rPr>
        <w:t xml:space="preserve">,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Repurchases of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13, 2025,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and nine months ended September 27,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Registered Direct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12, 2025, the Company entered into an underwritten public offering with certain investors, pursuant to which the Company agreed to issue and sell in a registered direct offering to such investors 3.059 shares (the “Shares”) of the Company's common stock (the “Common Stock”), at a purchase price of $188.0 per share of common stock (the “Offering”). The Offering was made pursuant to the shelf registration statement on Form S-3 (Registration No. 333-289489) and a related prospectus supplement and accompanying prospectus filed with the Securities and Exchange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gross proceeds to the Company from the Offering, before deducting underwriting discounts, commissions and offering expenses payable by the Company, were approximately $575.0. After deducting underwriting discounts, commissions, and offering expenses payable by the Company of $23.9, net proceeds recorded during the three and nine months ended September 27, 2025 were $551.1.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underwriting agreement contains customary representations, warranties, covenants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AOCI, net of tax, for the three months ended September 27, 2025 were as follows:</w:t>
      </w:r>
    </w:p>
    <w:tbl>
      <w:tblPr>
        <w:tblW w:w="10205" w:type="dxa"/>
        <w:jc w:val="left"/>
        <w:tblInd w:w="0" w:type="dxa"/>
        <w:tblLayout w:type="fixed"/>
        <w:tblCellMar>
          <w:top w:w="28" w:type="dxa"/>
          <w:left w:w="28" w:type="dxa"/>
          <w:bottom w:w="28" w:type="dxa"/>
          <w:right w:w="28" w:type="dxa"/>
        </w:tblCellMar>
      </w:tblPr>
      <w:tblGrid>
        <w:gridCol w:w="1667"/>
        <w:gridCol w:w="1421"/>
        <w:gridCol w:w="1425"/>
        <w:gridCol w:w="215"/>
        <w:gridCol w:w="610"/>
        <w:gridCol w:w="121"/>
        <w:gridCol w:w="109"/>
        <w:gridCol w:w="109"/>
        <w:gridCol w:w="109"/>
        <w:gridCol w:w="459"/>
        <w:gridCol w:w="953"/>
        <w:gridCol w:w="257"/>
        <w:gridCol w:w="109"/>
        <w:gridCol w:w="109"/>
        <w:gridCol w:w="109"/>
        <w:gridCol w:w="341"/>
        <w:gridCol w:w="654"/>
        <w:gridCol w:w="191"/>
        <w:gridCol w:w="109"/>
        <w:gridCol w:w="109"/>
        <w:gridCol w:w="109"/>
        <w:gridCol w:w="196"/>
        <w:gridCol w:w="556"/>
        <w:gridCol w:w="158"/>
      </w:tblGrid>
      <w:tr>
        <w:trPr/>
        <w:tc>
          <w:tcPr>
            <w:tcW w:w="166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Unrealized Gains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of tax provision o</w:t>
      </w:r>
      <w:r>
        <w:rPr>
          <w:rFonts w:ascii="Times New Roman;serif" w:hAnsi="Times New Roman;serif"/>
          <w:b w:val="false"/>
          <w:color w:val="000000"/>
          <w:sz w:val="18"/>
          <w:shd w:fill="FFFFFF" w:val="clear"/>
        </w:rPr>
        <w:t xml:space="preserve">f </w:t>
      </w:r>
      <w:r>
        <w:rPr>
          <w:rFonts w:ascii="Times New Roman;serif" w:hAnsi="Times New Roman;serif"/>
          <w:b w:val="false"/>
          <w:color w:val="000000"/>
          <w:sz w:val="18"/>
        </w:rPr>
        <w:t xml:space="preserve">$0.0 </w:t>
      </w:r>
      <w:r>
        <w:rPr>
          <w:rFonts w:ascii="Times New Roman;serif" w:hAnsi="Times New Roman;serif"/>
          <w:b w:val="false"/>
          <w:color w:val="000000"/>
          <w:sz w:val="18"/>
          <w:shd w:fill="FFFFFF" w:val="clear"/>
        </w:rPr>
        <w:t xml:space="preserve">and $0.5 </w:t>
      </w:r>
      <w:r>
        <w:rPr>
          <w:rFonts w:ascii="Times New Roman;serif" w:hAnsi="Times New Roman;serif"/>
          <w:b w:val="false"/>
          <w:color w:val="000000"/>
          <w:sz w:val="18"/>
        </w:rPr>
        <w:t>as of September 27, 2025 and June 28, 2025, respectively.</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$0.3 and </w:t>
      </w:r>
      <w:r>
        <w:rPr>
          <w:rFonts w:ascii="Times New Roman;serif" w:hAnsi="Times New Roman;serif"/>
          <w:b w:val="false"/>
          <w:color w:val="000000"/>
          <w:sz w:val="18"/>
          <w:shd w:fill="FFFFFF" w:val="clear"/>
        </w:rPr>
        <w:t>$0.5</w:t>
      </w:r>
      <w:r>
        <w:rPr>
          <w:color w:val="000000"/>
        </w:rPr>
        <w:t xml:space="preserve"> </w:t>
      </w:r>
      <w:r>
        <w:rPr>
          <w:rFonts w:ascii="Times New Roman;serif" w:hAnsi="Times New Roman;serif"/>
          <w:b w:val="false"/>
          <w:color w:val="000000"/>
          <w:sz w:val="18"/>
        </w:rPr>
        <w:t xml:space="preserve">as of September 27, 2025 and June 28, 2025, respectively. The balances as of September 27, 2025 and June 28, 2025 include unamortized prior service credits.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AOCI, net of tax, for the nine months ended September 27, 2025 were as follows:</w:t>
      </w:r>
    </w:p>
    <w:tbl>
      <w:tblPr>
        <w:tblW w:w="10205" w:type="dxa"/>
        <w:jc w:val="left"/>
        <w:tblInd w:w="0" w:type="dxa"/>
        <w:tblLayout w:type="fixed"/>
        <w:tblCellMar>
          <w:top w:w="28" w:type="dxa"/>
          <w:left w:w="28" w:type="dxa"/>
          <w:bottom w:w="28" w:type="dxa"/>
          <w:right w:w="28" w:type="dxa"/>
        </w:tblCellMar>
      </w:tblPr>
      <w:tblGrid>
        <w:gridCol w:w="1668"/>
        <w:gridCol w:w="1420"/>
        <w:gridCol w:w="1425"/>
        <w:gridCol w:w="215"/>
        <w:gridCol w:w="610"/>
        <w:gridCol w:w="121"/>
        <w:gridCol w:w="109"/>
        <w:gridCol w:w="109"/>
        <w:gridCol w:w="109"/>
        <w:gridCol w:w="459"/>
        <w:gridCol w:w="953"/>
        <w:gridCol w:w="257"/>
        <w:gridCol w:w="109"/>
        <w:gridCol w:w="109"/>
        <w:gridCol w:w="109"/>
        <w:gridCol w:w="341"/>
        <w:gridCol w:w="654"/>
        <w:gridCol w:w="191"/>
        <w:gridCol w:w="109"/>
        <w:gridCol w:w="109"/>
        <w:gridCol w:w="109"/>
        <w:gridCol w:w="196"/>
        <w:gridCol w:w="556"/>
        <w:gridCol w:w="158"/>
      </w:tblGrid>
      <w:tr>
        <w:trPr/>
        <w:tc>
          <w:tcPr>
            <w:tcW w:w="166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Unrealized Gains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of tax provision of $0.0 a</w:t>
      </w:r>
      <w:r>
        <w:rPr>
          <w:rFonts w:ascii="Times New Roman;serif" w:hAnsi="Times New Roman;serif"/>
          <w:b w:val="false"/>
          <w:color w:val="000000"/>
          <w:sz w:val="18"/>
          <w:shd w:fill="FFFFFF" w:val="clear"/>
        </w:rPr>
        <w:t>nd</w:t>
      </w:r>
      <w:r>
        <w:rPr>
          <w:color w:val="000000"/>
        </w:rPr>
        <w:t xml:space="preserve"> </w:t>
      </w:r>
      <w:r>
        <w:rPr>
          <w:rFonts w:ascii="Times New Roman;serif" w:hAnsi="Times New Roman;serif"/>
          <w:b w:val="false"/>
          <w:color w:val="000000"/>
          <w:sz w:val="18"/>
        </w:rPr>
        <w:t>$0.7 as of September 27, 2025 and December 31, 2024, respectively.</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$0.3 and </w:t>
      </w:r>
      <w:r>
        <w:rPr>
          <w:rFonts w:ascii="Times New Roman;serif" w:hAnsi="Times New Roman;serif"/>
          <w:b w:val="false"/>
          <w:color w:val="000000"/>
          <w:sz w:val="18"/>
          <w:shd w:fill="FFFFFF" w:val="clear"/>
        </w:rPr>
        <w:t>$1.0</w:t>
      </w:r>
      <w:r>
        <w:rPr>
          <w:color w:val="000000"/>
        </w:rPr>
        <w:t xml:space="preserve"> </w:t>
      </w:r>
      <w:r>
        <w:rPr>
          <w:rFonts w:ascii="Times New Roman;serif" w:hAnsi="Times New Roman;serif"/>
          <w:b w:val="false"/>
          <w:color w:val="000000"/>
          <w:sz w:val="18"/>
        </w:rPr>
        <w:t xml:space="preserve">as of September 27, 2025 and December 31, 2024, respectively. The balances as of September 27, 2025 and December 31, 2024 include unamortized prior service credits.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AOCI, net of tax, for the three months ended September 28, 2024 were as follows:</w:t>
      </w:r>
    </w:p>
    <w:tbl>
      <w:tblPr>
        <w:tblW w:w="10205" w:type="dxa"/>
        <w:jc w:val="left"/>
        <w:tblInd w:w="0" w:type="dxa"/>
        <w:tblLayout w:type="fixed"/>
        <w:tblCellMar>
          <w:top w:w="28" w:type="dxa"/>
          <w:left w:w="28" w:type="dxa"/>
          <w:bottom w:w="28" w:type="dxa"/>
          <w:right w:w="28" w:type="dxa"/>
        </w:tblCellMar>
      </w:tblPr>
      <w:tblGrid>
        <w:gridCol w:w="1547"/>
        <w:gridCol w:w="1273"/>
        <w:gridCol w:w="1277"/>
        <w:gridCol w:w="215"/>
        <w:gridCol w:w="610"/>
        <w:gridCol w:w="121"/>
        <w:gridCol w:w="109"/>
        <w:gridCol w:w="109"/>
        <w:gridCol w:w="109"/>
        <w:gridCol w:w="585"/>
        <w:gridCol w:w="1171"/>
        <w:gridCol w:w="328"/>
        <w:gridCol w:w="109"/>
        <w:gridCol w:w="109"/>
        <w:gridCol w:w="109"/>
        <w:gridCol w:w="341"/>
        <w:gridCol w:w="654"/>
        <w:gridCol w:w="191"/>
        <w:gridCol w:w="109"/>
        <w:gridCol w:w="109"/>
        <w:gridCol w:w="109"/>
        <w:gridCol w:w="196"/>
        <w:gridCol w:w="556"/>
        <w:gridCol w:w="159"/>
      </w:tblGrid>
      <w:tr>
        <w:trPr/>
        <w:tc>
          <w:tcPr>
            <w:tcW w:w="15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Gains (Losses)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of tax provision (benefit) of $(0.3) and $0.8 as of September 28, 2024 and June 29, 2024, respectively.</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$1.2 and $1.4 as of September 28, 2024 and June 29, 2024, respectively. The balances as of September 28, 2024 and June 29, 2024 include unamortized prior service credits.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components of AOCI, net of tax, for the nine months ended September 28, 2024 were as follows:</w:t>
      </w:r>
    </w:p>
    <w:tbl>
      <w:tblPr>
        <w:tblW w:w="10205" w:type="dxa"/>
        <w:jc w:val="left"/>
        <w:tblInd w:w="0" w:type="dxa"/>
        <w:tblLayout w:type="fixed"/>
        <w:tblCellMar>
          <w:top w:w="28" w:type="dxa"/>
          <w:left w:w="28" w:type="dxa"/>
          <w:bottom w:w="28" w:type="dxa"/>
          <w:right w:w="28" w:type="dxa"/>
        </w:tblCellMar>
      </w:tblPr>
      <w:tblGrid>
        <w:gridCol w:w="1547"/>
        <w:gridCol w:w="1273"/>
        <w:gridCol w:w="1277"/>
        <w:gridCol w:w="215"/>
        <w:gridCol w:w="610"/>
        <w:gridCol w:w="121"/>
        <w:gridCol w:w="109"/>
        <w:gridCol w:w="109"/>
        <w:gridCol w:w="109"/>
        <w:gridCol w:w="585"/>
        <w:gridCol w:w="1171"/>
        <w:gridCol w:w="328"/>
        <w:gridCol w:w="109"/>
        <w:gridCol w:w="109"/>
        <w:gridCol w:w="109"/>
        <w:gridCol w:w="341"/>
        <w:gridCol w:w="654"/>
        <w:gridCol w:w="191"/>
        <w:gridCol w:w="109"/>
        <w:gridCol w:w="109"/>
        <w:gridCol w:w="109"/>
        <w:gridCol w:w="196"/>
        <w:gridCol w:w="556"/>
        <w:gridCol w:w="159"/>
      </w:tblGrid>
      <w:tr>
        <w:trPr/>
        <w:tc>
          <w:tcPr>
            <w:tcW w:w="15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Gains (Losses)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of tax provision (benefit) of $(0.3) and $1.8 as of September 28, 2024 and December 31, 2023, respectively.</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$1.2 and $1.8 as of September 28, 2024 and December 31, 2023, respectively. The balances as of September 28, 2024 and December 31, 2023 include unamortized prior service credits.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amounts reclassified from each component of AOCI for the three months ended September 27, 2025 and September 28, 2024:</w:t>
      </w:r>
    </w:p>
    <w:tbl>
      <w:tblPr>
        <w:tblW w:w="10205" w:type="dxa"/>
        <w:jc w:val="left"/>
        <w:tblInd w:w="0" w:type="dxa"/>
        <w:tblLayout w:type="fixed"/>
        <w:tblCellMar>
          <w:top w:w="28" w:type="dxa"/>
          <w:left w:w="28" w:type="dxa"/>
          <w:bottom w:w="28" w:type="dxa"/>
          <w:right w:w="28" w:type="dxa"/>
        </w:tblCellMar>
      </w:tblPr>
      <w:tblGrid>
        <w:gridCol w:w="1340"/>
        <w:gridCol w:w="1122"/>
        <w:gridCol w:w="1126"/>
        <w:gridCol w:w="398"/>
        <w:gridCol w:w="796"/>
        <w:gridCol w:w="222"/>
        <w:gridCol w:w="156"/>
        <w:gridCol w:w="156"/>
        <w:gridCol w:w="156"/>
        <w:gridCol w:w="397"/>
        <w:gridCol w:w="793"/>
        <w:gridCol w:w="225"/>
        <w:gridCol w:w="109"/>
        <w:gridCol w:w="109"/>
        <w:gridCol w:w="109"/>
        <w:gridCol w:w="874"/>
        <w:gridCol w:w="874"/>
        <w:gridCol w:w="1243"/>
      </w:tblGrid>
      <w:tr>
        <w:trPr/>
        <w:tc>
          <w:tcPr>
            <w:tcW w:w="13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Condensed</w:t>
              <w:br/>
              <w:t>Consolidated Statements of Operations</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qualifying cash flow hedges:</w:t>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Swaps</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w:t>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pension and postretirement items: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unrecognized prior service credits - Pre-tax</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amounts reclassified from each component of AOCI for the nine months ended September 27, 2025 and September 28, 2024:</w:t>
      </w:r>
    </w:p>
    <w:tbl>
      <w:tblPr>
        <w:tblW w:w="10205" w:type="dxa"/>
        <w:jc w:val="left"/>
        <w:tblInd w:w="0" w:type="dxa"/>
        <w:tblLayout w:type="fixed"/>
        <w:tblCellMar>
          <w:top w:w="28" w:type="dxa"/>
          <w:left w:w="28" w:type="dxa"/>
          <w:bottom w:w="28" w:type="dxa"/>
          <w:right w:w="28" w:type="dxa"/>
        </w:tblCellMar>
      </w:tblPr>
      <w:tblGrid>
        <w:gridCol w:w="1340"/>
        <w:gridCol w:w="1122"/>
        <w:gridCol w:w="1126"/>
        <w:gridCol w:w="398"/>
        <w:gridCol w:w="796"/>
        <w:gridCol w:w="222"/>
        <w:gridCol w:w="156"/>
        <w:gridCol w:w="156"/>
        <w:gridCol w:w="156"/>
        <w:gridCol w:w="397"/>
        <w:gridCol w:w="793"/>
        <w:gridCol w:w="225"/>
        <w:gridCol w:w="109"/>
        <w:gridCol w:w="109"/>
        <w:gridCol w:w="109"/>
        <w:gridCol w:w="874"/>
        <w:gridCol w:w="874"/>
        <w:gridCol w:w="1243"/>
      </w:tblGrid>
      <w:tr>
        <w:trPr/>
        <w:tc>
          <w:tcPr>
            <w:tcW w:w="13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Condensed</w:t>
              <w:br/>
              <w:t>Consolidated Statements of Operations</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qualifying cash flow hedges:</w:t>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Swaps</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w:t>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pension and postretirement items: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unrecognized prior service credits - Pre-tax</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(15)    CONTINGENT LIABILITIES AND OTHER MATTERS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Our recorded liab</w:t>
      </w:r>
      <w:r>
        <w:rPr>
          <w:rFonts w:ascii="Times New Roman;serif" w:hAnsi="Times New Roman;serif"/>
          <w:b w:val="false"/>
          <w:color w:val="000000"/>
          <w:sz w:val="20"/>
        </w:rPr>
        <w:t xml:space="preserve">ilities related to these matters, primarily associated with environmental remediation matters, totaled $42.2 and $39.9 at September 27, 2025 and December 31, 2024, respectively. Of these amounts, $34.7 and $32.0 are </w:t>
      </w:r>
      <w:r>
        <w:rPr>
          <w:rFonts w:ascii="Times New Roman;serif" w:hAnsi="Times New Roman;serif"/>
          <w:b w:val="false"/>
          <w:color w:val="000000"/>
          <w:sz w:val="20"/>
          <w:shd w:fill="FFFFFF" w:val="clear"/>
        </w:rPr>
        <w:t xml:space="preserve">included in “Other long-term liabilities” within our condensed consolidated balance sheets at </w:t>
      </w:r>
      <w:r>
        <w:rPr>
          <w:rFonts w:ascii="Times New Roman;serif" w:hAnsi="Times New Roman;serif"/>
          <w:b w:val="false"/>
          <w:color w:val="000000"/>
          <w:sz w:val="20"/>
        </w:rPr>
        <w:t>September 27, 2025 and December 31, 2024</w:t>
      </w:r>
      <w:r>
        <w:rPr>
          <w:rFonts w:ascii="Times New Roman;serif" w:hAnsi="Times New Roman;serif"/>
          <w:b w:val="false"/>
          <w:color w:val="000000"/>
          <w:sz w:val="20"/>
          <w:shd w:fill="FFFFFF" w:val="clear"/>
        </w:rPr>
        <w:t>,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Large Power Projects in South Africa</w:t>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5, 2021, DBT received payment of $6.7 on bonds issued in support of performance by one of DBT’s subcontractors that is currently in liquidation. The subcontractor maintains rights to seek recovery of such amount and, thus, the amount received by DBT has not been reflected in our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Claim for Contingent Consideration Related to ULC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acquisition of ULC in September 2020, the seller of ULC was eligible to receive additional contingent consideration of up to $45.0 under an earn-out provision. During the third quarter of 2021, we concluded that none of the milestones for the payment of any of the contingent consideration were achieved.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2024, we entered into a settlement agreement with the seller of ULC to resolve a lawsuit it commenced in August 2022 seeking contingent consideration of $15.0, prejudgment interest on that amount, and attorney's fees. The settlement agreement required a payment by us to the seller of ULC of $8.4, which was paid during the second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a corresponding charge recorded within “Other operating expense, net” within the condensed consolidated statement of operations for the nine months ended September 28, 2024. We expect this payment to be tax deductible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Resolution of Dispute with Former Representative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paid during the first quarter of 2024, to the former representative of $9.0 to resolve all claims related to the matter.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Litigation Matters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as of September 27, 2025 and December 31, 2024.</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case of contamination at offsite, third-party disposal sites, as of September 27, 2025 and December 31, 2024,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opinion, after considering accruals established for such purposes of $29.7 and $27.4 at September 27, 2025 and December 31, 2024,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regulations, or stricter interpretations of existing laws and regulations will not materially affect our business or operations in the future.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Self-Insured Risk Management Matters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loss exposures.</w:t>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(16)</w:t>
      </w:r>
      <w:r>
        <w:rPr>
          <w:color w:val="000000"/>
        </w:rPr>
        <w:t>    </w:t>
      </w:r>
      <w:r>
        <w:rPr>
          <w:rFonts w:ascii="Times New Roman;serif" w:hAnsi="Times New Roman;serif"/>
          <w:b/>
          <w:color w:val="000000"/>
          <w:sz w:val="20"/>
        </w:rPr>
        <w:t>INCOME AND OTHER TAXES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Uncertain Tax Benefits</w:t>
      </w:r>
    </w:p>
    <w:p>
      <w:pPr>
        <w:pStyle w:val="TextBody"/>
        <w:bidi w:val="0"/>
        <w:spacing w:lineRule="auto" w:line="288" w:before="0" w:after="200"/>
        <w:ind w:left="0" w:right="0" w:firstLine="720"/>
        <w:jc w:val="both"/>
        <w:rPr/>
      </w:pPr>
      <w:r>
        <w:rPr>
          <w:rFonts w:ascii="Times New Roman;serif" w:hAnsi="Times New Roman;serif"/>
          <w:b w:val="false"/>
          <w:color w:val="000000"/>
          <w:sz w:val="20"/>
        </w:rPr>
        <w:t>As of September 27, 2025</w:t>
      </w:r>
      <w:r>
        <w:rPr>
          <w:rFonts w:ascii="Times New Roman;serif" w:hAnsi="Times New Roman;serif"/>
          <w:b w:val="false"/>
          <w:color w:val="000000"/>
          <w:sz w:val="20"/>
          <w:shd w:fill="FFFFFF" w:val="clear"/>
        </w:rPr>
        <w:t>, we had gross and net unrecognized tax ben</w:t>
      </w:r>
      <w:r>
        <w:rPr>
          <w:rFonts w:ascii="Times New Roman;serif" w:hAnsi="Times New Roman;serif"/>
          <w:b w:val="false"/>
          <w:color w:val="000000"/>
          <w:sz w:val="20"/>
        </w:rPr>
        <w:t>efits of $4.6 (net unrecognized tax benefits of $3.8). All of these net unrecognized tax benefits would impact our effective tax rate from continuing operations if recognized.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classify interest and penalties related to unrecognized tax benefits as a component of our income tax provision. As of September 27, 2025, gross accrued interest totaled $1.7 (net accrued interest of $1.6). As of September 27, 2025, we had no accrual for penalties included in our unrecognized tax benefits.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outcome of certain examinations or as a result of the expiration of statutes of limitations for certain jurisdictions, we believe that within the next 12 months it is reasonably possible that our previously unrecognized tax benefits could decrease by up to $2.0. The previously unrecognized tax benefits relate to a variety of tax matters including transfer pricing and various foreign matters.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Tax Legislation</w:t>
      </w:r>
    </w:p>
    <w:p>
      <w:pPr>
        <w:pStyle w:val="TextBody"/>
        <w:bidi w:val="0"/>
        <w:spacing w:lineRule="auto" w:line="26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new legislation commonly referred to as the One Big Beautiful Bill Act (“the Act”) was signed into law in the United States and contains a broad range of tax provisions affecting businesses. The Act has several provisions which have, and will continue to, reduce our taxes paid in 2025. We have included the impact of the Act in our condensed consolidated balance sheet at September 27, 2025. We do not expect the legislation to have a material impact on our results of operations.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2021, the OECD issued model rules for a new global minimum tax framework (“Pillar Two”), and various governments around the world have issued, or are in the process of issuing, legislation to implement these rules. We are within the scope of the OECD Pillar Two model rules and continue to assess the impact thereof. As of September 27, 2025, and December 31, 2024, we had $3.1 and $1.8, respectively, accrued related to these taxes.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Tax Matters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27, 2025, we recorded an income tax provision of $18.4 on $81.5 of pre-tax income from continuing operations, resulting in an effective rate of 22.6%. This compares to an income tax provision for the three months ended September 28, 2024 of $15.1 on $66.0 of pre-tax income from continuing operations, resulting in an effective rate of 22.9%. The most significant item impacting the income tax provision for the third quarters of 2025 and 2024 was $2.3 and $0.7, respectively, of tax benefits resulting from increased federal tax credits.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27, 2025, we recorded an income tax provision of $42.0 on $209.3 of pre-tax income from continuing operations, resulting in an effective rate of 20.1%. This compares to an income tax provision for the nine months ended September 28, 2024 of $32.2 on $177.5 of pre-tax income from continuing operations, resulting in an effective rate of 18.1%. The most significant items impacting the income tax provision during the first nine months of 2025 and 2024 were (i) $9.4 and $10.8, respectively, of excess tax benefits resulting from stock-based compensation awards that vested and/or were exercised during the periods, (ii) $2.3 and $0.7, respectively, of tax benefits resulting from increased federal tax credits, and (iii) $0.8 and $0.5 of tax provision, respectively, related to revisions to liabilities for uncertain tax positions.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have various foreign income tax returns under examination. We believe that any uncertain tax positions related to these examinations have been adequately provided for.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(17)    FAIR VALUE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Level 1 — Quoted prices for identical instruments in active markets.</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erif" w:hAnsi="Times New Roman;serif"/>
          <w:b w:val="false"/>
          <w:color w:val="000000"/>
          <w:sz w:val="20"/>
          <w:shd w:fill="FFFFFF" w:val="clear"/>
        </w:rPr>
        <w:t>ented.</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The following table presents our fair value hierarchy of our financial assets measured at fair value on a recurring basis as of</w:t>
      </w:r>
      <w:r>
        <w:rPr>
          <w:color w:val="000000"/>
        </w:rPr>
        <w:t xml:space="preserve"> </w:t>
      </w:r>
      <w:r>
        <w:rPr>
          <w:rFonts w:ascii="Times New Roman;serif" w:hAnsi="Times New Roman;serif"/>
          <w:b w:val="false"/>
          <w:color w:val="000000"/>
          <w:sz w:val="20"/>
        </w:rPr>
        <w:t>September 27, 2025:</w:t>
      </w:r>
    </w:p>
    <w:tbl>
      <w:tblPr>
        <w:tblW w:w="6240" w:type="dxa"/>
        <w:jc w:val="left"/>
        <w:tblInd w:w="0" w:type="dxa"/>
        <w:tblLayout w:type="fixed"/>
        <w:tblCellMar>
          <w:top w:w="28" w:type="dxa"/>
          <w:left w:w="28" w:type="dxa"/>
          <w:bottom w:w="28" w:type="dxa"/>
          <w:right w:w="28" w:type="dxa"/>
        </w:tblCellMar>
      </w:tblPr>
      <w:tblGrid>
        <w:gridCol w:w="857"/>
        <w:gridCol w:w="754"/>
        <w:gridCol w:w="75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40" w:before="0" w:after="200"/>
              <w:ind w:left="0" w:right="0" w:firstLine="720"/>
              <w:jc w:val="center"/>
              <w:rPr>
                <w:rFonts w:ascii="Times New Roman;serif" w:hAnsi="Times New Roman;serif"/>
                <w:b/>
                <w:color w:val="000000"/>
                <w:sz w:val="16"/>
              </w:rPr>
            </w:pPr>
            <w:r>
              <w:rPr>
                <w:rFonts w:ascii="Times New Roman;serif" w:hAnsi="Times New Roman;serif"/>
                <w:b/>
                <w:color w:val="000000"/>
                <w:sz w:val="16"/>
              </w:rPr>
              <w:t>September 27, 2025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00"/>
        <w:ind w:left="0" w:right="0" w:firstLine="720"/>
        <w:jc w:val="both"/>
        <w:rPr/>
      </w:pPr>
      <w:r>
        <w:rPr/>
      </w:r>
    </w:p>
    <w:p>
      <w:pPr>
        <w:pStyle w:val="TextBody"/>
        <w:bidi w:val="0"/>
        <w:spacing w:before="160" w:after="200"/>
        <w:ind w:left="0" w:right="0" w:firstLine="720"/>
        <w:jc w:val="both"/>
        <w:rPr/>
      </w:pPr>
      <w:r>
        <w:rPr/>
      </w:r>
    </w:p>
    <w:p>
      <w:pPr>
        <w:pStyle w:val="TextBody"/>
        <w:bidi w:val="0"/>
        <w:spacing w:before="160" w:after="200"/>
        <w:ind w:left="0" w:right="0" w:firstLine="720"/>
        <w:jc w:val="both"/>
        <w:rPr/>
      </w:pPr>
      <w:r>
        <w:rPr/>
      </w:r>
    </w:p>
    <w:p>
      <w:pPr>
        <w:pStyle w:val="TextBody"/>
        <w:bidi w:val="0"/>
        <w:spacing w:before="16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00"/>
        <w:ind w:left="0" w:right="0" w:firstLine="720"/>
        <w:jc w:val="both"/>
        <w:rPr/>
      </w:pPr>
      <w:r>
        <w:rPr>
          <w:rFonts w:ascii="Times New Roman;serif" w:hAnsi="Times New Roman;serif"/>
          <w:b w:val="false"/>
          <w:color w:val="000000"/>
          <w:sz w:val="20"/>
          <w:shd w:fill="FFFFFF" w:val="clear"/>
        </w:rPr>
        <w:t xml:space="preserve">The following table presents our fair value hierarchy of our financial assets measured at fair value on a recurring basis as of </w:t>
      </w:r>
      <w:r>
        <w:rPr>
          <w:rFonts w:ascii="Times New Roman;serif" w:hAnsi="Times New Roman;serif"/>
          <w:b w:val="false"/>
          <w:color w:val="000000"/>
          <w:sz w:val="20"/>
        </w:rPr>
        <w:t>December 31, 2024:</w:t>
      </w:r>
    </w:p>
    <w:tbl>
      <w:tblPr>
        <w:tblW w:w="6180" w:type="dxa"/>
        <w:jc w:val="left"/>
        <w:tblInd w:w="0" w:type="dxa"/>
        <w:tblLayout w:type="fixed"/>
        <w:tblCellMar>
          <w:top w:w="28" w:type="dxa"/>
          <w:left w:w="28" w:type="dxa"/>
          <w:bottom w:w="28" w:type="dxa"/>
          <w:right w:w="28" w:type="dxa"/>
        </w:tblCellMar>
      </w:tblPr>
      <w:tblGrid>
        <w:gridCol w:w="857"/>
        <w:gridCol w:w="754"/>
        <w:gridCol w:w="759"/>
        <w:gridCol w:w="196"/>
        <w:gridCol w:w="406"/>
        <w:gridCol w:w="109"/>
        <w:gridCol w:w="109"/>
        <w:gridCol w:w="109"/>
        <w:gridCol w:w="109"/>
        <w:gridCol w:w="196"/>
        <w:gridCol w:w="376"/>
        <w:gridCol w:w="109"/>
        <w:gridCol w:w="109"/>
        <w:gridCol w:w="109"/>
        <w:gridCol w:w="109"/>
        <w:gridCol w:w="196"/>
        <w:gridCol w:w="406"/>
        <w:gridCol w:w="109"/>
        <w:gridCol w:w="109"/>
        <w:gridCol w:w="109"/>
        <w:gridCol w:w="109"/>
        <w:gridCol w:w="196"/>
        <w:gridCol w:w="37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21"/>
            <w:tcBorders/>
            <w:tcMar>
              <w:top w:w="0" w:type="dxa"/>
              <w:left w:w="0" w:type="dxa"/>
              <w:bottom w:w="0" w:type="dxa"/>
              <w:right w:w="0" w:type="dxa"/>
            </w:tcMar>
            <w:vAlign w:val="center"/>
          </w:tcPr>
          <w:p>
            <w:pPr>
              <w:pStyle w:val="TableContents"/>
              <w:bidi w:val="0"/>
              <w:spacing w:lineRule="auto" w:line="276" w:before="0" w:after="200"/>
              <w:ind w:left="0" w:right="0" w:firstLine="72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pPr>
      <w:r>
        <w:rPr>
          <w:rFonts w:ascii="Times New Roman;serif" w:hAnsi="Times New Roman;serif"/>
          <w:b w:val="false"/>
          <w:i/>
          <w:color w:val="000000"/>
          <w:sz w:val="20"/>
        </w:rPr>
        <w:t>Goodwill, Indefinite-Lived Intangible and Other Long-Lived Assets</w:t>
      </w:r>
      <w:r>
        <w:rPr>
          <w:color w:val="000000"/>
        </w:rPr>
        <w:t xml:space="preserve"> — </w:t>
      </w:r>
      <w:r>
        <w:rPr>
          <w:rFonts w:ascii="Times New Roman;serif" w:hAnsi="Times New Roman;serif"/>
          <w:b w:val="false"/>
          <w:color w:val="000000"/>
          <w:sz w:val="20"/>
        </w:rPr>
        <w:t>Certain of our non-financial assets are subject to impairment analysis, 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would result in the asset being recorded at its fair value. Based on the inputs used in the impairment analyses, these assets are classified within Level 3 of the valuation hierarchy.</w:t>
      </w:r>
    </w:p>
    <w:p>
      <w:pPr>
        <w:pStyle w:val="TextBody"/>
        <w:bidi w:val="0"/>
        <w:spacing w:lineRule="auto" w:line="288" w:before="0" w:after="200"/>
        <w:ind w:left="0" w:right="0" w:firstLine="720"/>
        <w:jc w:val="both"/>
        <w:rPr/>
      </w:pPr>
      <w:r>
        <w:rPr>
          <w:rFonts w:ascii="Times New Roman;serif" w:hAnsi="Times New Roman;serif"/>
          <w:b w:val="false"/>
          <w:i/>
          <w:color w:val="000000"/>
          <w:sz w:val="20"/>
        </w:rPr>
        <w:t>Derivative Financial Instruments —</w:t>
      </w:r>
      <w:r>
        <w:rPr>
          <w:color w:val="000000"/>
        </w:rPr>
        <w:t xml:space="preserve"> </w:t>
      </w:r>
      <w:r>
        <w:rPr>
          <w:rFonts w:ascii="Times New Roman;serif" w:hAnsi="Times New Roman;serif"/>
          <w:b w:val="false"/>
          <w:color w:val="000000"/>
          <w:sz w:val="20"/>
        </w:rPr>
        <w:t>Our financial derivative assets and liabilities include interest rate swaps and FX forward contracts, and are valued using valuation models based on observable market inputs such as forward rates, inte</w:t>
      </w:r>
      <w:r>
        <w:rPr>
          <w:rFonts w:ascii="Times New Roman;serif" w:hAnsi="Times New Roman;serif"/>
          <w:b w:val="false"/>
          <w:color w:val="000000"/>
          <w:sz w:val="20"/>
          <w:shd w:fill="FFFFFF" w:val="clear"/>
        </w:rPr>
        <w:t>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and interest rate swap agreements,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27, 2025, there has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erif" w:hAnsi="Times New Roman;serif"/>
          <w:b w:val="false"/>
          <w:i/>
          <w:color w:val="000000"/>
          <w:sz w:val="20"/>
          <w:shd w:fill="FFFFFF" w:val="clear"/>
        </w:rPr>
        <w:t>Equity Security</w:t>
      </w:r>
      <w:r>
        <w:rPr>
          <w:color w:val="000000"/>
          <w:shd w:fill="FFFFFF" w:val="clear"/>
        </w:rPr>
        <w:t xml:space="preserve"> — </w:t>
      </w:r>
      <w:r>
        <w:rPr>
          <w:rFonts w:ascii="Times New Roman;serif" w:hAnsi="Times New Roman;serif"/>
          <w:b w:val="false"/>
          <w:color w:val="000000"/>
          <w:sz w:val="20"/>
          <w:shd w:fill="FFFFFF" w:val="clear"/>
        </w:rPr>
        <w:t>We estimate the fair value of an equity security that we hold utilizing a practical expedient under existing guidance, with such estimated fair value based on our ownership percentage applied to the net asset value as provided quarterly by the investee. Based on these inputs, the equity security is classified within Level 3 of the valuation hierarchy. During the first quarter, the net asset value is updated based on the investee’s most recent audited financial statements. Duri</w:t>
      </w:r>
      <w:r>
        <w:rPr>
          <w:rFonts w:ascii="Times New Roman;serif" w:hAnsi="Times New Roman;serif"/>
          <w:b w:val="false"/>
          <w:color w:val="000000"/>
          <w:sz w:val="20"/>
        </w:rPr>
        <w:t>ng the three and nine months ended September 27, 2025 and September 28, 2024, we recorded gains (losses) of $0.0 and $4.5, and $0.0 and $(4.2), respectively, to “Other expense, net” to reflect the change in the estimated fair value of the equity security. We are restricted from transferring this investment without approval of the manager of the investee.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activity for the equity security for the nine months ended September 27, 2025:</w:t>
      </w:r>
    </w:p>
    <w:p>
      <w:pPr>
        <w:pStyle w:val="TextBody"/>
        <w:bidi w:val="0"/>
        <w:spacing w:before="0" w:after="0"/>
        <w:ind w:left="0" w:right="0" w:firstLine="720"/>
        <w:jc w:val="both"/>
        <w:rPr/>
      </w:pPr>
      <w:r>
        <w:rPr/>
      </w:r>
    </w:p>
    <w:tbl>
      <w:tblPr>
        <w:tblW w:w="3635" w:type="dxa"/>
        <w:jc w:val="left"/>
        <w:tblInd w:w="0" w:type="dxa"/>
        <w:tblLayout w:type="fixed"/>
        <w:tblCellMar>
          <w:top w:w="28" w:type="dxa"/>
          <w:left w:w="28" w:type="dxa"/>
          <w:bottom w:w="28" w:type="dxa"/>
          <w:right w:w="28" w:type="dxa"/>
        </w:tblCellMar>
      </w:tblPr>
      <w:tblGrid>
        <w:gridCol w:w="1020"/>
        <w:gridCol w:w="898"/>
        <w:gridCol w:w="901"/>
        <w:gridCol w:w="196"/>
        <w:gridCol w:w="46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security</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Indebtedness and Other</w:t>
      </w:r>
      <w:r>
        <w:rPr>
          <w:color w:val="000000"/>
        </w:rPr>
        <w:t xml:space="preserve"> — </w:t>
      </w:r>
      <w:r>
        <w:rPr>
          <w:rFonts w:ascii="Times New Roman;serif" w:hAnsi="Times New Roman;serif"/>
          <w:b w:val="false"/>
          <w:color w:val="000000"/>
          <w:sz w:val="20"/>
        </w:rPr>
        <w:t>The estimated fair value of our debt instruments as of September 27, 2025 and December 31, 2024 approximated the related carrying values due primarily to the variable market-based interest rates for such instruments. Se</w:t>
      </w:r>
      <w:r>
        <w:rPr>
          <w:rFonts w:ascii="Times New Roman;serif" w:hAnsi="Times New Roman;serif"/>
          <w:b w:val="false"/>
          <w:color w:val="000000"/>
          <w:sz w:val="20"/>
          <w:shd w:fill="FFFFFF" w:val="clear"/>
        </w:rPr>
        <w:t>e Note 12 f</w:t>
      </w:r>
      <w:r>
        <w:rPr>
          <w:rFonts w:ascii="Times New Roman;serif" w:hAnsi="Times New Roman;serif"/>
          <w:b w:val="false"/>
          <w:color w:val="000000"/>
          <w:sz w:val="20"/>
        </w:rPr>
        <w:t>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 Management’s Discussion and Analysis of Financial Condition and Results of Operations</w:t>
      </w:r>
      <w:r>
        <w:rPr>
          <w:color w:val="000000"/>
        </w:rPr>
        <w:t xml:space="preserve"> </w:t>
      </w: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our markets; changes in anticipated capital investment and maintenance expenditures by customers; changes in economic conditions in relevant global and North American markets, including as a result of the imposition, or threat of imposition, of tariffs, such as the significant tariffs announced by the U.S. government in 2025 and retaliatory tariffs announced in response thereto and other trade barriers or geopolitical conflicts; availability, limitations or cost increases of raw materials and/or commodities, including as a result of new or increased tariffs, as well as the potential impact of retaliatory tariffs and other penalties that cannot be recovered in product pricing; the impact of competition on profit margins and our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identify acceptable acquisition targets; uncertainties surrounding timing and successful completion of acquisition or disposition transactions, including with respect to integrating acquisitions and achieving cost savings, synergistic sales or other benefits from acquisitions;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the forward-looking statements are qualified in their entirety by reference to the factors discussed under the heading “Risk Factors” in our 2024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except to the extent we are legally required to update or publicly revise any forward-looking statements to reflect events or circumstances that arise after the date of this document.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IMPACTS OF TARIFFS AND OTHER COST INCREASES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2025, the U.S. government announced significant additional tariffs on goods imported to the U.S., which have subsequently been modified, including by extending the date the announced tariffs would become applicable. In response, certain governments have announced significant retaliatory tariffs on goods imported from the U.S. We continue to analyze the impact of these announced tariffs on our business. While we do not expect these new tariffs to have a direct material impact on our results of operations in fiscal year 2025, we are unable to determine the full extent or duration at this time, as well as the impact of such tariffs, if implemented on announced terms, on general economic conditions in relevant global and North American markets. We believe that our diverse set of businesses, along with our strong balance sheet and available liquidity, position us well to manage the direct adverse impacts of the announced tariffs. We have taken actions to manage near-term costs and cash flows, and implemented actions to address potential material sourcing challenges we could face over the near-term. Lastly, we will continue to assess the actual and expected impacts of the tariffs and the need for further actions.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POTENTIAL IMPACTS OF GEOPOLITICAL CONFLICTS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Ongoing geopolitical conflicts, and governmental actions implemented in response to these conflicts, did not have a significant adverse impact on our operating results during the three and nine months ended September 27, 2025 and September 28, 2024. We are monitoring the availability of certain raw materials that are supplied by businesses in the countries impacted by these conflicts. However, at this time, we do not expect the potential adverse impact to be material to our operating results. These conflicts have created significant additional demand for certain products within our communication technologies business. The longer-term impact of these global events on our business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OTHER SIGNIFICANT MATTERS</w: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Acquisitions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Ingénia Technologies Inc. (“Ingénia”)</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Acquired on February 7, 2024 for cash consideration of $292.0, net of (i) an adjustment to the purchase price of $2.1 received during the third quarter of 2024 related to acquired working capital and (ii) cash acquired of $1.5.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Post-acquisition operating results of Ingénia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Kranze Technology Solutions, Inc. (“KTS”)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Acquired on January 27, 2025 for cash consideration of $340.0, inclusive of amounts related to future service obligations of certain existing employees of $46.5 and net of an adjustment to the purchase price of $2.4 received during the third quarter of 2025 related to acquired working capital.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Post-acquisition operating results of KTS are included within our Detection and Measurement reportable segment.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See Note 3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Sigma Heating and Cooling and Omega Heat Pump </w:t>
      </w:r>
      <w:r>
        <w:rPr>
          <w:rFonts w:ascii="Times New Roman;serif" w:hAnsi="Times New Roman;serif"/>
          <w:b w:val="false"/>
          <w:color w:val="000000"/>
          <w:sz w:val="20"/>
          <w:shd w:fill="FFFFFF" w:val="clear"/>
        </w:rPr>
        <w:t>(“</w:t>
      </w:r>
      <w:r>
        <w:rPr>
          <w:rFonts w:ascii="Times New Roman;serif" w:hAnsi="Times New Roman;serif"/>
          <w:b w:val="false"/>
          <w:color w:val="000000"/>
          <w:sz w:val="20"/>
        </w:rPr>
        <w:t>Sigma &amp; Omega</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Acquired on April 15, 2025 for cash consideration of $143.6, net of cash acquired of $0.2.</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purchase price is subject to adjustment based upon the final settlement of working capital and cash as of the date of acquisition. </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Post-acquisition operating results of Sigma &amp; Omega are included within our HVAC reportable segment. </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See Note 3 to our condensed consolidated financial statements for additional details.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Financing Activities</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September 9, 2025, </w:t>
      </w:r>
      <w:r>
        <w:rPr>
          <w:rFonts w:ascii="Times New Roman;serif" w:hAnsi="Times New Roman;serif"/>
          <w:b w:val="false"/>
          <w:color w:val="000000"/>
          <w:sz w:val="20"/>
        </w:rPr>
        <w:t xml:space="preserve">we amended and restated our senior credit agreement </w:t>
      </w:r>
      <w:r>
        <w:rPr>
          <w:rFonts w:ascii="Times New Roman;serif" w:hAnsi="Times New Roman;serif"/>
          <w:b w:val="false"/>
          <w:color w:val="000000"/>
          <w:sz w:val="20"/>
          <w:shd w:fill="FFFFFF" w:val="clear"/>
        </w:rPr>
        <w:t xml:space="preserve">(as amended, the </w:t>
      </w:r>
      <w:r>
        <w:rPr>
          <w:color w:val="000000"/>
        </w:rPr>
        <w:t>“</w:t>
      </w:r>
      <w:r>
        <w:rPr>
          <w:rFonts w:ascii="Times New Roman;serif" w:hAnsi="Times New Roman;serif"/>
          <w:b w:val="false"/>
          <w:color w:val="000000"/>
          <w:sz w:val="20"/>
          <w:shd w:fill="FFFFFF" w:val="clear"/>
        </w:rPr>
        <w:t>Credit Agreement</w:t>
      </w:r>
      <w:r>
        <w:rPr>
          <w:color w:val="000000"/>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amendment provides for committed senior secured financing in the aggregate amount of $2,025.0, including a multicurrency revolving credit facility in an aggregate principal amount up to the equivalent of $1,500.0, and makes certain conforming changes and other amendments to the Credit Agreement.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expect to utilize the credit capacity to finance, in part, permitted acquisitions, to pay related fees, costs and expenses and for other lawful corporate purposes.</w:t>
      </w:r>
    </w:p>
    <w:p>
      <w:pPr>
        <w:pStyle w:val="TextBody"/>
        <w:bidi w:val="0"/>
        <w:spacing w:before="60" w:after="283"/>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second quarter of 2025, we renewed, and increased the capacity of, our trade receivables financing agreement for the next 12 months, whereby we can borrow, on a continuous basis, up to $100.0, as available.</w:t>
      </w:r>
    </w:p>
    <w:p>
      <w:pPr>
        <w:pStyle w:val="TextBody"/>
        <w:bidi w:val="0"/>
        <w:spacing w:before="60" w:after="283"/>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investments in company-owned life insurance (“COLI”) policies, which are recorded at their cash surrender value at each balance sheet date. During the first nine months of 2024, we borrowed $41.2 against the cash surrender value of these COLI policies. During the nine months ended September 27, 2025, we repaid the then-outstanding borrowings totaling $37.4, inclusive of accrued interest.</w:t>
      </w:r>
    </w:p>
    <w:p>
      <w:pPr>
        <w:pStyle w:val="TextBody"/>
        <w:bidi w:val="0"/>
        <w:spacing w:before="60" w:after="283"/>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See Note 12 to our condensed consolidated financial statements for additional details.</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Registered Direct Offering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On August 12, 2025, the Company entered into an underwritten public offering with certain investors, pursuant to which the Company agreed to issue and sell in a registered direct offering to such investors 3.059 shares of the Company's common stock, at a purchase price of $188.0 per share (the “Offering”).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Offering was made pursuant to the shelf registration statement on Form S-3 (Registration No. 333-289489) and a related prospectus supplement and accompanying prospectus filed with the Securities and Exchange Commission.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net proceeds to the Company from the Offering, after deducting underwriting discounts, commissions, and offering expenses payable by the Company of $23.9, were $551.1.</w:t>
      </w:r>
    </w:p>
    <w:p>
      <w:pPr>
        <w:pStyle w:val="TextBody"/>
        <w:bidi w:val="0"/>
        <w:spacing w:before="60" w:after="283"/>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Estimated Fair Value of an Equity Security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recorded no adjustments to the fair value during the three months ended September 27, 2025 and September 28, 2024. We recorded gains (losses) of $4.5 and $(4.2) during the nine months ended September 27, 2025 and September 28, 2024, respectively.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See Note 17 to our condensed consolidated financial statements for additional details.</w:t>
      </w:r>
    </w:p>
    <w:p>
      <w:pPr>
        <w:pStyle w:val="TextBody"/>
        <w:bidi w:val="0"/>
        <w:spacing w:before="0" w:after="0"/>
        <w:jc w:val="both"/>
        <w:rPr/>
      </w:pPr>
      <w:r>
        <w:rPr/>
      </w:r>
    </w:p>
    <w:p>
      <w:pPr>
        <w:pStyle w:val="TextBody"/>
        <w:bidi w:val="0"/>
        <w:spacing w:lineRule="auto" w:line="268" w:before="0" w:after="60"/>
        <w:ind w:left="0" w:right="0" w:hanging="360"/>
        <w:jc w:val="both"/>
        <w:rPr/>
      </w:pPr>
      <w:r>
        <w:rPr>
          <w:color w:val="000000"/>
        </w:rPr>
        <w:t>•</w:t>
      </w:r>
      <w:r>
        <w:rPr>
          <w:rFonts w:ascii="Times New Roman;serif" w:hAnsi="Times New Roman;serif"/>
          <w:b w:val="false"/>
          <w:color w:val="000000"/>
          <w:sz w:val="20"/>
        </w:rPr>
        <w:t>One Big Beautiful Bill Act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On July 4, 2025, new legislation commonly referred to as the One Big Beautiful Bill Act (“the Act”) was signed into law in the United States and contains a broad range of tax provisions affecting businesses. The Act has several provisions which have, and will continue to, reduce our taxes paid in 2025. We have included the impact of the Act in our condensed consolidated balance sheet at September 27, 2025. We do not expect the legislation to have a material impact on our results of operations. </w:t>
      </w:r>
    </w:p>
    <w:p>
      <w:pPr>
        <w:pStyle w:val="TextBody"/>
        <w:bidi w:val="0"/>
        <w:spacing w:before="0" w:after="0"/>
        <w:jc w:val="both"/>
        <w:rPr/>
      </w:pPr>
      <w:r>
        <w:rPr/>
      </w:r>
    </w:p>
    <w:p>
      <w:pPr>
        <w:pStyle w:val="TextBody"/>
        <w:bidi w:val="0"/>
        <w:spacing w:lineRule="auto" w:line="268" w:before="0" w:after="60"/>
        <w:ind w:left="0" w:right="0" w:hanging="360"/>
        <w:jc w:val="both"/>
        <w:rPr/>
      </w:pPr>
      <w:r>
        <w:rPr>
          <w:color w:val="000000"/>
        </w:rPr>
        <w:t>•</w:t>
      </w:r>
      <w:r>
        <w:rPr>
          <w:rFonts w:ascii="Times New Roman;serif" w:hAnsi="Times New Roman;serif"/>
          <w:b w:val="false"/>
          <w:color w:val="000000"/>
          <w:sz w:val="20"/>
        </w:rPr>
        <w:t>Resolution of Dispute with Seller of ULC Robotics (“ULC”)</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rPr>
        <w:t xml:space="preserve">In connection with our acquisition of ULC in September 2020, the seller of ULC was eligible for contingent consideration of up to $45.0 under an earn-out provision.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During the third quarter of 2021, we concluded that none of the milestones for the payment of any of the contingent consideration had been achieved.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On May 20, 2024, we entered into a settlement agreement with the seller of ULC to resolve a lawsuit it commenced in August 2022 seeking contingent consideration of $15.0, prejudgment interest on that amount, and attorney's fees.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settlement agreement required a payment by us to the seller of ULC of $8.4, which was paid during the second quarter of 2024, with a corresponding charge recorded within “Other operating expense, net” within our condensed consolidated statements of operations for the nine months ended September 28, 2024. We expect this payment to be tax deductible in future periods.</w:t>
      </w:r>
    </w:p>
    <w:p>
      <w:pPr>
        <w:pStyle w:val="TextBody"/>
        <w:bidi w:val="0"/>
        <w:spacing w:before="0" w:after="0"/>
        <w:jc w:val="both"/>
        <w:rPr/>
      </w:pPr>
      <w:r>
        <w:rPr/>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Resolution of Claims with Prime Contractor of South Africa Power Projects</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On September 5, 2023, SPX Technologies and our DBT Technologies (PTY) LTD (“DBT”) business entered into an agreement with MHI to affect the negotiated resolution of all claims between the parties with respect to DBT’s involvement in two large power projects in South Africa - Kusile and Medupi (the “Settlement Agreement”).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connection with the Settlement Agreement, DBT made a payment of $25.1 (net of $2.0 received on a related foreign currency forward agreement) to MHI during the third quarter of 2024 in connection with the Settlement Agreement.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There are no further payment obligations to MHI under the terms of the Settlement Agreement.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See Note 3 to our condensed consolidated financial statements for additional details.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 OF OPERATING RESULTS</w:t>
      </w:r>
    </w:p>
    <w:p>
      <w:pPr>
        <w:pStyle w:val="TextBody"/>
        <w:bidi w:val="0"/>
        <w:spacing w:lineRule="auto" w:line="268" w:before="0" w:after="0"/>
        <w:ind w:left="0" w:right="0" w:firstLine="720"/>
        <w:jc w:val="both"/>
        <w:rPr/>
      </w:pPr>
      <w:r>
        <w:rPr>
          <w:rFonts w:ascii="Times New Roman;serif" w:hAnsi="Times New Roman;serif"/>
          <w:b w:val="false"/>
          <w:color w:val="000000"/>
          <w:sz w:val="20"/>
        </w:rPr>
        <w:t>Revenues for the three months ended September 27, 2025 totaled $592.8, compared to $483.7 during the respective period in 2024. The increase in revenues, compared to the respective period in 2024, was due primarily to (i) organic revenue growth</w:t>
      </w:r>
      <w:r>
        <w:rPr>
          <w:color w:val="000000"/>
          <w:shd w:fill="FFFFFF" w:val="clear"/>
        </w:rPr>
        <w:t xml:space="preserve"> </w:t>
      </w:r>
      <w:r>
        <w:rPr>
          <w:rFonts w:ascii="Times New Roman;serif" w:hAnsi="Times New Roman;serif"/>
          <w:b w:val="false"/>
          <w:color w:val="000000"/>
          <w:sz w:val="20"/>
          <w:shd w:fill="FFFFFF" w:val="clear"/>
        </w:rPr>
        <w:t xml:space="preserve">within the Detection and Measurement and the HVAC reportable segments, and (ii) inorganic revenue growth </w:t>
      </w:r>
      <w:r>
        <w:rPr>
          <w:rFonts w:ascii="Times New Roman;serif" w:hAnsi="Times New Roman;serif"/>
          <w:b w:val="false"/>
          <w:color w:val="000000"/>
          <w:sz w:val="20"/>
        </w:rPr>
        <w:t>resulting from the Sigma &amp; Omega acquisition within the HVAC reportable segment and the KTS acquisition within the Detection and Measurement reportable segment.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Revenues for the nine months ended September 27, 2025 totaled $1,627.8, compared to $1,450.2 during the respective period in 2024. The increase in revenues, compared to the respective period in 2024, was due primarily to (i) inorganic revenue growth resulting from the Ingénia and Sigma &amp; Omega acquisitions within the HVAC reportable segment and the KTS acquisition within the Detection and Measurement reportable segment and (ii) </w:t>
      </w:r>
      <w:r>
        <w:rPr>
          <w:rFonts w:ascii="Times New Roman;serif" w:hAnsi="Times New Roman;serif"/>
          <w:b w:val="false"/>
          <w:color w:val="000000"/>
          <w:sz w:val="20"/>
          <w:shd w:fill="FFFFFF" w:val="clear"/>
        </w:rPr>
        <w:t>organic revenue growth within the HVAC and Detection and Measurement reportable segments.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27, 2025, we generated operating income of $97.1 and $250.3, respectively, compared to $78.9 and $218.1 for the respective periods in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information included in this Quarterly Report on Form 10-Q should be read in conjunction with the consolidated financial statements contained in our 2024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2025 are March 29, June 28, and September 27, compared to the respective March 30, June 29, and September 28, 2024 dates. We had two less days in the first quarter of 2025 and will have one more day in the fourth quarter of 2025 than in the respective 2024 periods.</w:t>
      </w:r>
    </w:p>
    <w:p>
      <w:pPr>
        <w:pStyle w:val="TextBody"/>
        <w:bidi w:val="0"/>
        <w:spacing w:lineRule="auto" w:line="288" w:before="0" w:after="200"/>
        <w:ind w:left="0" w:right="0" w:firstLine="720"/>
        <w:jc w:val="both"/>
        <w:rPr/>
      </w:pPr>
      <w:r>
        <w:rPr>
          <w:rFonts w:ascii="Times New Roman;serif" w:hAnsi="Times New Roman;serif"/>
          <w:b w:val="false"/>
          <w:i/>
          <w:color w:val="000000"/>
          <w:sz w:val="20"/>
        </w:rPr>
        <w:t xml:space="preserve">Cyclicality of End Markets, Seasonality and Competition </w:t>
      </w:r>
      <w:r>
        <w:rPr>
          <w:color w:val="000000"/>
        </w:rPr>
        <w:t xml:space="preserve">— </w:t>
      </w:r>
      <w:r>
        <w:rPr>
          <w:rFonts w:ascii="Times New Roman;serif" w:hAnsi="Times New Roman;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selected financial information for the three and nine months ended September 27, 2025 and September 28, 2024:</w:t>
      </w:r>
    </w:p>
    <w:tbl>
      <w:tblPr>
        <w:tblW w:w="10205" w:type="dxa"/>
        <w:jc w:val="left"/>
        <w:tblInd w:w="0" w:type="dxa"/>
        <w:tblLayout w:type="fixed"/>
        <w:tblCellMar>
          <w:top w:w="28" w:type="dxa"/>
          <w:left w:w="28" w:type="dxa"/>
          <w:bottom w:w="28" w:type="dxa"/>
          <w:right w:w="28" w:type="dxa"/>
        </w:tblCellMar>
      </w:tblPr>
      <w:tblGrid>
        <w:gridCol w:w="866"/>
        <w:gridCol w:w="762"/>
        <w:gridCol w:w="746"/>
        <w:gridCol w:w="206"/>
        <w:gridCol w:w="585"/>
        <w:gridCol w:w="269"/>
        <w:gridCol w:w="109"/>
        <w:gridCol w:w="109"/>
        <w:gridCol w:w="109"/>
        <w:gridCol w:w="206"/>
        <w:gridCol w:w="585"/>
        <w:gridCol w:w="269"/>
        <w:gridCol w:w="109"/>
        <w:gridCol w:w="109"/>
        <w:gridCol w:w="109"/>
        <w:gridCol w:w="290"/>
        <w:gridCol w:w="290"/>
        <w:gridCol w:w="291"/>
        <w:gridCol w:w="109"/>
        <w:gridCol w:w="109"/>
        <w:gridCol w:w="109"/>
        <w:gridCol w:w="196"/>
        <w:gridCol w:w="691"/>
        <w:gridCol w:w="256"/>
        <w:gridCol w:w="109"/>
        <w:gridCol w:w="109"/>
        <w:gridCol w:w="109"/>
        <w:gridCol w:w="196"/>
        <w:gridCol w:w="691"/>
        <w:gridCol w:w="256"/>
        <w:gridCol w:w="109"/>
        <w:gridCol w:w="109"/>
        <w:gridCol w:w="109"/>
        <w:gridCol w:w="268"/>
        <w:gridCol w:w="268"/>
        <w:gridCol w:w="383"/>
      </w:tblGrid>
      <w:tr>
        <w:trPr/>
        <w:tc>
          <w:tcPr>
            <w:tcW w:w="8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Nine months ended</w:t>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37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amendment/refinancing of senior credit agreement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revenue increase:</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increase</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Not meaningful for comparison purposes.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Revenues</w:t>
      </w:r>
      <w:r>
        <w:rPr>
          <w:color w:val="000000"/>
          <w:shd w:fill="FFFFFF" w:val="clear"/>
        </w:rPr>
        <w:t xml:space="preserve"> — </w:t>
      </w:r>
      <w:r>
        <w:rPr>
          <w:rFonts w:ascii="Times New Roman;serif" w:hAnsi="Times New Roman;serif"/>
          <w:b w:val="false"/>
          <w:color w:val="000000"/>
          <w:sz w:val="20"/>
        </w:rPr>
        <w:t xml:space="preserve">The increase in revenues for the three months ended September 27, 2025, compared to the respective period in 2024, was due primarily to </w:t>
      </w:r>
      <w:r>
        <w:rPr>
          <w:rFonts w:ascii="Times New Roman;serif" w:hAnsi="Times New Roman;serif"/>
          <w:b w:val="false"/>
          <w:color w:val="000000"/>
          <w:sz w:val="20"/>
          <w:shd w:fill="FFFFFF" w:val="clear"/>
        </w:rPr>
        <w:t>(i) organic revenue growth within the Detection and Measurement and the HVAC reportable segments and (ii) inorganic revenue growth resulting from the Sigma &amp; Omega acquisition within the HVAC reportable segment and the KTS acquisition within the Detection and Measurement reportable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The increase in revenues for the nine months ended September 27, 2025, compared to the respective period in 2024, was due primarily to (i) inorganic revenue growth resulting from the Ingénia and Sigma &amp; Omega acquisitions within the HVAC reportable segment and the KTS acquisition within the Detection and Measurement reportable segment and (ii) </w:t>
      </w:r>
      <w:r>
        <w:rPr>
          <w:rFonts w:ascii="Times New Roman;serif" w:hAnsi="Times New Roman;serif"/>
          <w:b w:val="false"/>
          <w:color w:val="000000"/>
          <w:sz w:val="20"/>
          <w:shd w:fill="FFFFFF" w:val="clear"/>
        </w:rPr>
        <w:t>organic revenue growth within the HVAC and Detection and Measurement reportable segments.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Gross Profit</w:t>
      </w:r>
      <w:r>
        <w:rPr>
          <w:color w:val="000000"/>
          <w:shd w:fill="FFFFFF" w:val="clear"/>
        </w:rPr>
        <w:t xml:space="preserve"> — </w:t>
      </w:r>
      <w:r>
        <w:rPr>
          <w:rFonts w:ascii="Times New Roman;serif" w:hAnsi="Times New Roman;serif"/>
          <w:b w:val="false"/>
          <w:color w:val="000000"/>
          <w:sz w:val="20"/>
        </w:rPr>
        <w:t>For the three months ended September 27, 2025, the increase in gross profit, compared to the respective period in 2024, was due primarily to</w:t>
      </w:r>
      <w:r>
        <w:rPr>
          <w:color w:val="000000"/>
          <w:shd w:fill="FFFFFF" w:val="clear"/>
        </w:rPr>
        <w:t xml:space="preserve"> </w:t>
      </w:r>
      <w:r>
        <w:rPr>
          <w:rFonts w:ascii="Times New Roman;serif" w:hAnsi="Times New Roman;serif"/>
          <w:b w:val="false"/>
          <w:color w:val="000000"/>
          <w:sz w:val="20"/>
          <w:shd w:fill="FFFFFF" w:val="clear"/>
        </w:rPr>
        <w:t>the revenue growth mentioned above. The slight decrease in gross profit as a percentage of revenue was primarily due to a less favorable project mix within our Detection and Measurement reportable segment, partially offset by operating leverage on the revenue growth mentioned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For the nine months ended September 27, 2025, the increase in gross profit and gross profit as a percentage of revenues, compared to the respective period in 2024, was due primarily to </w:t>
      </w:r>
      <w:r>
        <w:rPr>
          <w:rFonts w:ascii="Times New Roman;serif" w:hAnsi="Times New Roman;serif"/>
          <w:b w:val="false"/>
          <w:color w:val="000000"/>
          <w:sz w:val="20"/>
          <w:shd w:fill="FFFFFF" w:val="clear"/>
        </w:rPr>
        <w:t xml:space="preserve">(i) the revenue growth mentioned above and associated operating leverage, and (ii) favorable project execution and more accretive mix within our HVAC reportable segment.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Selling, General and Administrative (“SG&amp;A”) Expense</w:t>
      </w:r>
      <w:r>
        <w:rPr>
          <w:color w:val="000000"/>
        </w:rPr>
        <w:t xml:space="preserve"> — </w:t>
      </w:r>
      <w:r>
        <w:rPr>
          <w:rFonts w:ascii="Times New Roman;serif" w:hAnsi="Times New Roman;serif"/>
          <w:b w:val="false"/>
          <w:color w:val="000000"/>
          <w:sz w:val="20"/>
        </w:rPr>
        <w:t xml:space="preserve">For the three months ended September 27, 2025, the increase in SG&amp;A expense, compared to the respective period in 2024, was due primarily to (i) higher acquisition and integration-related costs of </w:t>
      </w:r>
      <w:r>
        <w:rPr>
          <w:rFonts w:ascii="Times New Roman;serif" w:hAnsi="Times New Roman;serif"/>
          <w:b w:val="false"/>
          <w:color w:val="000000"/>
          <w:sz w:val="20"/>
          <w:shd w:fill="FFFFFF" w:val="clear"/>
        </w:rPr>
        <w:t xml:space="preserve">$5.5, </w:t>
      </w:r>
      <w:r>
        <w:rPr>
          <w:rFonts w:ascii="Times New Roman;serif" w:hAnsi="Times New Roman;serif"/>
          <w:b w:val="false"/>
          <w:color w:val="000000"/>
          <w:sz w:val="20"/>
        </w:rPr>
        <w:t xml:space="preserve">(ii) increases in personnel costs primarily due to annual merit increases, growth-related headcount additions and higher short-term incentive compensation driven by strong operating performance, and (iii) incremental SG&amp;A resulting from the acquisitions of KTS and Sigma &amp; Omega of </w:t>
      </w:r>
      <w:r>
        <w:rPr>
          <w:rFonts w:ascii="Times New Roman;serif" w:hAnsi="Times New Roman;serif"/>
          <w:b w:val="false"/>
          <w:color w:val="000000"/>
          <w:sz w:val="20"/>
          <w:shd w:fill="FFFFFF" w:val="clear"/>
        </w:rPr>
        <w:t>$2.7</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For the nine months ended September 27, 2025, the increase in SG&amp;A expense, compared to the respective period in 2024, was due primarily to (i) higher acquisition and integration-related costs of</w:t>
      </w:r>
      <w:r>
        <w:rPr>
          <w:color w:val="000000"/>
          <w:shd w:fill="FFFFFF" w:val="clear"/>
        </w:rPr>
        <w:t xml:space="preserve"> </w:t>
      </w:r>
      <w:r>
        <w:rPr>
          <w:rFonts w:ascii="Times New Roman;serif" w:hAnsi="Times New Roman;serif"/>
          <w:b w:val="false"/>
          <w:color w:val="000000"/>
          <w:sz w:val="20"/>
          <w:shd w:fill="FFFFFF" w:val="clear"/>
        </w:rPr>
        <w:t xml:space="preserve">$15.4, (ii) </w:t>
      </w:r>
      <w:r>
        <w:rPr>
          <w:rFonts w:ascii="Times New Roman;serif" w:hAnsi="Times New Roman;serif"/>
          <w:b w:val="false"/>
          <w:color w:val="000000"/>
          <w:sz w:val="20"/>
        </w:rPr>
        <w:t>incremental SG&amp;A resulting from the acquisitions of Ingénia, KTS and Sigma &amp; Omega of $</w:t>
      </w:r>
      <w:r>
        <w:rPr>
          <w:rFonts w:ascii="Times New Roman;serif" w:hAnsi="Times New Roman;serif"/>
          <w:b w:val="false"/>
          <w:color w:val="000000"/>
          <w:sz w:val="20"/>
          <w:shd w:fill="FFFFFF" w:val="clear"/>
        </w:rPr>
        <w:t>6.8</w:t>
      </w:r>
      <w:r>
        <w:rPr>
          <w:rFonts w:ascii="Times New Roman;serif" w:hAnsi="Times New Roman;serif"/>
          <w:b w:val="false"/>
          <w:color w:val="000000"/>
          <w:sz w:val="20"/>
        </w:rPr>
        <w:t>, (iii) increases in personnel costs primarily due to annual merit increases and growth-related headcount additions, and (iv) higher costs relating to lease renewals.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Intangible Amortiz</w:t>
      </w:r>
      <w:r>
        <w:rPr>
          <w:rFonts w:ascii="Times New Roman;serif" w:hAnsi="Times New Roman;serif"/>
          <w:b w:val="false"/>
          <w:i/>
          <w:color w:val="000000"/>
          <w:sz w:val="20"/>
          <w:u w:val="single"/>
          <w:shd w:fill="FFFFFF" w:val="clear"/>
        </w:rPr>
        <w:t>ation</w:t>
      </w:r>
      <w:r>
        <w:rPr>
          <w:color w:val="000000"/>
          <w:shd w:fill="FFFFFF" w:val="clear"/>
        </w:rPr>
        <w:t xml:space="preserve"> — </w:t>
      </w:r>
      <w:r>
        <w:rPr>
          <w:rFonts w:ascii="Times New Roman;serif" w:hAnsi="Times New Roman;serif"/>
          <w:b w:val="false"/>
          <w:color w:val="000000"/>
          <w:sz w:val="20"/>
          <w:shd w:fill="FFFFFF" w:val="clear"/>
        </w:rPr>
        <w:t>For the three an</w:t>
      </w:r>
      <w:r>
        <w:rPr>
          <w:rFonts w:ascii="Times New Roman;serif" w:hAnsi="Times New Roman;serif"/>
          <w:b w:val="false"/>
          <w:color w:val="000000"/>
          <w:sz w:val="20"/>
        </w:rPr>
        <w:t>d nine months ended September 27, 2025, the increase in intangible asset amortization, compared to the respective periods in 2024, was p</w:t>
      </w:r>
      <w:r>
        <w:rPr>
          <w:rFonts w:ascii="Times New Roman;serif" w:hAnsi="Times New Roman;serif"/>
          <w:b w:val="false"/>
          <w:color w:val="000000"/>
          <w:sz w:val="20"/>
          <w:shd w:fill="FFFFFF" w:val="clear"/>
        </w:rPr>
        <w:t>rimarily related to incremental amortization associated with (i) backlog from the KTS and Sigma &amp; Omega acquisitions and (ii) other intangible assets associated with the acquisitions of Ingénia, KTS and Sigma &amp; Omega.</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Special Charges, net</w:t>
      </w:r>
      <w:r>
        <w:rPr>
          <w:color w:val="000000"/>
        </w:rPr>
        <w:t xml:space="preserve"> — </w:t>
      </w:r>
      <w:r>
        <w:rPr>
          <w:rFonts w:ascii="Times New Roman;serif" w:hAnsi="Times New Roman;serif"/>
          <w:b w:val="false"/>
          <w:color w:val="000000"/>
          <w:sz w:val="20"/>
        </w:rPr>
        <w:t>Special charges, net, for the three and nine months ended September 27, 2025 and the three and nine months ended September 28, 2024 related primarily to recording, and subsequent adjustments of, severance costs associated with restructuring actions at businesses within our HVAC and Detection and Measurement reportable segments. See Note 7 to our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Other Operating Expense, net</w:t>
      </w:r>
      <w:r>
        <w:rPr>
          <w:color w:val="000000"/>
        </w:rPr>
        <w:t xml:space="preserve"> — </w:t>
      </w:r>
      <w:r>
        <w:rPr>
          <w:rFonts w:ascii="Times New Roman;serif" w:hAnsi="Times New Roman;serif"/>
          <w:b w:val="false"/>
          <w:color w:val="000000"/>
          <w:sz w:val="20"/>
        </w:rPr>
        <w:t>Other operating expense, net for the nine months ended September 28, 2024 related to a charge of $8.4 regarding a settlement with the seller of ULC referred to previously.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erif" w:hAnsi="Times New Roman;serif"/>
          <w:b w:val="false"/>
          <w:i/>
          <w:color w:val="000000"/>
          <w:sz w:val="20"/>
          <w:u w:val="single"/>
        </w:rPr>
        <w:t>Other Expense, net</w:t>
      </w:r>
      <w:r>
        <w:rPr>
          <w:color w:val="000000"/>
        </w:rPr>
        <w:t xml:space="preserve"> — </w:t>
      </w:r>
      <w:r>
        <w:rPr>
          <w:rFonts w:ascii="Times New Roman;serif" w:hAnsi="Times New Roman;serif"/>
          <w:b w:val="false"/>
          <w:color w:val="000000"/>
          <w:sz w:val="20"/>
        </w:rPr>
        <w:t>Other expense, net, for the three months ended September 27, 2025 was composed primarily of environmental remediation charges of $3.9, pension and postretirement expense of $0.6, and foreign currency transaction losses of $0.5, partially offset by income of $1.4 derived from COLI policies and a gain of $0.4 related to the settlement of our interest rate swaps.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for the three months ended September 28, 2024 was composed primarily of foreign currency transaction losses of $1.1, environmental remediation charges of $0.3, pension and postretirement expense of $0.2, and losses on fixed asset disposals of $0.2, partially offset by income of $0.5 derived from COLI policies.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for the nine months ended September 27, 2025 was composed primarily of environmental remediation charges of $5.7, pension and postretirement expense of $2.6 (including net settlement and actuarial losses of $0.8), and foreign currency transaction losses of $1.9, partially offset by a gain of $4.5 related to a change in the estimated fair value of an equity security that we hold, income of $3.1 derived from COLI policies and a gain of $0.4 related to the settlement of our interest rate swaps.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for the nine months ended September 28, 2024 was composed primarily of a loss of $4.2 related to a change in the estimated fair value of an equity security that we hold, environmental remediation charges of $2.1, pension and postretirement expense of $1.0, foreign currency transaction losses of $0.8, and losses on fixed asset disposals of $0.2, partially offset by income of $1.4 derived from COLI polices.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shd w:fill="FFFFFF" w:val="clear"/>
        </w:rPr>
        <w:t>Interest Expense, net</w:t>
      </w:r>
      <w:r>
        <w:rPr>
          <w:color w:val="000000"/>
          <w:shd w:fill="FFFFFF" w:val="clear"/>
        </w:rPr>
        <w:t xml:space="preserve"> — </w:t>
      </w:r>
      <w:r>
        <w:rPr>
          <w:rFonts w:ascii="Times New Roman;serif" w:hAnsi="Times New Roman;serif"/>
          <w:b w:val="false"/>
          <w:color w:val="000000"/>
          <w:sz w:val="20"/>
          <w:shd w:fill="FFFFFF" w:val="clear"/>
        </w:rPr>
        <w:t>Interest expense, net, includes both interest e</w:t>
      </w:r>
      <w:r>
        <w:rPr>
          <w:rFonts w:ascii="Times New Roman;serif" w:hAnsi="Times New Roman;serif"/>
          <w:b w:val="false"/>
          <w:color w:val="000000"/>
          <w:sz w:val="20"/>
        </w:rPr>
        <w:t>xpense and interest income. The decrease in interest expense, net, during the three months ended September 27, 2025, compared to the respective period in 2024, was due primarily to (i) increased interest income on higher cash balances and (ii) lower average debt balances as a result of the repayment of borrowings then outstanding under the revolving credit facility from a portion of the net proceeds of the Offering</w:t>
      </w:r>
      <w:r>
        <w:rPr>
          <w:rFonts w:ascii="Times New Roman;serif" w:hAnsi="Times New Roman;serif"/>
          <w:b w:val="false"/>
          <w:color w:val="000000"/>
          <w:sz w:val="20"/>
          <w:shd w:fill="FFFFFF" w:val="clear"/>
        </w:rPr>
        <w:t>. Refer to Note 12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increase in interest expense, net, during the nine months ended September 27, 2025, compared to the respective periods in 2024, was due primarily to </w:t>
      </w:r>
      <w:r>
        <w:rPr>
          <w:rFonts w:ascii="Times New Roman;serif" w:hAnsi="Times New Roman;serif"/>
          <w:b w:val="false"/>
          <w:color w:val="000000"/>
          <w:sz w:val="20"/>
          <w:shd w:fill="FFFFFF" w:val="clear"/>
        </w:rPr>
        <w:t>higher average debt balances during the 2025 period, despite the impact of the repayment of the borrowings under the revolving credit facility from a portion of the net proceeds of the Offering, partially offset by an increase in interest income. The higher average debt balances primarily resulted from borrowings associated with acquisitions. The increase in interest income resulted from interest earned on higher cash balances. Refer to Note 12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i/>
          <w:color w:val="000000"/>
          <w:sz w:val="20"/>
          <w:u w:val="single"/>
          <w:shd w:fill="FFFFFF" w:val="clear"/>
        </w:rPr>
        <w:t>Loss on Amendment/Refinancing of Senior Credit Agreement</w:t>
      </w:r>
      <w:r>
        <w:rPr>
          <w:color w:val="000000"/>
          <w:shd w:fill="FFFFFF" w:val="clear"/>
        </w:rPr>
        <w:t xml:space="preserve"> — </w:t>
      </w:r>
      <w:r>
        <w:rPr>
          <w:rFonts w:ascii="Times New Roman;serif" w:hAnsi="Times New Roman;serif"/>
          <w:b w:val="false"/>
          <w:color w:val="000000"/>
          <w:sz w:val="20"/>
          <w:shd w:fill="FFFFFF" w:val="clear"/>
        </w:rPr>
        <w:t xml:space="preserve">During the third quarter of 2025, we recorded charges of $1.5 associated with the amendment to the Credit Agreement to “Loss on amendment/refinancing of senior credit agreement” related to the write-off of a portion of previously unamortized deferred financing costs totaling $1.0 and transaction costs of $0.5.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Income Tax Provision</w:t>
      </w:r>
      <w:r>
        <w:rPr>
          <w:color w:val="000000"/>
        </w:rPr>
        <w:t xml:space="preserve"> — </w:t>
      </w:r>
      <w:r>
        <w:rPr>
          <w:rFonts w:ascii="Times New Roman;serif" w:hAnsi="Times New Roman;serif"/>
          <w:b w:val="false"/>
          <w:color w:val="000000"/>
          <w:sz w:val="20"/>
        </w:rPr>
        <w:t>For the three months ended September 27, 2025, we recorded an income tax provision of $18.4 on $81.5 of pre-tax income from continuing operations, resulting in an effective rate of 22.6%. This compares to an income tax provision for the three months ended September 28, 2024 of $15.1 on $66.0 of pre-tax income from continuing operations, resulting in an effective rate of 22.9%. The most significant item impacting the income tax provision for the third quarters of 2025 and 2024 was $2.3 and $0.7, respectively, of tax benefits resulting from increased federal tax credits.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27, 2025, we recorded an income tax provision of $42.0 on $209.3 of pre-tax income from continuing operations, resulting in effective rate of 20.1%. This compares to an income tax provision for the nine months ended September 28, 2024 of $32.2 on $177.5 of pre-tax income from continuing operations, resulting in an effective rate of 18.1%. The most significant items impacting the income tax provision during the first nine months of 2025 and 2024 were (i) $9.4 and $10.8, respectively, of excess tax benefits resulting from stock-based compensation awards that vested and/or were exercised during the periods, (ii) $2.3 and $0.7, respectively, of tax benefits resulting from increased federal tax credits, and (iii) $0.8 and $0.5 of tax provision, respectively, related to revisions to liabilities for uncertain tax positions.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REPORTABLE SEGMENTS AND CORPORATE EXPENSE</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erif" w:hAnsi="Times New Roman;serif"/>
          <w:b w:val="false"/>
          <w:color w:val="000000"/>
          <w:sz w:val="20"/>
          <w:shd w:fill="FFFFFF" w:val="clear"/>
        </w:rPr>
        <w:t>Note 6</w:t>
      </w:r>
      <w:r>
        <w:rPr>
          <w:color w:val="000000"/>
        </w:rPr>
        <w:t xml:space="preserve"> </w:t>
      </w:r>
      <w:r>
        <w:rPr>
          <w:rFonts w:ascii="Times New Roman;serif" w:hAnsi="Times New Roman;serif"/>
          <w:b w:val="false"/>
          <w:color w:val="000000"/>
          <w:sz w:val="20"/>
        </w:rPr>
        <w:t>to our condensed consolidated financial statements for a description of our reportable segments.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HVAC Reportable Segment</w:t>
      </w:r>
    </w:p>
    <w:tbl>
      <w:tblPr>
        <w:tblW w:w="10205" w:type="dxa"/>
        <w:jc w:val="left"/>
        <w:tblInd w:w="0" w:type="dxa"/>
        <w:tblLayout w:type="fixed"/>
        <w:tblCellMar>
          <w:top w:w="28" w:type="dxa"/>
          <w:left w:w="28" w:type="dxa"/>
          <w:bottom w:w="28" w:type="dxa"/>
          <w:right w:w="28" w:type="dxa"/>
        </w:tblCellMar>
      </w:tblPr>
      <w:tblGrid>
        <w:gridCol w:w="668"/>
        <w:gridCol w:w="518"/>
        <w:gridCol w:w="503"/>
        <w:gridCol w:w="243"/>
        <w:gridCol w:w="692"/>
        <w:gridCol w:w="318"/>
        <w:gridCol w:w="109"/>
        <w:gridCol w:w="109"/>
        <w:gridCol w:w="109"/>
        <w:gridCol w:w="243"/>
        <w:gridCol w:w="692"/>
        <w:gridCol w:w="318"/>
        <w:gridCol w:w="109"/>
        <w:gridCol w:w="109"/>
        <w:gridCol w:w="109"/>
        <w:gridCol w:w="290"/>
        <w:gridCol w:w="290"/>
        <w:gridCol w:w="291"/>
        <w:gridCol w:w="109"/>
        <w:gridCol w:w="109"/>
        <w:gridCol w:w="109"/>
        <w:gridCol w:w="227"/>
        <w:gridCol w:w="802"/>
        <w:gridCol w:w="297"/>
        <w:gridCol w:w="109"/>
        <w:gridCol w:w="109"/>
        <w:gridCol w:w="109"/>
        <w:gridCol w:w="243"/>
        <w:gridCol w:w="692"/>
        <w:gridCol w:w="318"/>
        <w:gridCol w:w="109"/>
        <w:gridCol w:w="109"/>
        <w:gridCol w:w="109"/>
        <w:gridCol w:w="268"/>
        <w:gridCol w:w="268"/>
        <w:gridCol w:w="389"/>
      </w:tblGrid>
      <w:tr>
        <w:trPr/>
        <w:tc>
          <w:tcPr>
            <w:tcW w:w="66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revenue increase:</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Organic </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increase</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erif" w:hAnsi="Times New Roman;serif"/>
          <w:b w:val="false"/>
          <w:color w:val="000000"/>
          <w:sz w:val="20"/>
        </w:rPr>
        <w:t>For the three months ended September 27, 2025, the increase in revenues, compared to the respective period in 2024, was due primarily to organic revenue growth and, to a lesser extent, inorganic revenue growth from the Sigma &amp; Omega acquisition. The organic revenue growth was due predominantly to higher volumes of both heating and cooling products driven by continued strength in demand and higher throughput primarily from increased production capacity.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27, 2025, the increase in revenues, compared to the respective period in 2024, was due primarily to inorganic revenue growth resulting from the Ingénia and Sigma &amp; Omega acquisitions and organic revenue growth. The organic revenue growth was due predominantly to higher volumes of both heating and cooling products driven by continued strength in demand and higher throughput primarily from increased production capacity, as well as the impact of higher volumes of heating products in the current period associated with the unseasonably warm winter conditions prevalent in the relevant end markets during the first quarter of 2024.</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Income</w:t>
      </w:r>
      <w:r>
        <w:rPr>
          <w:color w:val="000000"/>
          <w:shd w:fill="FFFFFF" w:val="clear"/>
        </w:rPr>
        <w:t xml:space="preserve"> — </w:t>
      </w:r>
      <w:r>
        <w:rPr>
          <w:rFonts w:ascii="Times New Roman;serif" w:hAnsi="Times New Roman;serif"/>
          <w:b w:val="false"/>
          <w:color w:val="000000"/>
          <w:sz w:val="20"/>
        </w:rPr>
        <w:t>For the three and nine months ended September 27, 2025, the increase in income and margin, compared to the respective periods in 2024, was due primarily to the higher volumes mentioned above and associated operating leverage. In addition, the nine months ended September 27, 2025, compared to the respective period in 2024, included a more accretive mix and favorable project execution primarily within our cooling products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Backlog</w:t>
      </w:r>
      <w:r>
        <w:rPr>
          <w:color w:val="000000"/>
        </w:rPr>
        <w:t xml:space="preserve"> — </w:t>
      </w:r>
      <w:r>
        <w:rPr>
          <w:rFonts w:ascii="Times New Roman;serif" w:hAnsi="Times New Roman;serif"/>
          <w:b w:val="false"/>
          <w:color w:val="000000"/>
          <w:sz w:val="20"/>
        </w:rPr>
        <w:t>The segment had backlog of $578.5 and $437.7 as of September 27, 2025 and September 28, 2024, respectively. Backlog associated with the Sigma &amp; Omega acquisition totaled $53.4 as of September 27, 2025.</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Detection and Measurement Reportable Segment</w:t>
      </w:r>
    </w:p>
    <w:tbl>
      <w:tblPr>
        <w:tblW w:w="10205" w:type="dxa"/>
        <w:jc w:val="left"/>
        <w:tblInd w:w="0" w:type="dxa"/>
        <w:tblLayout w:type="fixed"/>
        <w:tblCellMar>
          <w:top w:w="28" w:type="dxa"/>
          <w:left w:w="28" w:type="dxa"/>
          <w:bottom w:w="28" w:type="dxa"/>
          <w:right w:w="28" w:type="dxa"/>
        </w:tblCellMar>
      </w:tblPr>
      <w:tblGrid>
        <w:gridCol w:w="676"/>
        <w:gridCol w:w="528"/>
        <w:gridCol w:w="514"/>
        <w:gridCol w:w="246"/>
        <w:gridCol w:w="698"/>
        <w:gridCol w:w="321"/>
        <w:gridCol w:w="109"/>
        <w:gridCol w:w="109"/>
        <w:gridCol w:w="109"/>
        <w:gridCol w:w="246"/>
        <w:gridCol w:w="698"/>
        <w:gridCol w:w="321"/>
        <w:gridCol w:w="109"/>
        <w:gridCol w:w="109"/>
        <w:gridCol w:w="109"/>
        <w:gridCol w:w="290"/>
        <w:gridCol w:w="290"/>
        <w:gridCol w:w="291"/>
        <w:gridCol w:w="109"/>
        <w:gridCol w:w="109"/>
        <w:gridCol w:w="109"/>
        <w:gridCol w:w="246"/>
        <w:gridCol w:w="698"/>
        <w:gridCol w:w="321"/>
        <w:gridCol w:w="109"/>
        <w:gridCol w:w="109"/>
        <w:gridCol w:w="109"/>
        <w:gridCol w:w="246"/>
        <w:gridCol w:w="698"/>
        <w:gridCol w:w="321"/>
        <w:gridCol w:w="109"/>
        <w:gridCol w:w="109"/>
        <w:gridCol w:w="109"/>
        <w:gridCol w:w="268"/>
        <w:gridCol w:w="268"/>
        <w:gridCol w:w="385"/>
      </w:tblGrid>
      <w:tr>
        <w:trPr/>
        <w:tc>
          <w:tcPr>
            <w:tcW w:w="67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revenue increase:</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increase</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erif" w:hAnsi="Times New Roman;serif"/>
          <w:b w:val="false"/>
          <w:color w:val="000000"/>
          <w:sz w:val="20"/>
        </w:rPr>
        <w:t xml:space="preserve">For the three months ended September 27, 2025, the increase in revenues, compared to the respective period in 2024, was due to organic revenue growth and, to a lesser extent, inorganic revenue growth resulting from the KTS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The organic revenue growth was driven primarily by higher project volumes within our communication technologies business.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27, 2025, the increase in revenues, compared to the respective period in 2024, was due primarily to inorganic revenue growth resulting from the KTS acquisition and, to a lesser extent, organic revenue growth. The organic revenue growth was due primarily to higher project volumes within our communication technologies business, partially offset by lower project volumes primarily within our aids to navigation business.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Project volumes, primarily within our communication technologies, aids to navigation, and transportation systems businesses, can vary from period to period based on the timing of project execution.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Income</w:t>
      </w:r>
      <w:r>
        <w:rPr>
          <w:color w:val="000000"/>
        </w:rPr>
        <w:t xml:space="preserve"> — </w:t>
      </w:r>
      <w:r>
        <w:rPr>
          <w:rFonts w:ascii="Times New Roman;serif" w:hAnsi="Times New Roman;serif"/>
          <w:b w:val="false"/>
          <w:color w:val="000000"/>
          <w:sz w:val="20"/>
        </w:rPr>
        <w:t>For the three months ended September 27, 2025, the increase in income and margin, compared to the respective period in 2024, was due primarily to the revenue growth mentioned above and associated leverage on our fixed costs, particularly within SG&amp;A expenses. This increase was partially offset by the impact of a less favorable project mix primarily within our communications technologies and transportation systems businesses.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27, 2025, the increase in income and margin, compared to the respective periods in 2024, was due primarily to (i) higher project volumes and associated leverage on our fixed costs, particularly within SG&amp;A expenses, and a more favorable product mix from projects primarily within our communication technologies business and (ii) income resulting from the KTS acquisition. These increases were partially offset by the impact of the lower project volumes within our aids to navigation business mentioned above and the impact of a less favorable project mix within our transportation systems business. </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rPr>
        <w:t>Backlog</w:t>
      </w:r>
      <w:r>
        <w:rPr>
          <w:color w:val="000000"/>
        </w:rPr>
        <w:t xml:space="preserve"> — </w:t>
      </w:r>
      <w:r>
        <w:rPr>
          <w:rFonts w:ascii="Times New Roman;serif" w:hAnsi="Times New Roman;serif"/>
          <w:b w:val="false"/>
          <w:color w:val="000000"/>
          <w:sz w:val="20"/>
        </w:rPr>
        <w:t>The segment had bac</w:t>
      </w:r>
      <w:r>
        <w:rPr>
          <w:rFonts w:ascii="Times New Roman;serif" w:hAnsi="Times New Roman;serif"/>
          <w:b w:val="false"/>
          <w:color w:val="000000"/>
          <w:sz w:val="20"/>
          <w:shd w:fill="FFFFFF" w:val="clear"/>
        </w:rPr>
        <w:t>klog of</w:t>
      </w:r>
      <w:r>
        <w:rPr>
          <w:color w:val="000000"/>
        </w:rPr>
        <w:t xml:space="preserve"> </w:t>
      </w:r>
      <w:r>
        <w:rPr>
          <w:rFonts w:ascii="Times New Roman;serif" w:hAnsi="Times New Roman;serif"/>
          <w:b w:val="false"/>
          <w:color w:val="000000"/>
          <w:sz w:val="20"/>
        </w:rPr>
        <w:t xml:space="preserve">$366.1 and $193.5 as of September 27, 2025 and September 28, 2024, respectively. Backlog associated with the KTS acquisition totaled $57.1 as of September 27,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Corporate and Other Expenses</w:t>
      </w:r>
    </w:p>
    <w:tbl>
      <w:tblPr>
        <w:tblW w:w="10205" w:type="dxa"/>
        <w:jc w:val="left"/>
        <w:tblInd w:w="0" w:type="dxa"/>
        <w:tblLayout w:type="fixed"/>
        <w:tblCellMar>
          <w:top w:w="28" w:type="dxa"/>
          <w:left w:w="28" w:type="dxa"/>
          <w:bottom w:w="28" w:type="dxa"/>
          <w:right w:w="28" w:type="dxa"/>
        </w:tblCellMar>
      </w:tblPr>
      <w:tblGrid>
        <w:gridCol w:w="697"/>
        <w:gridCol w:w="561"/>
        <w:gridCol w:w="565"/>
        <w:gridCol w:w="232"/>
        <w:gridCol w:w="659"/>
        <w:gridCol w:w="303"/>
        <w:gridCol w:w="109"/>
        <w:gridCol w:w="109"/>
        <w:gridCol w:w="109"/>
        <w:gridCol w:w="232"/>
        <w:gridCol w:w="659"/>
        <w:gridCol w:w="303"/>
        <w:gridCol w:w="109"/>
        <w:gridCol w:w="109"/>
        <w:gridCol w:w="109"/>
        <w:gridCol w:w="290"/>
        <w:gridCol w:w="290"/>
        <w:gridCol w:w="291"/>
        <w:gridCol w:w="109"/>
        <w:gridCol w:w="109"/>
        <w:gridCol w:w="109"/>
        <w:gridCol w:w="220"/>
        <w:gridCol w:w="776"/>
        <w:gridCol w:w="287"/>
        <w:gridCol w:w="109"/>
        <w:gridCol w:w="109"/>
        <w:gridCol w:w="109"/>
        <w:gridCol w:w="220"/>
        <w:gridCol w:w="776"/>
        <w:gridCol w:w="287"/>
        <w:gridCol w:w="109"/>
        <w:gridCol w:w="109"/>
        <w:gridCol w:w="109"/>
        <w:gridCol w:w="268"/>
        <w:gridCol w:w="268"/>
        <w:gridCol w:w="386"/>
      </w:tblGrid>
      <w:tr>
        <w:trPr/>
        <w:tc>
          <w:tcPr>
            <w:tcW w:w="6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revenues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Corporate Expense</w:t>
      </w:r>
      <w:r>
        <w:rPr>
          <w:color w:val="000000"/>
        </w:rPr>
        <w:t xml:space="preserve"> — </w:t>
      </w:r>
      <w:r>
        <w:rPr>
          <w:rFonts w:ascii="Times New Roman;serif" w:hAnsi="Times New Roman;serif"/>
          <w:b w:val="false"/>
          <w:color w:val="000000"/>
          <w:sz w:val="20"/>
        </w:rPr>
        <w:t>Corporate expense generally relates to the personnel and general operating costs of our corporate headquarters in Charlotte, North Carolina. Corporate expense remained flat during the three months ended September 27, 2025, compared to the respective period in 2024, as a result of increased costs incurred for professional services being offset by lower expense related to acquisition and integration-related costs of $0.2.</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corporate expense during the nine months ended September 27, 2025, compared to the respective period in 2024, was due primarily to higher expense related to acquisition and integration-related costs largely driven by expense incurred for the KTS and Sigma &amp; Omega acquisitions in 2025, partially offset by the Ingénia acquisition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shd w:fill="FFFFFF" w:val="clear"/>
        </w:rPr>
        <w:t>Long-Term Incentive Compensation Expense</w:t>
      </w:r>
      <w:r>
        <w:rPr>
          <w:color w:val="000000"/>
          <w:shd w:fill="FFFFFF" w:val="clear"/>
        </w:rPr>
        <w:t xml:space="preserve"> — </w:t>
      </w:r>
      <w:r>
        <w:rPr>
          <w:rFonts w:ascii="Times New Roman;serif" w:hAnsi="Times New Roman;serif"/>
          <w:b w:val="false"/>
          <w:color w:val="000000"/>
          <w:sz w:val="20"/>
        </w:rPr>
        <w:t>Long-term incentive compensation expense represents our consolidated expense, which we do not allocate for segment reporting purposes. The increase in long-term incentive compensation expense for the three and nine months ended September 27, 2025, compared to the respective periods in 2024, was due primarily to (i) an increase in the fair value of performance-based share awards resulting from plan design changes affected beginning in 2024, which increased the maximum potential payout range from 150% to 200% of target, (ii) the accumulation of awards related to recent changes in certain key management positions, and (iii) the immediate vesting of awards as a result of an executive officer reaching retirement eligibility, partially offset by the impact of forfeitures from participant resignations.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LIQUIDITY AND FINANCIAL CONDITION</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Listed below are the cash flows from (used in) operating, investing, and financing activities and discontinued operations, as well as the net change in cash and equivalents for the nine months ended September 27, 2025 and September 28, 2024.</w:t>
      </w:r>
    </w:p>
    <w:tbl>
      <w:tblPr>
        <w:tblW w:w="9371" w:type="dxa"/>
        <w:jc w:val="left"/>
        <w:tblInd w:w="0" w:type="dxa"/>
        <w:tblLayout w:type="fixed"/>
        <w:tblCellMar>
          <w:top w:w="28" w:type="dxa"/>
          <w:left w:w="28" w:type="dxa"/>
          <w:bottom w:w="28" w:type="dxa"/>
          <w:right w:w="28" w:type="dxa"/>
        </w:tblCellMar>
      </w:tblPr>
      <w:tblGrid>
        <w:gridCol w:w="2144"/>
        <w:gridCol w:w="1877"/>
        <w:gridCol w:w="1889"/>
        <w:gridCol w:w="351"/>
        <w:gridCol w:w="997"/>
        <w:gridCol w:w="197"/>
        <w:gridCol w:w="109"/>
        <w:gridCol w:w="109"/>
        <w:gridCol w:w="109"/>
        <w:gridCol w:w="343"/>
        <w:gridCol w:w="976"/>
        <w:gridCol w:w="270"/>
      </w:tblGrid>
      <w:tr>
        <w:trPr/>
        <w:tc>
          <w:tcPr>
            <w:tcW w:w="214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discontinued operations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equivalents due to changes in foreign currency exchange rates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equivalents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Operating Activities</w:t>
      </w:r>
      <w:r>
        <w:rPr>
          <w:color w:val="000000"/>
        </w:rPr>
        <w:t xml:space="preserve"> —</w:t>
      </w:r>
      <w:r>
        <w:rPr>
          <w:color w:val="000000"/>
          <w:shd w:fill="FFFFFF" w:val="clear"/>
        </w:rPr>
        <w:t xml:space="preserve"> </w:t>
      </w:r>
      <w:r>
        <w:rPr>
          <w:rFonts w:ascii="Times New Roman;serif" w:hAnsi="Times New Roman;serif"/>
          <w:b w:val="false"/>
          <w:color w:val="000000"/>
          <w:sz w:val="20"/>
        </w:rPr>
        <w:t xml:space="preserve">Cash flows from operating activities associated with continuing operations totaled $139.8 for the nine months ended September 27, 2025, compared to cash flows from operating activities of $146.4 during the nine months ended September 28, 2024.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e decrease in cash flows from operating activities for the nine months ended September 27, 2025, compared to the nine months ended September 28, 2024, was due primarily to (i) amounts paid into an escrow account in connection with the KTS acquisition related to future service obligations of certain employees of $46.5 and (ii) investments in working capital to support the growth within our HVAC and Detection and Measurement reportable segments, partially offset by (i) the increase in income, exclusive of the non-cash items incurred during the 2025 period, (ii) a payment, during the first quarter of 2024, related to the resolution of a dispute with a former representative at one of our businesses within the Detection and Measurement reportable segment of $9.0, and (iii) a payment of $8.4 during the second quarter of 2024 associated with a settlement with the seller of ULC for additional contingent consideration, as discussed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shd w:fill="FFFFFF" w:val="clear"/>
        </w:rPr>
        <w:t>Investing Activities</w:t>
      </w:r>
      <w:r>
        <w:rPr>
          <w:color w:val="000000"/>
          <w:shd w:fill="FFFFFF" w:val="clear"/>
        </w:rPr>
        <w:t xml:space="preserve"> — </w:t>
      </w:r>
      <w:r>
        <w:rPr>
          <w:rFonts w:ascii="Times New Roman;serif" w:hAnsi="Times New Roman;serif"/>
          <w:b w:val="false"/>
          <w:color w:val="000000"/>
          <w:sz w:val="20"/>
          <w:shd w:fill="FFFFFF" w:val="clear"/>
        </w:rPr>
        <w:t>Cash fl</w:t>
      </w:r>
      <w:r>
        <w:rPr>
          <w:rFonts w:ascii="Times New Roman;serif" w:hAnsi="Times New Roman;serif"/>
          <w:b w:val="false"/>
          <w:color w:val="000000"/>
          <w:sz w:val="20"/>
        </w:rPr>
        <w:t xml:space="preserve">ows used in investing activities of continuing operations for the nine months ended </w:t>
      </w:r>
      <w:r>
        <w:rPr>
          <w:rFonts w:ascii="Times New Roman;serif" w:hAnsi="Times New Roman;serif"/>
          <w:b w:val="false"/>
          <w:color w:val="000000"/>
          <w:sz w:val="20"/>
          <w:shd w:fill="FFFFFF" w:val="clear"/>
        </w:rPr>
        <w:t>September 27, 2025</w:t>
      </w:r>
      <w:r>
        <w:rPr>
          <w:color w:val="000000"/>
        </w:rPr>
        <w:t xml:space="preserve"> </w:t>
      </w:r>
      <w:r>
        <w:rPr>
          <w:rFonts w:ascii="Times New Roman;serif" w:hAnsi="Times New Roman;serif"/>
          <w:b w:val="false"/>
          <w:color w:val="000000"/>
          <w:sz w:val="20"/>
        </w:rPr>
        <w:t>were comprised primarily of net cash utilized in acquisitions, including KTS and Sigma &amp; Omega, of $445.3, net cash outflows from COLI policies activity of $30.3 (inclusive of repayments related to amounts previously borrowed under such policies of $37.4 - see Note 12 to the condensed consolidated financial statements for additional details) and capital expenditures of $23.6.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of continuing operations for the nine months ended September 28, 2024 were comprised of net cash utilized in the acquisition of Ingénia of $292.0 and capital expenditures of $28.2, partially offset by net proceeds from COLI policies of $42.9, inclusive of borrowings of $41.2 against the cash surrender value of these COLI policies. See Note 12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Financing Activities</w:t>
      </w:r>
      <w:r>
        <w:rPr>
          <w:color w:val="000000"/>
        </w:rPr>
        <w:t xml:space="preserve"> — </w:t>
      </w:r>
      <w:r>
        <w:rPr>
          <w:rFonts w:ascii="Times New Roman;serif" w:hAnsi="Times New Roman;serif"/>
          <w:b w:val="false"/>
          <w:color w:val="000000"/>
          <w:sz w:val="20"/>
        </w:rPr>
        <w:t>Cash flows from financing activities of continuing operations for the nine months ended September 27, 2025 were comprised primarily of net cash proceeds of $551.1 related to the completion of the Offering (see Note 14 to the condensed consolidated financial statements for additional details) and net borrowings under our other various debt instruments of $0.1, partially offset by (i) net repayments under the Credit Agreement and trade receivables financing arrangement of $104.6 and $9.0, respectively, (ii) minimum tax withholdings paid on behalf of employees related to long-term incentive awards, net of proceeds from options exercised, of $8.3 and (iii) financing fees paid in connection with an amendment to the Credit Agreement of $4.7.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flows from financing activities of continuing operations for the nine months ended September 28, 2024 were comprised of net borrowings under the Credit Agreement and trade receivables financing arrangement of $148.2 and $31.0, respectively, primarily in connection with the Ingénia acquisition. Additionally, proceeds from options exercised net of withholdings paid on behalf of employees related to long-term incentive awards of $1.1 were offset by financing fees paid in connection with an amendment to our senior credit agreement of $2.6, and net repayments under our other various debt instruments of $0.8.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Discontinued Operations</w:t>
      </w:r>
      <w:r>
        <w:rPr>
          <w:color w:val="000000"/>
        </w:rPr>
        <w:t xml:space="preserve"> — </w:t>
      </w:r>
      <w:r>
        <w:rPr>
          <w:rFonts w:ascii="Times New Roman;serif" w:hAnsi="Times New Roman;serif"/>
          <w:b w:val="false"/>
          <w:color w:val="000000"/>
          <w:sz w:val="20"/>
        </w:rPr>
        <w:t xml:space="preserve">Cash flows used in discontinued operations for the nine months ended September 27, 2025 relate primarily to </w:t>
      </w:r>
      <w:r>
        <w:rPr>
          <w:rFonts w:ascii="Times New Roman;serif" w:hAnsi="Times New Roman;serif"/>
          <w:b w:val="false"/>
          <w:color w:val="000000"/>
          <w:sz w:val="20"/>
          <w:shd w:fill="FFFFFF" w:val="clear"/>
        </w:rPr>
        <w:t xml:space="preserve">disbursements for costs incurred to support our wound-down </w:t>
      </w:r>
      <w:r>
        <w:rPr>
          <w:rFonts w:ascii="Times New Roman;serif" w:hAnsi="Times New Roman;serif"/>
          <w:b w:val="false"/>
          <w:color w:val="000000"/>
          <w:sz w:val="20"/>
        </w:rPr>
        <w:t>DBT Technologies (PTY) LTD (“DBT”) subsidiary through processes associated with the liquidation of a subcontractor.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discontinued operations for the nine months ended September 28, 2024 relate primarily to the final payment under the Settlement Agreement of $25.1 (net of the cash received upon maturation of the related foreign currency forward contracts of $2.0) to MHI and disbursements for liabilities retained in connection with previous dispositions.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shd w:fill="FFFFFF" w:val="clear"/>
        </w:rPr>
        <w:t>Change in Cash and Equivalents due to Changes in Foreign Currency Exchange Rate</w:t>
      </w:r>
      <w:r>
        <w:rPr>
          <w:rFonts w:ascii="Times New Roman;serif" w:hAnsi="Times New Roman;serif"/>
          <w:b w:val="false"/>
          <w:i/>
          <w:color w:val="000000"/>
          <w:sz w:val="20"/>
          <w:u w:val="single"/>
        </w:rPr>
        <w:t>s</w:t>
      </w:r>
      <w:r>
        <w:rPr>
          <w:color w:val="000000"/>
        </w:rPr>
        <w:t xml:space="preserve"> — </w:t>
      </w:r>
      <w:r>
        <w:rPr>
          <w:rFonts w:ascii="Times New Roman;serif" w:hAnsi="Times New Roman;serif"/>
          <w:b w:val="false"/>
          <w:color w:val="000000"/>
          <w:sz w:val="20"/>
        </w:rPr>
        <w:t>Changes in foreign currency exchange rates did not have a significant impact on our cash and equivalents during the first nine months of 2025 and 2024.</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Borrowings and Availability</w:t>
      </w:r>
    </w:p>
    <w:p>
      <w:pPr>
        <w:pStyle w:val="TextBody"/>
        <w:bidi w:val="0"/>
        <w:spacing w:lineRule="auto" w:line="288" w:before="0" w:after="60"/>
        <w:ind w:left="0" w:right="0" w:firstLine="720"/>
        <w:jc w:val="left"/>
        <w:rPr/>
      </w:pPr>
      <w:r>
        <w:rPr>
          <w:rFonts w:ascii="Times New Roman;serif" w:hAnsi="Times New Roman;serif"/>
          <w:b w:val="false"/>
          <w:i/>
          <w:color w:val="000000"/>
          <w:sz w:val="20"/>
          <w:u w:val="single"/>
        </w:rPr>
        <w:t>Borrowings</w:t>
      </w:r>
      <w:r>
        <w:rPr>
          <w:color w:val="000000"/>
        </w:rPr>
        <w:t xml:space="preserve"> — </w:t>
      </w:r>
      <w:r>
        <w:rPr>
          <w:rFonts w:ascii="Times New Roman;serif" w:hAnsi="Times New Roman;serif"/>
          <w:b w:val="false"/>
          <w:color w:val="000000"/>
          <w:sz w:val="20"/>
        </w:rPr>
        <w:t>The following summarizes our debt activity (both current and non-current) for the nine months ended September 27, 2025.</w:t>
      </w:r>
    </w:p>
    <w:tbl>
      <w:tblPr>
        <w:tblW w:w="9484"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196"/>
        <w:gridCol w:w="691"/>
        <w:gridCol w:w="109"/>
        <w:gridCol w:w="109"/>
        <w:gridCol w:w="109"/>
        <w:gridCol w:w="109"/>
        <w:gridCol w:w="196"/>
        <w:gridCol w:w="766"/>
        <w:gridCol w:w="109"/>
        <w:gridCol w:w="109"/>
        <w:gridCol w:w="109"/>
        <w:gridCol w:w="109"/>
        <w:gridCol w:w="196"/>
        <w:gridCol w:w="406"/>
        <w:gridCol w:w="109"/>
        <w:gridCol w:w="109"/>
        <w:gridCol w:w="109"/>
        <w:gridCol w:w="109"/>
        <w:gridCol w:w="256"/>
        <w:gridCol w:w="727"/>
        <w:gridCol w:w="201"/>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w:t>
              <w:b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Revolving loans</w:t>
            </w:r>
            <w:r>
              <w:rPr>
                <w:rFonts w:ascii="Times New Roman;serif" w:hAnsi="Times New Roman;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 loans</w:t>
            </w:r>
            <w:r>
              <w:rPr>
                <w:rFonts w:ascii="Times New Roman;serif" w:hAnsi="Times New Roman;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Trade receivables financing arrangement</w:t>
            </w:r>
            <w:r>
              <w:rPr>
                <w:rFonts w:ascii="Times New Roman;serif" w:hAnsi="Times New Roman;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indebtedness</w:t>
            </w:r>
            <w:r>
              <w:rPr>
                <w:rFonts w:ascii="Times New Roman;serif" w:hAnsi="Times New Roman;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76" w:before="0" w:after="20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rPr>
        <w:t xml:space="preserve">We amended the Credit Agreement on September 9, 2025. The amendment extends the revolving credit facility through September 9, 2030. The revolving credit facilities are primarily used to provide liquidity for funding acquisitions, including related fees and expenses and were utilized as a funding mechanism for the KTS and Sigma &amp; Omega acquisitions. In connection with the consummation of the underwritten public offering, amounts then owing under our revolving credit facilities were fully repaid. </w:t>
      </w:r>
    </w:p>
    <w:p>
      <w:pPr>
        <w:pStyle w:val="TextBody"/>
        <w:bidi w:val="0"/>
        <w:spacing w:lineRule="auto" w:line="276" w:before="0" w:after="20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term loan is repayable in quarterly installments equal to 0.625% of the initial term loan balance of $500.0, beginning in December 2026 and in each of the first three quarters of 2027, and 1.25% during the fourth quarter of 2027, all quarters of 2028 and 2029, and the first two quarters of 2030. The remaining balances are payable in full on September 9, 2030. Balances are net of unamortized debt issuance costs of $0.9 and $1.2 at September 27, 2025 and December 31, 2024, respectively.</w:t>
      </w:r>
    </w:p>
    <w:p>
      <w:pPr>
        <w:pStyle w:val="TextBody"/>
        <w:bidi w:val="0"/>
        <w:spacing w:lineRule="auto" w:line="276" w:before="0" w:after="20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Under this arrangement, we can borrow, on a continuous basis, up to $100.0, as available. Borrowings under this arrangement are collateralized by eligible trade receivables of certain of our businesses. At September 27, 2025, we had $86.1 of available borrowing capacity under this facility after giving effect to outstanding borrowings of $0.0.</w:t>
      </w:r>
    </w:p>
    <w:p>
      <w:pPr>
        <w:pStyle w:val="TextBody"/>
        <w:bidi w:val="0"/>
        <w:spacing w:lineRule="auto" w:line="288" w:before="0" w:after="20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Primarily includes balances under a purchase card program of $1.4 and $1.1 and finance lease obligations of $1.1 and $1.2 at September 27,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erif" w:hAnsi="Times New Roman;serif"/>
          <w:b w:val="false"/>
          <w:color w:val="000000"/>
          <w:sz w:val="12"/>
        </w:rPr>
        <w:t>(5)</w:t>
      </w:r>
      <w:r>
        <w:rPr>
          <w:color w:val="000000"/>
        </w:rPr>
        <w:t>“</w:t>
      </w:r>
      <w:r>
        <w:rPr>
          <w:rFonts w:ascii="Times New Roman;serif" w:hAnsi="Times New Roman;serif"/>
          <w:b w:val="false"/>
          <w:color w:val="000000"/>
          <w:sz w:val="18"/>
        </w:rPr>
        <w:t>Other” includes the capitalization and amortization of debt issuance costs incurred in connection with the term loan.</w:t>
      </w:r>
    </w:p>
    <w:p>
      <w:pPr>
        <w:pStyle w:val="TextBody"/>
        <w:bidi w:val="0"/>
        <w:spacing w:lineRule="auto" w:line="26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27, 2025, we were in compliance with all covenants of the Credit Agreement.</w:t>
      </w:r>
    </w:p>
    <w:p>
      <w:pPr>
        <w:pStyle w:val="TextBody"/>
        <w:bidi w:val="0"/>
        <w:spacing w:lineRule="auto" w:line="26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renewed our trade receivables financing agreement for 12 months, whereby we can borrow, on a continuous basis, up to $100.0, as available.</w:t>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shd w:fill="FFFFFF" w:val="clear"/>
        </w:rPr>
        <w:t>Availability</w:t>
      </w:r>
      <w:r>
        <w:rPr>
          <w:color w:val="000000"/>
          <w:shd w:fill="FFFFFF" w:val="clear"/>
        </w:rPr>
        <w:t xml:space="preserve"> — </w:t>
      </w:r>
      <w:r>
        <w:rPr>
          <w:rFonts w:ascii="Times New Roman;serif" w:hAnsi="Times New Roman;serif"/>
          <w:b w:val="false"/>
          <w:color w:val="000000"/>
          <w:sz w:val="20"/>
          <w:shd w:fill="FFFFFF" w:val="clear"/>
        </w:rPr>
        <w:t>At September 27, 2025, we h</w:t>
      </w:r>
      <w:r>
        <w:rPr>
          <w:rFonts w:ascii="Times New Roman;serif" w:hAnsi="Times New Roman;serif"/>
          <w:b w:val="false"/>
          <w:color w:val="000000"/>
          <w:sz w:val="20"/>
        </w:rPr>
        <w:t xml:space="preserve">ad $1,489.0 of available borrowing capacity under our revolving credit facilities, after giving effect to borrowings under the domestic revolving loan facility of $0.0 and $11.0 reserved for outstanding letters of credit. In addition, at September 27, 2025, we had $12.8 of available issuance capacity under our foreign credit instrument facilities after giving effect to $12.2 reserved for outstanding letters </w:t>
      </w:r>
      <w:r>
        <w:rPr>
          <w:rFonts w:ascii="Times New Roman;serif" w:hAnsi="Times New Roman;serif"/>
          <w:b w:val="false"/>
          <w:color w:val="000000"/>
          <w:sz w:val="20"/>
          <w:shd w:fill="FFFFFF" w:val="clear"/>
        </w:rPr>
        <w:t>of credit.</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Financing instruments may be used from time to time including,</w:t>
      </w:r>
      <w:r>
        <w:rPr>
          <w:color w:val="000000"/>
        </w:rPr>
        <w:t xml:space="preserve"> </w:t>
      </w:r>
      <w:r>
        <w:rPr>
          <w:rFonts w:ascii="Times New Roman;serif" w:hAnsi="Times New Roman;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have investments in COLI policies, which are recorded at their net cash surrender value of $60.9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$36.2 at </w:t>
      </w:r>
      <w:r>
        <w:rPr>
          <w:rFonts w:ascii="Times New Roman;serif" w:hAnsi="Times New Roman;serif"/>
          <w:b w:val="false"/>
          <w:color w:val="000000"/>
          <w:sz w:val="20"/>
          <w:shd w:fill="FFFFFF" w:val="clear"/>
        </w:rPr>
        <w:t>September 27, 2025</w:t>
      </w:r>
      <w:r>
        <w:rPr>
          <w:color w:val="000000"/>
        </w:rPr>
        <w:t xml:space="preserve"> </w:t>
      </w:r>
      <w:r>
        <w:rPr>
          <w:rFonts w:ascii="Times New Roman;serif" w:hAnsi="Times New Roman;serif"/>
          <w:b w:val="false"/>
          <w:color w:val="000000"/>
          <w:sz w:val="20"/>
        </w:rPr>
        <w:t xml:space="preserve">and December 31, 2024, respectively. We have the ability to borrow against a portion of our investment in the COLI policies as an additional source of liquidity. The amounts borrowed totaled $0.0 and $39.0 at </w:t>
      </w:r>
      <w:r>
        <w:rPr>
          <w:rFonts w:ascii="Times New Roman;serif" w:hAnsi="Times New Roman;serif"/>
          <w:b w:val="false"/>
          <w:color w:val="000000"/>
          <w:sz w:val="20"/>
          <w:shd w:fill="FFFFFF" w:val="clear"/>
        </w:rPr>
        <w:t>September 27, 2025</w:t>
      </w:r>
      <w:r>
        <w:rPr>
          <w:color w:val="000000"/>
        </w:rPr>
        <w:t xml:space="preserve"> </w:t>
      </w:r>
      <w:r>
        <w:rPr>
          <w:rFonts w:ascii="Times New Roman;serif" w:hAnsi="Times New Roman;serif"/>
          <w:b w:val="false"/>
          <w:color w:val="000000"/>
          <w:sz w:val="20"/>
        </w:rPr>
        <w:t>and December 31, 2024, respectively, and incur interest at a rate of 5.3%. At September 27, 2025, we had capacity to borrow approximately $35.0 against the policies. See Note 12 to the condensed consolidated financial statements for additional information.</w:t>
      </w:r>
    </w:p>
    <w:p>
      <w:pPr>
        <w:pStyle w:val="TextBody"/>
        <w:bidi w:val="0"/>
        <w:spacing w:before="0" w:after="20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of cash and equivalents, trade accounts receivable, cash surrender values of COLI policies, and interest rate swap and foreign currency forward contracts. These financial instruments, other than trade accounts receivable, are placed with high-quality financial institutions. We periodically evaluate the credit standing of these financial institutions.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rPr>
        <w:t>Contractual Obligations</w:t>
      </w:r>
      <w:r>
        <w:rPr>
          <w:color w:val="000000"/>
        </w:rPr>
        <w:t xml:space="preserve"> — </w:t>
      </w:r>
      <w:r>
        <w:rPr>
          <w:rFonts w:ascii="Times New Roman;serif" w:hAnsi="Times New Roman;serif"/>
          <w:b w:val="false"/>
          <w:color w:val="000000"/>
          <w:sz w:val="20"/>
        </w:rPr>
        <w:t>There have been no material changes in the amounts of our contractual obligations from those disclosed in our 2024 Annual Report on Form 10-K. Our total net liabilities for unrecognized tax benefits including interest were $5.4 as of September 27, 2025. Based on the outcome of certain examinations or as a result of the expiration of statutes of limitations for certain jurisdictions, we believe that within the next 12 months it is reasonably possible that our previously unrecognized tax benefits could decrease by up to $2.0.</w:t>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rPr>
        <w:t>Contingencies and Other Matters</w:t>
      </w:r>
      <w:r>
        <w:rPr>
          <w:color w:val="000000"/>
        </w:rPr>
        <w:t xml:space="preserve"> — </w:t>
      </w:r>
      <w:r>
        <w:rPr>
          <w:rFonts w:ascii="Times New Roman;serif" w:hAnsi="Times New Roman;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hyperlink w:anchor="iac308c856d52414588616fa413053d91_76">
        <w:r>
          <w:rPr>
            <w:rStyle w:val="InternetLink"/>
            <w:rFonts w:ascii="Times New Roman;serif" w:hAnsi="Times New Roman;serif"/>
            <w:b w:val="false"/>
            <w:color w:val="0000FF"/>
            <w:sz w:val="20"/>
            <w:u w:val="single"/>
            <w:shd w:fill="FFFFFF" w:val="clear"/>
          </w:rPr>
          <w:t>Note 15</w:t>
        </w:r>
      </w:hyperlink>
      <w:r>
        <w:rPr>
          <w:color w:val="000000"/>
        </w:rPr>
        <w:t xml:space="preserve"> </w:t>
      </w:r>
      <w:r>
        <w:rPr>
          <w:rFonts w:ascii="Times New Roman;serif" w:hAnsi="Times New Roman;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you should read “Management’s Discussion and Analysis of Financial Condition and Results of Operations — Other Matters” herein, and “Risk Factors” in our 2024 Annual Report on Form 10-K, as well as similar sections in any future filings for an understanding of the risks, uncertainties, and trends facing our businesses.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2">
        <w:r>
          <w:rPr>
            <w:rStyle w:val="InternetLink"/>
            <w:rFonts w:ascii="Times New Roman;serif" w:hAnsi="Times New Roman;serif"/>
            <w:b w:val="false"/>
            <w:color w:val="0000FF"/>
            <w:sz w:val="20"/>
            <w:u w:val="single"/>
          </w:rPr>
          <w:t>2024 Annual Report on Form 10-K</w:t>
        </w:r>
      </w:hyperlink>
      <w:r>
        <w:rPr>
          <w:rFonts w:ascii="Times New Roman;serif" w:hAnsi="Times New Roman;serif"/>
          <w:b w:val="false"/>
          <w:color w:val="000000"/>
          <w:sz w:val="20"/>
        </w:rPr>
        <w:t>, the discussion within which is incorporated herein by reference</w:t>
      </w:r>
      <w:r>
        <w:rPr>
          <w:rFonts w:ascii="Times New Roman;serif" w:hAnsi="Times New Roman;serif"/>
          <w:b w:val="false"/>
          <w:color w:val="000000"/>
          <w:sz w:val="20"/>
          <w:shd w:fill="FFFFFF" w:val="clear"/>
        </w:rPr>
        <w:t>. We have affected no material change in either our critical accounting policies or use of estimates since the filing of our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does not believe our exposure to market risk has significantly changed since December 31, 2024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SPX management, including the Chief Executive Officer and Chief Financial Officer, conducted an evaluation of the effectiveness of disclosure controls and procedures, pursuant to Exchange Act Rule 13a-15(b), as of September 27, 2025. Based on that evaluation, the Chief Executive Officer and Chief Financial Officer concluded that our disclosure controls and procedures were effective as of September 27, 2025.</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September 27, 2025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ac308c856d52414588616fa413053d91_76">
        <w:r>
          <w:rPr>
            <w:rStyle w:val="InternetLink"/>
            <w:rFonts w:ascii="Times New Roman;serif" w:hAnsi="Times New Roman;serif"/>
            <w:b w:val="false"/>
            <w:color w:val="0000FF"/>
            <w:sz w:val="20"/>
            <w:u w:val="single"/>
            <w:shd w:fill="FFFFFF" w:val="clear"/>
          </w:rPr>
          <w:t>Note 15</w:t>
        </w:r>
      </w:hyperlink>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to the other information set forth in this report, you should carefully consider the factors discussed in Part I, “Item 1A. Risk Factors” in our </w:t>
      </w:r>
      <w:hyperlink r:id="rId3">
        <w:r>
          <w:rPr>
            <w:rStyle w:val="InternetLink"/>
            <w:rFonts w:ascii="Times New Roman;serif" w:hAnsi="Times New Roman;serif"/>
            <w:b w:val="false"/>
            <w:color w:val="0000FF"/>
            <w:sz w:val="20"/>
            <w:u w:val="single"/>
          </w:rPr>
          <w:t>2024 Annual Report on Form 10-K</w:t>
        </w:r>
      </w:hyperlink>
      <w:r>
        <w:rPr>
          <w:rFonts w:ascii="Times New Roman;serif" w:hAnsi="Times New Roman;serif"/>
          <w:b w:val="false"/>
          <w:color w:val="000000"/>
          <w:sz w:val="20"/>
        </w:rPr>
        <w:t>, which could materially affect our business, financial condition or future results. Other than as noted below, there have been no material changes to our risk factors as previously disclosed in our 2024 Annual Report on Form 10-K.</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Worldwide economic conditions could negatively impact our businesses.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Poor macroeconomic conditions could negatively impact our businesses by adversely affecting, among other things, our:</w:t>
      </w:r>
    </w:p>
    <w:p>
      <w:pPr>
        <w:pStyle w:val="TextBody"/>
        <w:bidi w:val="0"/>
        <w:spacing w:before="0" w:after="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Revenues;</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Margins;</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Profits;</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Cash flows;</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Customers’ orders, including order cancellation activity or delays on new or existing orders;</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Customers’ ability to access credit;</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Customers’ ability to pay amounts due to us; and</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Suppliers’ and distributors’ ability to perform and the availability and costs of materials and subcontracted services.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prospects could be negatively impacted by downturns in economic conditions in relevant global and North American markets, including as a result of the imposition, or threat of imposition, of tariffs and other trade barriers, such as the significant tariffs announced by the U.S. government in 2025, and retaliatory tariffs announced in response thereto. In addition, economic instabilities resulting from geopolitical activities, including instabilities associated with armed conflicts, and the imposition of governmental sanctions in response thereto, and any conflict or threat of conflict that may affect nations relevant to our business or the businesses of our customers and vendors, could negatively impact our results of operations and prospects.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director or officer of SPX adopted, modified or terminated a “Rule 10b5-1 trading arrangement” or adopted, modified, or terminated a “non-Rule 10b5-1 trading arrangement” (as such terms are defined in Item 408 of Regulation S-K) during the three months ended September 27, 2025.</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5"/>
        <w:gridCol w:w="186"/>
        <w:gridCol w:w="187"/>
        <w:gridCol w:w="2843"/>
        <w:gridCol w:w="2795"/>
        <w:gridCol w:w="3959"/>
      </w:tblGrid>
      <w:tr>
        <w:trPr/>
        <w:tc>
          <w:tcPr>
            <w:tcW w:w="23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9"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Third Amendment to Amended and Restated Credit Agreement and Amendment to Amended and Restated Guarantee and Collateral Agreement dated as of September 9, 2025 among SPX Enterprises, LLC, as the U.S. Borrower, SPX Technologies, Inc., the other Guarantors party thereto, Bank of America, N.A., as the Administrative Agent, and the Lenders party thereto, incorporated by reference to Exhibit 10.1 to our Current Report on Form 8-K filed on September 11, 2025 (File no. 1-6948)</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5.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5.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5.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9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Definitions Linkbase Document</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240"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408"/>
        <w:gridCol w:w="408"/>
        <w:gridCol w:w="408"/>
        <w:gridCol w:w="1366"/>
        <w:gridCol w:w="1366"/>
        <w:gridCol w:w="194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SPX TECHNOLOGIES, INC.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Eugene J. Lowe, III</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Mark A. Carano</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Vice President, Chief Financial Officer and Treasurer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5219" w:type="dxa"/>
        <w:jc w:val="left"/>
        <w:tblInd w:w="0" w:type="dxa"/>
        <w:tblLayout w:type="fixed"/>
        <w:tblCellMar>
          <w:top w:w="28" w:type="dxa"/>
          <w:left w:w="28" w:type="dxa"/>
          <w:bottom w:w="28" w:type="dxa"/>
          <w:right w:w="28" w:type="dxa"/>
        </w:tblCellMar>
      </w:tblPr>
      <w:tblGrid>
        <w:gridCol w:w="726"/>
        <w:gridCol w:w="640"/>
        <w:gridCol w:w="643"/>
        <w:gridCol w:w="940"/>
        <w:gridCol w:w="940"/>
        <w:gridCol w:w="133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 EUGENE J. LOWE, III</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Eugene J. Lowe, III</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Mark A. Carano, certify that: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6419" w:type="dxa"/>
        <w:jc w:val="left"/>
        <w:tblInd w:w="0" w:type="dxa"/>
        <w:tblLayout w:type="fixed"/>
        <w:tblCellMar>
          <w:top w:w="28" w:type="dxa"/>
          <w:left w:w="28" w:type="dxa"/>
          <w:bottom w:w="28" w:type="dxa"/>
          <w:right w:w="28" w:type="dxa"/>
        </w:tblCellMar>
      </w:tblPr>
      <w:tblGrid>
        <w:gridCol w:w="726"/>
        <w:gridCol w:w="640"/>
        <w:gridCol w:w="643"/>
        <w:gridCol w:w="1290"/>
        <w:gridCol w:w="1290"/>
        <w:gridCol w:w="183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A. CARANO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A. Carano</w:t>
              <w:br/>
              <w:t>Vice President, Chief Financial Officer and Treasurer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CERTIFICATIONS 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erif" w:hAnsi="Times New Roman;serif"/>
          <w:b w:val="false"/>
          <w:color w:val="000000"/>
          <w:sz w:val="20"/>
        </w:rPr>
        <w:t>In connection with the Quarterly Report of SPX Technologies, Inc. on Form 10-Q for the period ended September 27, 2025,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bl>
      <w:tblPr>
        <w:tblW w:w="7917"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1290"/>
        <w:gridCol w:w="1290"/>
        <w:gridCol w:w="1830"/>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MARK A. CARANO</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Eugene J. Lowe, III</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Mark A. Carano</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r>
    </w:tbl>
    <w:p>
      <w:pPr>
        <w:pStyle w:val="TextBody"/>
        <w:bidi w:val="0"/>
        <w:spacing w:lineRule="auto" w:line="345" w:before="0" w:after="0"/>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05/000008820525000007/spxc-20241231.htm" TargetMode="External"/><Relationship Id="rId3" Type="http://schemas.openxmlformats.org/officeDocument/2006/relationships/hyperlink" Target="https://www.sec.gov/Archives/edgar/data/88205/000008820525000007/spxc-20241231.htm" TargetMode="External"/><Relationship Id="rId4" Type="http://schemas.openxmlformats.org/officeDocument/2006/relationships/hyperlink" Target="https://www.sec.gov/Archives/edgar/data/88205/000141057825002044/tm2525695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26914</Words>
  <Characters>149932</Characters>
  <CharactersWithSpaces>175443</CharactersWithSpaces>
  <Paragraphs>3422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