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quarterly period ended</w:t>
      </w:r>
      <w:r>
        <w:rPr>
          <w:color w:val="000000"/>
        </w:rPr>
        <w:t xml:space="preserve"> </w:t>
      </w:r>
      <w:r>
        <w:rPr>
          <w:rFonts w:ascii="Times New Roman;sans-serif" w:hAnsi="Times New Roman;sans-serif"/>
          <w:b/>
          <w:color w:val="000000"/>
          <w:sz w:val="20"/>
        </w:rPr>
        <w:t>March 29, 2025</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1-6948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SPX TECHNOLOGIES,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181" w:type="dxa"/>
        <w:jc w:val="center"/>
        <w:tblInd w:w="0" w:type="dxa"/>
        <w:tblLayout w:type="fixed"/>
        <w:tblCellMar>
          <w:top w:w="28" w:type="dxa"/>
          <w:left w:w="28" w:type="dxa"/>
          <w:bottom w:w="28" w:type="dxa"/>
          <w:right w:w="28" w:type="dxa"/>
        </w:tblCellMar>
      </w:tblPr>
      <w:tblGrid>
        <w:gridCol w:w="1383"/>
        <w:gridCol w:w="1215"/>
        <w:gridCol w:w="1227"/>
        <w:gridCol w:w="109"/>
        <w:gridCol w:w="109"/>
        <w:gridCol w:w="109"/>
        <w:gridCol w:w="884"/>
        <w:gridCol w:w="884"/>
        <w:gridCol w:w="1261"/>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88-3567996</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6325 Ardrey Kell Road, Suite 400, Charlotte, North Carolina 28277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(980) 474-3700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19" w:type="dxa"/>
        <w:jc w:val="left"/>
        <w:tblInd w:w="0" w:type="dxa"/>
        <w:tblLayout w:type="fixed"/>
        <w:tblCellMar>
          <w:top w:w="28" w:type="dxa"/>
          <w:left w:w="28" w:type="dxa"/>
          <w:bottom w:w="28" w:type="dxa"/>
          <w:right w:w="28" w:type="dxa"/>
        </w:tblCellMar>
      </w:tblPr>
      <w:tblGrid>
        <w:gridCol w:w="1021"/>
        <w:gridCol w:w="894"/>
        <w:gridCol w:w="905"/>
        <w:gridCol w:w="564"/>
        <w:gridCol w:w="564"/>
        <w:gridCol w:w="56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SPXC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color w:val="000000"/>
        </w:rPr>
      </w:pPr>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shares outstanding April 25, 2025, 46,706,426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INDEX</w:t>
      </w:r>
    </w:p>
    <w:tbl>
      <w:tblPr>
        <w:tblW w:w="8934" w:type="dxa"/>
        <w:jc w:val="center"/>
        <w:tblInd w:w="0" w:type="dxa"/>
        <w:tblLayout w:type="fixed"/>
        <w:tblCellMar>
          <w:top w:w="28" w:type="dxa"/>
          <w:left w:w="28" w:type="dxa"/>
          <w:bottom w:w="28" w:type="dxa"/>
          <w:right w:w="28" w:type="dxa"/>
        </w:tblCellMar>
      </w:tblPr>
      <w:tblGrid>
        <w:gridCol w:w="2980"/>
        <w:gridCol w:w="2625"/>
        <w:gridCol w:w="2630"/>
        <w:gridCol w:w="109"/>
        <w:gridCol w:w="109"/>
        <w:gridCol w:w="109"/>
        <w:gridCol w:w="109"/>
        <w:gridCol w:w="109"/>
        <w:gridCol w:w="154"/>
      </w:tblGrid>
      <w:tr>
        <w:trPr/>
        <w:tc>
          <w:tcPr>
            <w:tcW w:w="2980"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79b97278c24e6ab9fe6436417e0b63_10">
              <w:r>
                <w:rPr>
                  <w:rStyle w:val="InternetLink"/>
                  <w:rFonts w:ascii="Times New Roman;sans-serif" w:hAnsi="Times New Roman;sans-serif"/>
                  <w:b w:val="false"/>
                  <w:color w:val="0000FF"/>
                  <w:sz w:val="20"/>
                  <w:u w:val="single"/>
                </w:rPr>
                <w:t>PART 1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13">
              <w:r>
                <w:rPr>
                  <w:rStyle w:val="InternetLink"/>
                  <w:rFonts w:ascii="Times New Roman;sans-serif" w:hAnsi="Times New Roman;sans-serif"/>
                  <w:b w:val="false"/>
                  <w:color w:val="0000FF"/>
                  <w:sz w:val="20"/>
                  <w:u w:val="single"/>
                </w:rPr>
                <w:t>Item 1 –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16">
              <w:r>
                <w:rPr>
                  <w:rStyle w:val="InternetLink"/>
                  <w:rFonts w:ascii="Times New Roman;sans-serif" w:hAnsi="Times New Roman;sans-serif"/>
                  <w:b w:val="false"/>
                  <w:color w:val="0000FF"/>
                  <w:sz w:val="20"/>
                  <w:u w:val="single"/>
                </w:rPr>
                <w:t>Condensed Consolidated Statements of Operations and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16">
              <w:r>
                <w:rPr>
                  <w:rStyle w:val="InternetLink"/>
                  <w:rFonts w:ascii="Times New Roman;sans-serif" w:hAnsi="Times New Roman;sans-serif"/>
                  <w:b w:val="false"/>
                  <w:color w:val="0000FF"/>
                  <w:sz w:val="20"/>
                  <w:u w:val="single"/>
                </w:rPr>
                <w:t>3</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19">
              <w:r>
                <w:rPr>
                  <w:rStyle w:val="InternetLink"/>
                  <w:rFonts w:ascii="Times New Roman;sans-serif" w:hAnsi="Times New Roman;sans-serif"/>
                  <w:b w:val="false"/>
                  <w:color w:val="0000FF"/>
                  <w:sz w:val="20"/>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19">
              <w:r>
                <w:rPr>
                  <w:rStyle w:val="InternetLink"/>
                  <w:rFonts w:ascii="Times New Roman;sans-serif" w:hAnsi="Times New Roman;sans-serif"/>
                  <w:b w:val="false"/>
                  <w:color w:val="0000FF"/>
                  <w:sz w:val="20"/>
                  <w:u w:val="single"/>
                </w:rPr>
                <w:t>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79b97278c24e6ab9fe6436417e0b63_22">
              <w:r>
                <w:rPr>
                  <w:rStyle w:val="InternetLink"/>
                  <w:rFonts w:ascii="Times New Roman;sans-serif" w:hAnsi="Times New Roman;sans-serif"/>
                  <w:b w:val="false"/>
                  <w:color w:val="0000FF"/>
                  <w:sz w:val="20"/>
                  <w:u w:val="single"/>
                </w:rPr>
                <w:t>Condensed 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22">
              <w:r>
                <w:rPr>
                  <w:rStyle w:val="InternetLink"/>
                  <w:rFonts w:ascii="Times New Roman;sans-serif" w:hAnsi="Times New Roman;sans-serif"/>
                  <w:b w:val="false"/>
                  <w:color w:val="0000FF"/>
                  <w:sz w:val="20"/>
                  <w:u w:val="single"/>
                </w:rPr>
                <w:t>5</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25">
              <w:r>
                <w:rPr>
                  <w:rStyle w:val="InternetLink"/>
                  <w:rFonts w:ascii="Times New Roman;sans-serif" w:hAnsi="Times New Roman;sans-serif"/>
                  <w:b w:val="false"/>
                  <w:color w:val="0000FF"/>
                  <w:sz w:val="20"/>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25">
              <w:r>
                <w:rPr>
                  <w:rStyle w:val="InternetLink"/>
                  <w:rFonts w:ascii="Times New Roman;sans-serif" w:hAnsi="Times New Roman;sans-serif"/>
                  <w:b w:val="false"/>
                  <w:color w:val="0000FF"/>
                  <w:sz w:val="20"/>
                  <w:u w:val="single"/>
                </w:rPr>
                <w:t>6</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28">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28">
              <w:r>
                <w:rPr>
                  <w:rStyle w:val="InternetLink"/>
                  <w:rFonts w:ascii="Times New Roman;sans-serif" w:hAnsi="Times New Roman;sans-serif"/>
                  <w:b w:val="false"/>
                  <w:color w:val="0000FF"/>
                  <w:sz w:val="20"/>
                  <w:u w:val="single"/>
                </w:rPr>
                <w:t>7</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88">
              <w:r>
                <w:rPr>
                  <w:rStyle w:val="InternetLink"/>
                  <w:rFonts w:ascii="Times New Roman;sans-serif" w:hAnsi="Times New Roman;sans-serif"/>
                  <w:b w:val="false"/>
                  <w:color w:val="0000FF"/>
                  <w:sz w:val="20"/>
                  <w:u w:val="single"/>
                </w:rPr>
                <w:t>Item 2 –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88">
              <w:r>
                <w:rPr>
                  <w:rStyle w:val="InternetLink"/>
                  <w:rFonts w:ascii="Times New Roman;sans-serif" w:hAnsi="Times New Roman;sans-serif"/>
                  <w:b w:val="false"/>
                  <w:color w:val="0000FF"/>
                  <w:sz w:val="20"/>
                  <w:u w:val="single"/>
                </w:rPr>
                <w:t>30</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109">
              <w:r>
                <w:rPr>
                  <w:rStyle w:val="InternetLink"/>
                  <w:rFonts w:ascii="Times New Roman;sans-serif" w:hAnsi="Times New Roman;sans-serif"/>
                  <w:b w:val="false"/>
                  <w:color w:val="0000FF"/>
                  <w:sz w:val="20"/>
                  <w:u w:val="single"/>
                </w:rPr>
                <w:t>Item 3 –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109">
              <w:r>
                <w:rPr>
                  <w:rStyle w:val="InternetLink"/>
                  <w:rFonts w:ascii="Times New Roman;sans-serif" w:hAnsi="Times New Roman;sans-serif"/>
                  <w:b w:val="false"/>
                  <w:color w:val="0000FF"/>
                  <w:sz w:val="20"/>
                  <w:u w:val="single"/>
                </w:rPr>
                <w:t>39</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112">
              <w:r>
                <w:rPr>
                  <w:rStyle w:val="InternetLink"/>
                  <w:rFonts w:ascii="Times New Roman;sans-serif" w:hAnsi="Times New Roman;sans-serif"/>
                  <w:b w:val="false"/>
                  <w:color w:val="0000FF"/>
                  <w:sz w:val="20"/>
                  <w:u w:val="single"/>
                </w:rPr>
                <w:t>Item 4 –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112">
              <w:r>
                <w:rPr>
                  <w:rStyle w:val="InternetLink"/>
                  <w:rFonts w:ascii="Times New Roman;sans-serif" w:hAnsi="Times New Roman;sans-serif"/>
                  <w:b w:val="false"/>
                  <w:color w:val="0000FF"/>
                  <w:sz w:val="20"/>
                  <w:u w:val="single"/>
                </w:rPr>
                <w:t>39</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79b97278c24e6ab9fe6436417e0b63_115">
              <w:r>
                <w:rPr>
                  <w:rStyle w:val="InternetLink"/>
                  <w:rFonts w:ascii="Times New Roman;sans-serif" w:hAnsi="Times New Roman;sans-serif"/>
                  <w:b w:val="false"/>
                  <w:color w:val="0000FF"/>
                  <w:sz w:val="20"/>
                  <w:u w:val="single"/>
                </w:rPr>
                <w:t>PART 2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118">
              <w:r>
                <w:rPr>
                  <w:rStyle w:val="InternetLink"/>
                  <w:rFonts w:ascii="Times New Roman;sans-serif" w:hAnsi="Times New Roman;sans-serif"/>
                  <w:b w:val="false"/>
                  <w:color w:val="0000FF"/>
                  <w:sz w:val="20"/>
                  <w:u w:val="single"/>
                </w:rPr>
                <w:t>Item 1 –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118">
              <w:r>
                <w:rPr>
                  <w:rStyle w:val="InternetLink"/>
                  <w:rFonts w:ascii="Times New Roman;sans-serif" w:hAnsi="Times New Roman;sans-serif"/>
                  <w:b w:val="false"/>
                  <w:color w:val="0000FF"/>
                  <w:sz w:val="20"/>
                  <w:u w:val="single"/>
                </w:rPr>
                <w:t>40</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121">
              <w:r>
                <w:rPr>
                  <w:rStyle w:val="InternetLink"/>
                  <w:rFonts w:ascii="Times New Roman;sans-serif" w:hAnsi="Times New Roman;sans-serif"/>
                  <w:b w:val="false"/>
                  <w:color w:val="0000FF"/>
                  <w:sz w:val="20"/>
                  <w:u w:val="single"/>
                </w:rPr>
                <w:t>Item 1A –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121">
              <w:r>
                <w:rPr>
                  <w:rStyle w:val="InternetLink"/>
                  <w:rFonts w:ascii="Times New Roman;sans-serif" w:hAnsi="Times New Roman;sans-serif"/>
                  <w:b w:val="false"/>
                  <w:color w:val="0000FF"/>
                  <w:sz w:val="20"/>
                  <w:u w:val="single"/>
                </w:rPr>
                <w:t>40</w:t>
              </w:r>
            </w:hyperlink>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127">
              <w:r>
                <w:rPr>
                  <w:rStyle w:val="InternetLink"/>
                  <w:rFonts w:ascii="Times New Roman;sans-serif" w:hAnsi="Times New Roman;sans-serif"/>
                  <w:b w:val="false"/>
                  <w:color w:val="0000FF"/>
                  <w:sz w:val="20"/>
                  <w:u w:val="single"/>
                </w:rPr>
                <w:t>Item 5 -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127">
              <w:r>
                <w:rPr>
                  <w:rStyle w:val="InternetLink"/>
                  <w:rFonts w:ascii="Times New Roman;sans-serif" w:hAnsi="Times New Roman;sans-serif"/>
                  <w:b w:val="false"/>
                  <w:color w:val="0000FF"/>
                  <w:sz w:val="20"/>
                  <w:u w:val="single"/>
                </w:rPr>
                <w:t>40</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e79b97278c24e6ab9fe6436417e0b63_133">
              <w:r>
                <w:rPr>
                  <w:rStyle w:val="InternetLink"/>
                  <w:rFonts w:ascii="Times New Roman;sans-serif" w:hAnsi="Times New Roman;sans-serif"/>
                  <w:b w:val="false"/>
                  <w:color w:val="0000FF"/>
                  <w:sz w:val="20"/>
                  <w:u w:val="single"/>
                </w:rPr>
                <w:t>Item 6 –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133">
              <w:r>
                <w:rPr>
                  <w:rStyle w:val="InternetLink"/>
                  <w:rFonts w:ascii="Times New Roman;sans-serif" w:hAnsi="Times New Roman;sans-serif"/>
                  <w:b w:val="false"/>
                  <w:color w:val="0000FF"/>
                  <w:sz w:val="20"/>
                  <w:u w:val="single"/>
                </w:rPr>
                <w:t>41</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79b97278c24e6ab9fe6436417e0b63_136">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79b97278c24e6ab9fe6436417e0b63_136">
              <w:r>
                <w:rPr>
                  <w:rStyle w:val="InternetLink"/>
                  <w:rFonts w:ascii="Times New Roman;sans-serif" w:hAnsi="Times New Roman;sans-serif"/>
                  <w:b w:val="false"/>
                  <w:color w:val="0000FF"/>
                  <w:sz w:val="20"/>
                  <w:u w:val="single"/>
                </w:rPr>
                <w:t>42</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amounts)</w:t>
      </w:r>
    </w:p>
    <w:tbl>
      <w:tblPr>
        <w:tblW w:w="7043" w:type="dxa"/>
        <w:jc w:val="center"/>
        <w:tblInd w:w="0" w:type="dxa"/>
        <w:tblLayout w:type="fixed"/>
        <w:tblCellMar>
          <w:top w:w="28" w:type="dxa"/>
          <w:left w:w="28" w:type="dxa"/>
          <w:bottom w:w="28" w:type="dxa"/>
          <w:right w:w="28" w:type="dxa"/>
        </w:tblCellMar>
      </w:tblPr>
      <w:tblGrid>
        <w:gridCol w:w="1795"/>
        <w:gridCol w:w="1574"/>
        <w:gridCol w:w="1580"/>
        <w:gridCol w:w="196"/>
        <w:gridCol w:w="556"/>
        <w:gridCol w:w="109"/>
        <w:gridCol w:w="109"/>
        <w:gridCol w:w="109"/>
        <w:gridCol w:w="109"/>
        <w:gridCol w:w="196"/>
        <w:gridCol w:w="556"/>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products sold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disposition of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 of tax</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per share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per share of common stock:</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from continuing operations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Comprehensive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share data)</w:t>
      </w:r>
    </w:p>
    <w:tbl>
      <w:tblPr>
        <w:tblW w:w="10205" w:type="dxa"/>
        <w:jc w:val="center"/>
        <w:tblInd w:w="0" w:type="dxa"/>
        <w:tblLayout w:type="fixed"/>
        <w:tblCellMar>
          <w:top w:w="28" w:type="dxa"/>
          <w:left w:w="28" w:type="dxa"/>
          <w:bottom w:w="28" w:type="dxa"/>
          <w:right w:w="28" w:type="dxa"/>
        </w:tblCellMar>
      </w:tblPr>
      <w:tblGrid>
        <w:gridCol w:w="3080"/>
        <w:gridCol w:w="2347"/>
        <w:gridCol w:w="2363"/>
        <w:gridCol w:w="196"/>
        <w:gridCol w:w="691"/>
        <w:gridCol w:w="109"/>
        <w:gridCol w:w="109"/>
        <w:gridCol w:w="109"/>
        <w:gridCol w:w="109"/>
        <w:gridCol w:w="205"/>
        <w:gridCol w:w="724"/>
        <w:gridCol w:w="163"/>
      </w:tblGrid>
      <w:tr>
        <w:trPr/>
        <w:tc>
          <w:tcPr>
            <w:tcW w:w="3080"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Assets of DBT and Heat Transfer (includes cash and equivalents of $4.4 and $4.5 at March 29, 2025 and December 31, 2024, respectively) (Note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of DBT and Heat Transfer (Note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contingent liabilities (Note 15)</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Common stock</w:t>
            </w:r>
            <w:r>
              <w:rPr>
                <w:color w:val="000000"/>
                <w:shd w:fill="FFFFFF" w:val="clear"/>
              </w:rPr>
              <w:t xml:space="preserve"> </w:t>
            </w:r>
            <w:r>
              <w:rPr>
                <w:rFonts w:ascii="Times New Roman;sans-serif" w:hAnsi="Times New Roman;sans-serif"/>
                <w:b w:val="false"/>
                <w:color w:val="000000"/>
                <w:sz w:val="18"/>
                <w:shd w:fill="FFFFFF" w:val="clear"/>
              </w:rPr>
              <w:t>(</w:t>
            </w:r>
            <w:r>
              <w:rPr>
                <w:rFonts w:ascii="Times New Roman;sans-serif" w:hAnsi="Times New Roman;sans-serif"/>
                <w:b w:val="false"/>
                <w:color w:val="000000"/>
                <w:sz w:val="18"/>
              </w:rPr>
              <w:t>54,410,396</w:t>
            </w:r>
            <w:r>
              <w:rPr>
                <w:color w:val="000000"/>
                <w:shd w:fill="FFFFFF" w:val="clear"/>
              </w:rPr>
              <w:t xml:space="preserve"> </w:t>
            </w:r>
            <w:r>
              <w:rPr>
                <w:rFonts w:ascii="Times New Roman;sans-serif" w:hAnsi="Times New Roman;sans-serif"/>
                <w:b w:val="false"/>
                <w:color w:val="000000"/>
                <w:sz w:val="18"/>
                <w:shd w:fill="FFFFFF" w:val="clear"/>
              </w:rPr>
              <w:t xml:space="preserve">and </w:t>
            </w:r>
            <w:r>
              <w:rPr>
                <w:rFonts w:ascii="Times New Roman;sans-serif" w:hAnsi="Times New Roman;sans-serif"/>
                <w:b w:val="false"/>
                <w:color w:val="000000"/>
                <w:sz w:val="18"/>
              </w:rPr>
              <w:t>46,695,783</w:t>
            </w:r>
            <w:r>
              <w:rPr>
                <w:color w:val="000000"/>
                <w:shd w:fill="FFFFFF" w:val="clear"/>
              </w:rPr>
              <w:t xml:space="preserve"> </w:t>
            </w:r>
            <w:r>
              <w:rPr>
                <w:rFonts w:ascii="Times New Roman;sans-serif" w:hAnsi="Times New Roman;sans-serif"/>
                <w:b w:val="false"/>
                <w:color w:val="000000"/>
                <w:sz w:val="18"/>
                <w:shd w:fill="FFFFFF" w:val="clear"/>
              </w:rPr>
              <w:t>is</w:t>
            </w:r>
            <w:r>
              <w:rPr>
                <w:rFonts w:ascii="Times New Roman;sans-serif" w:hAnsi="Times New Roman;sans-serif"/>
                <w:b w:val="false"/>
                <w:color w:val="000000"/>
                <w:sz w:val="18"/>
              </w:rPr>
              <w:t>sued and outstanding at March 29, 2025, respectively, and 54,196,620 and 46,368,240 issued and outstanding at December 31, 2024,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treasury (7,714,613 and 7,828,380 shares at March 29, 2025 and December 31, 2024,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19"/>
        <w:gridCol w:w="822"/>
        <w:gridCol w:w="826"/>
        <w:gridCol w:w="220"/>
        <w:gridCol w:w="422"/>
        <w:gridCol w:w="124"/>
        <w:gridCol w:w="109"/>
        <w:gridCol w:w="109"/>
        <w:gridCol w:w="109"/>
        <w:gridCol w:w="196"/>
        <w:gridCol w:w="691"/>
        <w:gridCol w:w="109"/>
        <w:gridCol w:w="109"/>
        <w:gridCol w:w="109"/>
        <w:gridCol w:w="109"/>
        <w:gridCol w:w="196"/>
        <w:gridCol w:w="556"/>
        <w:gridCol w:w="109"/>
        <w:gridCol w:w="109"/>
        <w:gridCol w:w="109"/>
        <w:gridCol w:w="109"/>
        <w:gridCol w:w="276"/>
        <w:gridCol w:w="785"/>
        <w:gridCol w:w="155"/>
        <w:gridCol w:w="109"/>
        <w:gridCol w:w="109"/>
        <w:gridCol w:w="109"/>
        <w:gridCol w:w="196"/>
        <w:gridCol w:w="616"/>
        <w:gridCol w:w="109"/>
        <w:gridCol w:w="109"/>
        <w:gridCol w:w="109"/>
        <w:gridCol w:w="109"/>
        <w:gridCol w:w="214"/>
        <w:gridCol w:w="757"/>
        <w:gridCol w:w="172"/>
      </w:tblGrid>
      <w:tr>
        <w:trPr/>
        <w:tc>
          <w:tcPr>
            <w:tcW w:w="10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29, 2025</w:t>
            </w:r>
          </w:p>
        </w:tc>
      </w:tr>
      <w:tr>
        <w:trPr/>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 In</w:t>
              <w:b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29, 2025</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7"/>
        <w:gridCol w:w="431"/>
        <w:gridCol w:w="433"/>
        <w:gridCol w:w="249"/>
        <w:gridCol w:w="478"/>
        <w:gridCol w:w="140"/>
        <w:gridCol w:w="109"/>
        <w:gridCol w:w="109"/>
        <w:gridCol w:w="109"/>
        <w:gridCol w:w="206"/>
        <w:gridCol w:w="728"/>
        <w:gridCol w:w="114"/>
        <w:gridCol w:w="109"/>
        <w:gridCol w:w="109"/>
        <w:gridCol w:w="109"/>
        <w:gridCol w:w="234"/>
        <w:gridCol w:w="558"/>
        <w:gridCol w:w="130"/>
        <w:gridCol w:w="109"/>
        <w:gridCol w:w="109"/>
        <w:gridCol w:w="109"/>
        <w:gridCol w:w="360"/>
        <w:gridCol w:w="1025"/>
        <w:gridCol w:w="202"/>
        <w:gridCol w:w="109"/>
        <w:gridCol w:w="109"/>
        <w:gridCol w:w="109"/>
        <w:gridCol w:w="252"/>
        <w:gridCol w:w="765"/>
        <w:gridCol w:w="140"/>
        <w:gridCol w:w="109"/>
        <w:gridCol w:w="109"/>
        <w:gridCol w:w="109"/>
        <w:gridCol w:w="255"/>
        <w:gridCol w:w="902"/>
        <w:gridCol w:w="211"/>
      </w:tblGrid>
      <w:tr>
        <w:trPr/>
        <w:tc>
          <w:tcPr>
            <w:tcW w:w="75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30, 2024</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30, 2024</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(452.8)</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SPX TECHNOLOGIES, INC.</w:t>
      </w:r>
      <w:r>
        <w:rPr>
          <w:color w:val="000000"/>
          <w:shd w:fill="FFFFFF" w:val="clear"/>
        </w:rPr>
        <w:t xml:space="preserve"> </w:t>
      </w:r>
      <w:r>
        <w:rPr>
          <w:rFonts w:ascii="Times New Roman;sans-serif" w:hAnsi="Times New Roman;sans-serif"/>
          <w:b/>
          <w:color w:val="000000"/>
          <w:sz w:val="20"/>
          <w:shd w:fill="FFFFFF" w:val="clear"/>
        </w:rPr>
        <w:t>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3010"/>
        <w:gridCol w:w="2540"/>
        <w:gridCol w:w="2560"/>
        <w:gridCol w:w="196"/>
        <w:gridCol w:w="556"/>
        <w:gridCol w:w="109"/>
        <w:gridCol w:w="109"/>
        <w:gridCol w:w="109"/>
        <w:gridCol w:w="109"/>
        <w:gridCol w:w="196"/>
        <w:gridCol w:w="556"/>
        <w:gridCol w:w="155"/>
      </w:tblGrid>
      <w:tr>
        <w:trPr/>
        <w:tc>
          <w:tcPr>
            <w:tcW w:w="301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8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operating activities: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income from continuing operations to net cash from (used in)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change in fair value of equity security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compensation expense related to acquisition (Refer to Note 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employee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from acquisitions and divestitures: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related to employee retention agreements for acquisition (Refer to Note 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spending on restructuring 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investing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related to company-owned life insurance policies,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senior credit facilities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senior credit facilities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trade receivables arrangement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trade receivables arrangement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borrowings (repayments) under other financing arrangements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withholdings paid on behalf of employees for net share settlements, net of proceeds from the exercise of employee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equivalents due to changes in foreign currency exchange rates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cash and equivalents,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cash and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23" w:type="dxa"/>
        <w:jc w:val="center"/>
        <w:tblInd w:w="0" w:type="dxa"/>
        <w:tblLayout w:type="fixed"/>
        <w:tblCellMar>
          <w:top w:w="28" w:type="dxa"/>
          <w:left w:w="28" w:type="dxa"/>
          <w:bottom w:w="28" w:type="dxa"/>
          <w:right w:w="28" w:type="dxa"/>
        </w:tblCellMar>
      </w:tblPr>
      <w:tblGrid>
        <w:gridCol w:w="1748"/>
        <w:gridCol w:w="1538"/>
        <w:gridCol w:w="1543"/>
        <w:gridCol w:w="196"/>
        <w:gridCol w:w="556"/>
        <w:gridCol w:w="109"/>
        <w:gridCol w:w="109"/>
        <w:gridCol w:w="109"/>
        <w:gridCol w:w="109"/>
        <w:gridCol w:w="196"/>
        <w:gridCol w:w="556"/>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Components of cash and equivalents: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 included in assets of DBT and Heat Transfer</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“we,” “us” and “our” mean SPX Technologies, Inc. and its consolidated subsidiaries (“SPX”).</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pStyle w:val="TextBody"/>
        <w:bidi w:val="0"/>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pStyle w:val="TextBody"/>
        <w:bidi w:val="0"/>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make acquisitions that do not significantly impact our financial position or statements of operations. These acquisitions primarily complement our existing business operations or strategic initiatives with no significant impact to our financial outlook and end markets, or requiring a significant investment of resources. Such acquisitions are not separately identified within this report on Form 10-Q.</w:t>
      </w:r>
    </w:p>
    <w:p>
      <w:pPr>
        <w:pStyle w:val="TextBody"/>
        <w:bidi w:val="0"/>
        <w:spacing w:lineRule="auto" w:line="276" w:before="160" w:after="16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Acquisition of Ingénia</w:t>
      </w:r>
    </w:p>
    <w:p>
      <w:pPr>
        <w:pStyle w:val="TextBody"/>
        <w:bidi w:val="0"/>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We purchased Ingénia for cash consideration of $292.0, net of (i) an adjustment to the purchase price of $2.1 received during the third quarter of 2024 related to acquired working capital and (ii) cash acquired of $1.5. The post-acquisition operating results of Ingénia are reflected within our HVAC reportable segment.</w:t>
      </w:r>
    </w:p>
    <w:p>
      <w:pPr>
        <w:pStyle w:val="TextBody"/>
        <w:bidi w:val="0"/>
        <w:spacing w:lineRule="auto" w:line="276" w:before="160" w:after="16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Acquisition of KTS</w:t>
      </w:r>
    </w:p>
    <w:p>
      <w:pPr>
        <w:pStyle w:val="TextBody"/>
        <w:bidi w:val="0"/>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27, 2025, we completed the acquisition of Kranze Technology Solutions, Inc. (“KTS”) which specializes in digital interoperability and tactical networking solutions, primarily for the defense industry. We purchased KTS for net cash consideration of $342.4, inclusive of amounts related to future service obligations of certain existing employees of $46.5. The purchase price is subject to adjustment based on the final calculation of working capital and cash as of the date of acquisition. The post-acquisition operating results of KTS are reflected within our Detection and Measurement reportable segment.</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acquired and liabilities assumed in the KTS transaction have been recorded at estimates of fair value as determined by management, based on information available and assumptions as to future operations and are subject to change, primarily for the final assessment and valuation of certain tax amounts and other judgmental reserves.</w:t>
      </w:r>
    </w:p>
    <w:p>
      <w:pPr>
        <w:pStyle w:val="TextBody"/>
        <w:bidi w:val="0"/>
        <w:spacing w:before="0" w:after="0"/>
        <w:jc w:val="both"/>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 our Annual Report on Form 10-K for the year ended December 31, 2024 (“our 2024 Annual Report on Form 10-K”). Interim results are not necessarily indicative of full year results. </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2025 are March 29, June 28, and September 27, compared to the respective March 30, June 29, and September 28 dates of 2024. We had two less days in the first quarter of 2025 and will have one more day in the fourth quarter of 2025 than in the respective 2024 periods.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 not practicable to estimate the impact of the two less days on our consolidated operating results for the three months ended March 29, 2025, when compared to the consolidated operating results for the 2024 respective period.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(2)    NEW ACCOUNTING PRONOUNCEMENTS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new accounting pronouncements that apply or may apply to our business.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Among other new disclosure requirements, ASU 2023-07 requires companies to disclose significant segment expenses that are regularly provided to the chief operating decision maker (“CODM”). ASU 2023-07 was effective for annual periods beginning on January 1, 2024 and interim periods beginning on January 1, 2025. ASU 2023-07 must be applied retrospectively to all prior periods presented in the financial statements. We have adopted ASU 2023-07 with the additional disclosures included within Note 6.</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currently evaluating the disclosure impact of ASU 2023-09; however, the standard will not have an impact on our consolidated financial position, results of operations or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No. 2024-03, which requires companies to disclose, on an interim and annual basis, additional information about specific expense categories in the notes to the financial statements. In addition, ASU 2024-03 requires companies to disclose a qualitative description of amounts remaining in relevant expense captions that are not separately disaggregated quantitatively and, on an annual basis, disclose the total amount of selling expenses and our definition of selling expenses. ASU 2024-03, further clarified by ASU 2025-01, will be effective for annual reporting periods beginning after December 15, 2026, and for interim periods within annual reporting periods beginning after December 15, 2027, and will be applied on a prospective basis with the option to apply the standard retrospectively, with early adoption permitted. We are currently evaluating the disclosure impact of ASU 2024-03; however, the standard will not have an impact on our consolidated financial position,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ACQUISITIONS AND DISCONTINUED OPERATIONS</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make acquisitions that do not significantly impact our financial position or statements of operations. These acquisitions primarily complement our existing business operations or strategic initiatives with no significant impact to our financial outlook and end markets, nor requiring a significant investment of resources. Such acquisitions are not separately identified within this report on Form 10-Q. During the three months ended March 29, 2025, cash outflows, net of cash acquired, related to this activity totaled $8.2. The post-acquisition operating results are reflected within our HVAC reportable segment and have no significant impact to our financial outlook and end markets.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KTS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indicated in Note 1, on January 27, 2025, we completed the acquisition of KTS for net cash consideration of $342.4, inclusive of amounts paid related to future service obligations of certain employees of $46.5 described further below. We financed the acquisition with available borrowings on our revolving credit facilities under our senior credit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connection with the acquisition of KTS, and as required by the acquisition agreement, we assumed employee retention agreements with certain employees, totaling $46.5, that include future service obligations. In the event employees forfeit any amounts under the terms of the agreements, such amounts are due to the seller of KTS. We funded the amounts related to these retention agreements through a reduction in the purchase price, with $46.5 paid in an escrow account at the time of the acquisition closing, as required by the acquisition agreement. The deferred compensation assets related to these agreements will be amortized over the agreement terms which range from 2 to 8 years. During the three months ended March 29, 2025, we recognized compensation costs of $4.3, </w:t>
      </w:r>
      <w:r>
        <w:rPr>
          <w:rFonts w:ascii="Times New Roman;sans-serif" w:hAnsi="Times New Roman;sans-serif"/>
          <w:b w:val="false"/>
          <w:color w:val="000000"/>
          <w:sz w:val="20"/>
          <w:shd w:fill="FFFFFF" w:val="clear"/>
        </w:rPr>
        <w:t>which have been recorded to “Selling, general and administrative” within our condensed consolidated statements of operations,</w:t>
      </w:r>
      <w:r>
        <w:rPr>
          <w:color w:val="000000"/>
        </w:rPr>
        <w:t xml:space="preserve"> </w:t>
      </w:r>
      <w:r>
        <w:rPr>
          <w:rFonts w:ascii="Times New Roman;sans-serif" w:hAnsi="Times New Roman;sans-serif"/>
          <w:b w:val="false"/>
          <w:color w:val="000000"/>
          <w:sz w:val="20"/>
        </w:rPr>
        <w:t xml:space="preserve">related to such retention agreements. The remaining deferred compensation assets of $23.5 and $18.7 are recorded within </w:t>
      </w:r>
      <w:r>
        <w:rPr>
          <w:color w:val="000000"/>
          <w:shd w:fill="FFFFFF" w:val="clear"/>
        </w:rPr>
        <w:t>“</w:t>
      </w:r>
      <w:r>
        <w:rPr>
          <w:rFonts w:ascii="Times New Roman;sans-serif" w:hAnsi="Times New Roman;sans-serif"/>
          <w:b w:val="false"/>
          <w:color w:val="000000"/>
          <w:sz w:val="20"/>
        </w:rPr>
        <w:t>Other current assets</w:t>
      </w:r>
      <w:r>
        <w:rPr>
          <w:color w:val="000000"/>
          <w:shd w:fill="FFFFFF" w:val="clear"/>
        </w:rPr>
        <w:t>”</w:t>
      </w:r>
      <w:r>
        <w:rPr>
          <w:color w:val="000000"/>
        </w:rPr>
        <w:t xml:space="preserve"> </w:t>
      </w:r>
      <w:r>
        <w:rPr>
          <w:rFonts w:ascii="Times New Roman;sans-serif" w:hAnsi="Times New Roman;sans-serif"/>
          <w:b w:val="false"/>
          <w:color w:val="000000"/>
          <w:sz w:val="20"/>
        </w:rPr>
        <w:t xml:space="preserve">and </w:t>
      </w:r>
      <w:r>
        <w:rPr>
          <w:color w:val="000000"/>
          <w:shd w:fill="FFFFFF" w:val="clear"/>
        </w:rPr>
        <w:t>“</w:t>
      </w:r>
      <w:r>
        <w:rPr>
          <w:rFonts w:ascii="Times New Roman;sans-serif" w:hAnsi="Times New Roman;sans-serif"/>
          <w:b w:val="false"/>
          <w:color w:val="000000"/>
          <w:sz w:val="20"/>
        </w:rPr>
        <w:t>Other assets</w:t>
      </w:r>
      <w:r>
        <w:rPr>
          <w:color w:val="000000"/>
          <w:shd w:fill="FFFFFF" w:val="clear"/>
        </w:rPr>
        <w:t>”</w:t>
      </w:r>
      <w:r>
        <w:rPr>
          <w:color w:val="000000"/>
        </w:rPr>
        <w:t xml:space="preserve"> </w:t>
      </w:r>
      <w:r>
        <w:rPr>
          <w:rFonts w:ascii="Times New Roman;sans-serif" w:hAnsi="Times New Roman;sans-serif"/>
          <w:b w:val="false"/>
          <w:color w:val="000000"/>
          <w:sz w:val="20"/>
        </w:rPr>
        <w:t xml:space="preserve">within our condensed consolidated balance sheet as of March 29, 2025, respectively.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recorded preliminary fair values of the assets acquired and liabilities assumed for KTS as of January 27, 2025:</w:t>
      </w:r>
    </w:p>
    <w:p>
      <w:pPr>
        <w:pStyle w:val="TextBody"/>
        <w:bidi w:val="0"/>
        <w:spacing w:before="0" w:after="0"/>
        <w:jc w:val="both"/>
        <w:rPr/>
      </w:pPr>
      <w:r>
        <w:rPr/>
      </w:r>
    </w:p>
    <w:tbl>
      <w:tblPr>
        <w:tblW w:w="3482"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196"/>
        <w:gridCol w:w="55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Current assets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assets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w:t>
      </w:r>
      <w:r>
        <w:rPr>
          <w:color w:val="000000"/>
          <w:shd w:fill="FFFFFF" w:val="clear"/>
        </w:rPr>
        <w:t xml:space="preserve"> </w:t>
      </w:r>
      <w:r>
        <w:rPr>
          <w:rFonts w:ascii="Times New Roman;sans-serif" w:hAnsi="Times New Roman;sans-serif"/>
          <w:b w:val="false"/>
          <w:color w:val="000000"/>
          <w:sz w:val="18"/>
          <w:shd w:fill="FFFFFF" w:val="clear"/>
        </w:rPr>
        <w:t xml:space="preserve">$26.2 </w:t>
      </w:r>
      <w:r>
        <w:rPr>
          <w:rFonts w:ascii="Times New Roman;sans-serif" w:hAnsi="Times New Roman;sans-serif"/>
          <w:b w:val="false"/>
          <w:color w:val="000000"/>
          <w:sz w:val="18"/>
        </w:rPr>
        <w:t xml:space="preserve">and </w:t>
      </w:r>
      <w:r>
        <w:rPr>
          <w:rFonts w:ascii="Times New Roman;sans-serif" w:hAnsi="Times New Roman;sans-serif"/>
          <w:b w:val="false"/>
          <w:color w:val="000000"/>
          <w:sz w:val="20"/>
        </w:rPr>
        <w:t>$</w:t>
      </w:r>
      <w:r>
        <w:rPr>
          <w:rFonts w:ascii="Times New Roman;sans-serif" w:hAnsi="Times New Roman;sans-serif"/>
          <w:b w:val="false"/>
          <w:color w:val="000000"/>
          <w:sz w:val="18"/>
        </w:rPr>
        <w:t xml:space="preserve">20.3 within </w:t>
      </w:r>
      <w:r>
        <w:rPr>
          <w:color w:val="000000"/>
        </w:rPr>
        <w:t>“</w:t>
      </w:r>
      <w:r>
        <w:rPr>
          <w:rFonts w:ascii="Times New Roman;sans-serif" w:hAnsi="Times New Roman;sans-serif"/>
          <w:b w:val="false"/>
          <w:color w:val="000000"/>
          <w:sz w:val="18"/>
        </w:rPr>
        <w:t>Current assets</w:t>
      </w:r>
      <w:r>
        <w:rPr>
          <w:color w:val="000000"/>
        </w:rPr>
        <w:t xml:space="preserve">” </w:t>
      </w:r>
      <w:r>
        <w:rPr>
          <w:rFonts w:ascii="Times New Roman;sans-serif" w:hAnsi="Times New Roman;sans-serif"/>
          <w:b w:val="false"/>
          <w:color w:val="000000"/>
          <w:sz w:val="18"/>
        </w:rPr>
        <w:t xml:space="preserve">and </w:t>
      </w:r>
      <w:r>
        <w:rPr>
          <w:color w:val="000000"/>
        </w:rPr>
        <w:t>“</w:t>
      </w:r>
      <w:r>
        <w:rPr>
          <w:rFonts w:ascii="Times New Roman;sans-serif" w:hAnsi="Times New Roman;sans-serif"/>
          <w:b w:val="false"/>
          <w:color w:val="000000"/>
          <w:sz w:val="18"/>
        </w:rPr>
        <w:t>Other assets</w:t>
      </w:r>
      <w:r>
        <w:rPr>
          <w:color w:val="000000"/>
        </w:rPr>
        <w:t>”</w:t>
      </w:r>
      <w:r>
        <w:rPr>
          <w:rFonts w:ascii="Times New Roman;sans-serif" w:hAnsi="Times New Roman;sans-serif"/>
          <w:b w:val="false"/>
          <w:color w:val="000000"/>
          <w:sz w:val="18"/>
        </w:rPr>
        <w:t>, respectively, for deferred compensation assets related to the employee retention agreements discussed previously.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The identifiable intangible assets acquired consis</w:t>
      </w:r>
      <w:r>
        <w:rPr>
          <w:rFonts w:ascii="Times New Roman;sans-serif" w:hAnsi="Times New Roman;sans-serif"/>
          <w:b w:val="false"/>
          <w:color w:val="000000"/>
          <w:sz w:val="20"/>
          <w:shd w:fill="FFFFFF" w:val="clear"/>
        </w:rPr>
        <w:t>t of technology, customer relationships and contracts, trademarks, and customer backlog of $79.8, $70.7, $6.7, and $7.3, respectively, with suc</w:t>
      </w:r>
      <w:r>
        <w:rPr>
          <w:rFonts w:ascii="Times New Roman;sans-serif" w:hAnsi="Times New Roman;sans-serif"/>
          <w:b w:val="false"/>
          <w:color w:val="000000"/>
          <w:sz w:val="20"/>
        </w:rPr>
        <w:t xml:space="preserve">h amounts based on an assessment of the related fair values. We expect to amortize the </w:t>
      </w:r>
      <w:r>
        <w:rPr>
          <w:rFonts w:ascii="Times New Roman;sans-serif" w:hAnsi="Times New Roman;sans-serif"/>
          <w:b w:val="false"/>
          <w:color w:val="000000"/>
          <w:sz w:val="20"/>
          <w:shd w:fill="FFFFFF" w:val="clear"/>
        </w:rPr>
        <w:t>technology, customer relationships and contracts, trademarks, and customer backlog</w:t>
      </w:r>
      <w:r>
        <w:rPr>
          <w:color w:val="000000"/>
        </w:rPr>
        <w:t xml:space="preserve"> </w:t>
      </w:r>
      <w:r>
        <w:rPr>
          <w:rFonts w:ascii="Times New Roman;sans-serif" w:hAnsi="Times New Roman;sans-serif"/>
          <w:b w:val="false"/>
          <w:color w:val="000000"/>
          <w:sz w:val="20"/>
        </w:rPr>
        <w:t>assets ove</w:t>
      </w:r>
      <w:r>
        <w:rPr>
          <w:rFonts w:ascii="Times New Roman;sans-serif" w:hAnsi="Times New Roman;sans-serif"/>
          <w:b w:val="false"/>
          <w:color w:val="000000"/>
          <w:sz w:val="20"/>
          <w:shd w:fill="FFFFFF" w:val="clear"/>
        </w:rPr>
        <w:t xml:space="preserve">r 12.0, 15.0, 9.0, and 2.0 years, respectively.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We acquired gro</w:t>
      </w:r>
      <w:r>
        <w:rPr>
          <w:rFonts w:ascii="Times New Roman;sans-serif" w:hAnsi="Times New Roman;sans-serif"/>
          <w:b w:val="false"/>
          <w:color w:val="000000"/>
          <w:sz w:val="20"/>
          <w:shd w:fill="FFFFFF" w:val="clear"/>
        </w:rPr>
        <w:t>ss receivables of $7.2, which had the same fair value at the acquisition date based on our estimates of cash flows expected to be recovered.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The qualitative factors that comprise the recorded goodwill include expected domestic and global market growth for KTS's existing operations, increased volumes achieved through product synergies with existing SPX businesses, procurement and operational savings and efficiencies, and various other factors.</w:t>
      </w:r>
      <w:r>
        <w:rPr>
          <w:color w:val="000000"/>
        </w:rPr>
        <w:t xml:space="preserve"> </w:t>
      </w:r>
      <w:r>
        <w:rPr>
          <w:rFonts w:ascii="Times New Roman;sans-serif" w:hAnsi="Times New Roman;sans-serif"/>
          <w:b w:val="false"/>
          <w:color w:val="000000"/>
          <w:sz w:val="20"/>
        </w:rPr>
        <w:t>We expect the goodwill described above to be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recognized revenues and a net loss for KTS of $8.5 and $6.4, respectively, for the three months ended March 29, 2025 with the net loss impacted by charges during the three months ended March 29, 2025 of (i) $4.3 of compensation costs related to acquired retention agreements, (ii) $3.2 associated with amortization of the various intangible assets mentioned above, and (iii) $0.3 associated with the excess fair value (over historical cost) of inventory acquired which was subsequently sold.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During the three months ended March 29, 2025, we incurred </w:t>
      </w:r>
      <w:r>
        <w:rPr>
          <w:rFonts w:ascii="Times New Roman;sans-serif" w:hAnsi="Times New Roman;sans-serif"/>
          <w:b w:val="false"/>
          <w:color w:val="000000"/>
          <w:sz w:val="20"/>
        </w:rPr>
        <w:t>acquisition-related and other costs for KTS of $6.2, including the $4.3 of compensation costs related to acquired retention agreements mentioned above, which have been recorded to “Selling, general and administrative” within our condensed consolidated statements of operations with $1.2 and $5.0 recorded within “Corporate expense” and “Acquisition-related and other costs”, respectively, within consolidated operating income in Note 6.</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Ingénia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indicated in Note 1, on February 7, 2024, we completed the acquisition of Ingénia, for $292.0, net of (i) an adjustment to the purchase price of $2.1 received during the third quarter of 2024 related to acquired working capital and (ii) cash acquired of $1.5. We financed the acquisition with available borrowings on our revolving credit facilities under our senior credit facilities. The excess of the purchase price over the total of the fair values assigned to tangible and identifiable intangible assets acquired and liabilities assumed is recognized as goodwill.</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recorded final fair values of the assets acquired and liabilities assumed for Ingénia as of February 7, 2024:</w:t>
      </w:r>
    </w:p>
    <w:p>
      <w:pPr>
        <w:pStyle w:val="TextBody"/>
        <w:bidi w:val="0"/>
        <w:spacing w:before="0" w:after="0"/>
        <w:jc w:val="both"/>
        <w:rPr/>
      </w:pPr>
      <w:r>
        <w:rPr/>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including cash and equivalents of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The identifiable intangible assets acquired consis</w:t>
      </w:r>
      <w:r>
        <w:rPr>
          <w:rFonts w:ascii="Times New Roman;sans-serif" w:hAnsi="Times New Roman;sans-serif"/>
          <w:b w:val="false"/>
          <w:color w:val="000000"/>
          <w:sz w:val="20"/>
          <w:shd w:fill="FFFFFF" w:val="clear"/>
        </w:rPr>
        <w:t>t of technology, customer relationships, trademarks, and customer backlog of $46.7, $23.5, $13.9, and $13.8, respectively, with suc</w:t>
      </w:r>
      <w:r>
        <w:rPr>
          <w:rFonts w:ascii="Times New Roman;sans-serif" w:hAnsi="Times New Roman;sans-serif"/>
          <w:b w:val="false"/>
          <w:color w:val="000000"/>
          <w:sz w:val="20"/>
        </w:rPr>
        <w:t xml:space="preserve">h amounts based on an assessment of the related fair values. We expect to amortize the </w:t>
      </w:r>
      <w:r>
        <w:rPr>
          <w:rFonts w:ascii="Times New Roman;sans-serif" w:hAnsi="Times New Roman;sans-serif"/>
          <w:b w:val="false"/>
          <w:color w:val="000000"/>
          <w:sz w:val="20"/>
          <w:shd w:fill="FFFFFF" w:val="clear"/>
        </w:rPr>
        <w:t>technology, customer relationships, trademarks, and customer backlog</w:t>
      </w:r>
      <w:r>
        <w:rPr>
          <w:color w:val="000000"/>
        </w:rPr>
        <w:t xml:space="preserve"> </w:t>
      </w:r>
      <w:r>
        <w:rPr>
          <w:rFonts w:ascii="Times New Roman;sans-serif" w:hAnsi="Times New Roman;sans-serif"/>
          <w:b w:val="false"/>
          <w:color w:val="000000"/>
          <w:sz w:val="20"/>
        </w:rPr>
        <w:t>assets ove</w:t>
      </w:r>
      <w:r>
        <w:rPr>
          <w:rFonts w:ascii="Times New Roman;sans-serif" w:hAnsi="Times New Roman;sans-serif"/>
          <w:b w:val="false"/>
          <w:color w:val="000000"/>
          <w:sz w:val="20"/>
          <w:shd w:fill="FFFFFF" w:val="clear"/>
        </w:rPr>
        <w:t xml:space="preserve">r 12.0, 7.0, 8.0, and 1.0 years, respectively.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We acquired gro</w:t>
      </w:r>
      <w:r>
        <w:rPr>
          <w:rFonts w:ascii="Times New Roman;sans-serif" w:hAnsi="Times New Roman;sans-serif"/>
          <w:b w:val="false"/>
          <w:color w:val="000000"/>
          <w:sz w:val="20"/>
          <w:shd w:fill="FFFFFF" w:val="clear"/>
        </w:rPr>
        <w:t>ss receivables of $16.1, which had the same fair value at the acquisition date based on our estimates of cash flows expected to be recovered.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The qualitative factors that comprise the recorded goodwill include expected market growth for Ingénia's existing operations, increased volumes achieved by selling Ingénia’s products through existing SPX sales channels, procurement and operational savings and efficiencies, and various other factors.</w:t>
      </w:r>
      <w:r>
        <w:rPr>
          <w:color w:val="000000"/>
        </w:rPr>
        <w:t xml:space="preserve"> </w:t>
      </w:r>
      <w:r>
        <w:rPr>
          <w:rFonts w:ascii="Times New Roman;sans-serif" w:hAnsi="Times New Roman;sans-serif"/>
          <w:b w:val="false"/>
          <w:color w:val="000000"/>
          <w:sz w:val="20"/>
        </w:rPr>
        <w:t>We expect none of the goodwill described above to be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Additionally, during the three months ended March 29, 2025, we incurred </w:t>
      </w:r>
      <w:r>
        <w:rPr>
          <w:rFonts w:ascii="Times New Roman;sans-serif" w:hAnsi="Times New Roman;sans-serif"/>
          <w:b w:val="false"/>
          <w:color w:val="000000"/>
          <w:sz w:val="20"/>
        </w:rPr>
        <w:t>acquisition-related and other costs for Ingénia of $0.6, which have been recorded to “Selling, general and administrative” within our condensed consolidated statements of operations with $0.2 and $0.4 recorded within “Corporate expense” and “Acquisition-related and other costs”, respectively, within consolidated operating income in Note 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following unaudited pro forma information presents our condensed consolidated results of operations for the three months ended March 29, 2025 and March 30, 2024, respectively, as if the acquisition of KTS and Ingénia had taken place on January 1, 2024 and January 1, </w:t>
      </w:r>
      <w:r>
        <w:rPr>
          <w:rFonts w:ascii="Times New Roman;sans-serif" w:hAnsi="Times New Roman;sans-serif"/>
          <w:b w:val="false"/>
          <w:color w:val="000000"/>
          <w:sz w:val="20"/>
        </w:rPr>
        <w:t xml:space="preserve">2023, respectively. </w:t>
      </w:r>
      <w:r>
        <w:rPr>
          <w:rFonts w:ascii="Times New Roman;sans-serif" w:hAnsi="Times New Roman;sans-serif"/>
          <w:b w:val="false"/>
          <w:color w:val="000000"/>
          <w:sz w:val="20"/>
          <w:shd w:fill="FFFFFF" w:val="clear"/>
        </w:rPr>
        <w:t>The unaudited pro forma financial information is not intended to represent or be indicative of our condensed consolidated results of operations that would have been reported had the acquisitions been completed as of the date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planned integration of KTS and Ingénia. These pro forma consolidated results of operations have been prepared for comparative purposes only and include additional interest expense on the borrowings required to finance the acquisitions, additional depreciation and amortization expense associated with fair value adjustments to the acquired property, plant and equipment and intangible assets, adjustments to reflect charges associated with acquisition-related costs and charges associated with the excess fair value (over historical cost) of inventory acquired and subsequently sold as if they were incurred beginning during the first quarter of 2024 for KTS and first quarter of 2023 for Ingénia, and the related income tax effects.</w:t>
      </w:r>
    </w:p>
    <w:p>
      <w:pPr>
        <w:pStyle w:val="TextBody"/>
        <w:bidi w:val="0"/>
        <w:spacing w:before="0" w:after="0"/>
        <w:jc w:val="left"/>
        <w:rPr/>
      </w:pPr>
      <w:r>
        <w:rPr/>
      </w:r>
    </w:p>
    <w:tbl>
      <w:tblPr>
        <w:tblW w:w="7511" w:type="dxa"/>
        <w:jc w:val="left"/>
        <w:tblInd w:w="0" w:type="dxa"/>
        <w:tblLayout w:type="fixed"/>
        <w:tblCellMar>
          <w:top w:w="28" w:type="dxa"/>
          <w:left w:w="28" w:type="dxa"/>
          <w:bottom w:w="28" w:type="dxa"/>
          <w:right w:w="28" w:type="dxa"/>
        </w:tblCellMar>
      </w:tblPr>
      <w:tblGrid>
        <w:gridCol w:w="1671"/>
        <w:gridCol w:w="1469"/>
        <w:gridCol w:w="1480"/>
        <w:gridCol w:w="287"/>
        <w:gridCol w:w="814"/>
        <w:gridCol w:w="159"/>
        <w:gridCol w:w="109"/>
        <w:gridCol w:w="109"/>
        <w:gridCol w:w="109"/>
        <w:gridCol w:w="282"/>
        <w:gridCol w:w="801"/>
        <w:gridCol w:w="221"/>
      </w:tblGrid>
      <w:tr>
        <w:trPr/>
        <w:tc>
          <w:tcPr>
            <w:tcW w:w="167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per share of common stock:</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of common stock:</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Wind-Down of DBT Business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wind-down of our DBT Technologies (PTY) LTD (“DBT”) business after ceasing all operations, including those related to two large power projects in South Africa — Kusile and Medupi, in the fourth quarter of 2021. As a result of completing the wind-down plan, we are reporting DBT as a discontinued operation for all periods presented. As previously disclosed, DBT had asserted claims against the remaining prime contractor on the large projects, Mitsubishi Heavy Industries Power — ZAF (f.k.a. Mitsubishi-Hitachi Power Systems Africa (PTY) LTD) (“MHI”), which had also asserted claims against DBT.</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our 2024 Annual Report on Form 10-K, on September 5, 2023, DBT and SPX entered into an agreement with MHI to resolve all claims between the parties with respect to the two large power projects in South Africa (the “Settlement Agreement”).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assets and liabilities of DBT have been included within </w:t>
      </w:r>
      <w:r>
        <w:rPr>
          <w:color w:val="000000"/>
        </w:rPr>
        <w:t>“</w:t>
      </w:r>
      <w:r>
        <w:rPr>
          <w:rFonts w:ascii="Times New Roman;sans-serif" w:hAnsi="Times New Roman;sans-serif"/>
          <w:b w:val="false"/>
          <w:color w:val="000000"/>
          <w:sz w:val="20"/>
          <w:shd w:fill="FFFFFF" w:val="clear"/>
        </w:rPr>
        <w:t>Assets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color w:val="000000"/>
        </w:rPr>
        <w:t>“</w:t>
      </w:r>
      <w:r>
        <w:rPr>
          <w:rFonts w:ascii="Times New Roman;sans-serif" w:hAnsi="Times New Roman;sans-serif"/>
          <w:b w:val="false"/>
          <w:color w:val="000000"/>
          <w:sz w:val="20"/>
          <w:shd w:fill="FFFFFF" w:val="clear"/>
        </w:rPr>
        <w:t>Liabilities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respectively, on the condensed consolidated balance sheets as of March 29, 2025 and December 31, 2024. The major line items constituting DBT</w:t>
      </w:r>
      <w:r>
        <w:rPr>
          <w:color w:val="000000"/>
        </w:rPr>
        <w:t>’</w:t>
      </w:r>
      <w:r>
        <w:rPr>
          <w:rFonts w:ascii="Times New Roman;sans-serif" w:hAnsi="Times New Roman;sans-serif"/>
          <w:b w:val="false"/>
          <w:color w:val="000000"/>
          <w:sz w:val="20"/>
          <w:shd w:fill="FFFFFF" w:val="clear"/>
        </w:rPr>
        <w:t>s assets and liabilities as of March 29, 2025 and December 31, 2024 are shown below:</w:t>
      </w:r>
    </w:p>
    <w:p>
      <w:pPr>
        <w:pStyle w:val="TextBody"/>
        <w:bidi w:val="0"/>
        <w:spacing w:before="0" w:after="0"/>
        <w:jc w:val="both"/>
        <w:rPr/>
      </w:pPr>
      <w:r>
        <w:rPr/>
      </w:r>
    </w:p>
    <w:tbl>
      <w:tblPr>
        <w:tblW w:w="5618" w:type="dxa"/>
        <w:jc w:val="left"/>
        <w:tblInd w:w="0" w:type="dxa"/>
        <w:tblLayout w:type="fixed"/>
        <w:tblCellMar>
          <w:top w:w="28" w:type="dxa"/>
          <w:left w:w="28" w:type="dxa"/>
          <w:bottom w:w="28" w:type="dxa"/>
          <w:right w:w="28" w:type="dxa"/>
        </w:tblCellMar>
      </w:tblPr>
      <w:tblGrid>
        <w:gridCol w:w="753"/>
        <w:gridCol w:w="660"/>
        <w:gridCol w:w="671"/>
        <w:gridCol w:w="109"/>
        <w:gridCol w:w="109"/>
        <w:gridCol w:w="109"/>
        <w:gridCol w:w="328"/>
        <w:gridCol w:w="780"/>
        <w:gridCol w:w="182"/>
        <w:gridCol w:w="109"/>
        <w:gridCol w:w="109"/>
        <w:gridCol w:w="109"/>
        <w:gridCol w:w="382"/>
        <w:gridCol w:w="908"/>
        <w:gridCol w:w="300"/>
      </w:tblGrid>
      <w:tr>
        <w:trPr/>
        <w:tc>
          <w:tcPr>
            <w:tcW w:w="7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current assets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of DBT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Accounts payable</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liabilities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Accrued expenses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long-term liabilities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of DBT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Balances relate primarily to disputed amounts due to or from a subcontractor, engaged by DBT during the Kusile project, that is currently in liquidation. The timing of the ultimate resolution of these matters is uncertain as they are likely to occur as part of the liquidation process.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Wind-Down of the Heat Transfer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wind-down of our SPX Heat Transfer (“Heat Transfer”) business in the fourth quarter of 2020. As a result of completing the wind-down plan, we are reporting Heat Transfer as a discontinued operation for all periods presented.</w:t>
      </w:r>
    </w:p>
    <w:p>
      <w:pPr>
        <w:pStyle w:val="TextBody"/>
        <w:bidi w:val="0"/>
        <w:spacing w:lineRule="auto" w:line="276" w:before="160" w:after="283"/>
        <w:ind w:left="0" w:right="0" w:firstLine="720"/>
        <w:jc w:val="both"/>
        <w:rPr/>
      </w:pPr>
      <w:r>
        <w:rPr>
          <w:rFonts w:ascii="Times New Roman;sans-serif" w:hAnsi="Times New Roman;sans-serif"/>
          <w:b w:val="false"/>
          <w:color w:val="000000"/>
          <w:sz w:val="20"/>
          <w:shd w:fill="FFFFFF" w:val="clear"/>
        </w:rPr>
        <w:t xml:space="preserve">The assets and liabilities of Heat Transfer have been included within </w:t>
      </w:r>
      <w:r>
        <w:rPr>
          <w:color w:val="000000"/>
        </w:rPr>
        <w:t>“</w:t>
      </w:r>
      <w:r>
        <w:rPr>
          <w:rFonts w:ascii="Times New Roman;sans-serif" w:hAnsi="Times New Roman;sans-serif"/>
          <w:b w:val="false"/>
          <w:color w:val="000000"/>
          <w:sz w:val="20"/>
          <w:shd w:fill="FFFFFF" w:val="clear"/>
        </w:rPr>
        <w:t>Assets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color w:val="000000"/>
        </w:rPr>
        <w:t>“</w:t>
      </w:r>
      <w:r>
        <w:rPr>
          <w:rFonts w:ascii="Times New Roman;sans-serif" w:hAnsi="Times New Roman;sans-serif"/>
          <w:b w:val="false"/>
          <w:color w:val="000000"/>
          <w:sz w:val="20"/>
          <w:shd w:fill="FFFFFF" w:val="clear"/>
        </w:rPr>
        <w:t>Liabilities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respectively, on the condensed consolidated balance sheets as of March 29, 2025 and December 31, 2024. The major line items constituting Heat Transfer</w:t>
      </w:r>
      <w:r>
        <w:rPr>
          <w:color w:val="000000"/>
        </w:rPr>
        <w:t>’</w:t>
      </w:r>
      <w:r>
        <w:rPr>
          <w:rFonts w:ascii="Times New Roman;sans-serif" w:hAnsi="Times New Roman;sans-serif"/>
          <w:b w:val="false"/>
          <w:color w:val="000000"/>
          <w:sz w:val="20"/>
          <w:shd w:fill="FFFFFF" w:val="clear"/>
        </w:rPr>
        <w:t>s assets and liabilities as of March 29, 2025 and December 31, 2024 are shown below:</w:t>
      </w:r>
    </w:p>
    <w:p>
      <w:pPr>
        <w:pStyle w:val="TextBody"/>
        <w:bidi w:val="0"/>
        <w:spacing w:before="0" w:after="0"/>
        <w:jc w:val="both"/>
        <w:rPr/>
      </w:pPr>
      <w:r>
        <w:rPr/>
      </w:r>
    </w:p>
    <w:tbl>
      <w:tblPr>
        <w:tblW w:w="5902" w:type="dxa"/>
        <w:jc w:val="left"/>
        <w:tblInd w:w="0" w:type="dxa"/>
        <w:tblLayout w:type="fixed"/>
        <w:tblCellMar>
          <w:top w:w="28" w:type="dxa"/>
          <w:left w:w="28" w:type="dxa"/>
          <w:bottom w:w="28" w:type="dxa"/>
          <w:right w:w="28" w:type="dxa"/>
        </w:tblCellMar>
      </w:tblPr>
      <w:tblGrid>
        <w:gridCol w:w="856"/>
        <w:gridCol w:w="750"/>
        <w:gridCol w:w="763"/>
        <w:gridCol w:w="109"/>
        <w:gridCol w:w="109"/>
        <w:gridCol w:w="109"/>
        <w:gridCol w:w="355"/>
        <w:gridCol w:w="737"/>
        <w:gridCol w:w="197"/>
        <w:gridCol w:w="109"/>
        <w:gridCol w:w="109"/>
        <w:gridCol w:w="109"/>
        <w:gridCol w:w="429"/>
        <w:gridCol w:w="823"/>
        <w:gridCol w:w="338"/>
      </w:tblGrid>
      <w:tr>
        <w:trPr/>
        <w:tc>
          <w:tcPr>
            <w:tcW w:w="8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of Heat Transfer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of Heat Transfer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estimates associated with liabilities retained in connection with a business divestiture (e.g. income taxes) may occur. As a result, it is possible that the resulting gains/losses on these and other previous divestitures may be materially adjusted in subsequent periods.</w:t>
      </w:r>
    </w:p>
    <w:p>
      <w:pPr>
        <w:pStyle w:val="TextBody"/>
        <w:bidi w:val="0"/>
        <w:spacing w:lineRule="auto" w:line="276" w:before="160" w:after="283"/>
        <w:ind w:left="0" w:right="0" w:firstLine="720"/>
        <w:jc w:val="both"/>
        <w:rPr/>
      </w:pP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shd w:fill="FFFFFF" w:val="clear"/>
        </w:rPr>
        <w:t>March 29, 2025</w:t>
      </w:r>
      <w:r>
        <w:rPr>
          <w:color w:val="000000"/>
        </w:rPr>
        <w:t xml:space="preserve"> </w:t>
      </w:r>
      <w:r>
        <w:rPr>
          <w:rFonts w:ascii="Times New Roman;sans-serif" w:hAnsi="Times New Roman;sans-serif"/>
          <w:b w:val="false"/>
          <w:color w:val="000000"/>
          <w:sz w:val="20"/>
        </w:rPr>
        <w:t>and March 30, 2024, results of operations from our businesses reported as discontinued operations were as follows:</w:t>
      </w:r>
    </w:p>
    <w:tbl>
      <w:tblPr>
        <w:tblW w:w="5771" w:type="dxa"/>
        <w:jc w:val="left"/>
        <w:tblInd w:w="0" w:type="dxa"/>
        <w:tblLayout w:type="fixed"/>
        <w:tblCellMar>
          <w:top w:w="28" w:type="dxa"/>
          <w:left w:w="28" w:type="dxa"/>
          <w:bottom w:w="28" w:type="dxa"/>
          <w:right w:w="28" w:type="dxa"/>
        </w:tblCellMar>
      </w:tblPr>
      <w:tblGrid>
        <w:gridCol w:w="1044"/>
        <w:gridCol w:w="917"/>
        <w:gridCol w:w="919"/>
        <w:gridCol w:w="326"/>
        <w:gridCol w:w="752"/>
        <w:gridCol w:w="181"/>
        <w:gridCol w:w="109"/>
        <w:gridCol w:w="109"/>
        <w:gridCol w:w="109"/>
        <w:gridCol w:w="319"/>
        <w:gridCol w:w="735"/>
        <w:gridCol w:w="251"/>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Loss from discontinued operations</w:t>
            </w:r>
            <w:r>
              <w:rPr>
                <w:rFonts w:ascii="Times New Roman;sans-serif" w:hAnsi="Times New Roman;sans-serif"/>
                <w:b w:val="false"/>
                <w:color w:val="000000"/>
                <w:sz w:val="12"/>
              </w:rPr>
              <w:t>(1)</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Loss for the three months ended March 29, 2025 and March 30, 2024 related primarily to costs incurred to support DBT through the subcontractor liquidation process mentioned above.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(4)    REVENUES FROM CONTRACTS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Disaggregated Revenues</w:t>
      </w:r>
    </w:p>
    <w:p>
      <w:pPr>
        <w:pStyle w:val="TextBody"/>
        <w:bidi w:val="0"/>
        <w:spacing w:before="0" w:after="0"/>
        <w:jc w:val="both"/>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months ended March 29, 2025 and March 30, 2024:</w:t>
      </w:r>
    </w:p>
    <w:tbl>
      <w:tblPr>
        <w:tblW w:w="10205" w:type="dxa"/>
        <w:jc w:val="left"/>
        <w:tblInd w:w="0" w:type="dxa"/>
        <w:tblLayout w:type="fixed"/>
        <w:tblCellMar>
          <w:top w:w="28" w:type="dxa"/>
          <w:left w:w="28" w:type="dxa"/>
          <w:bottom w:w="28" w:type="dxa"/>
          <w:right w:w="28" w:type="dxa"/>
        </w:tblCellMar>
      </w:tblPr>
      <w:tblGrid>
        <w:gridCol w:w="2066"/>
        <w:gridCol w:w="1741"/>
        <w:gridCol w:w="1747"/>
        <w:gridCol w:w="109"/>
        <w:gridCol w:w="109"/>
        <w:gridCol w:w="109"/>
        <w:gridCol w:w="196"/>
        <w:gridCol w:w="556"/>
        <w:gridCol w:w="109"/>
        <w:gridCol w:w="109"/>
        <w:gridCol w:w="109"/>
        <w:gridCol w:w="109"/>
        <w:gridCol w:w="432"/>
        <w:gridCol w:w="1226"/>
        <w:gridCol w:w="241"/>
        <w:gridCol w:w="109"/>
        <w:gridCol w:w="109"/>
        <w:gridCol w:w="109"/>
        <w:gridCol w:w="196"/>
        <w:gridCol w:w="556"/>
        <w:gridCol w:w="158"/>
      </w:tblGrid>
      <w:tr>
        <w:trPr/>
        <w:tc>
          <w:tcPr>
            <w:tcW w:w="206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29, 2025</w:t>
            </w:r>
          </w:p>
        </w:tc>
      </w:tr>
      <w:tr>
        <w:trPr/>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and handling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2066"/>
        <w:gridCol w:w="1741"/>
        <w:gridCol w:w="1747"/>
        <w:gridCol w:w="109"/>
        <w:gridCol w:w="109"/>
        <w:gridCol w:w="109"/>
        <w:gridCol w:w="196"/>
        <w:gridCol w:w="556"/>
        <w:gridCol w:w="109"/>
        <w:gridCol w:w="109"/>
        <w:gridCol w:w="109"/>
        <w:gridCol w:w="109"/>
        <w:gridCol w:w="432"/>
        <w:gridCol w:w="1226"/>
        <w:gridCol w:w="241"/>
        <w:gridCol w:w="109"/>
        <w:gridCol w:w="109"/>
        <w:gridCol w:w="109"/>
        <w:gridCol w:w="196"/>
        <w:gridCol w:w="556"/>
        <w:gridCol w:w="158"/>
      </w:tblGrid>
      <w:tr>
        <w:trPr/>
        <w:tc>
          <w:tcPr>
            <w:tcW w:w="206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30, 2024</w:t>
            </w:r>
          </w:p>
        </w:tc>
      </w:tr>
      <w:tr>
        <w:trPr/>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and handling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 Our contract balances consisted of the following as of March 29, 2025 and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tbl>
      <w:tblPr>
        <w:tblW w:w="6810" w:type="dxa"/>
        <w:jc w:val="left"/>
        <w:tblInd w:w="0" w:type="dxa"/>
        <w:tblLayout w:type="fixed"/>
        <w:tblCellMar>
          <w:top w:w="28" w:type="dxa"/>
          <w:left w:w="28" w:type="dxa"/>
          <w:bottom w:w="28" w:type="dxa"/>
          <w:right w:w="28" w:type="dxa"/>
        </w:tblCellMar>
      </w:tblPr>
      <w:tblGrid>
        <w:gridCol w:w="936"/>
        <w:gridCol w:w="821"/>
        <w:gridCol w:w="823"/>
        <w:gridCol w:w="287"/>
        <w:gridCol w:w="814"/>
        <w:gridCol w:w="159"/>
        <w:gridCol w:w="109"/>
        <w:gridCol w:w="109"/>
        <w:gridCol w:w="109"/>
        <w:gridCol w:w="341"/>
        <w:gridCol w:w="969"/>
        <w:gridCol w:w="190"/>
        <w:gridCol w:w="109"/>
        <w:gridCol w:w="109"/>
        <w:gridCol w:w="109"/>
        <w:gridCol w:w="196"/>
        <w:gridCol w:w="46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Contract Balances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Accounts Receivable</w:t>
            </w:r>
            <w:r>
              <w:rPr>
                <w:rFonts w:ascii="Times New Roman;sans-serif" w:hAnsi="Times New Roman;sans-serif"/>
                <w:b w:val="false"/>
                <w:color w:val="000000"/>
                <w:sz w:val="12"/>
              </w:rPr>
              <w:t>(1)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 current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Liabilities - non-current</w:t>
            </w:r>
            <w:r>
              <w:rPr>
                <w:rFonts w:ascii="Times New Roman;sans-serif" w:hAnsi="Times New Roman;sans-serif"/>
                <w:b w:val="false"/>
                <w:color w:val="000000"/>
                <w:sz w:val="12"/>
              </w:rPr>
              <w:t>(2)</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contract balance</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Included in “Accounts receivable, net” within the accompanying condensed consolidated balance sheets.</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Included in “Other long-term liabilities” within the accompanying condensed consolidated balance sheets.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invoicing and cash collections results in Contract Accounts Receivable, contract assets, and customer advances and deposits (contract liabilities) on our condensed consolidated balance sheets. In general, we receive payments from customers based on a billing schedule established in our contracts. During the three months ended March 29, 2025, changes in contract balances were not materially impacted by any other factors. At March 29, 2025, Contract Account Receivables, contract assets, and current contract liabilities attributable to KTS were $7.6, $1.2, and $7.0, respectively.</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During the three months ended March 29, 2025, we recognized revenues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 xml:space="preserve">f $28.7 related to our contract liabilities at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March 29, 2025, the aggre</w:t>
      </w:r>
      <w:r>
        <w:rPr>
          <w:rFonts w:ascii="Times New Roman;sans-serif" w:hAnsi="Times New Roman;sans-serif"/>
          <w:b w:val="false"/>
          <w:color w:val="000000"/>
          <w:sz w:val="20"/>
          <w:shd w:fill="FFFFFF" w:val="clear"/>
        </w:rPr>
        <w:t>gate amount allo</w:t>
      </w:r>
      <w:r>
        <w:rPr>
          <w:rFonts w:ascii="Times New Roman;sans-serif" w:hAnsi="Times New Roman;sans-serif"/>
          <w:b w:val="false"/>
          <w:color w:val="000000"/>
          <w:sz w:val="20"/>
        </w:rPr>
        <w:t>cated to remaining performance obligations was $201.1. We expect to recognize revenue on approximately 53% and 64% of remaining performance obliga</w:t>
      </w:r>
      <w:r>
        <w:rPr>
          <w:rFonts w:ascii="Times New Roman;sans-serif" w:hAnsi="Times New Roman;sans-serif"/>
          <w:b w:val="false"/>
          <w:color w:val="000000"/>
          <w:sz w:val="20"/>
          <w:shd w:fill="FFFFFF" w:val="clear"/>
        </w:rPr>
        <w:t>tions over the next 12 and 24 months, respectively, with the remaining recognized thereafter.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LEASES</w:t>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material changes to our operating and finance leases during the three months ended March 29,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INFORMATION ON REPORTABLE SEGMENTS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We are a global supplier of highly specializ</w:t>
      </w:r>
      <w:r>
        <w:rPr>
          <w:rFonts w:ascii="Times New Roman;sans-serif" w:hAnsi="Times New Roman;sans-serif"/>
          <w:b w:val="false"/>
          <w:color w:val="000000"/>
          <w:sz w:val="20"/>
          <w:shd w:fill="FFFFFF" w:val="clear"/>
        </w:rPr>
        <w:t xml:space="preserve">ed, engineered solutions with operations in </w:t>
      </w:r>
      <w:r>
        <w:rPr>
          <w:rFonts w:ascii="Times New Roman;sans-serif" w:hAnsi="Times New Roman;sans-serif"/>
          <w:b w:val="false"/>
          <w:color w:val="000000"/>
          <w:sz w:val="20"/>
        </w:rPr>
        <w:t>16</w:t>
      </w:r>
      <w:r>
        <w:rPr>
          <w:color w:val="000000"/>
          <w:shd w:fill="FFFFFF" w:val="clear"/>
        </w:rPr>
        <w:t xml:space="preserve"> </w:t>
      </w:r>
      <w:r>
        <w:rPr>
          <w:rFonts w:ascii="Times New Roman;sans-serif" w:hAnsi="Times New Roman;sans-serif"/>
          <w:b w:val="false"/>
          <w:color w:val="000000"/>
          <w:sz w:val="20"/>
          <w:shd w:fill="FFFFFF" w:val="clear"/>
        </w:rPr>
        <w:t xml:space="preserve">countries and sales in over </w:t>
      </w:r>
      <w:r>
        <w:rPr>
          <w:rFonts w:ascii="Times New Roman;sans-serif" w:hAnsi="Times New Roman;sans-serif"/>
          <w:b w:val="false"/>
          <w:color w:val="000000"/>
          <w:sz w:val="20"/>
        </w:rPr>
        <w:t>100</w:t>
      </w:r>
      <w:r>
        <w:rPr>
          <w:color w:val="000000"/>
          <w:shd w:fill="FFFFFF" w:val="clear"/>
        </w:rPr>
        <w:t xml:space="preserve"> </w:t>
      </w:r>
      <w:r>
        <w:rPr>
          <w:rFonts w:ascii="Times New Roman;sans-serif" w:hAnsi="Times New Roman;sans-serif"/>
          <w:b w:val="false"/>
          <w:color w:val="000000"/>
          <w:sz w:val="20"/>
          <w:shd w:fill="FFFFFF" w:val="clear"/>
        </w:rPr>
        <w:t>countries around the world.</w:t>
      </w:r>
    </w:p>
    <w:p>
      <w:pPr>
        <w:pStyle w:val="TextBody"/>
        <w:bidi w:val="0"/>
        <w:spacing w:lineRule="auto" w:line="26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our reportable segments, we apply the threshold criteria of the Segment Reporting Topic of the Financial Accounting Standards Board Codification (the “Codification”). 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w:t>
      </w:r>
    </w:p>
    <w:p>
      <w:pPr>
        <w:pStyle w:val="TextBody"/>
        <w:bidi w:val="0"/>
        <w:spacing w:lineRule="auto" w:line="26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CODM, who is our President and Chief Executive Officer, uses revenue and segment income to evaluate the results of each operating segment. Segment income is determined before considering, if applicable, impairments and special charges, long-term incentive compensation, certain other operating income/expense, other indirect corporate expenses, intangible asset amortization expense, inventory step-up charges, and certain other acquisition and integration-related costs. There have been no changes in the basis of segmentation or measurement of segment income during 2025. Our CODM assesses revenue and segment income performance in comparison to prior years, previously forecasted results, and anticipated/experienced market trends when determining how to allocate operating and capital resources. The only significant segment expense categories reviewed by our CODM are total selling, general, and administrative expense and cost of products sold.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CODM does not review asset or liability information for our operating segments as this information is not used to assess performance or allocate resources.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HVAC Reportable Segment</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HVAC reportable segment engineers, designs, manufactures, installs and services package and process cooling products and engineered air movement and handling solutions for the HVAC industrial, commercial, data center, and power generation markets, as well as boilers and electrical heating and ventilation products for the residential, industrial,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Detection and Measurement Reportable Segment</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Corporate Expense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expense generally relates to the personnel and general operating costs of our corporate headquarters based in Charlotte, North Carolina.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data for our reportable segments for the three months ended March 29, 2025 and March 30, 2024 are presented below:</w:t>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8621" w:type="dxa"/>
        <w:jc w:val="left"/>
        <w:tblInd w:w="0" w:type="dxa"/>
        <w:tblLayout w:type="fixed"/>
        <w:tblCellMar>
          <w:top w:w="28" w:type="dxa"/>
          <w:left w:w="28" w:type="dxa"/>
          <w:bottom w:w="28" w:type="dxa"/>
          <w:right w:w="28" w:type="dxa"/>
        </w:tblCellMar>
      </w:tblPr>
      <w:tblGrid>
        <w:gridCol w:w="1832"/>
        <w:gridCol w:w="1605"/>
        <w:gridCol w:w="1617"/>
        <w:gridCol w:w="287"/>
        <w:gridCol w:w="814"/>
        <w:gridCol w:w="159"/>
        <w:gridCol w:w="109"/>
        <w:gridCol w:w="109"/>
        <w:gridCol w:w="109"/>
        <w:gridCol w:w="341"/>
        <w:gridCol w:w="969"/>
        <w:gridCol w:w="189"/>
        <w:gridCol w:w="109"/>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HVAC reportable segment</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sold</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income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Detection and Measurement reportable segment</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sold</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income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revenues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income for segments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Acquisition-related and other costs </w:t>
            </w:r>
            <w:r>
              <w:rPr>
                <w:rFonts w:ascii="Times New Roman;sans-serif" w:hAnsi="Times New Roman;sans-serif"/>
                <w:b w:val="false"/>
                <w:color w:val="000000"/>
                <w:sz w:val="12"/>
              </w:rPr>
              <w:t>(1)</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 assets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Capital expenditures: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corporate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 expenditures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Depreciation and amortization:</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corporate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Geographic Areas: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ans-serif" w:hAnsi="Times New Roman;sans-serif"/>
                <w:b w:val="false"/>
                <w:color w:val="000000"/>
                <w:sz w:val="18"/>
              </w:rPr>
              <w:t xml:space="preserve">Revenues: </w:t>
            </w:r>
            <w:r>
              <w:rPr>
                <w:rFonts w:ascii="Times New Roman;sans-serif" w:hAnsi="Times New Roman;sans-serif"/>
                <w:b w:val="false"/>
                <w:color w:val="000000"/>
                <w:sz w:val="12"/>
              </w:rPr>
              <w:t>(2)</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China</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Tangible Long-Lived 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Long-lived assets of continuing operations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Long-lived assets of discontinued operations, DBT and Heat Transfer</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tangible long-lived assets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integration costs incurred in connection with acquisitions of $6.4 and $2.6 during the three months ended March 29, 2025 and March 30, 2024, respectively, including additional “Cost of products sold” related to the step-up of inventory (to fair value) acquired in connection with the KTS acquisition of $0.3 during the three months ended March 29, 2025 and the Ingénia acquisition of $0.9 during the three months ended March 30, 2024.</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Revenues are included in the above geographic areas based on the country that recorded the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(7)    SPECIAL CHARGES, NET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Special charges, net, for the three months ended March 29, 2025 and March 30, 2024 are described in more detail below:</w:t>
      </w:r>
    </w:p>
    <w:p>
      <w:pPr>
        <w:pStyle w:val="TextBody"/>
        <w:bidi w:val="0"/>
        <w:spacing w:before="0" w:after="0"/>
        <w:ind w:left="0" w:right="0" w:firstLine="720"/>
        <w:jc w:val="both"/>
        <w:rPr/>
      </w:pPr>
      <w:r>
        <w:rPr/>
      </w:r>
    </w:p>
    <w:tbl>
      <w:tblPr>
        <w:tblW w:w="5997" w:type="dxa"/>
        <w:jc w:val="left"/>
        <w:tblInd w:w="0" w:type="dxa"/>
        <w:tblLayout w:type="fixed"/>
        <w:tblCellMar>
          <w:top w:w="28" w:type="dxa"/>
          <w:left w:w="28" w:type="dxa"/>
          <w:bottom w:w="28" w:type="dxa"/>
          <w:right w:w="28" w:type="dxa"/>
        </w:tblCellMar>
      </w:tblPr>
      <w:tblGrid>
        <w:gridCol w:w="1260"/>
        <w:gridCol w:w="1108"/>
        <w:gridCol w:w="1112"/>
        <w:gridCol w:w="221"/>
        <w:gridCol w:w="510"/>
        <w:gridCol w:w="123"/>
        <w:gridCol w:w="109"/>
        <w:gridCol w:w="109"/>
        <w:gridCol w:w="109"/>
        <w:gridCol w:w="246"/>
        <w:gridCol w:w="472"/>
        <w:gridCol w:w="137"/>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200"/>
        <w:ind w:left="0" w:right="0" w:firstLine="720"/>
        <w:jc w:val="both"/>
        <w:rPr/>
      </w:pPr>
      <w:r>
        <w:rPr>
          <w:rFonts w:ascii="Times New Roman;sans-serif" w:hAnsi="Times New Roman;sans-serif"/>
          <w:b w:val="false"/>
          <w:i/>
          <w:color w:val="000000"/>
          <w:sz w:val="20"/>
        </w:rPr>
        <w:t xml:space="preserve">HVAC — </w:t>
      </w:r>
      <w:r>
        <w:rPr>
          <w:rFonts w:ascii="Times New Roman;sans-serif" w:hAnsi="Times New Roman;sans-serif"/>
          <w:b w:val="false"/>
          <w:color w:val="000000"/>
          <w:sz w:val="20"/>
        </w:rPr>
        <w:t>Activity for the three months ended March 29, 2025 and March 30, 2024 related pri</w:t>
      </w:r>
      <w:r>
        <w:rPr>
          <w:rFonts w:ascii="Times New Roman;sans-serif" w:hAnsi="Times New Roman;sans-serif"/>
          <w:b w:val="false"/>
          <w:color w:val="000000"/>
          <w:sz w:val="20"/>
          <w:shd w:fill="FFFFFF" w:val="clear"/>
        </w:rPr>
        <w:t xml:space="preserve">marily to severance costs associated with a restructuring action at one of the segment's cooling businesses. </w:t>
      </w:r>
    </w:p>
    <w:p>
      <w:pPr>
        <w:pStyle w:val="TextBody"/>
        <w:bidi w:val="0"/>
        <w:spacing w:lineRule="auto" w:line="276" w:before="0" w:after="200"/>
        <w:ind w:left="0" w:right="0" w:firstLine="720"/>
        <w:jc w:val="both"/>
        <w:rPr/>
      </w:pPr>
      <w:r>
        <w:rPr>
          <w:rFonts w:ascii="Times New Roman;sans-serif" w:hAnsi="Times New Roman;sans-serif"/>
          <w:b w:val="false"/>
          <w:i/>
          <w:color w:val="000000"/>
          <w:sz w:val="20"/>
        </w:rPr>
        <w:t>De</w:t>
      </w:r>
      <w:r>
        <w:rPr>
          <w:rFonts w:ascii="Times New Roman;sans-serif" w:hAnsi="Times New Roman;sans-serif"/>
          <w:b w:val="false"/>
          <w:i/>
          <w:color w:val="000000"/>
          <w:sz w:val="20"/>
          <w:shd w:fill="FFFFFF" w:val="clear"/>
        </w:rPr>
        <w:t xml:space="preserve">tection and Measurement </w:t>
      </w:r>
      <w:r>
        <w:rPr>
          <w:color w:val="000000"/>
          <w:shd w:fill="FFFFFF" w:val="clear"/>
        </w:rPr>
        <w:t xml:space="preserve">— </w:t>
      </w:r>
      <w:r>
        <w:rPr>
          <w:rFonts w:ascii="Times New Roman;sans-serif" w:hAnsi="Times New Roman;sans-serif"/>
          <w:b w:val="false"/>
          <w:color w:val="000000"/>
          <w:sz w:val="20"/>
          <w:shd w:fill="FFFFFF" w:val="clear"/>
        </w:rPr>
        <w:t>Charges for the three months ended March 29, 2025 related primarily to severance costs associated with restructuring actions at the segment's inspection and rehabilitation business. Charges for the three months ended March 30, 2024 related primarily to severance costs associated with restructuring actions at the segment's inspection and rehabilitation and aids to navigation businesses.</w:t>
      </w:r>
    </w:p>
    <w:p>
      <w:pPr>
        <w:pStyle w:val="TextBody"/>
        <w:bidi w:val="0"/>
        <w:spacing w:lineRule="auto" w:line="276" w:before="0" w:after="200"/>
        <w:ind w:left="0" w:right="0" w:firstLine="720"/>
        <w:jc w:val="both"/>
        <w:rPr/>
      </w:pPr>
      <w:r>
        <w:rPr>
          <w:rFonts w:ascii="Times New Roman;sans-serif" w:hAnsi="Times New Roman;sans-serif"/>
          <w:b w:val="false"/>
          <w:i/>
          <w:color w:val="000000"/>
          <w:sz w:val="20"/>
        </w:rPr>
        <w:t>Corporate</w:t>
      </w:r>
      <w:r>
        <w:rPr>
          <w:color w:val="000000"/>
          <w:shd w:fill="FFFFFF" w:val="clear"/>
        </w:rPr>
        <w:t xml:space="preserve"> — </w:t>
      </w:r>
      <w:r>
        <w:rPr>
          <w:rFonts w:ascii="Times New Roman;sans-serif" w:hAnsi="Times New Roman;sans-serif"/>
          <w:b w:val="false"/>
          <w:color w:val="000000"/>
          <w:sz w:val="20"/>
          <w:shd w:fill="FFFFFF" w:val="clear"/>
        </w:rPr>
        <w:t xml:space="preserve">Charges for the three months ended March 29, 2025 related primarily to severance costs associated with restructuring actions. </w:t>
      </w:r>
    </w:p>
    <w:p>
      <w:pPr>
        <w:pStyle w:val="TextBody"/>
        <w:bidi w:val="0"/>
        <w:spacing w:lineRule="auto" w:line="276" w:before="0" w:after="200"/>
        <w:ind w:left="0" w:right="0" w:firstLine="720"/>
        <w:jc w:val="both"/>
        <w:rPr/>
      </w:pPr>
      <w:r>
        <w:rPr>
          <w:rFonts w:ascii="Times New Roman;sans-serif" w:hAnsi="Times New Roman;sans-serif"/>
          <w:b w:val="false"/>
          <w:color w:val="000000"/>
          <w:sz w:val="20"/>
          <w:shd w:fill="FFFFFF" w:val="clear"/>
        </w:rPr>
        <w:t>No significant future charges are expected t</w:t>
      </w:r>
      <w:r>
        <w:rPr>
          <w:rFonts w:ascii="Times New Roman;sans-serif" w:hAnsi="Times New Roman;sans-serif"/>
          <w:b w:val="false"/>
          <w:color w:val="000000"/>
          <w:sz w:val="20"/>
        </w:rPr>
        <w:t>o be incurred under actions approved as of March 29, 2025.</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restructuring liabilities for the three months ended March 29, 2025 and March 30, 2024:</w:t>
      </w:r>
    </w:p>
    <w:tbl>
      <w:tblPr>
        <w:tblW w:w="5157" w:type="dxa"/>
        <w:jc w:val="left"/>
        <w:tblInd w:w="0" w:type="dxa"/>
        <w:tblLayout w:type="fixed"/>
        <w:tblCellMar>
          <w:top w:w="28" w:type="dxa"/>
          <w:left w:w="28" w:type="dxa"/>
          <w:bottom w:w="28" w:type="dxa"/>
          <w:right w:w="28" w:type="dxa"/>
        </w:tblCellMar>
      </w:tblPr>
      <w:tblGrid>
        <w:gridCol w:w="1113"/>
        <w:gridCol w:w="979"/>
        <w:gridCol w:w="983"/>
        <w:gridCol w:w="246"/>
        <w:gridCol w:w="472"/>
        <w:gridCol w:w="137"/>
        <w:gridCol w:w="109"/>
        <w:gridCol w:w="109"/>
        <w:gridCol w:w="109"/>
        <w:gridCol w:w="243"/>
        <w:gridCol w:w="466"/>
        <w:gridCol w:w="191"/>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Utilization — cash</w:t>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 and other</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(8)    INVENTORIES, NET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accounted for under the first-in, first-out method and are comprised of the following at March 29, 2025 and December 31, 2024:</w:t>
      </w:r>
    </w:p>
    <w:tbl>
      <w:tblPr>
        <w:tblW w:w="4906" w:type="dxa"/>
        <w:jc w:val="left"/>
        <w:tblInd w:w="0" w:type="dxa"/>
        <w:tblLayout w:type="fixed"/>
        <w:tblCellMar>
          <w:top w:w="28" w:type="dxa"/>
          <w:left w:w="28" w:type="dxa"/>
          <w:bottom w:w="28" w:type="dxa"/>
          <w:right w:w="28" w:type="dxa"/>
        </w:tblCellMar>
      </w:tblPr>
      <w:tblGrid>
        <w:gridCol w:w="933"/>
        <w:gridCol w:w="820"/>
        <w:gridCol w:w="826"/>
        <w:gridCol w:w="196"/>
        <w:gridCol w:w="556"/>
        <w:gridCol w:w="109"/>
        <w:gridCol w:w="109"/>
        <w:gridCol w:w="109"/>
        <w:gridCol w:w="109"/>
        <w:gridCol w:w="246"/>
        <w:gridCol w:w="700"/>
        <w:gridCol w:w="193"/>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purchased parts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include material, labor and factory overhead costs and are reduced, when necessary, to estimated net realizable values.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(9)    GOODWILL AND OTHER INTANGIBLE ASSETS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three months ended March 29, 2025 were as follows:</w:t>
      </w:r>
    </w:p>
    <w:tbl>
      <w:tblPr>
        <w:tblW w:w="9650" w:type="dxa"/>
        <w:jc w:val="left"/>
        <w:tblInd w:w="0" w:type="dxa"/>
        <w:tblLayout w:type="fixed"/>
        <w:tblCellMar>
          <w:top w:w="28" w:type="dxa"/>
          <w:left w:w="28" w:type="dxa"/>
          <w:bottom w:w="28" w:type="dxa"/>
          <w:right w:w="28" w:type="dxa"/>
        </w:tblCellMar>
      </w:tblPr>
      <w:tblGrid>
        <w:gridCol w:w="1375"/>
        <w:gridCol w:w="1205"/>
        <w:gridCol w:w="1214"/>
        <w:gridCol w:w="249"/>
        <w:gridCol w:w="707"/>
        <w:gridCol w:w="138"/>
        <w:gridCol w:w="109"/>
        <w:gridCol w:w="109"/>
        <w:gridCol w:w="109"/>
        <w:gridCol w:w="109"/>
        <w:gridCol w:w="109"/>
        <w:gridCol w:w="289"/>
        <w:gridCol w:w="823"/>
        <w:gridCol w:w="163"/>
        <w:gridCol w:w="109"/>
        <w:gridCol w:w="109"/>
        <w:gridCol w:w="109"/>
        <w:gridCol w:w="109"/>
        <w:gridCol w:w="109"/>
        <w:gridCol w:w="109"/>
        <w:gridCol w:w="109"/>
        <w:gridCol w:w="272"/>
        <w:gridCol w:w="522"/>
        <w:gridCol w:w="152"/>
        <w:gridCol w:w="109"/>
        <w:gridCol w:w="109"/>
        <w:gridCol w:w="109"/>
        <w:gridCol w:w="196"/>
        <w:gridCol w:w="55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Goodwill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Resulting from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Business</w:t>
            </w:r>
          </w:p>
          <w:p>
            <w:pPr>
              <w:pStyle w:val="TableContents"/>
              <w:bidi w:val="0"/>
              <w:spacing w:lineRule="auto" w:line="240" w:before="0" w:after="0"/>
              <w:jc w:val="center"/>
              <w:rPr/>
            </w:pPr>
            <w:r>
              <w:rPr>
                <w:rFonts w:ascii="Times New Roman;sans-serif" w:hAnsi="Times New Roman;sans-serif"/>
                <w:b/>
                <w:color w:val="000000"/>
                <w:sz w:val="16"/>
              </w:rPr>
              <w:t xml:space="preserve">Combinations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HVAC reportable segment</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Detection and Measurement reportable segment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40" w:before="0" w:after="0"/>
        <w:ind w:left="0" w:right="0" w:hanging="360"/>
        <w:jc w:val="both"/>
        <w:rPr/>
      </w:pPr>
      <w:r>
        <w:rPr>
          <w:rFonts w:ascii="Times New Roman;sans-serif" w:hAnsi="Times New Roman;sans-serif"/>
          <w:b w:val="false"/>
          <w:color w:val="000000"/>
          <w:sz w:val="12"/>
          <w:shd w:fill="FFFFFF" w:val="clear"/>
        </w:rPr>
        <w:t>(1)</w:t>
      </w:r>
      <w:r>
        <w:rPr>
          <w:rFonts w:ascii="Times New Roman;sans-serif" w:hAnsi="Times New Roman;sans-serif"/>
          <w:b w:val="false"/>
          <w:color w:val="000000"/>
          <w:sz w:val="18"/>
          <w:shd w:fill="FFFFFF" w:val="clear"/>
        </w:rPr>
        <w:t>Reflects goodwill acquired with the KTS acquisition of $105.0 and an immaterial acquisition within the HVAC reportable segment. As indicated in Note 1, the acquired assets, including goodwill, and liabilities assumed in the KTS acquisition have been recorded at estimates of fair value and are subject to change upon completion of acquisition accounting.</w:t>
      </w:r>
    </w:p>
    <w:p>
      <w:pPr>
        <w:pStyle w:val="TextBody"/>
        <w:bidi w:val="0"/>
        <w:spacing w:before="0" w:after="0"/>
        <w:jc w:val="both"/>
        <w:rPr/>
      </w:pPr>
      <w:r>
        <w:rPr/>
      </w:r>
    </w:p>
    <w:p>
      <w:pPr>
        <w:pStyle w:val="TextBody"/>
        <w:bidi w:val="0"/>
        <w:spacing w:lineRule="auto" w:line="264" w:before="0" w:after="200"/>
        <w:jc w:val="both"/>
        <w:rPr>
          <w:rFonts w:ascii="Times New Roman;sans-serif" w:hAnsi="Times New Roman;sans-serif"/>
          <w:b/>
          <w:i/>
          <w:color w:val="000000"/>
          <w:sz w:val="20"/>
        </w:rPr>
      </w:pPr>
      <w:r>
        <w:rPr>
          <w:rFonts w:ascii="Times New Roman;sans-serif" w:hAnsi="Times New Roman;sans-serif"/>
          <w:b/>
          <w:i/>
          <w:color w:val="000000"/>
          <w:sz w:val="20"/>
        </w:rPr>
        <w:t>Other Intangibles, Net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at March 29, 2025 and December 31, 2024 comprised the following:</w:t>
      </w:r>
    </w:p>
    <w:tbl>
      <w:tblPr>
        <w:tblW w:w="10205" w:type="dxa"/>
        <w:jc w:val="left"/>
        <w:tblInd w:w="0" w:type="dxa"/>
        <w:tblLayout w:type="fixed"/>
        <w:tblCellMar>
          <w:top w:w="28" w:type="dxa"/>
          <w:left w:w="28" w:type="dxa"/>
          <w:bottom w:w="28" w:type="dxa"/>
          <w:right w:w="28" w:type="dxa"/>
        </w:tblCellMar>
      </w:tblPr>
      <w:tblGrid>
        <w:gridCol w:w="1008"/>
        <w:gridCol w:w="886"/>
        <w:gridCol w:w="888"/>
        <w:gridCol w:w="196"/>
        <w:gridCol w:w="691"/>
        <w:gridCol w:w="109"/>
        <w:gridCol w:w="109"/>
        <w:gridCol w:w="109"/>
        <w:gridCol w:w="109"/>
        <w:gridCol w:w="241"/>
        <w:gridCol w:w="704"/>
        <w:gridCol w:w="136"/>
        <w:gridCol w:w="109"/>
        <w:gridCol w:w="109"/>
        <w:gridCol w:w="109"/>
        <w:gridCol w:w="196"/>
        <w:gridCol w:w="556"/>
        <w:gridCol w:w="109"/>
        <w:gridCol w:w="109"/>
        <w:gridCol w:w="109"/>
        <w:gridCol w:w="109"/>
        <w:gridCol w:w="196"/>
        <w:gridCol w:w="556"/>
        <w:gridCol w:w="109"/>
        <w:gridCol w:w="109"/>
        <w:gridCol w:w="109"/>
        <w:gridCol w:w="109"/>
        <w:gridCol w:w="241"/>
        <w:gridCol w:w="704"/>
        <w:gridCol w:w="136"/>
        <w:gridCol w:w="109"/>
        <w:gridCol w:w="109"/>
        <w:gridCol w:w="109"/>
        <w:gridCol w:w="196"/>
        <w:gridCol w:w="556"/>
        <w:gridCol w:w="156"/>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Intangible assets with determinable lives: </w:t>
            </w:r>
            <w:r>
              <w:rPr>
                <w:rFonts w:ascii="Times New Roman;sans-serif" w:hAnsi="Times New Roman;sans-serif"/>
                <w:b w:val="false"/>
                <w:color w:val="000000"/>
                <w:sz w:val="12"/>
              </w:rPr>
              <w:t>(1)</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and contracts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with indefinite lives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4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shd w:fill="FFFFFF" w:val="clear"/>
        </w:rPr>
        <w:t xml:space="preserve">The gross carrying value of identifiable intangible assets acquired with the KTS acquisition consist of technology of $79.8, customer relationships and contracts of $70.7, definite-lived trademarks of $6.7, and backlog of $7.3. </w:t>
      </w:r>
    </w:p>
    <w:p>
      <w:pPr>
        <w:pStyle w:val="TextBody"/>
        <w:bidi w:val="0"/>
        <w:spacing w:before="0" w:after="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of KTS, which has definite-lived intangible assets as noted above, we updated our estimated annual amortization expense related to intangible assets to approximately $76.0 for the full year 2025, $66.0 for 2026, and $63.0 for each of the three years thereafter.</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 xml:space="preserve">At March 29, 2025, the net carrying value of intangible assets with determinable lives consisted of </w:t>
      </w:r>
      <w:r>
        <w:rPr>
          <w:rFonts w:ascii="Times New Roman;sans-serif" w:hAnsi="Times New Roman;sans-serif"/>
          <w:b w:val="false"/>
          <w:color w:val="000000"/>
          <w:sz w:val="20"/>
        </w:rPr>
        <w:t>$371.8 in the HVAC reportable segment and $261.8 in the Detection and Measurement reportable segment. At March 29, 2025, trademarks with indefinite lives consisted of $156.6 in the HVAC reportable segment and $63.7 in the Detection and Measurement reportable segment.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We review goodwill and indefinite-lived intangible assets for impairment annually during th</w:t>
      </w:r>
      <w:r>
        <w:rPr>
          <w:rFonts w:ascii="Times New Roman;sans-serif" w:hAnsi="Times New Roman;sans-serif"/>
          <w:b w:val="false"/>
          <w:color w:val="000000"/>
          <w:sz w:val="20"/>
        </w:rPr>
        <w:t xml:space="preserve">e fourth quarter in conjunction with our annual financial planning process, with such testing based primarily on events and circumstances existing as of the end of the third quarter. In addition, we test goodwill for impairment on a more frequent basis if there are indications of potential impairment. In reviewing goodwill and indefinite-lived intangible assets for impairment, we initially perform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The fair value of the net assets related to the KTS and </w:t>
      </w:r>
      <w:r>
        <w:rPr>
          <w:rFonts w:ascii="Times New Roman;sans-serif" w:hAnsi="Times New Roman;sans-serif"/>
          <w:b w:val="false"/>
          <w:color w:val="000000"/>
          <w:sz w:val="20"/>
          <w:shd w:fill="FFFFFF" w:val="clear"/>
        </w:rPr>
        <w:t>Ingénia</w:t>
      </w:r>
      <w:r>
        <w:rPr>
          <w:color w:val="000000"/>
        </w:rPr>
        <w:t xml:space="preserve"> </w:t>
      </w:r>
      <w:r>
        <w:rPr>
          <w:rFonts w:ascii="Times New Roman;sans-serif" w:hAnsi="Times New Roman;sans-serif"/>
          <w:b w:val="false"/>
          <w:color w:val="000000"/>
          <w:sz w:val="20"/>
        </w:rPr>
        <w:t>acquisitions approximate their respective carrying values. If KTS and Ingénia are unable to achieve their current financial forecasts, or there is a change in key assumptions used in the fair value analyses (e.g. projected revenues and profit growth rates, industry price multiples, discount rates, etc.) we may be required to record an impairment charge in a future period related to their goodwill. As of March 29, 2025, KTS and Ingénia's goodwill totaled $105.0 and $134.7, respectively.</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We perform our annual indefinite-lived trademarks impairment testing during the fourth quarter, or on a more frequent basis, if there are indications of potential impairment. The fair value of these trademarks is based on applying estimated royalty rates to projected revenues, with resulting cash flows discounted at a rate of return that reflects current market conditions (fair value based on unobservable inputs - Level 3, as defined in </w:t>
      </w:r>
      <w:r>
        <w:rPr>
          <w:rFonts w:ascii="Times New Roman;sans-serif" w:hAnsi="Times New Roman;sans-serif"/>
          <w:b w:val="false"/>
          <w:color w:val="000000"/>
          <w:sz w:val="20"/>
          <w:shd w:fill="FFFFFF" w:val="clear"/>
        </w:rPr>
        <w:t>Note 17)</w:t>
      </w:r>
      <w:r>
        <w:rPr>
          <w:rFonts w:ascii="Times New Roman;sans-serif" w:hAnsi="Times New Roman;sans-serif"/>
          <w:b w:val="false"/>
          <w:color w:val="000000"/>
          <w:sz w:val="20"/>
        </w:rPr>
        <w:t>. The primary basis for these projected revenues is the annual operating plan for each of the related businesses, which is prepared in the fourth quarter of each year. During the fourth quarter of 2024, in connection with the 2024 annual trademark impairment analyses, we determined that the implied value of ASPEQ’s trademarks approximated their carrying value. If ASPEQ is unable to achieve its current revenue forecast, or there is a change in assumptions used in ASPEQ’s analysis (e.g., projected revenues and discount rates, etc.), we may be required to record an impairment charge in a future period related to its trademarks. As of March 29, 2025, ASPEQ’s trademarks totaled $51.5.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(10)     WARRANTY</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product warranty accrual for the periods presented:</w:t>
      </w:r>
    </w:p>
    <w:tbl>
      <w:tblPr>
        <w:tblW w:w="4587" w:type="dxa"/>
        <w:jc w:val="left"/>
        <w:tblInd w:w="0" w:type="dxa"/>
        <w:tblLayout w:type="fixed"/>
        <w:tblCellMar>
          <w:top w:w="28" w:type="dxa"/>
          <w:left w:w="28" w:type="dxa"/>
          <w:bottom w:w="28" w:type="dxa"/>
          <w:right w:w="28" w:type="dxa"/>
        </w:tblCellMar>
      </w:tblPr>
      <w:tblGrid>
        <w:gridCol w:w="907"/>
        <w:gridCol w:w="797"/>
        <w:gridCol w:w="801"/>
        <w:gridCol w:w="217"/>
        <w:gridCol w:w="517"/>
        <w:gridCol w:w="121"/>
        <w:gridCol w:w="109"/>
        <w:gridCol w:w="109"/>
        <w:gridCol w:w="109"/>
        <w:gridCol w:w="216"/>
        <w:gridCol w:w="514"/>
        <w:gridCol w:w="170"/>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Usage</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warranty</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warranty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bidi w:val="0"/>
        <w:spacing w:lineRule="auto" w:line="25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fourth quarter of 2023, we initiated the wind-up of our Canadian defined benefit pension plans (collectively, the “Canadian Pension Plans”). We received regulatory approval for the wind-up which was completed during the three months ended March 29, 2025. This transaction resulted in a settlement loss of $0.3 recorded in net periodic pension benefit expense during the three months ended March 29, 2025. In addition, and in connection with this wind-up, we remeasured the assets and liabilities of the Canadian Pension Plans, which resulted in a loss of $0.5 recorded in net periodic pension benefit expense for the three months ended March 29, 2025. Lastly, as a result of the wind-up, we have eliminated the third-party cost and internal resource requirements associated with administering these benefit plans.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(income) expense for our pension and postretirement plans include the following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Domestic Pension Plans</w:t>
      </w:r>
    </w:p>
    <w:tbl>
      <w:tblPr>
        <w:tblW w:w="4810" w:type="dxa"/>
        <w:jc w:val="left"/>
        <w:tblInd w:w="0" w:type="dxa"/>
        <w:tblLayout w:type="fixed"/>
        <w:tblCellMar>
          <w:top w:w="28" w:type="dxa"/>
          <w:left w:w="28" w:type="dxa"/>
          <w:bottom w:w="28" w:type="dxa"/>
          <w:right w:w="28" w:type="dxa"/>
        </w:tblCellMar>
      </w:tblPr>
      <w:tblGrid>
        <w:gridCol w:w="990"/>
        <w:gridCol w:w="866"/>
        <w:gridCol w:w="874"/>
        <w:gridCol w:w="235"/>
        <w:gridCol w:w="488"/>
        <w:gridCol w:w="131"/>
        <w:gridCol w:w="109"/>
        <w:gridCol w:w="109"/>
        <w:gridCol w:w="109"/>
        <w:gridCol w:w="233"/>
        <w:gridCol w:w="483"/>
        <w:gridCol w:w="183"/>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expense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Pension Plans</w:t>
      </w:r>
    </w:p>
    <w:tbl>
      <w:tblPr>
        <w:tblW w:w="4810" w:type="dxa"/>
        <w:jc w:val="left"/>
        <w:tblInd w:w="0" w:type="dxa"/>
        <w:tblLayout w:type="fixed"/>
        <w:tblCellMar>
          <w:top w:w="28" w:type="dxa"/>
          <w:left w:w="28" w:type="dxa"/>
          <w:bottom w:w="28" w:type="dxa"/>
          <w:right w:w="28" w:type="dxa"/>
        </w:tblCellMar>
      </w:tblPr>
      <w:tblGrid>
        <w:gridCol w:w="990"/>
        <w:gridCol w:w="866"/>
        <w:gridCol w:w="874"/>
        <w:gridCol w:w="235"/>
        <w:gridCol w:w="488"/>
        <w:gridCol w:w="131"/>
        <w:gridCol w:w="109"/>
        <w:gridCol w:w="109"/>
        <w:gridCol w:w="109"/>
        <w:gridCol w:w="233"/>
        <w:gridCol w:w="483"/>
        <w:gridCol w:w="183"/>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Settlement loss </w:t>
            </w:r>
            <w:r>
              <w:rPr>
                <w:rFonts w:ascii="Times New Roman;sans-serif" w:hAnsi="Times New Roman;sans-serif"/>
                <w:b w:val="false"/>
                <w:color w:val="000000"/>
                <w:sz w:val="12"/>
              </w:rPr>
              <w:t>(1)</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Recognized net actuarial loss </w:t>
            </w:r>
            <w:r>
              <w:rPr>
                <w:rFonts w:ascii="Times New Roman;sans-serif" w:hAnsi="Times New Roman;sans-serif"/>
                <w:b w:val="false"/>
                <w:color w:val="000000"/>
                <w:sz w:val="12"/>
              </w:rPr>
              <w:t>(1)</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expense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Relates to the wind-up of the Canadian Pension Plans referred to previously.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Postretirement Plans</w:t>
      </w:r>
    </w:p>
    <w:tbl>
      <w:tblPr>
        <w:tblW w:w="5756" w:type="dxa"/>
        <w:jc w:val="left"/>
        <w:tblInd w:w="0" w:type="dxa"/>
        <w:tblLayout w:type="fixed"/>
        <w:tblCellMar>
          <w:top w:w="28" w:type="dxa"/>
          <w:left w:w="28" w:type="dxa"/>
          <w:bottom w:w="28" w:type="dxa"/>
          <w:right w:w="28" w:type="dxa"/>
        </w:tblCellMar>
      </w:tblPr>
      <w:tblGrid>
        <w:gridCol w:w="1331"/>
        <w:gridCol w:w="1165"/>
        <w:gridCol w:w="1179"/>
        <w:gridCol w:w="221"/>
        <w:gridCol w:w="510"/>
        <w:gridCol w:w="123"/>
        <w:gridCol w:w="109"/>
        <w:gridCol w:w="109"/>
        <w:gridCol w:w="109"/>
        <w:gridCol w:w="220"/>
        <w:gridCol w:w="507"/>
        <w:gridCol w:w="173"/>
      </w:tblGrid>
      <w:tr>
        <w:trPr/>
        <w:tc>
          <w:tcPr>
            <w:tcW w:w="133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postretirement benefit income</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INDEBTEDNESS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debt activity (both current and non-current) for the three months ended March 29, 2025:</w:t>
      </w:r>
    </w:p>
    <w:tbl>
      <w:tblPr>
        <w:tblW w:w="9076"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06"/>
        <w:gridCol w:w="109"/>
        <w:gridCol w:w="109"/>
        <w:gridCol w:w="109"/>
        <w:gridCol w:w="109"/>
        <w:gridCol w:w="196"/>
        <w:gridCol w:w="55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Other</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Revolving loans </w:t>
            </w:r>
            <w:r>
              <w:rPr>
                <w:rFonts w:ascii="Times New Roman;sans-serif" w:hAnsi="Times New Roman;sans-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Term loans</w:t>
            </w:r>
            <w:r>
              <w:rPr>
                <w:rFonts w:ascii="Times New Roman;sans-serif" w:hAnsi="Times New Roman;sans-serif"/>
                <w:b w:val="false"/>
                <w:color w:val="000000"/>
                <w:sz w:val="12"/>
              </w:rPr>
              <w:t>(2)</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receivables financing arrangement</w:t>
            </w:r>
            <w:r>
              <w:rPr>
                <w:rFonts w:ascii="Times New Roman;sans-serif" w:hAnsi="Times New Roman;sans-serif"/>
                <w:b w:val="false"/>
                <w:color w:val="000000"/>
                <w:sz w:val="12"/>
              </w:rPr>
              <w:t>(3)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indebtedness</w:t>
            </w:r>
            <w:r>
              <w:rPr>
                <w:rFonts w:ascii="Times New Roman;sans-serif" w:hAnsi="Times New Roman;sans-serif"/>
                <w:b w:val="false"/>
                <w:color w:val="000000"/>
                <w:sz w:val="12"/>
              </w:rPr>
              <w:t>(4)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 revolving credit facility extends through August 2027 under the terms of our senior credit agreement and is primarily used to provide liquidity for funding acquisitions, including related fees and expenses, and was utilized as the primary funding mechanism for the KTS acquisition.</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term loans are repayable in quarterly installments equal to 1.25% of the initial term loan balances of $545.0, in all quarters of 2025 and 2026, and the first two quarters of 2027. The remaining balances are payable in full on August 12, 2027. Balances are net of unamortized debt issuance costs of $1.1 and $1.2 at March 29, 2025 and December 31, 2024, respectively.</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Under this arrangement, we can borrow, on a continuous basis, up to $100.0, as available. Borrowings under this arrangement are collateralized by eligible trade receivables of certain of our businesses. At March 29, 2025, we had $9.3 of available borrowing capacity under this facility after giving effect to outstanding borrowings of $59.0.</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Primarily includes balances under a purchase card program of $1.7 and $1.1 and finance lease obligations of $1.1 and $1.2 at March 29, 2025 and December 31, 2024,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pStyle w:val="TextBody"/>
        <w:bidi w:val="0"/>
        <w:spacing w:lineRule="auto" w:line="288" w:before="0" w:after="200"/>
        <w:ind w:left="0" w:right="0" w:hanging="360"/>
        <w:jc w:val="both"/>
        <w:rPr/>
      </w:pPr>
      <w:r>
        <w:rPr>
          <w:rFonts w:ascii="Times New Roman;sans-serif" w:hAnsi="Times New Roman;sans-serif"/>
          <w:b w:val="false"/>
          <w:color w:val="000000"/>
          <w:sz w:val="12"/>
          <w:shd w:fill="FFFFFF" w:val="clear"/>
        </w:rPr>
        <w:t>(5)</w:t>
      </w:r>
      <w:r>
        <w:rPr>
          <w:color w:val="000000"/>
        </w:rPr>
        <w:t>“</w:t>
      </w:r>
      <w:r>
        <w:rPr>
          <w:rFonts w:ascii="Times New Roman;sans-serif" w:hAnsi="Times New Roman;sans-serif"/>
          <w:b w:val="false"/>
          <w:color w:val="000000"/>
          <w:sz w:val="18"/>
        </w:rPr>
        <w:t>Other” includes the impact of amortization of debt issuance costs associated with the term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20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Senior Credit Facilities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detailed description of our senior credit facilities is included in our 2024 Annual Report on Form 10-K.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29, 2025, we had $614.0 of available borrowing capacity under our revolving credit facilities, after giving effect to borrowings under the domestic revolving loan facility of $375.0 and $11.0 reserved for outstanding letters of credit. In addition, at March 29, 2025, we had $12.8 of available issuance capacity under our foreign credit instrument facilities after giving effect to $12.2 reserved for outstanding letters of credit.</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interest rate of outstanding borrowings under our senior credit agreement was approximately 5.8% at March 29, 2025.</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29, 2025, we were in compliance with all covenants of our senior credit agreement.</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Company-owned Life Insurance</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have investments in company-owned life insurance (“COLI”) policies, which are recorded at their cash surrender value at each balance sheet date. Changes in the cash surrender value during the period are recorded as a gain or loss within “Other income (expense), net” within our condensed consolidated statements of operations. We have the ability to borrow against a portion of our investment in the COLI policies as an additional source of liquidity. The amounts borrowed totaled</w:t>
      </w:r>
      <w:r>
        <w:rPr>
          <w:color w:val="000000"/>
          <w:shd w:fill="FFFFFF" w:val="clear"/>
        </w:rPr>
        <w:t xml:space="preserve"> </w:t>
      </w:r>
      <w:r>
        <w:rPr>
          <w:rFonts w:ascii="Times New Roman;sans-serif" w:hAnsi="Times New Roman;sans-serif"/>
          <w:b w:val="false"/>
          <w:color w:val="000000"/>
          <w:sz w:val="20"/>
          <w:shd w:fill="FFFFFF" w:val="clear"/>
        </w:rPr>
        <w:t>$39.0 at March 29, 2025 and December 31, 2024 and incur interest at a rate of 5.3%. After such borrowings, minimal capacity to bo</w:t>
      </w:r>
      <w:r>
        <w:rPr>
          <w:rFonts w:ascii="Times New Roman;sans-serif" w:hAnsi="Times New Roman;sans-serif"/>
          <w:b w:val="false"/>
          <w:color w:val="000000"/>
          <w:sz w:val="20"/>
        </w:rPr>
        <w:t xml:space="preserve">rrow against the policies remains. The cash surrender value of our investments in COLI assets, net of the aforementioned borrowing, </w:t>
      </w:r>
      <w:r>
        <w:rPr>
          <w:rFonts w:ascii="Times New Roman;sans-serif" w:hAnsi="Times New Roman;sans-serif"/>
          <w:b w:val="false"/>
          <w:color w:val="000000"/>
          <w:sz w:val="20"/>
          <w:shd w:fill="FFFFFF" w:val="clear"/>
        </w:rPr>
        <w:t>was $36.3 and $36.2 at March 29, 2025 and December 31, 2024, respectively, recorded in “Other assets” on the condensed consolidated ba</w:t>
      </w:r>
      <w:r>
        <w:rPr>
          <w:rFonts w:ascii="Times New Roman;sans-serif" w:hAnsi="Times New Roman;sans-serif"/>
          <w:b w:val="false"/>
          <w:color w:val="000000"/>
          <w:sz w:val="20"/>
        </w:rPr>
        <w:t>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DERIVATIVE FINANCIAL INSTRUMENTS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Swaps </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entered into interest swap agreements (“Initial Swaps”) that covered the period through November 2024, and effectively converted borrowings under our senior credit facilities to a fixed rate of 1.077%, plus the applicable margin. In September 2024, commensurate with an amendment to our senior credit agreement, we entered into additional interest rate swap agreements (“Additional Swaps”). The Additional Swaps have a notional amount of $524.6, cover the period from December 2024 to June 2026, and effectively convert this portion of the borrowings under our senior credit facilities to a fixed rate of 3.58%, plus the applicable margin. We have designated, and are accounting for, our Additional Swaps (and, prior to their maturity, accounted for the Initial Swaps) as cash flow hedges.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29,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the unrealized gain, net of tax, recorded in accumulated other comprehensive income (</w:t>
      </w:r>
      <w:r>
        <w:rPr>
          <w:color w:val="000000"/>
        </w:rPr>
        <w:t>“</w:t>
      </w:r>
      <w:r>
        <w:rPr>
          <w:rFonts w:ascii="Times New Roman;sans-serif" w:hAnsi="Times New Roman;sans-serif"/>
          <w:b w:val="false"/>
          <w:color w:val="000000"/>
          <w:sz w:val="20"/>
          <w:shd w:fill="FFFFFF" w:val="clear"/>
        </w:rPr>
        <w:t>AOCI</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$1.8</w:t>
      </w:r>
      <w:r>
        <w:rPr>
          <w:color w:val="000000"/>
          <w:shd w:fill="FFFFFF" w:val="clear"/>
        </w:rPr>
        <w:t xml:space="preserve"> </w:t>
      </w:r>
      <w:r>
        <w:rPr>
          <w:rFonts w:ascii="Times New Roman;sans-serif" w:hAnsi="Times New Roman;sans-serif"/>
          <w:b w:val="false"/>
          <w:color w:val="000000"/>
          <w:sz w:val="20"/>
          <w:shd w:fill="FFFFFF" w:val="clear"/>
        </w:rPr>
        <w:t xml:space="preserve">and $2.6, respectively. In addition, the fair value of our interest rate swap agreements, was $2.2 recorded as a current asset and $3.4 (with $2.7 recorded as a current asset and $0.7 as a non-current asset) as of </w:t>
      </w:r>
      <w:r>
        <w:rPr>
          <w:rFonts w:ascii="Times New Roman;sans-serif" w:hAnsi="Times New Roman;sans-serif"/>
          <w:b w:val="false"/>
          <w:color w:val="000000"/>
          <w:sz w:val="20"/>
        </w:rPr>
        <w:t>March 29, 2025 and</w:t>
      </w:r>
      <w:r>
        <w:rPr>
          <w:color w:val="000000"/>
          <w:shd w:fill="FFFFFF" w:val="clear"/>
        </w:rPr>
        <w:t xml:space="preserve"> </w:t>
      </w:r>
      <w:r>
        <w:rPr>
          <w:rFonts w:ascii="Times New Roman;sans-serif" w:hAnsi="Times New Roman;sans-serif"/>
          <w:b w:val="false"/>
          <w:color w:val="000000"/>
          <w:sz w:val="20"/>
        </w:rPr>
        <w:t>December 31, 2024, respectively</w:t>
      </w:r>
      <w:r>
        <w:rPr>
          <w:rFonts w:ascii="Times New Roman;sans-serif" w:hAnsi="Times New Roman;sans-serif"/>
          <w:b w:val="false"/>
          <w:color w:val="000000"/>
          <w:sz w:val="20"/>
          <w:shd w:fill="FFFFFF" w:val="clear"/>
        </w:rPr>
        <w:t xml:space="preserve">. Changes in the fair value of our Swaps </w:t>
      </w:r>
      <w:r>
        <w:rPr>
          <w:rFonts w:ascii="Times New Roman;sans-serif" w:hAnsi="Times New Roman;sans-serif"/>
          <w:b w:val="false"/>
          <w:color w:val="000000"/>
          <w:sz w:val="20"/>
        </w:rPr>
        <w:t>are reclassified into earnings, as a component of interest expense, when the forecasted transaction impacts earnings.</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Currency Forward Contracts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Canadian Dollar, and Euro.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 Certain of our FX forward contracts are designated as cash flow hedges. Changes in these derivatives’ fair value are included in AOCI and are reclassified into earnings as a component of revenues or cost of products sold, as applicable, when the forecasted transaction impacts earnings. In addition, if the forecasted transaction is no longer probable, the cumulative change in the derivatives’ fair value is recorded into earnings in the period in which the transaction is no longer considered probable of occurring.</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We had FX forward contracts with an </w:t>
      </w:r>
      <w:r>
        <w:rPr>
          <w:rFonts w:ascii="Times New Roman;sans-serif" w:hAnsi="Times New Roman;sans-serif"/>
          <w:b w:val="false"/>
          <w:color w:val="000000"/>
          <w:sz w:val="20"/>
          <w:shd w:fill="FFFFFF" w:val="clear"/>
        </w:rPr>
        <w:t xml:space="preserve">aggregate notional amount of $23.1 and $22.9 outstanding as of March 29, 2025 and December 31, 2024, respectively, with all of the $23.1 scheduled to mature within one year. There were no unrealized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gains/losses recorded in AOCI related to FX forward contracts designated as cash flow hedges as of March 29, 2025 and December 31, 2024. The fair value of these FX forward contracts was less than $0.1 at March 29, 2025</w:t>
      </w:r>
      <w:r>
        <w:rPr>
          <w:color w:val="000000"/>
        </w:rPr>
        <w:t xml:space="preserve"> </w:t>
      </w:r>
      <w:r>
        <w:rPr>
          <w:rFonts w:ascii="Times New Roman;sans-serif" w:hAnsi="Times New Roman;sans-serif"/>
          <w:b w:val="false"/>
          <w:color w:val="000000"/>
          <w:sz w:val="20"/>
        </w:rPr>
        <w:t>and December 31, 2024.</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we entered FX forward contracts associated with the Settlement Agreement, to mitigate our exposure to fluctuations in the South African Rand, with a notional amount of South African Rand 480.9 (or $24.9 at the time of execution). We designated and accounted for these FX forward contracts as fair value hedges. These FX forward contracts matured during the third quarter of 2024 commensurate with the final payment under the Settlement Agreement. Refer to Note 3 for additional details.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(14)    STOCKHOLDERS' EQUITY AND LONG-TERM INCENTIVE COMPENSATION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Income Per Share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weighted-average shares outstanding used in the computation of basic and diluted income per share:</w:t>
      </w:r>
    </w:p>
    <w:tbl>
      <w:tblPr>
        <w:tblW w:w="9693" w:type="dxa"/>
        <w:jc w:val="left"/>
        <w:tblInd w:w="0" w:type="dxa"/>
        <w:tblLayout w:type="fixed"/>
        <w:tblCellMar>
          <w:top w:w="28" w:type="dxa"/>
          <w:left w:w="28" w:type="dxa"/>
          <w:bottom w:w="28" w:type="dxa"/>
          <w:right w:w="28" w:type="dxa"/>
        </w:tblCellMar>
      </w:tblPr>
      <w:tblGrid>
        <w:gridCol w:w="2621"/>
        <w:gridCol w:w="2299"/>
        <w:gridCol w:w="2310"/>
        <w:gridCol w:w="323"/>
        <w:gridCol w:w="323"/>
        <w:gridCol w:w="286"/>
        <w:gridCol w:w="170"/>
        <w:gridCol w:w="170"/>
        <w:gridCol w:w="170"/>
        <w:gridCol w:w="323"/>
        <w:gridCol w:w="323"/>
        <w:gridCol w:w="375"/>
      </w:tblGrid>
      <w:tr>
        <w:trPr/>
        <w:tc>
          <w:tcPr>
            <w:tcW w:w="2621"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used in basic income per share</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45.828 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securities — Employee stock options and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and dilutive securities used in diluted income per share</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47.122 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46.683 </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weighted-average number of restricted stock units and stock options excluded from the computation of diluted income per share because the assumed proceeds for these instruments exceed the average market value of the underlying common stock for the related period </w:t>
      </w:r>
      <w:r>
        <w:rPr>
          <w:rFonts w:ascii="Times New Roman;sans-serif" w:hAnsi="Times New Roman;sans-serif"/>
          <w:b w:val="false"/>
          <w:color w:val="000000"/>
          <w:sz w:val="20"/>
          <w:shd w:fill="FFFFFF" w:val="clear"/>
        </w:rPr>
        <w:t xml:space="preserve">were </w:t>
      </w:r>
      <w:r>
        <w:rPr>
          <w:rFonts w:ascii="Times New Roman;sans-serif" w:hAnsi="Times New Roman;sans-serif"/>
          <w:b w:val="false"/>
          <w:color w:val="000000"/>
          <w:sz w:val="20"/>
        </w:rPr>
        <w:t>0.114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0.248</w:t>
      </w:r>
      <w:r>
        <w:rPr>
          <w:rFonts w:ascii="Times New Roman;sans-serif" w:hAnsi="Times New Roman;sans-serif"/>
          <w:b w:val="false"/>
          <w:color w:val="000000"/>
          <w:sz w:val="20"/>
          <w:shd w:fill="FFFFFF" w:val="clear"/>
        </w:rPr>
        <w:t>, respectively, for the three months ended March 29, 2025, and 0.123 and 0.321, respectively, for the three months ended March 30,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 Compensation</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incentive compensation awards may be granted to certain eligible employees or non-employee directors. A detailed description of the awards granted prior to 2025 is included in our 2024 Annual Report on Form 10-K.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Awards granted on March 3, 2025 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combined S&amp;P 600 Small Cap Capital Goods Index and S&amp;P 400 Mid Cap Capital Goods Index. Stock options and RSU’s vest ratably over the three-year period subsequent to the date of grant.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Non-employee directors receive annual long-term incentive awards at the time of our annual meeting of stockholders, with the 2025 meeting scheduled for May 13,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 xml:space="preserve">ompensation expense related to long-term incentive awards totaled </w:t>
      </w:r>
      <w:r>
        <w:rPr>
          <w:rFonts w:ascii="Times New Roman;sans-serif" w:hAnsi="Times New Roman;sans-serif"/>
          <w:b w:val="false"/>
          <w:color w:val="000000"/>
          <w:sz w:val="20"/>
        </w:rPr>
        <w:t>$3.7</w:t>
      </w:r>
      <w:r>
        <w:rPr>
          <w:color w:val="000000"/>
          <w:shd w:fill="FFFFFF" w:val="clear"/>
        </w:rPr>
        <w:t xml:space="preserve"> </w:t>
      </w:r>
      <w:r>
        <w:rPr>
          <w:rFonts w:ascii="Times New Roman;sans-serif" w:hAnsi="Times New Roman;sans-serif"/>
          <w:b w:val="false"/>
          <w:color w:val="000000"/>
          <w:sz w:val="20"/>
          <w:shd w:fill="FFFFFF" w:val="clear"/>
        </w:rPr>
        <w:t>and $3.3 for the three months ended March 29, 2025 and March 30, 2024, respectively. The related tax benefit was $0.6 for the three months ended March 29, 2025 and March 30, 2024.</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PSU’s and RSU’s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Monte Carlo simulation model valuation technique to determine the fair value of our restricted stock units that contain a market condition (i.e., the PSU’s). The Monte Carlo simulation model utilizes multiple input variables that determine the probability of satisfying the market condition stipulated in the award and calculates the fair value of each PSU. We issued PSU’s to eligible participants on March 3, 2025 and February 28, 2024. We used the following assumptions in determining the fair value of these awards: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639"/>
        <w:gridCol w:w="1356"/>
        <w:gridCol w:w="1364"/>
        <w:gridCol w:w="307"/>
        <w:gridCol w:w="279"/>
        <w:gridCol w:w="581"/>
        <w:gridCol w:w="109"/>
        <w:gridCol w:w="109"/>
        <w:gridCol w:w="109"/>
        <w:gridCol w:w="269"/>
        <w:gridCol w:w="243"/>
        <w:gridCol w:w="574"/>
        <w:gridCol w:w="109"/>
        <w:gridCol w:w="109"/>
        <w:gridCol w:w="109"/>
        <w:gridCol w:w="349"/>
        <w:gridCol w:w="304"/>
        <w:gridCol w:w="718"/>
        <w:gridCol w:w="109"/>
        <w:gridCol w:w="109"/>
        <w:gridCol w:w="109"/>
        <w:gridCol w:w="278"/>
        <w:gridCol w:w="278"/>
        <w:gridCol w:w="685"/>
      </w:tblGrid>
      <w:tr>
        <w:trPr/>
        <w:tc>
          <w:tcPr>
            <w:tcW w:w="163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Annual Expected</w:t>
              <w:br/>
              <w:t>Stock Price</w:t>
              <w:b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Annual Expected</w:t>
              <w:b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Correlation</w:t>
              <w:br/>
              <w:t>Between Total</w:t>
              <w:br/>
              <w:t>Shareholder</w:t>
              <w:br/>
              <w:t>Return for SPX</w:t>
              <w:br/>
              <w:t>and the</w:t>
              <w:br/>
              <w:t>Applicable</w:t>
              <w:br/>
              <w:t>S&amp;P Index</w:t>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 2025</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SPX</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46.64 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Peer group within S&amp;P 600 Small Cap Capital Goods Index and S&amp;P 400 Mid Cap Capital Goods Index</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February 28, 2024</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SPX</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49.34 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Peer group within S&amp;P 600 Small Cap Capital Goods Index and S&amp;P 400 Mid Cap Capital Goods Index</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Annual expected stock price volatility is based on the three-year historical volatility. There is no annual expected dividend yield as we discontinued dividend payments in 2015 and do not expect to pay dividends for the foreseeable future. The average risk-free interest rate is based on the one-year through three-year daily treasury yield curve rate as of the grant date.</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summarizes the PSU and RSU activity from December 31, 2024 through </w:t>
      </w:r>
      <w:r>
        <w:rPr>
          <w:rFonts w:ascii="Times New Roman;sans-serif" w:hAnsi="Times New Roman;sans-serif"/>
          <w:b w:val="false"/>
          <w:color w:val="000000"/>
          <w:sz w:val="20"/>
          <w:shd w:fill="FFFFFF" w:val="clear"/>
        </w:rPr>
        <w:t>March 29, 2025</w:t>
      </w:r>
      <w:r>
        <w:rPr>
          <w:rFonts w:ascii="Times New Roman;sans-serif" w:hAnsi="Times New Roman;sans-serif"/>
          <w:b w:val="false"/>
          <w:color w:val="000000"/>
          <w:sz w:val="20"/>
        </w:rPr>
        <w:t>:</w:t>
      </w:r>
    </w:p>
    <w:tbl>
      <w:tblPr>
        <w:tblW w:w="8981" w:type="dxa"/>
        <w:jc w:val="left"/>
        <w:tblInd w:w="0" w:type="dxa"/>
        <w:tblLayout w:type="fixed"/>
        <w:tblCellMar>
          <w:top w:w="28" w:type="dxa"/>
          <w:left w:w="28" w:type="dxa"/>
          <w:bottom w:w="28" w:type="dxa"/>
          <w:right w:w="28" w:type="dxa"/>
        </w:tblCellMar>
      </w:tblPr>
      <w:tblGrid>
        <w:gridCol w:w="940"/>
        <w:gridCol w:w="825"/>
        <w:gridCol w:w="830"/>
        <w:gridCol w:w="684"/>
        <w:gridCol w:w="684"/>
        <w:gridCol w:w="687"/>
        <w:gridCol w:w="109"/>
        <w:gridCol w:w="109"/>
        <w:gridCol w:w="109"/>
        <w:gridCol w:w="787"/>
        <w:gridCol w:w="2597"/>
        <w:gridCol w:w="620"/>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Unvested PSU’s 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 Per Share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2024</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0.446 </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79.22 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0.130 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119.88 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(0.202)</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57.41 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(0.002)</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82.67 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March 29, 2025</w:t>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0.372 </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105.13 </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March 29, 2025</w:t>
      </w:r>
      <w:r>
        <w:rPr>
          <w:rFonts w:ascii="Times New Roman;sans-serif" w:hAnsi="Times New Roman;sans-serif"/>
          <w:b w:val="false"/>
          <w:color w:val="000000"/>
          <w:sz w:val="20"/>
        </w:rPr>
        <w:t>, there was $24.1 of unrecognized compensation cost related to PSU’s and RSU’s. We expect this cost to be recognized over a weighted-average period of 2.4 years.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March 3, 2025, we granted 0.044 stock options, all of which were outstanding (but not exercisable) as of </w:t>
      </w:r>
      <w:r>
        <w:rPr>
          <w:rFonts w:ascii="Times New Roman;sans-serif" w:hAnsi="Times New Roman;sans-serif"/>
          <w:b w:val="false"/>
          <w:color w:val="000000"/>
          <w:sz w:val="20"/>
          <w:shd w:fill="FFFFFF" w:val="clear"/>
        </w:rPr>
        <w:t>March 29, 2025</w:t>
      </w:r>
      <w:r>
        <w:rPr>
          <w:rFonts w:ascii="Times New Roman;sans-serif" w:hAnsi="Times New Roman;sans-serif"/>
          <w:b w:val="false"/>
          <w:color w:val="000000"/>
          <w:sz w:val="20"/>
        </w:rPr>
        <w:t>. The exercise price per share of these options is $138.60 and the maximum contractual term of these options is 10 years.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per share of the stock options granted on March 3, 2025 was $61.23. The fair value of each option grant was estimated using the Black-Scholes option-pricing model with the following assumptions:</w:t>
      </w:r>
    </w:p>
    <w:p>
      <w:pPr>
        <w:pStyle w:val="TextBody"/>
        <w:bidi w:val="0"/>
        <w:spacing w:before="0" w:after="0"/>
        <w:jc w:val="left"/>
        <w:rPr/>
      </w:pPr>
      <w:r>
        <w:rPr/>
      </w:r>
    </w:p>
    <w:tbl>
      <w:tblPr>
        <w:tblW w:w="3721" w:type="dxa"/>
        <w:jc w:val="left"/>
        <w:tblInd w:w="0" w:type="dxa"/>
        <w:tblLayout w:type="fixed"/>
        <w:tblCellMar>
          <w:top w:w="28" w:type="dxa"/>
          <w:left w:w="28" w:type="dxa"/>
          <w:bottom w:w="28" w:type="dxa"/>
          <w:right w:w="28" w:type="dxa"/>
        </w:tblCellMar>
      </w:tblPr>
      <w:tblGrid>
        <w:gridCol w:w="1035"/>
        <w:gridCol w:w="910"/>
        <w:gridCol w:w="919"/>
        <w:gridCol w:w="278"/>
        <w:gridCol w:w="278"/>
        <w:gridCol w:w="301"/>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Annual expected stock price volatility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expected dividend yield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life of stock option (in years)</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Annual expected stock price volatility is based on a weighted average of SPX’s stock volatility of the most recent six-year historical volatility of a peer company group. There is no annual expected dividend yield as we discontinued dividend payments in 2015 and do not expect to pay dividends for the foreseeable future. The average risk-free interest rate is based on the five-year and seven-year treasury constant maturity rates. The expected option life is based on a three-year pro-rata vesting schedule and represents the period of time that awards are expected to be outstanding.</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summarizes the stock option activity from December 31, 2024 through </w:t>
      </w:r>
      <w:r>
        <w:rPr>
          <w:rFonts w:ascii="Times New Roman;sans-serif" w:hAnsi="Times New Roman;sans-serif"/>
          <w:b w:val="false"/>
          <w:color w:val="000000"/>
          <w:sz w:val="20"/>
          <w:shd w:fill="FFFFFF" w:val="clear"/>
        </w:rPr>
        <w:t>March 29, 2025</w:t>
      </w:r>
      <w:r>
        <w:rPr>
          <w:rFonts w:ascii="Times New Roman;sans-serif" w:hAnsi="Times New Roman;sans-serif"/>
          <w:b w:val="false"/>
          <w:color w:val="000000"/>
          <w:sz w:val="20"/>
        </w:rPr>
        <w:t>:</w:t>
      </w:r>
    </w:p>
    <w:tbl>
      <w:tblPr>
        <w:tblW w:w="6897" w:type="dxa"/>
        <w:jc w:val="left"/>
        <w:tblInd w:w="0" w:type="dxa"/>
        <w:tblLayout w:type="fixed"/>
        <w:tblCellMar>
          <w:top w:w="28" w:type="dxa"/>
          <w:left w:w="28" w:type="dxa"/>
          <w:bottom w:w="28" w:type="dxa"/>
          <w:right w:w="28" w:type="dxa"/>
        </w:tblCellMar>
      </w:tblPr>
      <w:tblGrid>
        <w:gridCol w:w="1144"/>
        <w:gridCol w:w="1007"/>
        <w:gridCol w:w="1014"/>
        <w:gridCol w:w="314"/>
        <w:gridCol w:w="316"/>
        <w:gridCol w:w="196"/>
        <w:gridCol w:w="109"/>
        <w:gridCol w:w="109"/>
        <w:gridCol w:w="109"/>
        <w:gridCol w:w="556"/>
        <w:gridCol w:w="1583"/>
        <w:gridCol w:w="440"/>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outstanding at December 31, 2024</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43.92 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71.93 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outstanding at March 29, 2025</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59.40 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March 29, 2025</w:t>
      </w:r>
      <w:r>
        <w:rPr>
          <w:rFonts w:ascii="Times New Roman;sans-serif" w:hAnsi="Times New Roman;sans-serif"/>
          <w:b w:val="false"/>
          <w:color w:val="000000"/>
          <w:sz w:val="20"/>
        </w:rPr>
        <w:t>, there was $4.2 of unrecognized compensation cost related to stock options. We expect this cost to be recognized over a weighted-average period of 2.6 years.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Repurchases of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14, 2024, our Board of Directors authorized management, in its sole discretion, to repurchase, in any fiscal year, up to $100.0 of our common stock, subject to maintaining compliance with all covenants of our senior credit agreement. No share repurchases were effected pursuant to this and prior authorizations during the three months ended March 29,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accumulated other comprehensive income, net of tax, for the three months ended March 29, 2025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w:t>
      </w:r>
      <w:r>
        <w:rPr>
          <w:rFonts w:ascii="Times New Roman;sans-serif" w:hAnsi="Times New Roman;sans-serif"/>
          <w:b w:val="false"/>
          <w:color w:val="000000"/>
          <w:sz w:val="18"/>
          <w:shd w:fill="FFFFFF" w:val="clear"/>
        </w:rPr>
        <w:t xml:space="preserve">f </w:t>
      </w:r>
      <w:r>
        <w:rPr>
          <w:rFonts w:ascii="Times New Roman;sans-serif" w:hAnsi="Times New Roman;sans-serif"/>
          <w:b w:val="false"/>
          <w:color w:val="000000"/>
          <w:sz w:val="18"/>
        </w:rPr>
        <w:t>$0.4</w:t>
      </w:r>
      <w:r>
        <w:rPr>
          <w:color w:val="000000"/>
          <w:shd w:fill="FFFFFF" w:val="clear"/>
        </w:rPr>
        <w:t xml:space="preserve"> </w:t>
      </w:r>
      <w:r>
        <w:rPr>
          <w:rFonts w:ascii="Times New Roman;sans-serif" w:hAnsi="Times New Roman;sans-serif"/>
          <w:b w:val="false"/>
          <w:color w:val="000000"/>
          <w:sz w:val="18"/>
          <w:shd w:fill="FFFFFF" w:val="clear"/>
        </w:rPr>
        <w:t>and</w:t>
      </w:r>
      <w:r>
        <w:rPr>
          <w:color w:val="000000"/>
        </w:rPr>
        <w:t xml:space="preserve"> </w:t>
      </w:r>
      <w:r>
        <w:rPr>
          <w:rFonts w:ascii="Times New Roman;sans-serif" w:hAnsi="Times New Roman;sans-serif"/>
          <w:b w:val="false"/>
          <w:color w:val="000000"/>
          <w:sz w:val="18"/>
        </w:rPr>
        <w:t>$0.7 as of March 29, 2025 and December 31, 2024, respectively.</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$0.8 and </w:t>
      </w:r>
      <w:r>
        <w:rPr>
          <w:rFonts w:ascii="Times New Roman;sans-serif" w:hAnsi="Times New Roman;sans-serif"/>
          <w:b w:val="false"/>
          <w:color w:val="000000"/>
          <w:sz w:val="18"/>
          <w:shd w:fill="FFFFFF" w:val="clear"/>
        </w:rPr>
        <w:t>$1.0</w:t>
      </w:r>
      <w:r>
        <w:rPr>
          <w:color w:val="000000"/>
        </w:rPr>
        <w:t xml:space="preserve"> </w:t>
      </w:r>
      <w:r>
        <w:rPr>
          <w:rFonts w:ascii="Times New Roman;sans-serif" w:hAnsi="Times New Roman;sans-serif"/>
          <w:b w:val="false"/>
          <w:color w:val="000000"/>
          <w:sz w:val="18"/>
        </w:rPr>
        <w:t xml:space="preserve">as of March 29, 2025 and December 31, 2024, respectively. The balances as of March 29, 2025 and December 31, 2024 include unamortized prior service credits.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accumulated other comprehensive income, net of tax, for the three months ended March 30, 2024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$1.4 and $1.8 as of March 30, 2024 and December 31, 2023, respectively.</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Net of tax provision of $1.6 and $1.8 as of March 30, 2024 and December 31, 2023, respectively. The balances as of March 30, 2024 and December 31, 2023 include unamortized prior service credits.</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amounts reclassified from each component of accumulated other comprehensive income for the three months ended March 29, 2025 and March 30, 2024:</w:t>
      </w:r>
    </w:p>
    <w:tbl>
      <w:tblPr>
        <w:tblW w:w="10205" w:type="dxa"/>
        <w:jc w:val="left"/>
        <w:tblInd w:w="0" w:type="dxa"/>
        <w:tblLayout w:type="fixed"/>
        <w:tblCellMar>
          <w:top w:w="28" w:type="dxa"/>
          <w:left w:w="28" w:type="dxa"/>
          <w:bottom w:w="28" w:type="dxa"/>
          <w:right w:w="28" w:type="dxa"/>
        </w:tblCellMar>
      </w:tblPr>
      <w:tblGrid>
        <w:gridCol w:w="1455"/>
        <w:gridCol w:w="1253"/>
        <w:gridCol w:w="1257"/>
        <w:gridCol w:w="345"/>
        <w:gridCol w:w="690"/>
        <w:gridCol w:w="192"/>
        <w:gridCol w:w="156"/>
        <w:gridCol w:w="156"/>
        <w:gridCol w:w="156"/>
        <w:gridCol w:w="344"/>
        <w:gridCol w:w="689"/>
        <w:gridCol w:w="195"/>
        <w:gridCol w:w="109"/>
        <w:gridCol w:w="109"/>
        <w:gridCol w:w="109"/>
        <w:gridCol w:w="874"/>
        <w:gridCol w:w="874"/>
        <w:gridCol w:w="1242"/>
      </w:tblGrid>
      <w:tr>
        <w:trPr/>
        <w:tc>
          <w:tcPr>
            <w:tcW w:w="145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Condensed</w:t>
              <w:br/>
              <w:t>Consolidated Statements of Operations</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qualifying cash flow hedges:</w:t>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6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0" w:type="dxa"/>
            <w:gridSpan w:val="3"/>
            <w:tcBorders/>
            <w:vAlign w:val="center"/>
          </w:tcPr>
          <w:p>
            <w:pPr>
              <w:pStyle w:val="TableContents"/>
              <w:bidi w:val="0"/>
              <w:spacing w:before="0" w:after="283"/>
              <w:jc w:val="left"/>
              <w:rPr>
                <w:sz w:val="4"/>
                <w:szCs w:val="4"/>
              </w:rPr>
            </w:pPr>
            <w:r>
              <w:rPr>
                <w:sz w:val="4"/>
                <w:szCs w:val="4"/>
              </w:rPr>
            </w:r>
          </w:p>
        </w:tc>
      </w:tr>
      <w:tr>
        <w:trPr/>
        <w:tc>
          <w:tcPr>
            <w:tcW w:w="396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0" w:type="dxa"/>
            <w:gridSpan w:val="3"/>
            <w:tcBorders/>
            <w:vAlign w:val="center"/>
          </w:tcPr>
          <w:p>
            <w:pPr>
              <w:pStyle w:val="TableContents"/>
              <w:bidi w:val="0"/>
              <w:spacing w:before="0" w:after="283"/>
              <w:jc w:val="left"/>
              <w:rPr>
                <w:sz w:val="4"/>
                <w:szCs w:val="4"/>
              </w:rPr>
            </w:pPr>
            <w:r>
              <w:rPr>
                <w:sz w:val="4"/>
                <w:szCs w:val="4"/>
              </w:rPr>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Swaps</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pension and postretirement items: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 - Pre-tax</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r>
      <w:tr>
        <w:trPr/>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(15)    CONTINGENT LIABILITIES AND OTHER MATTERS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Numerous claims, complaints and proceedings arising in the ordinary course of business have been asserted or are pending against us or certain of our subsidiaries (collectively, “claims”). These claims relate to litigation matters (e.g., class actions, derivative lawsuits and contracts, intellectual property and competitive claims), environmental matters, claims for contingent 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Our recorded liab</w:t>
      </w:r>
      <w:r>
        <w:rPr>
          <w:rFonts w:ascii="Times New Roman;sans-serif" w:hAnsi="Times New Roman;sans-serif"/>
          <w:b w:val="false"/>
          <w:color w:val="000000"/>
          <w:sz w:val="20"/>
        </w:rPr>
        <w:t>ilities related to these matters, primarily associated with environmental matters, totaled $40.3 and $39.9 at March 29, 2025 and December 31, 2024, respectively. Of these amounts, $32.5 and $32.0 are</w:t>
      </w:r>
      <w:r>
        <w:rPr>
          <w:color w:val="000000"/>
          <w:shd w:fill="FFFFFF" w:val="clear"/>
        </w:rPr>
        <w:t xml:space="preserve"> </w:t>
      </w:r>
      <w:r>
        <w:rPr>
          <w:rFonts w:ascii="Times New Roman;sans-serif" w:hAnsi="Times New Roman;sans-serif"/>
          <w:b w:val="false"/>
          <w:color w:val="000000"/>
          <w:sz w:val="20"/>
          <w:shd w:fill="FFFFFF" w:val="clear"/>
        </w:rPr>
        <w:t xml:space="preserve">included in “Other long-term liabilities” within our condensed consolidated balance sheets at </w:t>
      </w:r>
      <w:r>
        <w:rPr>
          <w:rFonts w:ascii="Times New Roman;sans-serif" w:hAnsi="Times New Roman;sans-serif"/>
          <w:b w:val="false"/>
          <w:color w:val="000000"/>
          <w:sz w:val="20"/>
        </w:rPr>
        <w:t>March 29,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w:t>
      </w:r>
      <w:r>
        <w:rPr>
          <w:rFonts w:ascii="Times New Roman;sans-serif" w:hAnsi="Times New Roman;sans-serif"/>
          <w:b w:val="false"/>
          <w:color w:val="000000"/>
          <w:sz w:val="20"/>
        </w:rPr>
        <w:t>required to adjust these liabilities in the future, which could result in charges to earnings. These variances relative to current expectations could have a material impact on our financial position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Large Power Projects in South Africa</w:t>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5, 2021, DBT received payment of $6.7 on bonds issued in support of performance by one of DBT’s subcontractors that is currently in liquidation. The subcontractor or liquidator maintain rights to seek recovery of such amount and, thus, the amount received by DBT has not been reflected in our condensed consolidated statements of operations.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Resolution of Dispute with Former Representative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18, 2024, a jury ruled that one of our businesses within the Detection and Measurement reportable segment had breached its contract and implied duties of good faith and fair dealings in connection with an agreement entered into with a former representative. On January 26, 2024, we negotiated a settlement requiring a payment, paid during the first quarter of 2024, to the former representative of $9.0 to resolve all claims related to the matter.</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Litigation Matters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give assurance that these proceedings or claims will not have a material effect on our financial position, results of operations or cash flows.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16</w:t>
      </w:r>
      <w:r>
        <w:rPr>
          <w:color w:val="000000"/>
          <w:shd w:fill="FFFFFF" w:val="clear"/>
        </w:rPr>
        <w:t xml:space="preserve"> </w:t>
      </w:r>
      <w:r>
        <w:rPr>
          <w:rFonts w:ascii="Times New Roman;sans-serif" w:hAnsi="Times New Roman;sans-serif"/>
          <w:b w:val="false"/>
          <w:color w:val="000000"/>
          <w:sz w:val="20"/>
        </w:rPr>
        <w:t>sites, that we own or control, as of March 29,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December 31, 2024.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changes in our allocation of shared remediation costs, or alteration to the expected remediation plans. It is our policy to revise an estimate once it becomes probable and the amount of change can be reasonably estimated. We generally do not discount our environmental accruals and do not reduce them by anticipated insurance, litigation or other recoveries. We take into account third-party indemnification from financially viable parties in determining our accruals where there is no dispute regarding the right to indemnification.</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contamination at offsite, third-party disposal sites, as of March 29, 2025 and December 31, 2024,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and we estimate that our aggregate liability, if any, related to these sites is not material to our condensed consolidated financial statements.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after considering accruals established for such purposes of $27.7 and $27.4 at March 29, 2025 and December 31, 2024, respectively, the cost of remedial actions for compliance with the present laws and regulations governing the protection of the environment are not expected to have a material impact, individually or in the aggregate, on our financial position, results of operations or cash flows. That said, we cannot provide assurance that new matters, developments, laws and regulations, or stricter interpretations of existing laws and regulations will not materially affect our business or operations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Self-Insured Risk Management Matters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loss exposures.</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(16)</w:t>
      </w:r>
      <w:r>
        <w:rPr>
          <w:color w:val="000000"/>
        </w:rPr>
        <w:t>    </w:t>
      </w:r>
      <w:r>
        <w:rPr>
          <w:rFonts w:ascii="Times New Roman;sans-serif" w:hAnsi="Times New Roman;sans-serif"/>
          <w:b/>
          <w:color w:val="000000"/>
          <w:sz w:val="20"/>
        </w:rPr>
        <w:t>INCOME AND OTHER TAXES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Uncertain Tax Benefits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As of March 29, 2025</w:t>
      </w:r>
      <w:r>
        <w:rPr>
          <w:rFonts w:ascii="Times New Roman;sans-serif" w:hAnsi="Times New Roman;sans-serif"/>
          <w:b w:val="false"/>
          <w:color w:val="000000"/>
          <w:sz w:val="20"/>
          <w:shd w:fill="FFFFFF" w:val="clear"/>
        </w:rPr>
        <w:t>, we had gross and net unrecognized tax benefi</w:t>
      </w:r>
      <w:r>
        <w:rPr>
          <w:rFonts w:ascii="Times New Roman;sans-serif" w:hAnsi="Times New Roman;sans-serif"/>
          <w:b w:val="false"/>
          <w:color w:val="000000"/>
          <w:sz w:val="20"/>
        </w:rPr>
        <w:t>ts of $3.1. All of these net unrecognized tax benefits would impact our effective tax rate from continuing operations if recognized.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interest and penalties related to unrecognized tax benefits as a component of our income tax provision. As of March 29, 2025, gross accrued interest totaled $1.5 (net accrued interest of $1.4). As of March 29, 2025, we had no accrual for penalties included in our unrecognized tax benefits.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outcome of certain examinations or as a result of the expiration of statutes of limitations for certain jurisdictions, we do not believe that within the next 12 months our previously unrecognized tax benefits will decrease by a material amount. The previously unrecognized tax benefits relate to a variety of tax matters including transfer pricing and various foreign matters.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Organization for Economic Co-operation and Development (“OECD”) Pillar Two Model Rules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OECD issued model rules for a new global minimum tax framework (“Pillar Two”), and various governments around the world have issued, or are in the process of issuing, legislation to implement these rules. We are within the scope of the OECD Pillar Two model rules and continue to assess the impact thereof. As of March 29, 2025 and December 31, 2024, we had $2.0 and $1.8, respectively, accrued related to these taxes.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Other Tax Matters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29, 2025, we recorded an income tax provision of $6.2 on $57.9 of pre-tax income from continuing operations, resulting in an effective rate of 10.7%. This compares to an income tax provision for the three months ended March 30, 2024 of $1.9 on $51.1 of pre-tax income from continuing operations, resulting in an effective rate of 3.7%. The most significant item impacting the income tax provision for the first quarters of 2025 and 2024 was $8.5 and $10.9, respectively, of excess tax benefits resulting from stock-based compensation awards that vested and/or were exercised during the periods.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income tax returns are subject to examination for a period of three years after filing the return. We are not currently under examination by the Internal Revenue Service and believe any contingencies in open years are adequately provided for.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have various foreign income tax returns under examination. We believe that any uncertain tax positions related to these examinations have been adequately provided for.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unfavorable resolution of one or more of the above matters could have a material impact on our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FAIR VALUE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1 — Quoted prices for identical instruments in active markets.</w:t>
      </w:r>
    </w:p>
    <w:p>
      <w:pPr>
        <w:pStyle w:val="TextBody"/>
        <w:bidi w:val="0"/>
        <w:spacing w:lineRule="auto" w:line="288" w:before="0" w:after="200"/>
        <w:ind w:left="0" w:right="0" w:hanging="720"/>
        <w:jc w:val="both"/>
        <w:rPr/>
      </w:pPr>
      <w:r>
        <w:rPr>
          <w:color w:val="000000"/>
        </w:rPr>
        <w:t>•</w:t>
      </w: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3 — Significant inputs to the valuation model are unobservable.</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There were no changes during the periods presented to the valuation techniques we use to measure asset and liability fair values on a recurring or nonrecurring basis. There were no transfers between the three levels of the fair value hierarchy for the periods pres</w:t>
      </w:r>
      <w:r>
        <w:rPr>
          <w:rFonts w:ascii="Times New Roman;sans-serif" w:hAnsi="Times New Roman;sans-serif"/>
          <w:b w:val="false"/>
          <w:color w:val="000000"/>
          <w:sz w:val="20"/>
          <w:shd w:fill="FFFFFF" w:val="clear"/>
        </w:rPr>
        <w:t>ented.</w:t>
      </w:r>
    </w:p>
    <w:p>
      <w:pPr>
        <w:pStyle w:val="TextBody"/>
        <w:bidi w:val="0"/>
        <w:spacing w:lineRule="auto" w:line="288" w:before="160" w:after="160"/>
        <w:ind w:left="0" w:right="0" w:firstLine="720"/>
        <w:jc w:val="both"/>
        <w:rPr/>
      </w:pPr>
      <w:r>
        <w:rPr>
          <w:rFonts w:ascii="Times New Roman;sans-serif" w:hAnsi="Times New Roman;sans-serif"/>
          <w:b w:val="false"/>
          <w:i/>
          <w:color w:val="000000"/>
          <w:sz w:val="20"/>
        </w:rPr>
        <w:t>Goodwill, Indefinite-Lived Intangible and Other Long-Lived Assets</w:t>
      </w:r>
      <w:r>
        <w:rPr>
          <w:color w:val="000000"/>
        </w:rPr>
        <w:t xml:space="preserve"> — </w:t>
      </w:r>
      <w:r>
        <w:rPr>
          <w:rFonts w:ascii="Times New Roman;sans-serif" w:hAnsi="Times New Roman;sans-serif"/>
          <w:b w:val="false"/>
          <w:color w:val="000000"/>
          <w:sz w:val="20"/>
        </w:rPr>
        <w:t xml:space="preserve">Certain of our non-financial assets are subject to impairment analysis, including 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resulting asset impairments result in the asset being recorded at its fair value. Based on the inputs used in the impairment analyses, these assets are classified within Level 3 of the valuation hierarchy. </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Derivative Financial Instruments —</w:t>
      </w:r>
      <w:r>
        <w:rPr>
          <w:color w:val="000000"/>
        </w:rPr>
        <w:t xml:space="preserve"> </w:t>
      </w:r>
      <w:r>
        <w:rPr>
          <w:rFonts w:ascii="Times New Roman;sans-serif" w:hAnsi="Times New Roman;sans-serif"/>
          <w:b w:val="false"/>
          <w:color w:val="000000"/>
          <w:sz w:val="20"/>
        </w:rPr>
        <w:t>Our financial derivative assets and liabilities include interest rate swaps and FX forward contracts, and are valued using valuation models based on observable market inputs such as forward rates, inte</w:t>
      </w:r>
      <w:r>
        <w:rPr>
          <w:rFonts w:ascii="Times New Roman;sans-serif" w:hAnsi="Times New Roman;sans-serif"/>
          <w:b w:val="false"/>
          <w:color w:val="000000"/>
          <w:sz w:val="20"/>
          <w:shd w:fill="FFFFFF" w:val="clear"/>
        </w:rPr>
        <w:t>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and interest rate swap agreements, we consider the markets for our fair value instruments active. We primarily use the income approach, which uses valuation techniques to convert future amounts to a single present amount.</w:t>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29, 2025, there has been no significant impact to the fair value of our derivative liabilities due to our own credit risk, as the related instruments are collateralized under our senior credit facilities. Similarly, there has been no significant impact to the fair value of our derivative assets based on our evaluation of our counterparties’ credit risks.</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Equity Security</w:t>
      </w:r>
      <w:r>
        <w:rPr>
          <w:color w:val="000000"/>
          <w:shd w:fill="FFFFFF" w:val="clear"/>
        </w:rPr>
        <w:t xml:space="preserve"> — </w:t>
      </w:r>
      <w:r>
        <w:rPr>
          <w:rFonts w:ascii="Times New Roman;sans-serif" w:hAnsi="Times New Roman;sans-serif"/>
          <w:b w:val="false"/>
          <w:color w:val="000000"/>
          <w:sz w:val="20"/>
          <w:shd w:fill="FFFFFF" w:val="clear"/>
        </w:rPr>
        <w:t xml:space="preserve">We estimate the fair value of an equity security that we hold utilizing a practical expedient under existing guidance, with such estimated fair value based on our ownership percentage applied to the net asset value as provided quarterly by the investee. Based on these inputs, the equity security is classified within Level 3 of the valuation hierarchy. During the first quarter, the net asset value is updated based on the investee’s most recent audited financial statements. During the three months ended March 29, 2025 and </w:t>
      </w:r>
      <w:r>
        <w:rPr>
          <w:rFonts w:ascii="Times New Roman;sans-serif" w:hAnsi="Times New Roman;sans-serif"/>
          <w:b w:val="false"/>
          <w:color w:val="000000"/>
          <w:sz w:val="20"/>
        </w:rPr>
        <w:t>March 30, 2024</w:t>
      </w:r>
      <w:r>
        <w:rPr>
          <w:rFonts w:ascii="Times New Roman;sans-serif" w:hAnsi="Times New Roman;sans-serif"/>
          <w:b w:val="false"/>
          <w:color w:val="000000"/>
          <w:sz w:val="20"/>
          <w:shd w:fill="FFFFFF" w:val="clear"/>
        </w:rPr>
        <w:t>, we recorded a gain o</w:t>
      </w:r>
      <w:r>
        <w:rPr>
          <w:rFonts w:ascii="Times New Roman;sans-serif" w:hAnsi="Times New Roman;sans-serif"/>
          <w:b w:val="false"/>
          <w:color w:val="000000"/>
          <w:sz w:val="20"/>
        </w:rPr>
        <w:t xml:space="preserve">f $4.5 and a loss of $4.2, respectively, to </w:t>
      </w:r>
      <w:r>
        <w:rPr>
          <w:color w:val="000000"/>
        </w:rPr>
        <w:t>“</w:t>
      </w:r>
      <w:r>
        <w:rPr>
          <w:rFonts w:ascii="Times New Roman;sans-serif" w:hAnsi="Times New Roman;sans-serif"/>
          <w:b w:val="false"/>
          <w:color w:val="000000"/>
          <w:sz w:val="20"/>
        </w:rPr>
        <w:t>Other income (expense), net</w:t>
      </w:r>
      <w:r>
        <w:rPr>
          <w:color w:val="000000"/>
        </w:rPr>
        <w:t xml:space="preserve">” </w:t>
      </w:r>
      <w:r>
        <w:rPr>
          <w:rFonts w:ascii="Times New Roman;sans-serif" w:hAnsi="Times New Roman;sans-serif"/>
          <w:b w:val="false"/>
          <w:color w:val="000000"/>
          <w:sz w:val="20"/>
        </w:rPr>
        <w:t>to reflect the change in the estimated fair value of the equity security. As of March 29, 2025 and December 31, 2024, the equity security had an estimated fair value of $39.7 and $35.2, resp</w:t>
      </w:r>
      <w:r>
        <w:rPr>
          <w:rFonts w:ascii="Times New Roman;sans-serif" w:hAnsi="Times New Roman;sans-serif"/>
          <w:b w:val="false"/>
          <w:color w:val="000000"/>
          <w:sz w:val="20"/>
          <w:shd w:fill="FFFFFF" w:val="clear"/>
        </w:rPr>
        <w:t>ectively. We are restricted from transferring this investment without approval of the manager of the investee.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Indebtedness and Other</w:t>
      </w:r>
      <w:r>
        <w:rPr>
          <w:color w:val="000000"/>
        </w:rPr>
        <w:t xml:space="preserve"> — </w:t>
      </w:r>
      <w:r>
        <w:rPr>
          <w:rFonts w:ascii="Times New Roman;sans-serif" w:hAnsi="Times New Roman;sans-serif"/>
          <w:b w:val="false"/>
          <w:color w:val="000000"/>
          <w:sz w:val="20"/>
        </w:rPr>
        <w:t>The estimated fair value of our debt instruments as of March 29, 2025 and December 31, 2024 approximated the related carrying values due primarily to the variable market-based interest rates for such instruments. Se</w:t>
      </w:r>
      <w:r>
        <w:rPr>
          <w:rFonts w:ascii="Times New Roman;sans-serif" w:hAnsi="Times New Roman;sans-serif"/>
          <w:b w:val="false"/>
          <w:color w:val="000000"/>
          <w:sz w:val="20"/>
          <w:shd w:fill="FFFFFF" w:val="clear"/>
        </w:rPr>
        <w:t>e Note 12 f</w:t>
      </w:r>
      <w:r>
        <w:rPr>
          <w:rFonts w:ascii="Times New Roman;sans-serif" w:hAnsi="Times New Roman;sans-serif"/>
          <w:b w:val="false"/>
          <w:color w:val="000000"/>
          <w:sz w:val="20"/>
        </w:rPr>
        <w:t>or further details.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(18)    SUBSEQUENT EVENT</w:t>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April 15, 2025, we completed the acquisition of Sigma Heating and Cooling and Omega Heat Pump (“</w:t>
      </w:r>
      <w:r>
        <w:rPr>
          <w:rFonts w:ascii="Times New Roman;sans-serif" w:hAnsi="Times New Roman;sans-serif"/>
          <w:b w:val="false"/>
          <w:color w:val="000000"/>
          <w:sz w:val="20"/>
        </w:rPr>
        <w:t>Sigma &amp; Omega</w:t>
      </w:r>
      <w:r>
        <w:rPr>
          <w:color w:val="000000"/>
          <w:shd w:fill="FFFFFF" w:val="clear"/>
        </w:rPr>
        <w:t>”</w:t>
      </w:r>
      <w:r>
        <w:rPr>
          <w:rFonts w:ascii="Times New Roman;sans-serif" w:hAnsi="Times New Roman;sans-serif"/>
          <w:b w:val="false"/>
          <w:color w:val="000000"/>
          <w:sz w:val="20"/>
          <w:shd w:fill="FFFFFF" w:val="clear"/>
        </w:rPr>
        <w:t>) which specialize in highly engineered hydronic heating and cooling equipment, including vertical stack heat pumps and fan coils, institutional heating products, and both air-cooled and water-cooled commercial self-contained units. We purchased</w:t>
      </w:r>
      <w:r>
        <w:rPr>
          <w:color w:val="000000"/>
        </w:rPr>
        <w:t xml:space="preserve"> </w:t>
      </w:r>
      <w:r>
        <w:rPr>
          <w:rFonts w:ascii="Times New Roman;sans-serif" w:hAnsi="Times New Roman;sans-serif"/>
          <w:b w:val="false"/>
          <w:color w:val="000000"/>
          <w:sz w:val="20"/>
        </w:rPr>
        <w:t>Sigma &amp; Omega for n</w:t>
      </w:r>
      <w:r>
        <w:rPr>
          <w:rFonts w:ascii="Times New Roman;sans-serif" w:hAnsi="Times New Roman;sans-serif"/>
          <w:b w:val="false"/>
          <w:color w:val="000000"/>
          <w:sz w:val="20"/>
          <w:shd w:fill="FFFFFF" w:val="clear"/>
        </w:rPr>
        <w:t>et cash consideration of approximately $144.0. The acquisition was funded primarily through cash, supplemented by borrowings on our revolving credit facilities under our senior credit agreement. The post-acquisition operating results of Sigma &amp; Omega will be reflected within our HVAC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2. Management’s Discussion and Analysis of Financial Condition and Results of Operations</w:t>
      </w:r>
      <w:r>
        <w:rPr>
          <w:color w:val="000000"/>
        </w:rPr>
        <w:t xml:space="preserve"> </w:t>
      </w:r>
      <w:r>
        <w:rPr>
          <w:rFonts w:ascii="Times New Roman;sans-serif" w:hAnsi="Times New Roman;sans-serif"/>
          <w:b/>
          <w:color w:val="000000"/>
          <w:sz w:val="20"/>
        </w:rPr>
        <w:t>(in millions)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and Section 27A of the Securities Act of 1933, as amended.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our markets; changes in anticipated capital investment and maintenance expenditures by customers; changes in economic conditions in relevant global and North American markets, including as a result of the imposition, or threat of imposition, of tariffs, such as the significant tariffs announced by the U.S. government in 2025, including the broad tariffs announced in April 2025, and retaliatory tariffs announced in response thereto and other trade barriers or geopolitical conflicts; availability, limitations or cost increases of raw materials and/or commodities, including as a result of new or increased tariffs, as well as the potential impact of retaliatory tariffs and other penalties that cannot be recovered in product pricing; the impact of competition on profit margins and our ability to maintain or increase market share;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our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our business, including regulatory changes; uncertainties with respect to our ability to identify acceptable acquisition targets; uncertainties surrounding timing and successful completion of acquisition or disposition transactions, including with respect to integrating acquisitions and achieving cost savings, synergistic sales or other benefits from acquisitions, including from the acquisition of Sigma &amp; Omega; the impact of retained liabilities of disposed businesses; potential labor disputes; and extreme weather conditions and natural and other disasters. These and other risks and uncertainties are further discussed in other sections of this document. These statements are only predictions. Actual events or results may differ materially because of market conditions in our industries or other factors, and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the forward-looking statements are qualified in their entirety by reference to the factors discussed under the heading “Risk Factors” in our 2024 Annual Report on Form 10-K, in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risk factors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to update or publicly revise any forward-looking statements, except to the extent we are legally required to update or publicly revise any forward-looking statements to reflect events or circumstances that arise after the date of this document.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IMPACTS OF TARIFFS AND OTHER COST INCREASES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 2025, the U.S. government announced, and subsequently amended, significant additional tariffs on goods imported to the U.S. In response, certain governments, including China and Canada, announced significant retaliatory tariffs on goods imported from the U.S. We continue to analyze the impact of these tariffs, and any reciprocal tariffs, on our business. While we do not expect these new tariffs to have a direct material impact on our results of operations in fiscal year 2025, we are unable to determine the full extent or duration at this time, as well as the impact of such tariffs on general economic conditions in relevant global and North American markets. We believe that our diverse set of businesses, along with our strong balance sheet and available liquidity, position us well to manage the direct adverse impacts of the tariffs. We have taken actions to manage near-term costs and cash flows, and implemented actions to address potential material sourcing challenges we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face over the near-term. Lastly, we will continue to assess the actual and expected impacts of the tariffs and the need for further actions.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POTENTIAL IMPACTS OF GEOPOLITICAL CONFLICTS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Ongoing geopolitical conflicts, and governmental actions implemented in response to these conflicts, did not have a significant adverse impact on our operating results during the three months ended March 29, 2025 and March 30, 2024. We are monitoring the availability of certain raw materials that are supplied by businesses in the countries impacted by these conflicts. However, at this time, we do not expect the potential impact to be material to our operating results. These conflicts have created additional demand for certain products within our communication technologies business. The longer-term impact of these global events on our business is currently unknown due to the uncertainty around their duration and broader impact.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OTHER SIGNIFICANT MATTERS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Ingénia Technologies Inc. (“Ingénia”)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Acquired on February 7, 2024 for cash consideration of $292.0, net of (i) an adjustment to the purchase price of $2.1 received during the third quarter of 2024 related to acquired working capital and (ii) cash acquired of $1.5.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Ingénia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Kranze Technology Solutions, Inc. (“KTS”)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Acquired on January 27, 2025 for cash consideration of $342.4, inclusive of amounts related to future service obligations of certain existing employees of $</w:t>
      </w:r>
      <w:r>
        <w:rPr>
          <w:rFonts w:ascii="Times New Roman;sans-serif" w:hAnsi="Times New Roman;sans-serif"/>
          <w:b w:val="false"/>
          <w:color w:val="000000"/>
          <w:sz w:val="20"/>
          <w:shd w:fill="FFFFFF" w:val="clear"/>
        </w:rPr>
        <w:t>46.5</w:t>
      </w:r>
      <w:r>
        <w:rPr>
          <w:rFonts w:ascii="Times New Roman;sans-serif" w:hAnsi="Times New Roman;sans-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purchase price is subject to adjustment based upon the final settlement of working capital and cash as of the date of acquisition.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Post-acquisition operating results of KTS are included within our Detection and Measurement reportable segment.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See Note 3 to our condensed consolidated financial statements for additional details.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Changes in Estimated Fair Value of an Equity Security</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recorded a ga</w:t>
      </w:r>
      <w:r>
        <w:rPr>
          <w:rFonts w:ascii="Times New Roman;sans-serif" w:hAnsi="Times New Roman;sans-serif"/>
          <w:b w:val="false"/>
          <w:color w:val="000000"/>
          <w:sz w:val="20"/>
        </w:rPr>
        <w:t>in of $4.5 and a loss of $4.2 during the three months ended March 29, 2025 and March 30, 2024, respectively.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17 to our condensed consolidated financial statements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OVERVIEW OF OPERATING RESULTS</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Revenues for the three months ended March 29, 2025 totaled $482.6, compared to $465.2 during the respective period in 2024. The</w:t>
      </w:r>
      <w:r>
        <w:rPr>
          <w:color w:val="000000"/>
          <w:shd w:fill="FFFFFF" w:val="clear"/>
        </w:rPr>
        <w:t xml:space="preserve"> </w:t>
      </w:r>
      <w:r>
        <w:rPr>
          <w:rFonts w:ascii="Times New Roman;sans-serif" w:hAnsi="Times New Roman;sans-serif"/>
          <w:b w:val="false"/>
          <w:color w:val="000000"/>
          <w:sz w:val="20"/>
          <w:shd w:fill="FFFFFF" w:val="clear"/>
        </w:rPr>
        <w:t xml:space="preserve">increase </w:t>
      </w:r>
      <w:r>
        <w:rPr>
          <w:rFonts w:ascii="Times New Roman;sans-serif" w:hAnsi="Times New Roman;sans-serif"/>
          <w:b w:val="false"/>
          <w:color w:val="000000"/>
          <w:sz w:val="20"/>
        </w:rPr>
        <w:t xml:space="preserve">in revenues during the three months ended March 29, 2025, compared to the respective prior-year period, was due primarily to </w:t>
      </w:r>
      <w:r>
        <w:rPr>
          <w:rFonts w:ascii="Times New Roman;sans-serif" w:hAnsi="Times New Roman;sans-serif"/>
          <w:b w:val="false"/>
          <w:color w:val="000000"/>
          <w:sz w:val="20"/>
          <w:shd w:fill="FFFFFF" w:val="clear"/>
        </w:rPr>
        <w:t>(i) inorganic revenue growth resulting from the Ingénia and KTS acquisitions (within the HVAC and Detection and Measurement reportable segments, respectively) and (ii) organic revenue growth within the HVAC reportable segment, partially offset by an organic revenue decline within the Detection and Measurement reportable segment. The organic revenue growth within the HVAC reportable segment was due primarily to</w:t>
      </w:r>
      <w:r>
        <w:rPr>
          <w:color w:val="000000"/>
        </w:rPr>
        <w:t xml:space="preserve"> </w:t>
      </w:r>
      <w:r>
        <w:rPr>
          <w:rFonts w:ascii="Times New Roman;sans-serif" w:hAnsi="Times New Roman;sans-serif"/>
          <w:b w:val="false"/>
          <w:color w:val="000000"/>
          <w:sz w:val="20"/>
        </w:rPr>
        <w:t xml:space="preserve">higher volumes of heating products associated with unseasonably warm winter conditions prevalent in the relevant end markets during the first quarter of 2024. </w:t>
      </w:r>
      <w:r>
        <w:rPr>
          <w:rFonts w:ascii="Times New Roman;sans-serif" w:hAnsi="Times New Roman;sans-serif"/>
          <w:b w:val="false"/>
          <w:color w:val="000000"/>
          <w:sz w:val="20"/>
          <w:shd w:fill="FFFFFF" w:val="clear"/>
        </w:rPr>
        <w:t xml:space="preserve">The organic revenue decline within the Detection and Measurement reportable segment was due primarily to </w:t>
      </w:r>
      <w:r>
        <w:rPr>
          <w:rFonts w:ascii="Times New Roman;sans-serif" w:hAnsi="Times New Roman;sans-serif"/>
          <w:b w:val="false"/>
          <w:color w:val="000000"/>
          <w:sz w:val="20"/>
        </w:rPr>
        <w:t>lower volumes within (i) our aids to navigation project business, and (ii) our inspection and rehabilitation business due primarily to the timing of shipments of inspection products. These declines were partially offset by higher project volumes within our communication technologies business</w:t>
      </w:r>
      <w:r>
        <w:rPr>
          <w:rFonts w:ascii="Times New Roman;sans-serif" w:hAnsi="Times New Roman;sans-serif"/>
          <w:b w:val="false"/>
          <w:color w:val="000000"/>
          <w:sz w:val="20"/>
          <w:shd w:fill="FFFFFF" w:val="clear"/>
        </w:rPr>
        <w:t>. Volumes within our project businesses, primarily within our communication technologies, aids to navigation, and transportation systems businesses, can vary from period to period based on the timing of project execution.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During the three months ended March 29, 2025, we generated operating income of $</w:t>
      </w:r>
      <w:r>
        <w:rPr>
          <w:rFonts w:ascii="Times New Roman;sans-serif" w:hAnsi="Times New Roman;sans-serif"/>
          <w:b w:val="false"/>
          <w:color w:val="000000"/>
          <w:sz w:val="20"/>
          <w:shd w:fill="FFFFFF" w:val="clear"/>
        </w:rPr>
        <w:t>66.6</w:t>
      </w:r>
      <w:r>
        <w:rPr>
          <w:rFonts w:ascii="Times New Roman;sans-serif" w:hAnsi="Times New Roman;sans-serif"/>
          <w:b w:val="false"/>
          <w:color w:val="000000"/>
          <w:sz w:val="20"/>
        </w:rPr>
        <w:t>, compared to $64.6 for the r</w:t>
      </w:r>
      <w:r>
        <w:rPr>
          <w:rFonts w:ascii="Times New Roman;sans-serif" w:hAnsi="Times New Roman;sans-serif"/>
          <w:b w:val="false"/>
          <w:color w:val="000000"/>
          <w:sz w:val="20"/>
          <w:shd w:fill="FFFFFF" w:val="clear"/>
        </w:rPr>
        <w:t>espective period in 2024. The increase in operating income during the three months ended March 29, 2025 was due primarily to higher income from our HVAC and Detection and Measurement reportable segments of $10.7, collectively, partially offset by increases in intangible asset amortization expense of $4.9 and acquisition-related costs of $3.8, primarily related to the KTS and Ingénia acquisitions. The increase in income for our HVAC reportable segment was primarily due to the revenue growth mentioned above. The increase in income for our Detection and Measurement reportable segment was due primarily to (i) favorable product mix, primarily within our communication technologies business, and (ii) the acquisition of KTS. These increases were partially offset by the impact of the organic revenue decline mentioned above.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Cash flows used in operating activities associated with continuing operations totaled $10.4</w:t>
      </w:r>
      <w:r>
        <w:rPr>
          <w:color w:val="000000"/>
        </w:rPr>
        <w:t xml:space="preserve"> </w:t>
      </w:r>
      <w:r>
        <w:rPr>
          <w:rFonts w:ascii="Times New Roman;sans-serif" w:hAnsi="Times New Roman;sans-serif"/>
          <w:b w:val="false"/>
          <w:color w:val="000000"/>
          <w:sz w:val="20"/>
        </w:rPr>
        <w:t xml:space="preserve">for the three months ended March 29, 2025, compared to cash flows from operating activities of $10.7 during the three months ended March 30, 2024. </w:t>
      </w:r>
      <w:r>
        <w:rPr>
          <w:rFonts w:ascii="Times New Roman;sans-serif" w:hAnsi="Times New Roman;sans-serif"/>
          <w:b w:val="false"/>
          <w:color w:val="000000"/>
          <w:sz w:val="20"/>
          <w:shd w:fill="FFFFFF" w:val="clear"/>
        </w:rPr>
        <w:t xml:space="preserve">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decrease in cash flows from operating activities was due primarily to amounts paid into an escrow account in connection with the KTS acquisition related to future service obligations of certain employees totaling </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46.5 as required by the acquisition agreement, partially offset by (i) the increase in income, exclusive of the non-cash expenses incurred during the respective periods, discussed above and (ii) a payment, during the three months ended March 28, 2024, related to the resolution of a dispute with a former representative at one of our businesses within the Detection and Measurement reportable segment of $9.0.</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CONTINUING OPERATIONS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information included in this Quarterly Report on Form 10-Q should be read in conjunction with the consolidated financial statements contained in our 2024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2025 are March 29, June 28, and September 27, compared to the respective March 30, June 29, and September 28, 2024 dates. We had two less days in the first quarter of 2025 and will have one more day in the fourth quarter of 2025 than in the respective 2024 periods. </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 xml:space="preserve">Cyclicality of End Markets, Seasonality and Competition </w:t>
      </w:r>
      <w:r>
        <w:rPr>
          <w:color w:val="000000"/>
        </w:rPr>
        <w:t xml:space="preserve">— </w:t>
      </w:r>
      <w:r>
        <w:rPr>
          <w:rFonts w:ascii="Times New Roman;sans-serif" w:hAnsi="Times New Roman;sans-serif"/>
          <w:b w:val="false"/>
          <w:color w:val="000000"/>
          <w:sz w:val="20"/>
        </w:rPr>
        <w:t>The financial results of our businesses closely follow changes in the industries in 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20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financial information for the three months ended March 29, 2025 and March 30, 2024:</w:t>
      </w:r>
    </w:p>
    <w:tbl>
      <w:tblPr>
        <w:tblW w:w="7670" w:type="dxa"/>
        <w:jc w:val="left"/>
        <w:tblInd w:w="0" w:type="dxa"/>
        <w:tblLayout w:type="fixed"/>
        <w:tblCellMar>
          <w:top w:w="28" w:type="dxa"/>
          <w:left w:w="28" w:type="dxa"/>
          <w:bottom w:w="28" w:type="dxa"/>
          <w:right w:w="28" w:type="dxa"/>
        </w:tblCellMar>
      </w:tblPr>
      <w:tblGrid>
        <w:gridCol w:w="1472"/>
        <w:gridCol w:w="1295"/>
        <w:gridCol w:w="1297"/>
        <w:gridCol w:w="196"/>
        <w:gridCol w:w="556"/>
        <w:gridCol w:w="256"/>
        <w:gridCol w:w="109"/>
        <w:gridCol w:w="109"/>
        <w:gridCol w:w="109"/>
        <w:gridCol w:w="196"/>
        <w:gridCol w:w="556"/>
        <w:gridCol w:w="256"/>
        <w:gridCol w:w="109"/>
        <w:gridCol w:w="109"/>
        <w:gridCol w:w="109"/>
        <w:gridCol w:w="278"/>
        <w:gridCol w:w="278"/>
        <w:gridCol w:w="380"/>
      </w:tblGrid>
      <w:tr>
        <w:trPr/>
        <w:tc>
          <w:tcPr>
            <w:tcW w:w="147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Organic</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1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Not meaningful for comparison purposes.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shd w:fill="FFFFFF" w:val="clear"/>
        </w:rPr>
        <w:t>March 29, 2025</w:t>
      </w:r>
      <w:r>
        <w:rPr>
          <w:rFonts w:ascii="Times New Roman;sans-serif" w:hAnsi="Times New Roman;sans-serif"/>
          <w:b w:val="false"/>
          <w:color w:val="000000"/>
          <w:sz w:val="20"/>
        </w:rPr>
        <w:t>, the</w:t>
      </w:r>
      <w:r>
        <w:rPr>
          <w:color w:val="000000"/>
          <w:shd w:fill="FFFFFF" w:val="clear"/>
        </w:rPr>
        <w:t xml:space="preserve"> </w:t>
      </w:r>
      <w:r>
        <w:rPr>
          <w:rFonts w:ascii="Times New Roman;sans-serif" w:hAnsi="Times New Roman;sans-serif"/>
          <w:b w:val="false"/>
          <w:color w:val="000000"/>
          <w:sz w:val="20"/>
          <w:shd w:fill="FFFFFF" w:val="clear"/>
        </w:rPr>
        <w:t xml:space="preserve">increase </w:t>
      </w:r>
      <w:r>
        <w:rPr>
          <w:rFonts w:ascii="Times New Roman;sans-serif" w:hAnsi="Times New Roman;sans-serif"/>
          <w:b w:val="false"/>
          <w:color w:val="000000"/>
          <w:sz w:val="20"/>
        </w:rPr>
        <w:t>in revenues, compared to the respective period in 2024, was due primarily</w:t>
      </w:r>
      <w:r>
        <w:rPr>
          <w:color w:val="000000"/>
          <w:shd w:fill="FFFFFF" w:val="clear"/>
        </w:rPr>
        <w:t xml:space="preserve"> </w:t>
      </w:r>
      <w:r>
        <w:rPr>
          <w:rFonts w:ascii="Times New Roman;sans-serif" w:hAnsi="Times New Roman;sans-serif"/>
          <w:b w:val="false"/>
          <w:color w:val="000000"/>
          <w:sz w:val="20"/>
          <w:shd w:fill="FFFFFF" w:val="clear"/>
        </w:rPr>
        <w:t xml:space="preserve">to (i) inorganic revenue growth resulting from the Ingénia and KTS acquisitions (within the HVAC and Detection and Measurement reportable segments, respectively) and (ii) organic revenue growth within the HVAC reportable segment, partially offset by an organic revenue decline within the Detection and Measurement reportable segment. The organic revenue growth within the HVAC reportable segment was due primarily to higher volumes of heating products </w:t>
      </w:r>
      <w:r>
        <w:rPr>
          <w:rFonts w:ascii="Times New Roman;sans-serif" w:hAnsi="Times New Roman;sans-serif"/>
          <w:b w:val="false"/>
          <w:color w:val="000000"/>
          <w:sz w:val="20"/>
        </w:rPr>
        <w:t>associated with unseasonably warm winter conditions prevalent in the relevant end markets during the first quarter of 2024</w:t>
      </w:r>
      <w:r>
        <w:rPr>
          <w:rFonts w:ascii="Times New Roman;sans-serif" w:hAnsi="Times New Roman;sans-serif"/>
          <w:b w:val="false"/>
          <w:color w:val="000000"/>
          <w:sz w:val="20"/>
          <w:shd w:fill="FFFFFF" w:val="clear"/>
        </w:rPr>
        <w:t xml:space="preserve">. The organic revenue decline within the Detection and Measurement reportable segment was due primarily to </w:t>
      </w:r>
      <w:r>
        <w:rPr>
          <w:rFonts w:ascii="Times New Roman;sans-serif" w:hAnsi="Times New Roman;sans-serif"/>
          <w:b w:val="false"/>
          <w:color w:val="000000"/>
          <w:sz w:val="20"/>
        </w:rPr>
        <w:t>lower volumes within (i) our aids to navigation project business, and (ii) our inspection and rehabilitation business due primarily to the timing of shipments of inspection products. These declines were partially offset by higher project volumes within our communication technologies business. Volumes within our project businesses, primarily within our communication technologies, aids to navigation, and transportation systems businesses, can vary from period to period based on the timing of project execution.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“Results of Reportable Segments” for additional details.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Gross Profit</w:t>
      </w:r>
      <w:r>
        <w:rPr>
          <w:color w:val="000000"/>
          <w:shd w:fill="FFFFFF" w:val="clear"/>
        </w:rPr>
        <w:t xml:space="preserve"> </w:t>
      </w:r>
      <w:r>
        <w:rPr>
          <w:color w:val="000000"/>
        </w:rPr>
        <w:t xml:space="preserve">— </w:t>
      </w:r>
      <w:r>
        <w:rPr>
          <w:rFonts w:ascii="Times New Roman;sans-serif" w:hAnsi="Times New Roman;sans-serif"/>
          <w:b w:val="false"/>
          <w:color w:val="000000"/>
          <w:sz w:val="20"/>
        </w:rPr>
        <w:t xml:space="preserve">For the three months ended March 29, 2025, the </w:t>
      </w:r>
      <w:r>
        <w:rPr>
          <w:rFonts w:ascii="Times New Roman;sans-serif" w:hAnsi="Times New Roman;sans-serif"/>
          <w:b w:val="false"/>
          <w:color w:val="000000"/>
          <w:sz w:val="20"/>
          <w:shd w:fill="FFFFFF" w:val="clear"/>
        </w:rPr>
        <w:t>increase in gross profit and gross profit as a percentage of revenues, compared to the respective period in 2024, was due primarily to (i) favorable product mix, primarily within our communication technologies business, and (ii) the impact of the inorganic revenue growth mentioned above.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Selling, General and Administrative (“SG&amp;A”) Expense</w:t>
      </w:r>
      <w:r>
        <w:rPr>
          <w:color w:val="000000"/>
        </w:rPr>
        <w:t xml:space="preserve"> — </w:t>
      </w:r>
      <w:r>
        <w:rPr>
          <w:rFonts w:ascii="Times New Roman;sans-serif" w:hAnsi="Times New Roman;sans-serif"/>
          <w:b w:val="false"/>
          <w:color w:val="000000"/>
          <w:sz w:val="20"/>
        </w:rPr>
        <w:t>For the three mont</w:t>
      </w:r>
      <w:r>
        <w:rPr>
          <w:rFonts w:ascii="Times New Roman;sans-serif" w:hAnsi="Times New Roman;sans-serif"/>
          <w:b w:val="false"/>
          <w:color w:val="000000"/>
          <w:sz w:val="20"/>
          <w:shd w:fill="FFFFFF" w:val="clear"/>
        </w:rPr>
        <w:t>hs ended March 29, 2025, the increase in SG&amp;A expense, compared to the respective period in 2024, was due primarily to (i) higher acquisition and integration-related costs of $4.2, and (ii) incremental SG&amp;A resulting from the acquisitions of KTS and Ingénia of $1.5.</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rPr>
        <w:t>Intangible Amortiz</w:t>
      </w:r>
      <w:r>
        <w:rPr>
          <w:rFonts w:ascii="Times New Roman;sans-serif" w:hAnsi="Times New Roman;sans-serif"/>
          <w:b w:val="false"/>
          <w:i/>
          <w:color w:val="000000"/>
          <w:sz w:val="20"/>
          <w:u w:val="single"/>
          <w:shd w:fill="FFFFFF" w:val="clear"/>
        </w:rPr>
        <w:t>ation</w:t>
      </w:r>
      <w:r>
        <w:rPr>
          <w:color w:val="000000"/>
          <w:shd w:fill="FFFFFF" w:val="clear"/>
        </w:rPr>
        <w:t xml:space="preserve"> — </w:t>
      </w:r>
      <w:r>
        <w:rPr>
          <w:rFonts w:ascii="Times New Roman;sans-serif" w:hAnsi="Times New Roman;sans-serif"/>
          <w:b w:val="false"/>
          <w:color w:val="000000"/>
          <w:sz w:val="20"/>
          <w:shd w:fill="FFFFFF" w:val="clear"/>
        </w:rPr>
        <w:t>For the three months ended March 29, 2025, the increase in intangible asset amortization expense, compared to the respective period in 2024, was primarily related to incremental amortization associated with (i) backlog from the KTS acquisition and (ii) other intangible assets associated with the acquisitions of KTS and Ingénia.</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rPr>
        <w:t>Special Charges, net</w:t>
      </w:r>
      <w:r>
        <w:rPr>
          <w:color w:val="000000"/>
        </w:rPr>
        <w:t xml:space="preserve"> — </w:t>
      </w:r>
      <w:r>
        <w:rPr>
          <w:rFonts w:ascii="Times New Roman;sans-serif" w:hAnsi="Times New Roman;sans-serif"/>
          <w:b w:val="false"/>
          <w:color w:val="000000"/>
          <w:sz w:val="20"/>
        </w:rPr>
        <w:t>Special charges, net for the three months ended</w:t>
      </w:r>
      <w:r>
        <w:rPr>
          <w:color w:val="000000"/>
          <w:shd w:fill="FFFFFF" w:val="clear"/>
        </w:rPr>
        <w:t xml:space="preserve"> </w:t>
      </w:r>
      <w:r>
        <w:rPr>
          <w:rFonts w:ascii="Times New Roman;sans-serif" w:hAnsi="Times New Roman;sans-serif"/>
          <w:b w:val="false"/>
          <w:color w:val="000000"/>
          <w:sz w:val="20"/>
          <w:shd w:fill="FFFFFF" w:val="clear"/>
        </w:rPr>
        <w:t>March 29, 2025</w:t>
      </w:r>
      <w:r>
        <w:rPr>
          <w:color w:val="000000"/>
        </w:rPr>
        <w:t xml:space="preserve"> </w:t>
      </w:r>
      <w:r>
        <w:rPr>
          <w:rFonts w:ascii="Times New Roman;sans-serif" w:hAnsi="Times New Roman;sans-serif"/>
          <w:b w:val="false"/>
          <w:color w:val="000000"/>
          <w:sz w:val="20"/>
        </w:rPr>
        <w:t>related primarily t</w:t>
      </w:r>
      <w:r>
        <w:rPr>
          <w:rFonts w:ascii="Times New Roman;sans-serif" w:hAnsi="Times New Roman;sans-serif"/>
          <w:b w:val="false"/>
          <w:color w:val="000000"/>
          <w:sz w:val="20"/>
          <w:shd w:fill="FFFFFF" w:val="clear"/>
        </w:rPr>
        <w:t>o severance costs associated with restructuring actions. See Note 7 to our condensed consolidated financial statements for additional details.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rPr>
        <w:t>Other Income (Expense), net</w:t>
      </w:r>
      <w:r>
        <w:rPr>
          <w:color w:val="000000"/>
        </w:rPr>
        <w:t xml:space="preserve"> — </w:t>
      </w:r>
      <w:r>
        <w:rPr>
          <w:rFonts w:ascii="Times New Roman;sans-serif" w:hAnsi="Times New Roman;sans-serif"/>
          <w:b w:val="false"/>
          <w:color w:val="000000"/>
          <w:sz w:val="20"/>
          <w:shd w:fill="FFFFFF" w:val="clear"/>
        </w:rPr>
        <w:t>Other income, net, for the three months ended March 29, 2025 was composed primarily of a gain of $4.5 related to a change in the estimated fair value of an equity security that we hold and $1.7 of income derived from company-owned life insurance (“COLI”) policies, partially offset by environmental remediation charges of $1.2, pension and postretirement expense of $1.4 (including net settlement and actuarial losses of $0.8), foreign currency transaction losses of $0.5 and losses on disposal of property, plant and equipment of $0.4.</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Other expense, net, for the three months ended March 30, 2024 was composed primarily of a loss of </w:t>
      </w:r>
      <w:r>
        <w:rPr>
          <w:rFonts w:ascii="Times New Roman;sans-serif" w:hAnsi="Times New Roman;sans-serif"/>
          <w:b w:val="false"/>
          <w:color w:val="000000"/>
          <w:sz w:val="20"/>
          <w:shd w:fill="FFFFFF" w:val="clear"/>
        </w:rPr>
        <w:t>$4.2</w:t>
      </w:r>
      <w:r>
        <w:rPr>
          <w:color w:val="000000"/>
        </w:rPr>
        <w:t xml:space="preserve"> </w:t>
      </w:r>
      <w:r>
        <w:rPr>
          <w:rFonts w:ascii="Times New Roman;sans-serif" w:hAnsi="Times New Roman;sans-serif"/>
          <w:b w:val="false"/>
          <w:color w:val="000000"/>
          <w:sz w:val="20"/>
        </w:rPr>
        <w:t>related to a change in the estimated fair value of an equity security that we hold, environmental remediation charges of $0.8, and pension and postretirement expense of $0.4, partially offset by income of $0.9 derived from COLI policies and foreign currency transaction gains of $0.5.</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shd w:fill="FFFFFF" w:val="clear"/>
        </w:rPr>
        <w:t>Interest Expense, net</w:t>
      </w:r>
      <w:r>
        <w:rPr>
          <w:color w:val="000000"/>
          <w:shd w:fill="FFFFFF" w:val="clear"/>
        </w:rPr>
        <w:t xml:space="preserve"> — </w:t>
      </w:r>
      <w:r>
        <w:rPr>
          <w:rFonts w:ascii="Times New Roman;sans-serif" w:hAnsi="Times New Roman;sans-serif"/>
          <w:b w:val="false"/>
          <w:color w:val="000000"/>
          <w:sz w:val="20"/>
          <w:shd w:fill="FFFFFF" w:val="clear"/>
        </w:rPr>
        <w:t>Interest expense, net, includes both interest expense and interest incom</w:t>
      </w:r>
      <w:r>
        <w:rPr>
          <w:rFonts w:ascii="Times New Roman;sans-serif" w:hAnsi="Times New Roman;sans-serif"/>
          <w:b w:val="false"/>
          <w:color w:val="000000"/>
          <w:sz w:val="20"/>
        </w:rPr>
        <w:t>e. T</w:t>
      </w:r>
      <w:r>
        <w:rPr>
          <w:rFonts w:ascii="Times New Roman;sans-serif" w:hAnsi="Times New Roman;sans-serif"/>
          <w:b w:val="false"/>
          <w:color w:val="000000"/>
          <w:sz w:val="20"/>
          <w:shd w:fill="FFFFFF" w:val="clear"/>
        </w:rPr>
        <w:t>he increase in interest expense, net, during the three months ended March 29, 2025, compared to the respective period in 2024, was the result of higher average debt balances. The higher average debt balances primarily resulted from borrowings associated with the KTS acquisition. Refer to Note 12 to the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shd w:fill="FFFFFF" w:val="clear"/>
        </w:rPr>
        <w:t>Income Tax Provision</w:t>
      </w:r>
      <w:r>
        <w:rPr>
          <w:color w:val="000000"/>
          <w:shd w:fill="FFFFFF" w:val="clear"/>
        </w:rPr>
        <w:t xml:space="preserve"> — </w:t>
      </w:r>
      <w:r>
        <w:rPr>
          <w:rFonts w:ascii="Times New Roman;sans-serif" w:hAnsi="Times New Roman;sans-serif"/>
          <w:b w:val="false"/>
          <w:color w:val="000000"/>
          <w:sz w:val="20"/>
          <w:shd w:fill="FFFFFF" w:val="clear"/>
        </w:rPr>
        <w:t xml:space="preserve">For the three </w:t>
      </w:r>
      <w:r>
        <w:rPr>
          <w:rFonts w:ascii="Times New Roman;sans-serif" w:hAnsi="Times New Roman;sans-serif"/>
          <w:b w:val="false"/>
          <w:color w:val="000000"/>
          <w:sz w:val="20"/>
        </w:rPr>
        <w:t xml:space="preserve">months ended March 29, 2025, we recorded an income tax provision of $6.2 on $57.9 of pre-tax income from continuing operations, resulting in an effective rate of 10.7%. This compares to an income tax provision for the three months ended March 30, 2024 of $1.9 on $51.1 of pre-tax income from continuing operations, resulting in an effective rate of 3.7%. </w:t>
      </w:r>
      <w:r>
        <w:rPr>
          <w:rFonts w:ascii="Times New Roman;sans-serif" w:hAnsi="Times New Roman;sans-serif"/>
          <w:b w:val="false"/>
          <w:color w:val="000000"/>
          <w:sz w:val="20"/>
          <w:shd w:fill="FFFFFF" w:val="clear"/>
        </w:rPr>
        <w:t xml:space="preserve">The most significant item impacting the income tax provision for the first quarters of 2025 and 2024 was $8.5 and $10.9, respectively, of excess tax benefits resulting from stock-based compensation awards that vested and/or were exercised during the periods.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REPORTABLE SEGMENTS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The following information should be read in conjunction with our condensed consolidated financial statements and related notes. These results exclude the operating results of discontinued operations for all periods presented. See </w:t>
      </w:r>
      <w:r>
        <w:rPr>
          <w:rFonts w:ascii="Times New Roman;sans-serif" w:hAnsi="Times New Roman;sans-serif"/>
          <w:b w:val="false"/>
          <w:color w:val="000000"/>
          <w:sz w:val="20"/>
          <w:shd w:fill="FFFFFF" w:val="clear"/>
        </w:rPr>
        <w:t>Note 6</w:t>
      </w:r>
      <w:r>
        <w:rPr>
          <w:color w:val="000000"/>
        </w:rPr>
        <w:t xml:space="preserve"> </w:t>
      </w:r>
      <w:r>
        <w:rPr>
          <w:rFonts w:ascii="Times New Roman;sans-serif" w:hAnsi="Times New Roman;sans-serif"/>
          <w:b w:val="false"/>
          <w:color w:val="000000"/>
          <w:sz w:val="20"/>
        </w:rPr>
        <w:t>to our condensed consolidated financial statements for a description of our reportable segments.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HVAC Reportable Segment</w:t>
      </w:r>
    </w:p>
    <w:tbl>
      <w:tblPr>
        <w:tblW w:w="6564" w:type="dxa"/>
        <w:jc w:val="left"/>
        <w:tblInd w:w="0" w:type="dxa"/>
        <w:tblLayout w:type="fixed"/>
        <w:tblCellMar>
          <w:top w:w="28" w:type="dxa"/>
          <w:left w:w="28" w:type="dxa"/>
          <w:bottom w:w="28" w:type="dxa"/>
          <w:right w:w="28" w:type="dxa"/>
        </w:tblCellMar>
      </w:tblPr>
      <w:tblGrid>
        <w:gridCol w:w="897"/>
        <w:gridCol w:w="786"/>
        <w:gridCol w:w="791"/>
        <w:gridCol w:w="245"/>
        <w:gridCol w:w="695"/>
        <w:gridCol w:w="320"/>
        <w:gridCol w:w="109"/>
        <w:gridCol w:w="109"/>
        <w:gridCol w:w="109"/>
        <w:gridCol w:w="245"/>
        <w:gridCol w:w="695"/>
        <w:gridCol w:w="320"/>
        <w:gridCol w:w="109"/>
        <w:gridCol w:w="109"/>
        <w:gridCol w:w="109"/>
        <w:gridCol w:w="268"/>
        <w:gridCol w:w="268"/>
        <w:gridCol w:w="380"/>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Organic </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ans-serif" w:hAnsi="Times New Roman;sans-serif"/>
          <w:b w:val="false"/>
          <w:color w:val="000000"/>
          <w:sz w:val="20"/>
        </w:rPr>
        <w:t xml:space="preserve">For the three months ended March 29, 2025, the </w:t>
      </w:r>
      <w:r>
        <w:rPr>
          <w:rFonts w:ascii="Times New Roman;sans-serif" w:hAnsi="Times New Roman;sans-serif"/>
          <w:b w:val="false"/>
          <w:color w:val="000000"/>
          <w:sz w:val="20"/>
          <w:shd w:fill="FFFFFF" w:val="clear"/>
        </w:rPr>
        <w:t>increase in r</w:t>
      </w:r>
      <w:r>
        <w:rPr>
          <w:rFonts w:ascii="Times New Roman;sans-serif" w:hAnsi="Times New Roman;sans-serif"/>
          <w:b w:val="false"/>
          <w:color w:val="000000"/>
          <w:sz w:val="20"/>
        </w:rPr>
        <w:t>evenues, compared to the respective period in 2024, was due primarily t</w:t>
      </w:r>
      <w:r>
        <w:rPr>
          <w:rFonts w:ascii="Times New Roman;sans-serif" w:hAnsi="Times New Roman;sans-serif"/>
          <w:b w:val="false"/>
          <w:color w:val="000000"/>
          <w:sz w:val="20"/>
          <w:shd w:fill="FFFFFF" w:val="clear"/>
        </w:rPr>
        <w:t xml:space="preserve">o organic revenue growth and inorganic revenue growth resulting from the Ingénia acquisition. The organic revenue growth was due primarily to higher volumes of heating products </w:t>
      </w:r>
      <w:r>
        <w:rPr>
          <w:rFonts w:ascii="Times New Roman;sans-serif" w:hAnsi="Times New Roman;sans-serif"/>
          <w:b w:val="false"/>
          <w:color w:val="000000"/>
          <w:sz w:val="20"/>
        </w:rPr>
        <w:t>associated with unseasonably warm winter conditions prevalent in the relevant end markets during the first quarter of 2024</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Income</w:t>
      </w:r>
      <w:r>
        <w:rPr>
          <w:color w:val="000000"/>
          <w:shd w:fill="FFFFFF" w:val="clear"/>
        </w:rPr>
        <w:t xml:space="preserve"> — </w:t>
      </w:r>
      <w:r>
        <w:rPr>
          <w:rFonts w:ascii="Times New Roman;sans-serif" w:hAnsi="Times New Roman;sans-serif"/>
          <w:b w:val="false"/>
          <w:color w:val="000000"/>
          <w:sz w:val="20"/>
        </w:rPr>
        <w:t xml:space="preserve">For the three months ended March 29, 2025, the </w:t>
      </w:r>
      <w:r>
        <w:rPr>
          <w:rFonts w:ascii="Times New Roman;sans-serif" w:hAnsi="Times New Roman;sans-serif"/>
          <w:b w:val="false"/>
          <w:color w:val="000000"/>
          <w:sz w:val="20"/>
          <w:shd w:fill="FFFFFF" w:val="clear"/>
        </w:rPr>
        <w:t>increase in income and margin, compared to the respective period in 2024, was due primarily to the revenue growth mentioned above.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rPr>
        <w:t>Backlog</w:t>
      </w:r>
      <w:r>
        <w:rPr>
          <w:color w:val="000000"/>
        </w:rPr>
        <w:t xml:space="preserve"> — </w:t>
      </w:r>
      <w:r>
        <w:rPr>
          <w:rFonts w:ascii="Times New Roman;sans-serif" w:hAnsi="Times New Roman;sans-serif"/>
          <w:b w:val="false"/>
          <w:color w:val="000000"/>
          <w:sz w:val="20"/>
        </w:rPr>
        <w:t xml:space="preserve">The segment had backlog of $451.3 and </w:t>
      </w:r>
      <w:r>
        <w:rPr>
          <w:rFonts w:ascii="Times New Roman;sans-serif" w:hAnsi="Times New Roman;sans-serif"/>
          <w:b w:val="false"/>
          <w:color w:val="000000"/>
          <w:sz w:val="20"/>
          <w:shd w:fill="FFFFFF" w:val="clear"/>
        </w:rPr>
        <w:t>$461.9</w:t>
      </w:r>
      <w:r>
        <w:rPr>
          <w:color w:val="000000"/>
        </w:rPr>
        <w:t xml:space="preserve"> </w:t>
      </w:r>
      <w:r>
        <w:rPr>
          <w:rFonts w:ascii="Times New Roman;sans-serif" w:hAnsi="Times New Roman;sans-serif"/>
          <w:b w:val="false"/>
          <w:color w:val="000000"/>
          <w:sz w:val="20"/>
        </w:rPr>
        <w:t xml:space="preserve">as of March 29, 2025 and March 30, 2024, respectively.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Detection and Measurement Reportable Segment</w:t>
      </w:r>
    </w:p>
    <w:tbl>
      <w:tblPr>
        <w:tblW w:w="6490" w:type="dxa"/>
        <w:jc w:val="left"/>
        <w:tblInd w:w="0" w:type="dxa"/>
        <w:tblLayout w:type="fixed"/>
        <w:tblCellMar>
          <w:top w:w="28" w:type="dxa"/>
          <w:left w:w="28" w:type="dxa"/>
          <w:bottom w:w="28" w:type="dxa"/>
          <w:right w:w="28" w:type="dxa"/>
        </w:tblCellMar>
      </w:tblPr>
      <w:tblGrid>
        <w:gridCol w:w="870"/>
        <w:gridCol w:w="763"/>
        <w:gridCol w:w="767"/>
        <w:gridCol w:w="245"/>
        <w:gridCol w:w="695"/>
        <w:gridCol w:w="320"/>
        <w:gridCol w:w="109"/>
        <w:gridCol w:w="109"/>
        <w:gridCol w:w="109"/>
        <w:gridCol w:w="245"/>
        <w:gridCol w:w="695"/>
        <w:gridCol w:w="320"/>
        <w:gridCol w:w="109"/>
        <w:gridCol w:w="109"/>
        <w:gridCol w:w="109"/>
        <w:gridCol w:w="268"/>
        <w:gridCol w:w="268"/>
        <w:gridCol w:w="380"/>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decline:</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Organic</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decline</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ans-serif" w:hAnsi="Times New Roman;sans-serif"/>
          <w:b w:val="false"/>
          <w:color w:val="000000"/>
          <w:sz w:val="20"/>
        </w:rPr>
        <w:t>For the three months ended March 29, 2025, the d</w:t>
      </w:r>
      <w:r>
        <w:rPr>
          <w:rFonts w:ascii="Times New Roman;sans-serif" w:hAnsi="Times New Roman;sans-serif"/>
          <w:b w:val="false"/>
          <w:color w:val="000000"/>
          <w:sz w:val="20"/>
          <w:shd w:fill="FFFFFF" w:val="clear"/>
        </w:rPr>
        <w:t>ecrease</w:t>
      </w:r>
      <w:r>
        <w:rPr>
          <w:color w:val="000000"/>
        </w:rPr>
        <w:t xml:space="preserve"> </w:t>
      </w:r>
      <w:r>
        <w:rPr>
          <w:rFonts w:ascii="Times New Roman;sans-serif" w:hAnsi="Times New Roman;sans-serif"/>
          <w:b w:val="false"/>
          <w:color w:val="000000"/>
          <w:sz w:val="20"/>
        </w:rPr>
        <w:t>in revenues, compared to the respective period in 2024, was due primarily to lower volumes within (i) our aids to navigation project business, and (ii) our inspection and rehabilitation business due primarily to the timing of shipments of inspection products. These declines were partially offset by higher project volumes within our communication technologies business and inorganic revenue growth resulting from the KTS acquisition. Volumes within our project businesses, primarily within our communication technologies, aids to navigation, and transportation systems businesses, can vary from period to period based on the timing of project execution.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Income</w:t>
      </w:r>
      <w:r>
        <w:rPr>
          <w:color w:val="000000"/>
        </w:rPr>
        <w:t xml:space="preserve"> — </w:t>
      </w:r>
      <w:r>
        <w:rPr>
          <w:rFonts w:ascii="Times New Roman;sans-serif" w:hAnsi="Times New Roman;sans-serif"/>
          <w:b w:val="false"/>
          <w:color w:val="000000"/>
          <w:sz w:val="20"/>
        </w:rPr>
        <w:t>For the three months ended March 29, 2025, the</w:t>
      </w:r>
      <w:r>
        <w:rPr>
          <w:color w:val="000000"/>
          <w:shd w:fill="FFFFFF" w:val="clear"/>
        </w:rPr>
        <w:t xml:space="preserve"> </w:t>
      </w:r>
      <w:r>
        <w:rPr>
          <w:rFonts w:ascii="Times New Roman;sans-serif" w:hAnsi="Times New Roman;sans-serif"/>
          <w:b w:val="false"/>
          <w:color w:val="000000"/>
          <w:sz w:val="20"/>
          <w:shd w:fill="FFFFFF" w:val="clear"/>
        </w:rPr>
        <w:t>increase in income and margin, compared to the respective period in 2024, was primarily due to (i) favorable mix, primarily within our communication technologies business, and (ii) the acquisition of KTS. These increases were partially offset by the impact of the organic revenue decline mentioned above.</w:t>
      </w:r>
    </w:p>
    <w:p>
      <w:pPr>
        <w:pStyle w:val="TextBody"/>
        <w:bidi w:val="0"/>
        <w:spacing w:before="0" w:after="0"/>
        <w:ind w:left="0" w:right="0" w:firstLine="720"/>
        <w:jc w:val="both"/>
        <w:rPr/>
      </w:pPr>
      <w:r>
        <w:rPr/>
      </w:r>
    </w:p>
    <w:p>
      <w:pPr>
        <w:pStyle w:val="TextBody"/>
        <w:bidi w:val="0"/>
        <w:spacing w:lineRule="auto" w:line="288" w:before="0" w:after="80"/>
        <w:ind w:left="0" w:right="0" w:firstLine="720"/>
        <w:jc w:val="both"/>
        <w:rPr/>
      </w:pPr>
      <w:r>
        <w:rPr>
          <w:rFonts w:ascii="Times New Roman;sans-serif" w:hAnsi="Times New Roman;sans-serif"/>
          <w:b w:val="false"/>
          <w:i/>
          <w:color w:val="000000"/>
          <w:sz w:val="20"/>
          <w:u w:val="single"/>
        </w:rPr>
        <w:t>Backlog</w:t>
      </w:r>
      <w:r>
        <w:rPr>
          <w:color w:val="000000"/>
        </w:rPr>
        <w:t xml:space="preserve"> — </w:t>
      </w:r>
      <w:r>
        <w:rPr>
          <w:rFonts w:ascii="Times New Roman;sans-serif" w:hAnsi="Times New Roman;sans-serif"/>
          <w:b w:val="false"/>
          <w:color w:val="000000"/>
          <w:sz w:val="20"/>
        </w:rPr>
        <w:t>The segment had bac</w:t>
      </w:r>
      <w:r>
        <w:rPr>
          <w:rFonts w:ascii="Times New Roman;sans-serif" w:hAnsi="Times New Roman;sans-serif"/>
          <w:b w:val="false"/>
          <w:color w:val="000000"/>
          <w:sz w:val="20"/>
          <w:shd w:fill="FFFFFF" w:val="clear"/>
        </w:rPr>
        <w:t xml:space="preserve">klog of </w:t>
      </w:r>
      <w:r>
        <w:rPr>
          <w:rFonts w:ascii="Times New Roman;sans-serif" w:hAnsi="Times New Roman;sans-serif"/>
          <w:b w:val="false"/>
          <w:color w:val="000000"/>
          <w:sz w:val="20"/>
        </w:rPr>
        <w:t>$345.5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$206.5</w:t>
      </w:r>
      <w:r>
        <w:rPr>
          <w:color w:val="000000"/>
          <w:shd w:fill="FFFFFF" w:val="clear"/>
        </w:rPr>
        <w:t xml:space="preserve"> </w:t>
      </w:r>
      <w:r>
        <w:rPr>
          <w:rFonts w:ascii="Times New Roman;sans-serif" w:hAnsi="Times New Roman;sans-serif"/>
          <w:b w:val="false"/>
          <w:color w:val="000000"/>
          <w:sz w:val="20"/>
          <w:shd w:fill="FFFFFF" w:val="clear"/>
        </w:rPr>
        <w:t>as of March 29, 2025 and March 30, 2024, respectively. Backlog associated with the KTS acquisition totaled $48.6 as of March 29, 2025.</w:t>
      </w:r>
    </w:p>
    <w:p>
      <w:pPr>
        <w:pStyle w:val="TextBody"/>
        <w:bidi w:val="0"/>
        <w:spacing w:before="0" w:after="200"/>
        <w:ind w:left="0" w:right="0" w:firstLine="76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CORPORATE AND OTHER EXPENSES</w:t>
      </w:r>
    </w:p>
    <w:tbl>
      <w:tblPr>
        <w:tblW w:w="7269" w:type="dxa"/>
        <w:jc w:val="left"/>
        <w:tblInd w:w="0" w:type="dxa"/>
        <w:tblLayout w:type="fixed"/>
        <w:tblCellMar>
          <w:top w:w="28" w:type="dxa"/>
          <w:left w:w="28" w:type="dxa"/>
          <w:bottom w:w="28" w:type="dxa"/>
          <w:right w:w="28" w:type="dxa"/>
        </w:tblCellMar>
      </w:tblPr>
      <w:tblGrid>
        <w:gridCol w:w="1150"/>
        <w:gridCol w:w="1011"/>
        <w:gridCol w:w="1018"/>
        <w:gridCol w:w="245"/>
        <w:gridCol w:w="695"/>
        <w:gridCol w:w="320"/>
        <w:gridCol w:w="109"/>
        <w:gridCol w:w="109"/>
        <w:gridCol w:w="109"/>
        <w:gridCol w:w="245"/>
        <w:gridCol w:w="695"/>
        <w:gridCol w:w="320"/>
        <w:gridCol w:w="109"/>
        <w:gridCol w:w="109"/>
        <w:gridCol w:w="109"/>
        <w:gridCol w:w="268"/>
        <w:gridCol w:w="268"/>
        <w:gridCol w:w="380"/>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Corporate Expense</w:t>
      </w:r>
      <w:r>
        <w:rPr>
          <w:color w:val="000000"/>
        </w:rPr>
        <w:t xml:space="preserve"> — </w:t>
      </w:r>
      <w:r>
        <w:rPr>
          <w:rFonts w:ascii="Times New Roman;sans-serif" w:hAnsi="Times New Roman;sans-serif"/>
          <w:b w:val="false"/>
          <w:color w:val="000000"/>
          <w:sz w:val="20"/>
        </w:rPr>
        <w:t xml:space="preserve">Corporate expense generally relates to the personnel and general operating costs of our corporate headquarters in Charlotte, North Carolina.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i/>
          <w:color w:val="000000"/>
          <w:sz w:val="20"/>
          <w:u w:val="single"/>
          <w:shd w:fill="FFFFFF" w:val="clear"/>
        </w:rPr>
        <w:t>Long-Term Incentive Compensation Expense</w:t>
      </w:r>
      <w:r>
        <w:rPr>
          <w:color w:val="000000"/>
        </w:rPr>
        <w:t xml:space="preserve"> — </w:t>
      </w:r>
      <w:r>
        <w:rPr>
          <w:rFonts w:ascii="Times New Roman;sans-serif" w:hAnsi="Times New Roman;sans-serif"/>
          <w:b w:val="false"/>
          <w:color w:val="000000"/>
          <w:sz w:val="20"/>
        </w:rPr>
        <w:t xml:space="preserve">Long-term incentive compensation expense represents our consolidated expense, which we do not allocate for segment reporting purposes. </w:t>
      </w:r>
      <w:r>
        <w:rPr>
          <w:rFonts w:ascii="Times New Roman;sans-serif" w:hAnsi="Times New Roman;sans-serif"/>
          <w:b w:val="false"/>
          <w:color w:val="000000"/>
          <w:sz w:val="20"/>
          <w:shd w:fill="FFFFFF" w:val="clear"/>
        </w:rPr>
        <w:t>The increase in long-term incentive compensation expense in 2025, compared to 2024, was due primarily to (i) an increase in the fair value of performance-based share awards resulting from plan design changes affected beginning in 2024, which increased the maximum potential payout range from 150% to 200% of target, and (ii) the accumulation of awards related to recent changes in certain key management positions.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Note 14 to our condensed consolidated financial statements for further details on our long-term incentive compensation plans.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LIQUIDITY AND FINANCIAL CONDITION</w:t>
      </w:r>
    </w:p>
    <w:p>
      <w:pPr>
        <w:pStyle w:val="TextBody"/>
        <w:bidi w:val="0"/>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Listed below are the cash flows from (used in) operating, investing, and financing activities and discontinued operations, as well as the net change in cash and equivalents for the three months ended March 29, 2025 and March 30, 2024.</w:t>
      </w:r>
    </w:p>
    <w:tbl>
      <w:tblPr>
        <w:tblW w:w="8801" w:type="dxa"/>
        <w:jc w:val="left"/>
        <w:tblInd w:w="0" w:type="dxa"/>
        <w:tblLayout w:type="fixed"/>
        <w:tblCellMar>
          <w:top w:w="28" w:type="dxa"/>
          <w:left w:w="28" w:type="dxa"/>
          <w:bottom w:w="28" w:type="dxa"/>
          <w:right w:w="28" w:type="dxa"/>
        </w:tblCellMar>
      </w:tblPr>
      <w:tblGrid>
        <w:gridCol w:w="2143"/>
        <w:gridCol w:w="1879"/>
        <w:gridCol w:w="1888"/>
        <w:gridCol w:w="292"/>
        <w:gridCol w:w="806"/>
        <w:gridCol w:w="162"/>
        <w:gridCol w:w="109"/>
        <w:gridCol w:w="109"/>
        <w:gridCol w:w="109"/>
        <w:gridCol w:w="313"/>
        <w:gridCol w:w="745"/>
        <w:gridCol w:w="246"/>
      </w:tblGrid>
      <w:tr>
        <w:trPr/>
        <w:tc>
          <w:tcPr>
            <w:tcW w:w="214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(used in) operating activities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discontinued operations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equivalents due to changes in foreign currency exchange rates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equivalents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Operating Activities</w:t>
      </w:r>
      <w:r>
        <w:rPr>
          <w:color w:val="000000"/>
          <w:shd w:fill="FFFFFF" w:val="clear"/>
        </w:rPr>
        <w:t xml:space="preserve"> — </w:t>
      </w:r>
      <w:r>
        <w:rPr>
          <w:rFonts w:ascii="Times New Roman;sans-serif" w:hAnsi="Times New Roman;sans-serif"/>
          <w:b w:val="false"/>
          <w:color w:val="000000"/>
          <w:sz w:val="20"/>
          <w:shd w:fill="FFFFFF" w:val="clear"/>
        </w:rPr>
        <w:t xml:space="preserve">The decrease in cash flows during the three months ended March 29, 2025, compared to the respective period in 2024, was due primarily to amounts paid into an escrow account in connection with the KTS acquisition related to future service obligations of certain employees of </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46.5, partially offset by (i) the increase in income, exclusive of the non-cash expenses incurred during the respective periods, discussed previously and (ii) a payment, during the three months ended March 30, 2024, related to the resolution of a dispute with a former representative at one of our businesses within the Detection and Measurement reportable segment of $9.0.</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Investing Activities</w:t>
      </w:r>
      <w:r>
        <w:rPr>
          <w:color w:val="000000"/>
          <w:shd w:fill="FFFFFF" w:val="clear"/>
        </w:rPr>
        <w:t xml:space="preserve"> — </w:t>
      </w:r>
      <w:r>
        <w:rPr>
          <w:rFonts w:ascii="Times New Roman;sans-serif" w:hAnsi="Times New Roman;sans-serif"/>
          <w:b w:val="false"/>
          <w:color w:val="000000"/>
          <w:sz w:val="20"/>
          <w:shd w:fill="FFFFFF" w:val="clear"/>
        </w:rPr>
        <w:t>Cash flows used in investing activities for the three months ended March 29, 2025 were comprised primarily of net cash utilized in acquisitions, including KTS, of $304.1 and capital expenditures of $5.5 partially offset by net proceeds from COLI policies of $3.0.</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Cash flows used in investing activities for the three months ended March 30, 2024 were comprised primarily of net cash utilized in the acquisition </w:t>
      </w:r>
      <w:r>
        <w:rPr>
          <w:rFonts w:ascii="Times New Roman;sans-serif" w:hAnsi="Times New Roman;sans-serif"/>
          <w:b w:val="false"/>
          <w:color w:val="000000"/>
          <w:sz w:val="20"/>
          <w:shd w:fill="FFFFFF" w:val="clear"/>
        </w:rPr>
        <w:t>of Ingénia of $294.1 and capital expenditures of $9.9.</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Financing Activities</w:t>
      </w:r>
      <w:r>
        <w:rPr>
          <w:color w:val="000000"/>
        </w:rPr>
        <w:t xml:space="preserve"> — </w:t>
      </w:r>
      <w:r>
        <w:rPr>
          <w:rFonts w:ascii="Times New Roman;sans-serif" w:hAnsi="Times New Roman;sans-serif"/>
          <w:b w:val="false"/>
          <w:color w:val="000000"/>
          <w:sz w:val="20"/>
        </w:rPr>
        <w:t xml:space="preserve">Cash flows from financing activities for the three months ended </w:t>
      </w:r>
      <w:r>
        <w:rPr>
          <w:rFonts w:ascii="Times New Roman;sans-serif" w:hAnsi="Times New Roman;sans-serif"/>
          <w:b w:val="false"/>
          <w:color w:val="000000"/>
          <w:sz w:val="20"/>
          <w:shd w:fill="FFFFFF" w:val="clear"/>
        </w:rPr>
        <w:t>March 29, 2025</w:t>
      </w:r>
      <w:r>
        <w:rPr>
          <w:color w:val="000000"/>
        </w:rPr>
        <w:t xml:space="preserve"> </w:t>
      </w:r>
      <w:r>
        <w:rPr>
          <w:rFonts w:ascii="Times New Roman;sans-serif" w:hAnsi="Times New Roman;sans-serif"/>
          <w:b w:val="false"/>
          <w:color w:val="000000"/>
          <w:sz w:val="20"/>
        </w:rPr>
        <w:t>were comprised o</w:t>
      </w:r>
      <w:r>
        <w:rPr>
          <w:rFonts w:ascii="Times New Roman;sans-serif" w:hAnsi="Times New Roman;sans-serif"/>
          <w:b w:val="false"/>
          <w:color w:val="000000"/>
          <w:sz w:val="20"/>
          <w:shd w:fill="FFFFFF" w:val="clear"/>
        </w:rPr>
        <w:t>f net borrowings under our credit facilities and trade receivables financing arrangement of $295.0 and $50.0, respectively, primarily in connection with the KTS acquisition and net borrowings under our other various debt instruments of $0.5. These net borrowings were partially offset by minimum tax withholdings paid on behalf of employees related to long-term incentive awards, net of proceeds from options exercised, of $9.8.</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Cash flows from financing activities for the three months ended March 30, 2024 were comprised of net borrowings under our credit facilities and trade receivables financing arrangement of $278.0 and $18.0, respectively, primarily in connection with the </w:t>
      </w:r>
      <w:r>
        <w:rPr>
          <w:rFonts w:ascii="Times New Roman;sans-serif" w:hAnsi="Times New Roman;sans-serif"/>
          <w:b w:val="false"/>
          <w:color w:val="000000"/>
          <w:sz w:val="20"/>
          <w:shd w:fill="FFFFFF" w:val="clear"/>
        </w:rPr>
        <w:t>Ingénia acquisition. T</w:t>
      </w:r>
      <w:r>
        <w:rPr>
          <w:rFonts w:ascii="Times New Roman;sans-serif" w:hAnsi="Times New Roman;sans-serif"/>
          <w:b w:val="false"/>
          <w:color w:val="000000"/>
          <w:sz w:val="20"/>
        </w:rPr>
        <w:t>hese net borrowings were partially offset by minimum tax withholdings paid on behalf of employees related to long-term incentive awards, net of proceeds from options exercised, of $3.0 and net repayments under our other various debt instruments of $0.3.</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Discontinued Operations</w:t>
      </w:r>
      <w:r>
        <w:rPr>
          <w:color w:val="000000"/>
        </w:rPr>
        <w:t xml:space="preserve"> — </w:t>
      </w:r>
      <w:r>
        <w:rPr>
          <w:rFonts w:ascii="Times New Roman;sans-serif" w:hAnsi="Times New Roman;sans-serif"/>
          <w:b w:val="false"/>
          <w:color w:val="000000"/>
          <w:sz w:val="20"/>
        </w:rPr>
        <w:t xml:space="preserve">Cash used in discontinued operations for the three months ended </w:t>
      </w:r>
      <w:r>
        <w:rPr>
          <w:rFonts w:ascii="Times New Roman;sans-serif" w:hAnsi="Times New Roman;sans-serif"/>
          <w:b w:val="false"/>
          <w:color w:val="000000"/>
          <w:sz w:val="20"/>
          <w:shd w:fill="FFFFFF" w:val="clear"/>
        </w:rPr>
        <w:t>March 29, 2025</w:t>
      </w:r>
      <w:r>
        <w:rPr>
          <w:color w:val="000000"/>
        </w:rPr>
        <w:t xml:space="preserve"> </w:t>
      </w:r>
      <w:r>
        <w:rPr>
          <w:rFonts w:ascii="Times New Roman;sans-serif" w:hAnsi="Times New Roman;sans-serif"/>
          <w:b w:val="false"/>
          <w:color w:val="000000"/>
          <w:sz w:val="20"/>
        </w:rPr>
        <w:t xml:space="preserve">relate primarily to </w:t>
      </w:r>
      <w:r>
        <w:rPr>
          <w:rFonts w:ascii="Times New Roman;sans-serif" w:hAnsi="Times New Roman;sans-serif"/>
          <w:b w:val="false"/>
          <w:color w:val="000000"/>
          <w:sz w:val="20"/>
          <w:shd w:fill="FFFFFF" w:val="clear"/>
        </w:rPr>
        <w:t xml:space="preserve">disbursements for costs incurred to support our wound-down </w:t>
      </w:r>
      <w:r>
        <w:rPr>
          <w:rFonts w:ascii="Times New Roman;sans-serif" w:hAnsi="Times New Roman;sans-serif"/>
          <w:b w:val="false"/>
          <w:color w:val="000000"/>
          <w:sz w:val="20"/>
        </w:rPr>
        <w:t>DBT Technologies (PTY) LTD (“DBT”) subsidiary through actions associated with the liquidation of a subcontractor.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discontinued operations for the three months ended March 30, 2024 relate primarily to disbursements for liabilities retained in connection with previous dispositions.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shd w:fill="FFFFFF" w:val="clear"/>
        </w:rPr>
        <w:t>Change in Cash and Equivalents due to Changes in Foreign Currency Exchange Rate</w:t>
      </w:r>
      <w:r>
        <w:rPr>
          <w:rFonts w:ascii="Times New Roman;sans-serif" w:hAnsi="Times New Roman;sans-serif"/>
          <w:b w:val="false"/>
          <w:i/>
          <w:color w:val="000000"/>
          <w:sz w:val="20"/>
          <w:u w:val="single"/>
        </w:rPr>
        <w:t>s</w:t>
      </w:r>
      <w:r>
        <w:rPr>
          <w:color w:val="000000"/>
        </w:rPr>
        <w:t xml:space="preserve"> — </w:t>
      </w:r>
      <w:r>
        <w:rPr>
          <w:rFonts w:ascii="Times New Roman;sans-serif" w:hAnsi="Times New Roman;sans-serif"/>
          <w:b w:val="false"/>
          <w:color w:val="000000"/>
          <w:sz w:val="20"/>
        </w:rPr>
        <w:t xml:space="preserve">Changes in foreign currency exchange rates </w:t>
      </w:r>
      <w:r>
        <w:rPr>
          <w:rFonts w:ascii="Times New Roman;sans-serif" w:hAnsi="Times New Roman;sans-serif"/>
          <w:b w:val="false"/>
          <w:color w:val="000000"/>
          <w:sz w:val="20"/>
          <w:shd w:fill="FFFFFF" w:val="clear"/>
        </w:rPr>
        <w:t>did not have a significant impact</w:t>
      </w:r>
      <w:r>
        <w:rPr>
          <w:color w:val="000000"/>
        </w:rPr>
        <w:t xml:space="preserve"> </w:t>
      </w:r>
      <w:r>
        <w:rPr>
          <w:rFonts w:ascii="Times New Roman;sans-serif" w:hAnsi="Times New Roman;sans-serif"/>
          <w:b w:val="false"/>
          <w:color w:val="000000"/>
          <w:sz w:val="20"/>
        </w:rPr>
        <w:t>on our cash and equivalents during the first quarters of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Borrowings and Availability</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u w:val="single"/>
        </w:rPr>
        <w:t>Borrowings</w:t>
      </w:r>
      <w:r>
        <w:rPr>
          <w:color w:val="000000"/>
        </w:rPr>
        <w:t xml:space="preserve"> — </w:t>
      </w:r>
      <w:r>
        <w:rPr>
          <w:rFonts w:ascii="Times New Roman;sans-serif" w:hAnsi="Times New Roman;sans-serif"/>
          <w:b w:val="false"/>
          <w:color w:val="000000"/>
          <w:sz w:val="20"/>
        </w:rPr>
        <w:t>The following summarizes our debt activity (both current and non-current) for the three months ended March 29, 2025.</w:t>
      </w:r>
    </w:p>
    <w:tbl>
      <w:tblPr>
        <w:tblW w:w="9076"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06"/>
        <w:gridCol w:w="109"/>
        <w:gridCol w:w="109"/>
        <w:gridCol w:w="109"/>
        <w:gridCol w:w="109"/>
        <w:gridCol w:w="196"/>
        <w:gridCol w:w="55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Other</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Revolving loans</w:t>
            </w:r>
            <w:r>
              <w:rPr>
                <w:rFonts w:ascii="Times New Roman;sans-serif" w:hAnsi="Times New Roman;sans-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Term loans</w:t>
            </w:r>
            <w:r>
              <w:rPr>
                <w:rFonts w:ascii="Times New Roman;sans-serif" w:hAnsi="Times New Roman;sans-serif"/>
                <w:b w:val="false"/>
                <w:color w:val="000000"/>
                <w:sz w:val="12"/>
              </w:rPr>
              <w:t>(2)</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receivables financing arrangement</w:t>
            </w:r>
            <w:r>
              <w:rPr>
                <w:rFonts w:ascii="Times New Roman;sans-serif" w:hAnsi="Times New Roman;sans-serif"/>
                <w:b w:val="false"/>
                <w:color w:val="000000"/>
                <w:sz w:val="12"/>
              </w:rPr>
              <w:t>(3)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indebtedness</w:t>
            </w:r>
            <w:r>
              <w:rPr>
                <w:rFonts w:ascii="Times New Roman;sans-serif" w:hAnsi="Times New Roman;sans-serif"/>
                <w:b w:val="false"/>
                <w:color w:val="000000"/>
                <w:sz w:val="12"/>
              </w:rPr>
              <w:t>(4)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both"/>
        <w:rPr/>
      </w:pPr>
      <w:r>
        <w:rPr>
          <w:rFonts w:ascii="Times New Roman;sans-serif" w:hAnsi="Times New Roman;sans-serif"/>
          <w:b w:val="false"/>
          <w:color w:val="000000"/>
          <w:sz w:val="12"/>
          <w:shd w:fill="FFFFFF" w:val="clear"/>
        </w:rPr>
        <w:t>(1)</w:t>
      </w:r>
      <w:r>
        <w:rPr>
          <w:rFonts w:ascii="Times New Roman;sans-serif" w:hAnsi="Times New Roman;sans-serif"/>
          <w:b w:val="false"/>
          <w:color w:val="000000"/>
          <w:sz w:val="18"/>
        </w:rPr>
        <w:t>The revolving credit facility extends through August 2027 under the terms of our senior credit agreement and is primarily used to provide liquidity for funding acquisitions, including related fees and expenses, and was utilized as the primary funding mechanism for the KTS acquisition.</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term loans are repayable in quarterly installments equal to 1.25% of the initial term loan balances of $545.0, in all quarters of 2025 and 2026, and the first two quarters of 2027. The remaining balances are payable in full on August 12, 2027. Balances are net of unamortized debt issuance costs of $1.1 and $1.2 at March 29, 2025 and December 31, 2024, respectively.</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Under this arrangement, we can borrow, on a continuous basis, up to $100.0, as available. Borrowings under this arrangement are collateralized by eligible trade receivables of certain of our businesses. At March 29, 2025, we had $9.3 of available borrowing capacity under this facility after giving effect to outstanding borrowings of </w:t>
      </w:r>
      <w:r>
        <w:rPr>
          <w:rFonts w:ascii="Times New Roman;sans-serif" w:hAnsi="Times New Roman;sans-serif"/>
          <w:b w:val="false"/>
          <w:color w:val="000000"/>
          <w:sz w:val="18"/>
          <w:shd w:fill="FFFFFF" w:val="clear"/>
        </w:rPr>
        <w:t>$59.0</w:t>
      </w:r>
      <w:r>
        <w:rPr>
          <w:rFonts w:ascii="Times New Roman;sans-serif" w:hAnsi="Times New Roman;sans-serif"/>
          <w:b w:val="false"/>
          <w:color w:val="000000"/>
          <w:sz w:val="18"/>
        </w:rPr>
        <w:t>.</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Primarily includes balances under a purchase card program of $1.7 and $1.1 and finance lease obligations of $1.1 and $1.2 at March 29, 2025 and December 31, 2024,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ans-serif" w:hAnsi="Times New Roman;sans-serif"/>
          <w:b w:val="false"/>
          <w:color w:val="000000"/>
          <w:sz w:val="12"/>
          <w:shd w:fill="FFFFFF" w:val="clear"/>
        </w:rPr>
        <w:t>(5)</w:t>
      </w:r>
      <w:r>
        <w:rPr>
          <w:color w:val="000000"/>
        </w:rPr>
        <w:t>“</w:t>
      </w:r>
      <w:r>
        <w:rPr>
          <w:rFonts w:ascii="Times New Roman;sans-serif" w:hAnsi="Times New Roman;sans-serif"/>
          <w:b w:val="false"/>
          <w:color w:val="000000"/>
          <w:sz w:val="18"/>
        </w:rPr>
        <w:t>Other” includes the impact of amortization of debt issuance costs associated with the term loans.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29, 2025, we were in compliance with all covenants of our senior credit agreement.</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Availability</w:t>
      </w:r>
      <w:r>
        <w:rPr>
          <w:color w:val="000000"/>
        </w:rPr>
        <w:t xml:space="preserve"> — </w:t>
      </w:r>
      <w:r>
        <w:rPr>
          <w:rFonts w:ascii="Times New Roman;sans-serif" w:hAnsi="Times New Roman;sans-serif"/>
          <w:b w:val="false"/>
          <w:color w:val="000000"/>
          <w:sz w:val="20"/>
        </w:rPr>
        <w:t>At March 29, 2025, we had $614.0 of available borrowing capacity under our revolving credit facilities, after giving effect to borrowings under the domestic revolving loan facility of $375.0 and $11.0 reserved for outstanding letters of credit. In addition, at March 29, 2025, we had $12.8 of available issuance capacity under our foreign credit instrument facilities after giving effect to $12.2 reserved for outstanding</w:t>
      </w:r>
      <w:r>
        <w:rPr>
          <w:color w:val="000000"/>
          <w:shd w:fill="FFFFFF" w:val="clear"/>
        </w:rPr>
        <w:t xml:space="preserve"> </w:t>
      </w:r>
      <w:r>
        <w:rPr>
          <w:rFonts w:ascii="Times New Roman;sans-serif" w:hAnsi="Times New Roman;sans-serif"/>
          <w:b w:val="false"/>
          <w:color w:val="000000"/>
          <w:sz w:val="20"/>
          <w:shd w:fill="FFFFFF" w:val="clear"/>
        </w:rPr>
        <w:t>letters of credit.</w:t>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Financing instruments may be used from time to time including,</w:t>
      </w:r>
      <w:r>
        <w:rPr>
          <w:color w:val="000000"/>
        </w:rPr>
        <w:t xml:space="preserve"> </w:t>
      </w:r>
      <w:r>
        <w:rPr>
          <w:rFonts w:ascii="Times New Roman;sans-serif" w:hAnsi="Times New Roman;sans-serif"/>
          <w:b w:val="false"/>
          <w:color w:val="000000"/>
          <w:sz w:val="20"/>
        </w:rPr>
        <w:t>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We have investments in COLI policies, which are recorded at their cash surrender value of $36.3 and $36.2 at March 29, 2025 and December 31, 2024, respectively. We have the ability to borrow against a portion of our investment in the COLI policies as an additional source of liquidity. The amounts borrowed totaled</w:t>
      </w:r>
      <w:r>
        <w:rPr>
          <w:color w:val="000000"/>
          <w:shd w:fill="FFFFFF" w:val="clear"/>
        </w:rPr>
        <w:t xml:space="preserve"> </w:t>
      </w:r>
      <w:r>
        <w:rPr>
          <w:rFonts w:ascii="Times New Roman;sans-serif" w:hAnsi="Times New Roman;sans-serif"/>
          <w:b w:val="false"/>
          <w:color w:val="000000"/>
          <w:sz w:val="20"/>
          <w:shd w:fill="FFFFFF" w:val="clear"/>
        </w:rPr>
        <w:t>$39.0 a</w:t>
      </w:r>
      <w:r>
        <w:rPr>
          <w:rFonts w:ascii="Times New Roman;sans-serif" w:hAnsi="Times New Roman;sans-serif"/>
          <w:b w:val="false"/>
          <w:color w:val="000000"/>
          <w:sz w:val="20"/>
        </w:rPr>
        <w:t>t March 29, 2025 and December 31, 2024 and incur interest at a rate of</w:t>
      </w:r>
      <w:r>
        <w:rPr>
          <w:color w:val="000000"/>
          <w:shd w:fill="FFFFFF" w:val="clear"/>
        </w:rPr>
        <w:t xml:space="preserve"> </w:t>
      </w:r>
      <w:r>
        <w:rPr>
          <w:rFonts w:ascii="Times New Roman;sans-serif" w:hAnsi="Times New Roman;sans-serif"/>
          <w:b w:val="false"/>
          <w:color w:val="000000"/>
          <w:sz w:val="20"/>
          <w:shd w:fill="FFFFFF" w:val="clear"/>
        </w:rPr>
        <w:t>5.3%.</w:t>
      </w:r>
      <w:r>
        <w:rPr>
          <w:color w:val="000000"/>
        </w:rPr>
        <w:t xml:space="preserve"> </w:t>
      </w:r>
      <w:r>
        <w:rPr>
          <w:rFonts w:ascii="Times New Roman;sans-serif" w:hAnsi="Times New Roman;sans-serif"/>
          <w:b w:val="false"/>
          <w:color w:val="000000"/>
          <w:sz w:val="20"/>
        </w:rPr>
        <w:t>After such borrowings, minimal capacity to borrow against the policies remains. See Note 12 to the consolidated financial statements for additional information.</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Concentrations of Credit Risk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significant concentrations of credit risk consist of cash and equivalents, trade accounts receivable, COLI policies, and interest rate swap and foreign currency forward contracts. These financial instruments, other than trade accounts receivable, are placed with high-quality financial institutions. We periodically evaluate the credit standing of these financial institutions.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cash levels in bank accounts that, at times, may exceed federally-insured limits. We have not experienced, and believe we are not exposed to, significant risk of loss in these accounts.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credit loss exposure in the event of nonperformance by counterparties to the above financial instruments, but have no other off-balance-sheet credit risk of accounting loss. We anticipate, however, that counterparties will be able to 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satisfy their obligations under the contracts. We do not obtain collateral or other security to support financial instruments subject to credit risk, but we do monitor the credit standing of counterparties.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w:t>
      </w:r>
      <w:r>
        <w:rPr>
          <w:rFonts w:ascii="Times New Roman;sans-serif" w:hAnsi="Times New Roman;sans-serif"/>
          <w:b w:val="false"/>
          <w:color w:val="000000"/>
          <w:sz w:val="20"/>
          <w:shd w:fill="FFFFFF" w:val="clear"/>
        </w:rPr>
        <w:t>10</w:t>
      </w:r>
      <w:r>
        <w:rPr>
          <w:rFonts w:ascii="Times New Roman;sans-serif" w:hAnsi="Times New Roman;sans-serif"/>
          <w:b w:val="false"/>
          <w:color w:val="000000"/>
          <w:sz w:val="20"/>
        </w:rPr>
        <w:t>% of our revenues for any period presented.</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Contractual Obligations</w:t>
      </w:r>
      <w:r>
        <w:rPr>
          <w:color w:val="000000"/>
        </w:rPr>
        <w:t xml:space="preserve"> — </w:t>
      </w:r>
      <w:r>
        <w:rPr>
          <w:rFonts w:ascii="Times New Roman;sans-serif" w:hAnsi="Times New Roman;sans-serif"/>
          <w:b w:val="false"/>
          <w:color w:val="000000"/>
          <w:sz w:val="20"/>
        </w:rPr>
        <w:t xml:space="preserve">Other than the borrowings under our revolving loan facility in connection with the KTS acquisition discussed above and further borrowings under that facility to fund, together with available cash, the acquisition on April 15, 2025 of Sigma &amp; Omega, as described in Note 18 to our condensed consolidated financial statements, there have been no material changes in the amounts of our contractual obligations from those disclosed in our 2024 Annual Report on Form 10-K. Our total net liabilities for unrecognized tax benefits including interest were $4.5 as of March 29, 2025. Based on the outcome of certain examinations or as a result of the expiration of statutes of limitations for certain jurisdictions, we do not believe that within the next </w:t>
      </w:r>
      <w:r>
        <w:rPr>
          <w:rFonts w:ascii="Times New Roman;sans-serif" w:hAnsi="Times New Roman;sans-serif"/>
          <w:b w:val="false"/>
          <w:color w:val="000000"/>
          <w:sz w:val="20"/>
          <w:shd w:fill="FFFFFF" w:val="clear"/>
        </w:rPr>
        <w:t>12 months</w:t>
      </w:r>
      <w:r>
        <w:rPr>
          <w:color w:val="000000"/>
        </w:rPr>
        <w:t xml:space="preserve"> </w:t>
      </w:r>
      <w:r>
        <w:rPr>
          <w:rFonts w:ascii="Times New Roman;sans-serif" w:hAnsi="Times New Roman;sans-serif"/>
          <w:b w:val="false"/>
          <w:color w:val="000000"/>
          <w:sz w:val="20"/>
        </w:rPr>
        <w:t>our previously unrecognized tax benefits will decrease by a material amount.</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Contingencies and Other Matters</w:t>
      </w:r>
      <w:r>
        <w:rPr>
          <w:color w:val="000000"/>
        </w:rPr>
        <w:t xml:space="preserve"> — </w:t>
      </w:r>
      <w:r>
        <w:rPr>
          <w:rFonts w:ascii="Times New Roman;sans-serif" w:hAnsi="Times New Roman;sans-serif"/>
          <w:b w:val="false"/>
          <w:color w:val="000000"/>
          <w:sz w:val="20"/>
        </w:rPr>
        <w:t xml:space="preserve">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claims for contingent 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 these accruals may be adjusted and could differ materially from amounts originally estimated. See </w:t>
      </w:r>
      <w:r>
        <w:rPr>
          <w:rFonts w:ascii="Times New Roman;sans-serif" w:hAnsi="Times New Roman;sans-serif"/>
          <w:b w:val="false"/>
          <w:color w:val="000000"/>
          <w:sz w:val="20"/>
          <w:shd w:fill="FFFFFF" w:val="clear"/>
        </w:rPr>
        <w:t>Note 15</w:t>
      </w:r>
      <w:r>
        <w:rPr>
          <w:color w:val="000000"/>
        </w:rPr>
        <w:t xml:space="preserve"> </w:t>
      </w:r>
      <w:r>
        <w:rPr>
          <w:rFonts w:ascii="Times New Roman;sans-serif" w:hAnsi="Times New Roman;sans-serif"/>
          <w:b w:val="false"/>
          <w:color w:val="000000"/>
          <w:sz w:val="20"/>
        </w:rPr>
        <w:t>to the condensed consolidated financial statements for a further discussion of contingencies and other matters.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you should read “Management’s Discussion and Analysis of Financial Condition and Results of Operations — Other Matters” herein, and “Risk Factors” in our 2024 Annual Report on Form 10-K, as well as similar sections in any future filings for an understanding of the risks, uncertainties, and trends facing our businesses.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2">
        <w:r>
          <w:rPr>
            <w:rStyle w:val="InternetLink"/>
            <w:rFonts w:ascii="Times New Roman;sans-serif" w:hAnsi="Times New Roman;sans-serif"/>
            <w:b w:val="false"/>
            <w:color w:val="0000FF"/>
            <w:sz w:val="20"/>
            <w:u w:val="single"/>
          </w:rPr>
          <w:t>2024 Annual Report on Form 10-K</w:t>
        </w:r>
      </w:hyperlink>
      <w:r>
        <w:rPr>
          <w:rFonts w:ascii="Times New Roman;sans-serif" w:hAnsi="Times New Roman;sans-serif"/>
          <w:b w:val="false"/>
          <w:color w:val="000000"/>
          <w:sz w:val="20"/>
        </w:rPr>
        <w:t>, the discussion within which is incorporated herein by reference</w:t>
      </w:r>
      <w:r>
        <w:rPr>
          <w:rFonts w:ascii="Times New Roman;sans-serif" w:hAnsi="Times New Roman;sans-serif"/>
          <w:b w:val="false"/>
          <w:color w:val="000000"/>
          <w:sz w:val="20"/>
          <w:shd w:fill="FFFFFF" w:val="clear"/>
        </w:rPr>
        <w:t>. We have affected no material change in either our critical accounting policies or use of estimates since the filing of our 2024 Annual Report on Form 10-K.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does not believe our exposure to market risk has significantly changed since December 31, 2024 and does not believe that such risks will result in significant adverse impacts to our financial condition, results of operations or cash flows.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SPX management, including the Chief Executive Officer and Chief Financial Officer, conducted an evaluation of the effectiveness of disclosure controls and procedures, pursuant to Exchange Act Rule 13a-15(b), as of March 29, 2025. Based on that evaluation, the Chief Executive Officer and Chief Financial Officer concluded that our disclosure controls and procedures were effective as of March 29,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evaluation by SPX management, including the Chief Executive Officer and the Chief Financial Officer, of our internal control over financial reporting, pursuant to Exchange Act Rule 13a-15(d), no changes during the quarter ended March 29, 2025 were identified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information required by this Item is incorporated by reference from the footnotes to the condensed consolidated financial statements, specifically</w:t>
      </w:r>
      <w:r>
        <w:rPr>
          <w:color w:val="000000"/>
          <w:shd w:fill="FFFFFF" w:val="clear"/>
        </w:rPr>
        <w:t xml:space="preserve"> </w:t>
      </w:r>
      <w:hyperlink w:anchor="iee79b97278c24e6ab9fe6436417e0b63_76">
        <w:r>
          <w:rPr>
            <w:rStyle w:val="InternetLink"/>
            <w:rFonts w:ascii="Times New Roman;sans-serif" w:hAnsi="Times New Roman;sans-serif"/>
            <w:b w:val="false"/>
            <w:color w:val="0000FF"/>
            <w:sz w:val="20"/>
            <w:u w:val="single"/>
            <w:shd w:fill="FFFFFF" w:val="clear"/>
          </w:rPr>
          <w:t>Note 15</w:t>
        </w:r>
      </w:hyperlink>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included under Part I of this Form 10-Q.</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In addition to the other information set forth in this report, you should carefully consider the factors discussed in Part I, “Item 1A. Risk Factors” in our </w:t>
      </w:r>
      <w:hyperlink r:id="rId3">
        <w:r>
          <w:rPr>
            <w:rStyle w:val="InternetLink"/>
            <w:rFonts w:ascii="Times New Roman;sans-serif" w:hAnsi="Times New Roman;sans-serif"/>
            <w:b w:val="false"/>
            <w:color w:val="0000FF"/>
            <w:sz w:val="20"/>
            <w:u w:val="single"/>
          </w:rPr>
          <w:t>2024 Annual Report on Form 10-K</w:t>
        </w:r>
      </w:hyperlink>
      <w:r>
        <w:rPr>
          <w:rFonts w:ascii="Times New Roman;sans-serif" w:hAnsi="Times New Roman;sans-serif"/>
          <w:b w:val="false"/>
          <w:color w:val="000000"/>
          <w:sz w:val="20"/>
        </w:rPr>
        <w:t>, which could materially affect our business, financial condition or future results. Other than as noted below, there have been no material changes to our risk factors as previously disclosed in our 2024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Worldwide economic conditions could negatively impact our businesses.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Poor macroeconomic conditions could negatively impact our businesses by adversely affecting, among other things, our:</w:t>
      </w:r>
    </w:p>
    <w:p>
      <w:pPr>
        <w:pStyle w:val="TextBody"/>
        <w:bidi w:val="0"/>
        <w:spacing w:before="0" w:after="0"/>
        <w:jc w:val="both"/>
        <w:rPr/>
      </w:pPr>
      <w:r>
        <w:rPr/>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Revenues;</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Margins;</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Profits;</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Cash flows;</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Customers’ orders, including order cancellation activity or delays on new or existing orders;</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Customers’ ability to access credit;</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Customers’ ability to pay amounts due to us; and</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Suppliers’ and distributors’ ability to perform and the availability and costs of materials and subcontracted services.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prospects could be negatively impacted by downturns in economic conditions in relevant global and North American markets, including as a result of the imposition, or threat of imposition, of tariffs and other trade barriers, such as the significant tariffs announced by the U.S. government in 2025, and retaliatory tariffs announced in response thereto. In addition, economic instabilities resulting from geopolitical activities, including instabilities associated with armed conflicts, and the imposition of governmental sanctions in response thereto, and any conflict or threat of conflict that may affect any other nations, could negatively impact our results of operations and prospects.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director or officer of SPX adopted, modified, or terminated a “Rule 10b5-1 trading arrangement” or adopted, modified, or terminated a “non-Rule 10b5-1 trading arrangement” (as such terms are defined in Item 408 of Regulation S-K) during the three months ended March 29, 2025.</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03"/>
        <w:gridCol w:w="257"/>
        <w:gridCol w:w="259"/>
        <w:gridCol w:w="2744"/>
        <w:gridCol w:w="2744"/>
        <w:gridCol w:w="3898"/>
      </w:tblGrid>
      <w:tr>
        <w:trPr/>
        <w:tc>
          <w:tcPr>
            <w:tcW w:w="30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3898"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025.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025.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2025.htm">
              <w:r>
                <w:rPr>
                  <w:rStyle w:val="InternetLink"/>
                  <w:rFonts w:ascii="Times New Roman;sans-serif" w:hAnsi="Times New Roman;sans-serif"/>
                  <w:b w:val="false"/>
                  <w:color w:val="0000FF"/>
                  <w:sz w:val="20"/>
                  <w:u w:val="single"/>
                </w:rPr>
                <w:t>Certification of Chief Executive Officer and Chief Financial Officer pursuant to Section 906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Definitions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the Interactive Data Files submitted as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7865"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408"/>
        <w:gridCol w:w="408"/>
        <w:gridCol w:w="408"/>
        <w:gridCol w:w="1366"/>
        <w:gridCol w:w="1366"/>
        <w:gridCol w:w="194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SPX TECHNOLOGIES, INC.</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Eugene J. Lowe, III</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Mark A. Carano</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Vice President, 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Eugene J. Lowe, III, certify that: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SPX Technologies, Inc.;</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4.</w:t>
      </w:r>
      <w:r>
        <w:rPr>
          <w:color w:val="000000"/>
        </w:rPr>
        <w:t>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a.</w:t>
      </w:r>
      <w:r>
        <w:rPr>
          <w:color w:val="000000"/>
        </w:rPr>
        <w:t>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c.</w:t>
      </w:r>
      <w:r>
        <w:rPr>
          <w:color w:val="000000"/>
        </w:rPr>
        <w:t>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d.</w:t>
      </w:r>
      <w:r>
        <w:rPr>
          <w:color w:val="000000"/>
        </w:rPr>
        <w:t>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5.</w:t>
      </w:r>
      <w:r>
        <w:rPr>
          <w:color w:val="000000"/>
        </w:rPr>
        <w:t>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a.</w:t>
      </w:r>
      <w:r>
        <w:rPr>
          <w:color w:val="000000"/>
        </w:rPr>
        <w:t>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4844" w:type="dxa"/>
        <w:jc w:val="left"/>
        <w:tblInd w:w="0" w:type="dxa"/>
        <w:tblLayout w:type="fixed"/>
        <w:tblCellMar>
          <w:top w:w="28" w:type="dxa"/>
          <w:left w:w="28" w:type="dxa"/>
          <w:bottom w:w="28" w:type="dxa"/>
          <w:right w:w="28" w:type="dxa"/>
        </w:tblCellMar>
      </w:tblPr>
      <w:tblGrid>
        <w:gridCol w:w="591"/>
        <w:gridCol w:w="520"/>
        <w:gridCol w:w="523"/>
        <w:gridCol w:w="940"/>
        <w:gridCol w:w="940"/>
        <w:gridCol w:w="13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c>
        <w:tc>
          <w:tcPr>
            <w:tcW w:w="321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EUGENE J. LOWE, III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Eugene J. Lowe, III</w:t>
            </w:r>
          </w:p>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Mark A. Carano, certify that: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SPX Technologies, Inc.;</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6044" w:type="dxa"/>
        <w:jc w:val="left"/>
        <w:tblInd w:w="0" w:type="dxa"/>
        <w:tblLayout w:type="fixed"/>
        <w:tblCellMar>
          <w:top w:w="28" w:type="dxa"/>
          <w:left w:w="28" w:type="dxa"/>
          <w:bottom w:w="28" w:type="dxa"/>
          <w:right w:w="28" w:type="dxa"/>
        </w:tblCellMar>
      </w:tblPr>
      <w:tblGrid>
        <w:gridCol w:w="591"/>
        <w:gridCol w:w="520"/>
        <w:gridCol w:w="523"/>
        <w:gridCol w:w="1290"/>
        <w:gridCol w:w="1290"/>
        <w:gridCol w:w="18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CARANO</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Carano</w:t>
              <w:br/>
              <w:t>Vice President, 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 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345" w:before="0" w:after="0"/>
        <w:jc w:val="both"/>
        <w:rPr>
          <w:color w:val="000000"/>
        </w:rPr>
      </w:pPr>
      <w:r>
        <w:rPr>
          <w:color w:val="000000"/>
        </w:rPr>
        <w:t>    </w:t>
      </w:r>
      <w:r>
        <w:rPr>
          <w:rFonts w:ascii="Times New Roman;sans-serif" w:hAnsi="Times New Roman;sans-serif"/>
          <w:b w:val="false"/>
          <w:color w:val="000000"/>
          <w:sz w:val="20"/>
        </w:rPr>
        <w:t>In connection with the Quarterly Report of SPX Technologies, Inc. on Form 10-Q for the period ended March 29, 2025, as filed with the Securities and Exchange Commission on the date hereof (the “Report”), we certify, pursuant to 18 U.S.C. Section 1350, as adopted pursuant to Section 906 of the Sarbanes-Oxley Act of 2002, that, to the best of our knowledge:</w:t>
      </w:r>
    </w:p>
    <w:p>
      <w:pPr>
        <w:pStyle w:val="TextBody"/>
        <w:bidi w:val="0"/>
        <w:spacing w:before="0" w:after="0"/>
        <w:jc w:val="both"/>
        <w:rPr/>
      </w:pPr>
      <w:r>
        <w:rPr/>
      </w:r>
    </w:p>
    <w:p>
      <w:pPr>
        <w:pStyle w:val="TextBody"/>
        <w:bidi w:val="0"/>
        <w:spacing w:lineRule="auto" w:line="345"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45"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SPX Technologies, Inc.</w:t>
      </w:r>
    </w:p>
    <w:p>
      <w:pPr>
        <w:pStyle w:val="TextBody"/>
        <w:bidi w:val="0"/>
        <w:spacing w:before="0" w:after="0"/>
        <w:jc w:val="left"/>
        <w:rPr/>
      </w:pPr>
      <w:r>
        <w:rPr/>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bl>
      <w:tblPr>
        <w:tblW w:w="7917" w:type="dxa"/>
        <w:jc w:val="center"/>
        <w:tblInd w:w="0" w:type="dxa"/>
        <w:tblLayout w:type="fixed"/>
        <w:tblCellMar>
          <w:top w:w="28" w:type="dxa"/>
          <w:left w:w="28" w:type="dxa"/>
          <w:bottom w:w="28" w:type="dxa"/>
          <w:right w:w="28" w:type="dxa"/>
        </w:tblCellMar>
      </w:tblPr>
      <w:tblGrid>
        <w:gridCol w:w="1151"/>
        <w:gridCol w:w="1010"/>
        <w:gridCol w:w="1019"/>
        <w:gridCol w:w="109"/>
        <w:gridCol w:w="109"/>
        <w:gridCol w:w="109"/>
        <w:gridCol w:w="1290"/>
        <w:gridCol w:w="1290"/>
        <w:gridCol w:w="1830"/>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EUGENE J. LOWE,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CARANO</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Eugene J. Lowe, III</w:t>
            </w:r>
          </w:p>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Carano</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and Treasurer</w:t>
            </w:r>
          </w:p>
        </w:tc>
      </w:tr>
    </w:tbl>
    <w:p>
      <w:pPr>
        <w:pStyle w:val="TextBody"/>
        <w:bidi w:val="0"/>
        <w:spacing w:lineRule="auto" w:line="34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signed original of this written statement required by Section 906 has been provided to SPX Technologies, Inc. and will be retained by SPX Technologies, Inc.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205/000008820525000007/spxc-20241231.htm" TargetMode="External"/><Relationship Id="rId3" Type="http://schemas.openxmlformats.org/officeDocument/2006/relationships/hyperlink" Target="https://www.sec.gov/Archives/edgar/data/88205/000008820525000007/spxc-202412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20645</Words>
  <Characters>115521</Characters>
  <CharactersWithSpaces>135176</CharactersWithSpaces>
  <Paragraphs>2408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