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 w:lineRule="exact"/>
        <w:rPr>
          <w:sz w:val="24"/>
          <w:szCs w:val="24"/>
          <w:color w:val="auto"/>
        </w:rPr>
      </w:pPr>
    </w:p>
    <w:p>
      <w:pPr>
        <w:ind w:left="940" w:right="160" w:hanging="554"/>
        <w:spacing w:after="0" w:line="196" w:lineRule="auto"/>
        <w:tabs>
          <w:tab w:leader="none" w:pos="9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28, 2025</w:t>
      </w:r>
    </w:p>
    <w:p>
      <w:pPr>
        <w:spacing w:after="0" w:line="40" w:lineRule="exact"/>
        <w:rPr>
          <w:sz w:val="24"/>
          <w:szCs w:val="24"/>
          <w:color w:val="auto"/>
        </w:rPr>
      </w:pPr>
    </w:p>
    <w:p>
      <w:pPr>
        <w:ind w:left="940" w:right="160" w:hanging="554"/>
        <w:spacing w:after="0" w:line="196" w:lineRule="auto"/>
        <w:tabs>
          <w:tab w:leader="none" w:pos="9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6"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1-6948</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SPX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64" w:right="339" w:bottom="1440" w:gutter="0" w:footer="0" w:header="0"/>
        </w:sectPr>
      </w:pPr>
    </w:p>
    <w:p>
      <w:pPr>
        <w:spacing w:after="0" w:line="2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88-3567996</w:t>
      </w:r>
    </w:p>
    <w:p>
      <w:pPr>
        <w:spacing w:after="0" w:line="38" w:lineRule="exact"/>
        <w:rPr>
          <w:sz w:val="24"/>
          <w:szCs w:val="24"/>
          <w:color w:val="auto"/>
        </w:rPr>
      </w:pPr>
    </w:p>
    <w:p>
      <w:pPr>
        <w:sectPr>
          <w:pgSz w:w="11900" w:h="16838" w:orient="portrait"/>
          <w:cols w:equalWidth="0" w:num="2">
            <w:col w:w="7380" w:space="720"/>
            <w:col w:w="3140"/>
          </w:cols>
          <w:pgMar w:left="320" w:top="664" w:right="339" w:bottom="1440" w:gutter="0" w:footer="0" w:header="0"/>
          <w:type w:val="continuous"/>
        </w:sectPr>
      </w:pPr>
    </w:p>
    <w:p>
      <w:pPr>
        <w:jc w:val="center"/>
        <w:ind w:right="10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jc w:val="center"/>
        <w:ind w:right="10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90" w:lineRule="exact"/>
        <w:rPr>
          <w:sz w:val="24"/>
          <w:szCs w:val="24"/>
          <w:color w:val="auto"/>
        </w:rPr>
      </w:pPr>
    </w:p>
    <w:p>
      <w:pPr>
        <w:sectPr>
          <w:pgSz w:w="11900" w:h="16838" w:orient="portrait"/>
          <w:cols w:equalWidth="0" w:num="2">
            <w:col w:w="6500" w:space="720"/>
            <w:col w:w="4020"/>
          </w:cols>
          <w:pgMar w:left="320" w:top="664" w:right="339" w:bottom="1440" w:gutter="0" w:footer="0" w:header="0"/>
          <w:type w:val="continuous"/>
        </w:sectPr>
      </w:pP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6325 Ardrey Kell Road, Suite 400, Charlotte, North Carolina 28277</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(980) 474-3700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664" w:right="339" w:bottom="1440" w:gutter="0" w:footer="0" w:header="0"/>
          <w:type w:val="continuous"/>
        </w:sectPr>
      </w:pPr>
    </w:p>
    <w:p>
      <w:pPr>
        <w:spacing w:after="0" w:line="50"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Symbols(s)</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3900" w:space="720"/>
            <w:col w:w="1880" w:space="720"/>
            <w:col w:w="4020"/>
          </w:cols>
          <w:pgMar w:left="320" w:top="664"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SPXC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New York Stock Exchange</w:t>
      </w:r>
    </w:p>
    <w:p>
      <w:pPr>
        <w:spacing w:after="0" w:line="200" w:lineRule="exact"/>
        <w:rPr>
          <w:sz w:val="24"/>
          <w:szCs w:val="24"/>
          <w:color w:val="auto"/>
        </w:rPr>
      </w:pPr>
    </w:p>
    <w:p>
      <w:pPr>
        <w:sectPr>
          <w:pgSz w:w="11900" w:h="16838" w:orient="portrait"/>
          <w:cols w:equalWidth="0" w:num="3">
            <w:col w:w="4380" w:space="720"/>
            <w:col w:w="1980" w:space="720"/>
            <w:col w:w="3440"/>
          </w:cols>
          <w:pgMar w:left="320" w:top="664" w:right="339" w:bottom="1440" w:gutter="0" w:footer="0" w:header="0"/>
          <w:type w:val="continuous"/>
        </w:sectPr>
      </w:pPr>
    </w:p>
    <w:p>
      <w:pPr>
        <w:spacing w:after="0" w:line="5" w:lineRule="exact"/>
        <w:rPr>
          <w:sz w:val="24"/>
          <w:szCs w:val="24"/>
          <w:color w:val="auto"/>
        </w:rPr>
      </w:pPr>
    </w:p>
    <w:p>
      <w:pPr>
        <w:ind w:right="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39" w:lineRule="exact"/>
        <w:rPr>
          <w:sz w:val="24"/>
          <w:szCs w:val="24"/>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680" w:type="dxa"/>
        <w:tblCellMar>
          <w:top w:w="0" w:type="dxa"/>
          <w:left w:w="0" w:type="dxa"/>
          <w:bottom w:w="0" w:type="dxa"/>
          <w:right w:w="0" w:type="dxa"/>
        </w:tblCellMar>
      </w:tblPr>
      <w:tr>
        <w:trPr>
          <w:trHeight w:val="265"/>
        </w:trPr>
        <w:tc>
          <w:tcPr>
            <w:tcW w:w="24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08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left="3640" w:right="1720" w:hanging="3307"/>
        <w:spacing w:after="0" w:line="24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Common shares outstanding July 25, 2025, 46,758,155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INDEX</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1 – FINANCIAL INFORMATION</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1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 Financial Statements</w:t>
            </w:r>
          </w:p>
        </w:tc>
        <w:tc>
          <w:tcPr>
            <w:tcW w:w="700" w:type="dxa"/>
            <w:vAlign w:val="bottom"/>
            <w:tcBorders>
              <w:top w:val="single" w:sz="8" w:color="0000FF"/>
            </w:tcBorders>
            <w:gridSpan w:val="3"/>
          </w:tcPr>
          <w:p>
            <w:pPr>
              <w:spacing w:after="0"/>
              <w:rPr>
                <w:sz w:val="18"/>
                <w:szCs w:val="18"/>
                <w:color w:val="auto"/>
              </w:rPr>
            </w:pPr>
          </w:p>
        </w:tc>
        <w:tc>
          <w:tcPr>
            <w:tcW w:w="5920" w:type="dxa"/>
            <w:vAlign w:val="bottom"/>
            <w:gridSpan w:val="8"/>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3</w:t>
            </w: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760" w:type="dxa"/>
            <w:vAlign w:val="bottom"/>
            <w:tcBorders>
              <w:top w:val="single" w:sz="8" w:color="0000FF"/>
            </w:tcBorders>
            <w:gridSpan w:val="5"/>
          </w:tcPr>
          <w:p>
            <w:pPr>
              <w:spacing w:after="0"/>
              <w:rPr>
                <w:sz w:val="18"/>
                <w:szCs w:val="18"/>
                <w:color w:val="auto"/>
              </w:rPr>
            </w:pPr>
          </w:p>
        </w:tc>
        <w:tc>
          <w:tcPr>
            <w:tcW w:w="290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2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220" w:type="dxa"/>
            <w:vAlign w:val="bottom"/>
            <w:gridSpan w:val="4"/>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880" w:type="dxa"/>
            <w:vAlign w:val="bottom"/>
            <w:gridSpan w:val="6"/>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600" w:type="dxa"/>
            <w:vAlign w:val="bottom"/>
            <w:gridSpan w:val="5"/>
          </w:tcPr>
          <w:p>
            <w:pPr>
              <w:spacing w:after="0"/>
              <w:rPr>
                <w:sz w:val="18"/>
                <w:szCs w:val="18"/>
                <w:color w:val="auto"/>
              </w:rPr>
            </w:pPr>
          </w:p>
        </w:tc>
        <w:tc>
          <w:tcPr>
            <w:tcW w:w="1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2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 Management's Discussion and Analysis of Financial Condition and Results of Operations</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32</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700" w:type="dxa"/>
            <w:vAlign w:val="bottom"/>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Item 4 – Controls and Procedures</w:t>
            </w:r>
          </w:p>
        </w:tc>
        <w:tc>
          <w:tcPr>
            <w:tcW w:w="2580" w:type="dxa"/>
            <w:vAlign w:val="bottom"/>
            <w:gridSpan w:val="7"/>
          </w:tcPr>
          <w:p>
            <w:pPr>
              <w:spacing w:after="0"/>
              <w:rPr>
                <w:sz w:val="18"/>
                <w:szCs w:val="18"/>
                <w:color w:val="auto"/>
              </w:rPr>
            </w:pPr>
          </w:p>
        </w:tc>
        <w:tc>
          <w:tcPr>
            <w:tcW w:w="3780" w:type="dxa"/>
            <w:vAlign w:val="bottom"/>
            <w:gridSpan w:val="3"/>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42</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220" w:type="dxa"/>
            <w:vAlign w:val="bottom"/>
          </w:tcPr>
          <w:p>
            <w:pPr>
              <w:spacing w:after="0"/>
              <w:rPr>
                <w:sz w:val="24"/>
                <w:szCs w:val="24"/>
                <w:color w:val="auto"/>
              </w:rPr>
            </w:pPr>
          </w:p>
        </w:tc>
        <w:tc>
          <w:tcPr>
            <w:tcW w:w="89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2 – OTHER INFORMATION</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22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 – Legal Proceedings</w:t>
            </w:r>
          </w:p>
        </w:tc>
        <w:tc>
          <w:tcPr>
            <w:tcW w:w="6280" w:type="dxa"/>
            <w:vAlign w:val="bottom"/>
            <w:gridSpan w:val="9"/>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 – Risk Factors</w:t>
            </w:r>
          </w:p>
        </w:tc>
        <w:tc>
          <w:tcPr>
            <w:tcW w:w="682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5 – Other Information</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43</w:t>
            </w: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20" w:type="dxa"/>
            <w:vAlign w:val="bottom"/>
            <w:gridSpan w:val="1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 – Exhibits</w:t>
            </w:r>
          </w:p>
        </w:tc>
        <w:tc>
          <w:tcPr>
            <w:tcW w:w="6820" w:type="dxa"/>
            <w:vAlign w:val="bottom"/>
            <w:gridSpan w:val="12"/>
          </w:tcPr>
          <w:p>
            <w:pPr>
              <w:spacing w:after="0"/>
              <w:rPr>
                <w:sz w:val="18"/>
                <w:szCs w:val="18"/>
                <w:color w:val="auto"/>
              </w:rPr>
            </w:pP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44</w:t>
            </w:r>
          </w:p>
        </w:tc>
      </w:tr>
      <w:tr>
        <w:trPr>
          <w:trHeight w:val="20"/>
        </w:trPr>
        <w:tc>
          <w:tcPr>
            <w:tcW w:w="360" w:type="dxa"/>
            <w:vAlign w:val="bottom"/>
            <w:gridSpan w:val="2"/>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540" w:type="dxa"/>
            <w:vAlign w:val="bottom"/>
            <w:gridSpan w:val="1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9140" w:type="dxa"/>
            <w:vAlign w:val="bottom"/>
            <w:gridSpan w:val="21"/>
          </w:tcPr>
          <w:p>
            <w:pPr>
              <w:ind w:left="220"/>
              <w:spacing w:after="0"/>
              <w:rPr>
                <w:sz w:val="20"/>
                <w:szCs w:val="20"/>
                <w:color w:val="auto"/>
              </w:rPr>
            </w:pPr>
            <w:r>
              <w:rPr>
                <w:rFonts w:ascii="Times New Roman" w:cs="Times New Roman" w:eastAsia="Times New Roman" w:hAnsi="Times New Roman"/>
                <w:sz w:val="18"/>
                <w:szCs w:val="18"/>
                <w:color w:val="0000FF"/>
              </w:rPr>
              <w:t>SIGNATURES</w:t>
            </w:r>
          </w:p>
        </w:tc>
        <w:tc>
          <w:tcPr>
            <w:tcW w:w="2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0000FF"/>
              </w:rPr>
              <w:t>45</w:t>
            </w:r>
          </w:p>
        </w:tc>
      </w:tr>
      <w:tr>
        <w:trPr>
          <w:trHeight w:val="1634"/>
        </w:trPr>
        <w:tc>
          <w:tcPr>
            <w:tcW w:w="2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in millions, except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1"/>
        </w:trPr>
        <w:tc>
          <w:tcPr>
            <w:tcW w:w="57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5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w:t>
            </w: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7"/>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73"/>
        </w:trPr>
        <w:tc>
          <w:tcPr>
            <w:tcW w:w="5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70"/>
        </w:trPr>
        <w:tc>
          <w:tcPr>
            <w:tcW w:w="5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Loss on disposition of discontinued operations, net of tax</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70"/>
        </w:trPr>
        <w:tc>
          <w:tcPr>
            <w:tcW w:w="57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3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income per share of common stock:</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07"/>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0"/>
        </w:trPr>
        <w:tc>
          <w:tcPr>
            <w:tcW w:w="5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46.038</w:t>
            </w:r>
          </w:p>
        </w:tc>
      </w:tr>
      <w:tr>
        <w:trPr>
          <w:trHeight w:val="273"/>
        </w:trPr>
        <w:tc>
          <w:tcPr>
            <w:tcW w:w="5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income per share of common stock:</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35"/>
        </w:trPr>
        <w:tc>
          <w:tcPr>
            <w:tcW w:w="57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per share</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46.901</w:t>
            </w:r>
          </w:p>
        </w:tc>
      </w:tr>
      <w:tr>
        <w:trPr>
          <w:trHeight w:val="270"/>
        </w:trPr>
        <w:tc>
          <w:tcPr>
            <w:tcW w:w="57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r>
      <w:tr>
        <w:trPr>
          <w:trHeight w:val="232"/>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60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40" w:type="dxa"/>
            <w:vAlign w:val="bottom"/>
          </w:tcPr>
          <w:p>
            <w:pPr>
              <w:spacing w:after="0"/>
              <w:rPr>
                <w:sz w:val="13"/>
                <w:szCs w:val="13"/>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Machinery and equipment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 net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Assets of DBT and Heat Transfer (includes cash and equivalents of $4.1 and $4.5 at June 28, 2025 and December 31, 2024,</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respectively) (Note 3)</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0" w:type="dxa"/>
            <w:vAlign w:val="bottom"/>
          </w:tcPr>
          <w:p>
            <w:pPr>
              <w:spacing w:after="0"/>
              <w:rPr>
                <w:sz w:val="1"/>
                <w:szCs w:val="1"/>
                <w:color w:val="auto"/>
              </w:rPr>
            </w:pPr>
          </w:p>
        </w:tc>
      </w:tr>
      <w:tr>
        <w:trPr>
          <w:trHeight w:val="213"/>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0" w:type="dxa"/>
            <w:vAlign w:val="bottom"/>
          </w:tcPr>
          <w:p>
            <w:pPr>
              <w:spacing w:after="0"/>
              <w:rPr>
                <w:sz w:val="1"/>
                <w:szCs w:val="1"/>
                <w:color w:val="auto"/>
              </w:rPr>
            </w:pPr>
          </w:p>
        </w:tc>
      </w:tr>
      <w:tr>
        <w:trPr>
          <w:trHeight w:val="239"/>
        </w:trPr>
        <w:tc>
          <w:tcPr>
            <w:tcW w:w="8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Liabilities of DBT and Heat Transfer (Note 3)</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15)</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(54,445,337 and 46,737,199 issued and outstanding at June 28, 2025, respectively, and 54,196,620 and</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46,368,240 issued and outstanding at December 31, 2024, respectively)</w:t>
            </w: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1,373.5</w:t>
            </w:r>
          </w:p>
        </w:tc>
        <w:tc>
          <w:tcPr>
            <w:tcW w:w="0" w:type="dxa"/>
            <w:vAlign w:val="bottom"/>
          </w:tcPr>
          <w:p>
            <w:pPr>
              <w:spacing w:after="0"/>
              <w:rPr>
                <w:sz w:val="1"/>
                <w:szCs w:val="1"/>
                <w:color w:val="auto"/>
              </w:rPr>
            </w:pPr>
          </w:p>
        </w:tc>
      </w:tr>
      <w:tr>
        <w:trPr>
          <w:trHeight w:val="213"/>
        </w:trPr>
        <w:tc>
          <w:tcPr>
            <w:tcW w:w="86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 in treasury (7,708,138 and 7,828,380 shares at June 28, 2025 and December 31, 2024, respectively)</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1,384.4</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3,306.7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SPX TECHNOLOGIES, INC. AND SUBSIDIARIES CONDENSED CONSOLIDATED STATEMENTS OF STOCKHOLDERS' EQUITY (Unaudited;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28, 2025</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29, 2025</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1,443.4</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28, 2025</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28, 2025</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1,384.4</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28, 2025</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30, 2024</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1,237.5</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29, 2024</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 Other</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1"/>
                <w:szCs w:val="11"/>
                <w:color w:val="auto"/>
              </w:rPr>
            </w:pPr>
          </w:p>
        </w:tc>
        <w:tc>
          <w:tcPr>
            <w:tcW w:w="104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7"/>
                <w:szCs w:val="17"/>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1,194.6</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net</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5"/>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Incentive plan activity</w:t>
            </w:r>
          </w:p>
        </w:tc>
        <w:tc>
          <w:tcPr>
            <w:tcW w:w="4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incentive compensation expense</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stock unit vesting</w:t>
            </w:r>
          </w:p>
        </w:tc>
        <w:tc>
          <w:tcPr>
            <w:tcW w:w="4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29, 2024</w:t>
            </w:r>
          </w:p>
        </w:tc>
        <w:tc>
          <w:tcPr>
            <w:tcW w:w="48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SPX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40" w:type="dxa"/>
            <w:vAlign w:val="bottom"/>
          </w:tcPr>
          <w:p>
            <w:pPr>
              <w:spacing w:after="0"/>
              <w:rPr>
                <w:sz w:val="11"/>
                <w:szCs w:val="11"/>
                <w:color w:val="auto"/>
              </w:rPr>
            </w:pPr>
          </w:p>
        </w:tc>
        <w:tc>
          <w:tcPr>
            <w:tcW w:w="1000" w:type="dxa"/>
            <w:vAlign w:val="bottom"/>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95"/>
        </w:trPr>
        <w:tc>
          <w:tcPr>
            <w:tcW w:w="8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operating activities: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Loss from discontinued operations,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from continuing operations to net cash from operating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Special charges,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change in fair value of equity security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compensation expense related to acquisition (Refer to Note 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other employee benefits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divestitures: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and other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Contribution related to employee retention agreements from acquisition (Refer to Note 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spending on restructuring actions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continuing operations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investing activities: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Proceeds/borrowings related to company-owned life insurance policies,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continuing operations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(used in) discontinued operations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14"/>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financing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senior credit facilities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senior credit facilities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trade receivables arrangement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under trade receivables arrangement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borrowings (repayments) under other financing arrangements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62"/>
        </w:trPr>
        <w:tc>
          <w:tcPr>
            <w:tcW w:w="86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Minimum withholdings paid on behalf of employees for net share settlements, net of proceeds from the exercise of employee</w:t>
            </w: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stock options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continuing operations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(used in) discontinued operations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Consolidated cash and equivalents, beginning of period</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3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cash and equivalents,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40" w:type="dxa"/>
            <w:vAlign w:val="bottom"/>
          </w:tcPr>
          <w:p>
            <w:pPr>
              <w:spacing w:after="0"/>
              <w:rPr>
                <w:sz w:val="11"/>
                <w:szCs w:val="11"/>
                <w:color w:val="auto"/>
              </w:rPr>
            </w:pPr>
          </w:p>
        </w:tc>
        <w:tc>
          <w:tcPr>
            <w:tcW w:w="1000" w:type="dxa"/>
            <w:vAlign w:val="bottom"/>
          </w:tcPr>
          <w:p>
            <w:pPr>
              <w:jc w:val="center"/>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0" w:type="dxa"/>
            <w:vAlign w:val="bottom"/>
          </w:tcPr>
          <w:p>
            <w:pPr>
              <w:spacing w:after="0"/>
              <w:rPr>
                <w:sz w:val="1"/>
                <w:szCs w:val="1"/>
                <w:color w:val="auto"/>
              </w:rPr>
            </w:pPr>
          </w:p>
        </w:tc>
      </w:tr>
      <w:tr>
        <w:trPr>
          <w:trHeight w:val="196"/>
        </w:trPr>
        <w:tc>
          <w:tcPr>
            <w:tcW w:w="86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cash and equivalents: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included in assets of DBT and Heat Transfer</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and equivalents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SPX TECHNOLOGIES, INC. AND SUBSIDIARIES NOTES TO CONDENSED CONSOLIDATED FINANCIAL STATEMENTS (Unaudited; in millions, except per share data)</w:t>
      </w:r>
    </w:p>
    <w:p>
      <w:pPr>
        <w:spacing w:after="0" w:line="171"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“we,” “us” and “our” mean SPX Technologies, Inc. and its consolidated subsidiaries (“SPX”).</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spacing w:after="0" w:line="1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or requiring a significant investment of resources. Such acquisitions are not separately identified within this report on Form 10-Q.</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Ingénia</w:t>
      </w:r>
    </w:p>
    <w:p>
      <w:pPr>
        <w:spacing w:after="0" w:line="14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$292.0, net of (i) an adjustment to the purchase price of $2.1 received during the third quarter of 2024 related to acquired working capital and (ii) cash acquired of $1.5. The post-acquisition operating results of Ingénia are reflected within our HVAC reportable segment.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KTS</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January 27, 2025, we completed the acquisition of Kranze Technology Solutions, Inc. (“KTS”) which specializes in digital interoperability and tactical networking solutions, primarily for the defense industry. We purchased KTS for net cash consideration of $342.4, inclusive of amounts related to future service obligations of certain existing employees of $46.5. The purchase price is subject to adjustment based on the final calculation of working capital and cash as of the date of acquisition. The post-acquisition operating results of KTS are reflected within our Detection and Measurement reportable segment. We financed the acquisition with available borrowings on our revolving credit facilities under our senior credit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Sigma &amp; Omega</w:t>
      </w:r>
    </w:p>
    <w:p>
      <w:pPr>
        <w:spacing w:after="0" w:line="14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April 15, 2025, we completed the acquisition of Sigma Heating and Cooling and Omega Heat Pump (“Sigma &amp; Omega”) which specialize in highly engineered hydronic heating and cooling equipment, including vertical stack heat pumps and fan coils, institutional heating products, and both air-cooled and water-cooled commercial self-contained units. We purchased Sigma &amp; Omega for cash consideration of $143.6, net of cash acquired of $0.2. The purchase price is subject to adjustment based on the final calculation of working capital and cash as of the date of acquisition. The acquisition was financed primarily through cash on hand, supplemented by borrowings on our revolving credit facilities under our senior credit facilities. The post-acquisition operating results of Sigma &amp; Omega are reflected within our HVAC reportable segment.</w:t>
      </w:r>
    </w:p>
    <w:p>
      <w:pPr>
        <w:spacing w:after="0" w:line="1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assets acquired and liabilities assumed in the KTS and Sigma &amp; Omega transactions have been recorded at estimates of fair value as determined by management, based on information available and assumptions as to future operations and are subject to change, primarily for the final assessment and valuation of certain tax amounts and other judgmental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2024 (“our 2024 Annual Report on Form 10-K”). Interim results are not necessarily indicative of full year results.</w:t>
      </w:r>
    </w:p>
    <w:p>
      <w:pPr>
        <w:spacing w:after="0" w:line="15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2025 are March 29, June 28, and September 27, compared to the respective March 30, June 29, and September 28 dates of 2024. We had two less days in the first quarter of 2025 and will have one more day in the fourth quarter of 2025 than in the respective 2024 periods. It is not practicable to estimate the impact of the two less days on our consolidated operating results for the six months ended June 28, 2025, when compared to the consolidated operating results for the respective 2024 period.</w:t>
      </w:r>
    </w:p>
    <w:p>
      <w:pPr>
        <w:spacing w:after="0" w:line="21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new accounting pronouncements that apply or may apply to our business.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our consolidated financial position, results of operations or cash flows.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which requires companies to disclose, on an interim and annual basis, additional information about specific expense categories in the notes to the financial statements. In addition, ASU 2024-03 requires companies to disclose a qualitative description of amounts remaining in relevant expense captions that are not separately disaggregated quantitatively and, on an annual basis, disclose the total amount of selling expenses and our definition of selling expenses. ASU 2024-03, further clarified by ASU 2025-01, will be effective for annual reporting periods beginning after December 15, 2026, and for interim periods within annual reporting periods beginning after December 15, 2027, and will be applied on a prospective basis with the option to apply the standard retrospectively, with early adoption permitted. We are currently evaluating the disclosure impact of ASU 2024-03; however, the standard will not have an impact on our consolidated financial position, results of operations or cash flows.</w:t>
      </w:r>
    </w:p>
    <w:p>
      <w:pPr>
        <w:spacing w:after="0" w:line="215" w:lineRule="exact"/>
        <w:rPr>
          <w:sz w:val="20"/>
          <w:szCs w:val="20"/>
          <w:color w:val="auto"/>
        </w:rPr>
      </w:pPr>
    </w:p>
    <w:p>
      <w:pPr>
        <w:ind w:right="6420" w:firstLine="8"/>
        <w:spacing w:after="0" w:line="495" w:lineRule="auto"/>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DISCONTINUED OPERATIONS Acquisitions</w:t>
      </w:r>
    </w:p>
    <w:p>
      <w:pPr>
        <w:spacing w:after="0" w:line="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10-Q. During the six months ended June 28, 2025, cash outflows, net of cash acquired, related to this activity totaled $8.2. The post-acquisition operating results are reflected within our HVAC reportable segment and have no significant impact to our financial outlook and end markets.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Sigma &amp; Omega</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indicated in Note 1, on April 15, 2025, we completed the acquisition of Sigma &amp; Omega for cash consideration of $143.6, net of cash acquired of $0.2. The purchase price is subject to adjustment based on the final calculation of working capital and cash as of the date of acquisition. The pro forma effect of this acquisition is not material to our condensed consolidated results of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recorded preliminary fair values of the assets acquired and liabilities assumed for Sigma &amp; Omega as of April 15,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$0.2</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r>
      <w:tr>
        <w:trPr>
          <w:trHeight w:val="259"/>
        </w:trPr>
        <w:tc>
          <w:tcPr>
            <w:tcW w:w="90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57"/>
        </w:trPr>
        <w:tc>
          <w:tcPr>
            <w:tcW w:w="90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32"/>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identifiable intangible assets acquired consist of customer relationships, customer backlog, technology, and definite-lived trademarks of $56.3, $8.9, $8.5, and $3.9, respectively, with such amounts based on an assessment of the related fair values. We expect to amortize the customer relationships and contracts, customer backlog, technology, and definite-lived trademarks over 11.0, 1.0, 9.0, and 8.0 years, respectively.</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acquired gross receivables of $9.6, which had a fair value of $9.3 at the acquisition date based on our estimates of cash flows expected to be recovered.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domestic and global market growth for Sigma &amp; Omega's existing operations, increased volumes achieved by selling Sigma &amp; Omega products through existing SPX sales channels, procurement and operational savings and efficiencies, and various other factors. We expect none of the goodwill described above to be deductible for tax purposes.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revenues and a net loss for Sigma &amp; Omega of $15.1 and $0.4, respectively, for the three and six months ended June 28, 2025, with the net loss impacted by charges during the three months ended June 28, 2025 of $4.4 associated with amortization of the various intangible assets mentioned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KTS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indicated in Note 1, on January 27, 2025, we completed the acquisition of KTS for net cash consideration of $342.4, inclusive of amounts paid related to future service obligations of certain employees of $46.5 described further below. We financed the acquisition with available borrowings on our revolving credit facilities under our senior credit facilities. The excess of the purchase price over the total of the fair values assigned to tangible and identifiable intangible assets acquired and liabilities assumed is recognized as goodwill.</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KTS, and as required by the acquisition agreement, we assumed employee retention agreements with certain employees, totaling $46.5, that include future service obligations. In the event employees forfeit any amounts under the terms of the agreements, such amounts are due to the seller of KTS. We funded the amounts related to these retention agreements through a reduction in the purchase price, with $46.5 paid into an escrow account at the time of the acquisition closing, as required by the acquisition agreement. The deferred compensation assets related to these agreements will be amortized over the agreement terms which range from 2 to 8 years. During the three and six months ended June 28, 2025, we recognized compensation costs of $6.6 and $10.9, respectively, which have been recorded to “Selling, general and administrative” within our condensed consolidated statements of operations, related to such retention agreements. The remaining deferred compensation assets of $19.5 and $16.1 are recorded within “Other current assets” and “Other assets”, respectively, within our condensed consolidated balance sheet as of June 28, 2025.</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recorded preliminary fair values of the assets acquired and liabilities assumed for KTS as of January 27, 2025: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Current assets</w:t>
            </w:r>
            <w:r>
              <w:rPr>
                <w:rFonts w:ascii="Times New Roman" w:cs="Times New Roman" w:eastAsia="Times New Roman" w:hAnsi="Times New Roman"/>
                <w:sz w:val="21"/>
                <w:szCs w:val="21"/>
                <w:color w:val="auto"/>
                <w:vertAlign w:val="superscript"/>
              </w:rPr>
              <w:t>(1)</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0" w:type="dxa"/>
            <w:vAlign w:val="bottom"/>
          </w:tcPr>
          <w:p>
            <w:pPr>
              <w:spacing w:after="0"/>
              <w:rPr>
                <w:sz w:val="1"/>
                <w:szCs w:val="1"/>
                <w:color w:val="auto"/>
              </w:rPr>
            </w:pP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216"/>
        </w:trPr>
        <w:tc>
          <w:tcPr>
            <w:tcW w:w="9060" w:type="dxa"/>
            <w:vAlign w:val="bottom"/>
            <w:tcBorders>
              <w:bottom w:val="single" w:sz="8" w:color="CCEEFF"/>
            </w:tcBorders>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assets</w:t>
            </w:r>
            <w:r>
              <w:rPr>
                <w:rFonts w:ascii="Times New Roman" w:cs="Times New Roman" w:eastAsia="Times New Roman" w:hAnsi="Times New Roman"/>
                <w:sz w:val="21"/>
                <w:szCs w:val="21"/>
                <w:color w:val="auto"/>
                <w:vertAlign w:val="superscript"/>
              </w:rPr>
              <w:t>(1)</w:t>
            </w: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57"/>
        </w:trPr>
        <w:tc>
          <w:tcPr>
            <w:tcW w:w="9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59"/>
        </w:trPr>
        <w:tc>
          <w:tcPr>
            <w:tcW w:w="9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0" w:type="dxa"/>
            <w:vAlign w:val="bottom"/>
          </w:tcPr>
          <w:p>
            <w:pPr>
              <w:spacing w:after="0"/>
              <w:rPr>
                <w:sz w:val="1"/>
                <w:szCs w:val="1"/>
                <w:color w:val="auto"/>
              </w:rPr>
            </w:pPr>
          </w:p>
        </w:tc>
      </w:tr>
      <w:tr>
        <w:trPr>
          <w:trHeight w:val="26"/>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9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224" w:lineRule="auto"/>
        <w:tabs>
          <w:tab w:leader="none" w:pos="64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$26.2 and $20.3 within “Current assets” and “Other assets”, respectively, for deferred compensation assets related to the employee retention agreements discussed previously.</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identifiable intangible assets acquired consist of technology, customer relationships and contracts, trademarks, and customer backlog of $79.8, $70.7, $6.7, and $7.3, respectively, with such amounts based on an assessment of the related fair values. We expect to amortize the technology, customer relationships and contracts, trademarks, and customer backlog assets over 12.0, 15.0, 9.0, and 2.0 years, respectively.</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acquired gross receivables of $7.2, which had the same fair value at the acquisition date based on our estimates of cash flows expected to be recovered.</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domestic and global market growth for KTS's existing operations, increased volumes achieved through product synergies with existing SPX businesses, procurement and operational savings and efficiencies, and various other factors. We expect the goodwill described above to be deductible for tax purposes.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recognized revenues and net losses for KTS of $21.6 and $30.1, and $2.5 and $8.9, respectively, for the three and six months ended June 28, 2025, with the net losses impacted by charges during the three and six months ended June 28, 2025 of (i) $6.6 and $10.9, respectively, for amortization of compensation costs related to acquired retention agreements, (ii) $6.0 and $9.2, respectively, associated with amortization of the various intangible assets mentioned above, and (iii) $0.5 and $0.8, respectively, associated with the excess fair value (over historical cost) of inventory acquired which was subsequently sold.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Ingénia</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indicated in Note 1, on February 7, 2024, we completed the acquisition of Ingénia, for $292.0, net of (i) an adjustment to the purchase price of $2.1 received during the third quarter of 2024 related to acquired working capital and (ii) cash acquired of $1.5. We financed the acquisition with available borrowings on our revolving credit facilities under our senior credit facilities. The excess of the purchase price over the total of the fair values assigned to tangible and identifiable intangible assets acquired and liabilities assumed is recognized as goodwill.</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recorded final fair values of the assets acquired and liabilities assumed for Ingénia as of February 7, 2024: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assets, including cash and equivalents of $1.5</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3"/>
        </w:trPr>
        <w:tc>
          <w:tcPr>
            <w:tcW w:w="9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r>
      <w:tr>
        <w:trPr>
          <w:trHeight w:val="219"/>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r>
      <w:tr>
        <w:trPr>
          <w:trHeight w:val="259"/>
        </w:trPr>
        <w:tc>
          <w:tcPr>
            <w:tcW w:w="90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assumed</w:t>
            </w:r>
          </w:p>
        </w:tc>
        <w:tc>
          <w:tcPr>
            <w:tcW w:w="9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and other income taxes</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57"/>
        </w:trPr>
        <w:tc>
          <w:tcPr>
            <w:tcW w:w="90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r>
      <w:tr>
        <w:trPr>
          <w:trHeight w:val="232"/>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identifiable intangible assets acquired consist of technology, customer relationships and contracts, trademarks, and customer backlog of $46.7, $23.5, $13.9, and $13.8, respectively, with such amounts based on an assessment of the related fair values. We expect to amortize the technology, customer relationships, trademarks, and customer backlog assets over 12.0, 7.0, 8.0, and 1.0 years, respectively.</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acquired gross receivables of $16.1, which had the same fair value at the acquisition date based on our estimates of cash flows expected to be recovered.</w:t>
      </w:r>
    </w:p>
    <w:p>
      <w:pPr>
        <w:spacing w:after="0" w:line="18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 We expect none of the goodwill described above to be deductible for tax purposes.</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28, 2025, we incurred acquisition-related and other costs for Ingénia, KTS and Sigma &amp; Omega of $7.7 and $15.6, respectively. During the three and six months ended June 29, 2024 we incurred acquisition-related and other costs for Ingénia of $1.3 and $3.9, respectively. These costs have been recorded to “Selling, general and administrative” within our condensed consolidated statements of operations. In addition, we recorded these amounts as shown below within consolidated operating income in Note 6:</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Acquisition-related and other costs for Ingénia, KTS and Sigma &amp; Omega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0" w:type="dxa"/>
            <w:vAlign w:val="bottom"/>
            <w:tcBorders>
              <w:top w:val="single" w:sz="8" w:color="auto"/>
              <w:bottom w:val="single" w:sz="8" w:color="auto"/>
            </w:tcBorders>
            <w:gridSpan w:val="4"/>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3320" w:type="dxa"/>
            <w:vAlign w:val="bottom"/>
            <w:tcBorders>
              <w:top w:val="single" w:sz="8" w:color="auto"/>
              <w:bottom w:val="single" w:sz="8" w:color="auto"/>
            </w:tcBorders>
            <w:gridSpan w:val="4"/>
          </w:tcPr>
          <w:p>
            <w:pPr>
              <w:jc w:val="right"/>
              <w:ind w:right="11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400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Affected line item in Note 6</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80" w:type="dxa"/>
            <w:vAlign w:val="bottom"/>
          </w:tcPr>
          <w:p>
            <w:pPr>
              <w:spacing w:after="0"/>
              <w:rPr>
                <w:sz w:val="17"/>
                <w:szCs w:val="17"/>
                <w:color w:val="auto"/>
              </w:rPr>
            </w:pPr>
          </w:p>
        </w:tc>
        <w:tc>
          <w:tcPr>
            <w:tcW w:w="14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16"/>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Acquisition-related and other costs</w:t>
            </w:r>
          </w:p>
        </w:tc>
        <w:tc>
          <w:tcPr>
            <w:tcW w:w="13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1360" w:type="dxa"/>
            <w:vAlign w:val="bottom"/>
            <w:tcBorders>
              <w:bottom w:val="single" w:sz="8" w:color="auto"/>
            </w:tcBorders>
            <w:shd w:val="clear" w:color="auto" w:fill="CCEEFF"/>
          </w:tcPr>
          <w:p>
            <w:pPr>
              <w:jc w:val="right"/>
              <w:ind w:right="120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20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1" w:name="page12"/>
    <w:bookmarkEnd w:id="11"/>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following unaudited pro forma information presents our condensed consolidated results of operations for the three and six months ended June 28, 2025 and June 29, 2024, respectively, as if the acquisitions of KTS and Ingénia had taken place on January 1, 2024 and January 1, 2023, respectively.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unaudited pro forma financial information is not intended to represent or be indicative of our condensed consolidated results of operations that would have been reported had the acquisitions been completed as of the date presented, and should not be taken as representative of our future consolidated results of operations. The pro forma results include estimates and assumptions that management believes are reasonable; however, these results do not include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anticipated cost savings or expenses of the planned integration of KTS and Ingénia. These pro forma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intangible assets and compensation costs related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acquired retention agreements, adjustments to reflect charges associated with acquisition-related costs and charges associated with the excess fair value (over historical cost) of inventory acquired and subsequently sold as if they were incurred beginning during the first quarter of 2024 for KTS and first quarter of 2023 for Ingénia, and the related income tax effects.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96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8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1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w:t>
            </w: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r>
      <w:tr>
        <w:trPr>
          <w:trHeight w:val="257"/>
        </w:trPr>
        <w:tc>
          <w:tcPr>
            <w:tcW w:w="4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per share of common stock:</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56"/>
        </w:trPr>
        <w:tc>
          <w:tcPr>
            <w:tcW w:w="4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of common stock:</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DBT Business</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completed the wind-down of our DBT Technologies (PTY) LTD (“DBT”) business after ceasing all operations, including those related to two large power projects in South Africa — Kusile and Medupi, in the fourth quarter of 2021. As a result of completing the wind-down plan, we are reporting DBT as a discontinued operation for all periods presented. As previously disclosed, DBT had asserted claims against the remaining prime contractor on the large projects, Mitsubishi Heavy Industries Power — ZAF (f.k.a. Mitsubishi-Hitachi Power Systems Africa (PTY) LTD) (“MHI”), which had also asserted claims against DBT.</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previously disclosed in our 2024 Annual Report on Form 10-K, 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w:t>
      </w:r>
    </w:p>
    <w:p>
      <w:pPr>
        <w:sectPr>
          <w:pgSz w:w="11900" w:h="16838" w:orient="portrait"/>
          <w:cols w:equalWidth="0" w:num="1">
            <w:col w:w="11240"/>
          </w:cols>
          <w:pgMar w:left="320" w:top="8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type w:val="continuous"/>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assets and liabilities of DBT have been included within “Assets of DBT and Heat Transfer” and “Liabilities of DBT and Heat Transfer,” respectively, on the condensed consolidated balance sheets as of June 28, 2025 and December 31, 2024. The major line items constituting DBT’s assets and liabilities as of June 28, 2025 and December 31, 2024 are shown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1700" w:type="dxa"/>
            <w:vAlign w:val="bottom"/>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current assets</w:t>
            </w:r>
            <w:r>
              <w:rPr>
                <w:rFonts w:ascii="Times New Roman" w:cs="Times New Roman" w:eastAsia="Times New Roman" w:hAnsi="Times New Roman"/>
                <w:sz w:val="21"/>
                <w:szCs w:val="21"/>
                <w:color w:val="auto"/>
                <w:vertAlign w:val="superscript"/>
              </w:rPr>
              <w:t>(1)</w:t>
            </w:r>
          </w:p>
        </w:tc>
        <w:tc>
          <w:tcPr>
            <w:tcW w:w="17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7"/>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 of DBT</w:t>
            </w:r>
          </w:p>
        </w:tc>
        <w:tc>
          <w:tcPr>
            <w:tcW w:w="1700" w:type="dxa"/>
            <w:vAlign w:val="bottom"/>
            <w:tcBorders>
              <w:bottom w:val="single" w:sz="8" w:color="auto"/>
            </w:tcBorders>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7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1"/>
                <w:szCs w:val="21"/>
                <w:color w:val="auto"/>
                <w:vertAlign w:val="superscript"/>
              </w:rPr>
              <w:t>(1)</w:t>
            </w:r>
          </w:p>
        </w:tc>
        <w:tc>
          <w:tcPr>
            <w:tcW w:w="1700" w:type="dxa"/>
            <w:vAlign w:val="bottom"/>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6"/>
        </w:trPr>
        <w:tc>
          <w:tcPr>
            <w:tcW w:w="66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Contract liabilities</w:t>
            </w:r>
            <w:r>
              <w:rPr>
                <w:rFonts w:ascii="Times New Roman" w:cs="Times New Roman" w:eastAsia="Times New Roman" w:hAnsi="Times New Roman"/>
                <w:sz w:val="21"/>
                <w:szCs w:val="21"/>
                <w:color w:val="auto"/>
                <w:vertAlign w:val="superscript"/>
              </w:rPr>
              <w:t>(1)</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6"/>
        </w:trPr>
        <w:tc>
          <w:tcPr>
            <w:tcW w:w="66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Accrued expenses</w:t>
            </w:r>
            <w:r>
              <w:rPr>
                <w:rFonts w:ascii="Times New Roman" w:cs="Times New Roman" w:eastAsia="Times New Roman" w:hAnsi="Times New Roman"/>
                <w:sz w:val="21"/>
                <w:szCs w:val="21"/>
                <w:color w:val="auto"/>
                <w:vertAlign w:val="superscript"/>
              </w:rPr>
              <w:t>(1)</w:t>
            </w:r>
          </w:p>
        </w:tc>
        <w:tc>
          <w:tcPr>
            <w:tcW w:w="1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66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long-term liabilities</w:t>
            </w:r>
            <w:r>
              <w:rPr>
                <w:rFonts w:ascii="Times New Roman" w:cs="Times New Roman" w:eastAsia="Times New Roman" w:hAnsi="Times New Roman"/>
                <w:sz w:val="21"/>
                <w:szCs w:val="21"/>
                <w:color w:val="auto"/>
                <w:vertAlign w:val="superscript"/>
              </w:rPr>
              <w:t>(1)</w:t>
            </w:r>
          </w:p>
        </w:tc>
        <w:tc>
          <w:tcPr>
            <w:tcW w:w="17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7"/>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of DBT</w:t>
            </w:r>
          </w:p>
        </w:tc>
        <w:tc>
          <w:tcPr>
            <w:tcW w:w="1700" w:type="dxa"/>
            <w:vAlign w:val="bottom"/>
            <w:tcBorders>
              <w:bottom w:val="single" w:sz="8" w:color="auto"/>
            </w:tcBorders>
          </w:tcPr>
          <w:p>
            <w:pPr>
              <w:jc w:val="right"/>
              <w:ind w:right="15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3"/>
        </w:trPr>
        <w:tc>
          <w:tcPr>
            <w:tcW w:w="66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57" w:lineRule="exact"/>
        <w:rPr>
          <w:sz w:val="20"/>
          <w:szCs w:val="20"/>
          <w:color w:val="auto"/>
        </w:rPr>
      </w:pPr>
    </w:p>
    <w:p>
      <w:pPr>
        <w:ind w:left="660" w:hanging="166"/>
        <w:spacing w:after="0" w:line="225" w:lineRule="auto"/>
        <w:tabs>
          <w:tab w:leader="none" w:pos="67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Wind-Down of the Heat Transfer Business</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completed the wind-down of our SPX Heat Transfer (“Heat Transfer”) business in the fourth quarter of 2020. As a result of completing the wind-down plan, we are reporting Heat Transfer as a discontinued operation for all periods presented.</w:t>
      </w:r>
    </w:p>
    <w:p>
      <w:pPr>
        <w:spacing w:after="0" w:line="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assets and liabilities of Heat Transfer have been included within “Assets of DBT and Heat Transfer” and “Liabilities of DBT and Heat Transfer,” respectively, on the condensed consolidated balance sheets as of June 28, 2025 and December 31, 2024. The major line items constituting Heat Transfer’s assets and liabilities as of June 28, 2025 and December 31, 2024 are shown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28, 2025</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equivalents</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assets of Heat Transfer</w:t>
            </w:r>
          </w:p>
        </w:tc>
        <w:tc>
          <w:tcPr>
            <w:tcW w:w="1740" w:type="dxa"/>
            <w:vAlign w:val="bottom"/>
            <w:tcBorders>
              <w:bottom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13"/>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740" w:type="dxa"/>
            <w:vAlign w:val="bottom"/>
            <w:tcBorders>
              <w:bottom w:val="single" w:sz="8" w:color="auto"/>
            </w:tcBorders>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5"/>
        </w:trPr>
        <w:tc>
          <w:tcPr>
            <w:tcW w:w="6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of Heat Transfer</w:t>
            </w: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3" w:name="page14"/>
    <w:bookmarkEnd w:id="13"/>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28, 2025 and June 29, 2024, results of operations from our businesses reported as discontinued operations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780" w:type="dxa"/>
            <w:vAlign w:val="bottom"/>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20" w:type="dxa"/>
            <w:vAlign w:val="bottom"/>
          </w:tcPr>
          <w:p>
            <w:pPr>
              <w:spacing w:after="0"/>
              <w:rPr>
                <w:sz w:val="16"/>
                <w:szCs w:val="16"/>
                <w:color w:val="auto"/>
              </w:rPr>
            </w:pPr>
          </w:p>
        </w:tc>
        <w:tc>
          <w:tcPr>
            <w:tcW w:w="13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16"/>
        </w:trPr>
        <w:tc>
          <w:tcPr>
            <w:tcW w:w="486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Loss from discontinued operations</w:t>
            </w:r>
            <w:r>
              <w:rPr>
                <w:rFonts w:ascii="Times New Roman" w:cs="Times New Roman" w:eastAsia="Times New Roman" w:hAnsi="Times New Roman"/>
                <w:sz w:val="21"/>
                <w:szCs w:val="21"/>
                <w:color w:val="auto"/>
                <w:vertAlign w:val="superscript"/>
              </w:rPr>
              <w:t>(1)</w:t>
            </w:r>
          </w:p>
        </w:tc>
        <w:tc>
          <w:tcPr>
            <w:tcW w:w="1160" w:type="dxa"/>
            <w:vAlign w:val="bottom"/>
            <w:tcBorders>
              <w:top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(0.3)</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16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7"/>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w:t>
            </w:r>
          </w:p>
        </w:tc>
        <w:tc>
          <w:tcPr>
            <w:tcW w:w="1160" w:type="dxa"/>
            <w:vAlign w:val="bottom"/>
            <w:tcBorders>
              <w:top w:val="single" w:sz="8" w:color="auto"/>
              <w:bottom w:val="single" w:sz="8" w:color="auto"/>
            </w:tcBorders>
            <w:shd w:val="clear" w:color="auto" w:fill="CCEEFF"/>
          </w:tcPr>
          <w:p>
            <w:pPr>
              <w:jc w:val="right"/>
              <w:ind w:right="9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64" w:lineRule="exact"/>
        <w:rPr>
          <w:sz w:val="20"/>
          <w:szCs w:val="20"/>
          <w:color w:val="auto"/>
        </w:rPr>
      </w:pPr>
    </w:p>
    <w:p>
      <w:pPr>
        <w:ind w:left="660" w:hanging="328"/>
        <w:spacing w:after="0" w:line="225" w:lineRule="auto"/>
        <w:tabs>
          <w:tab w:leader="none" w:pos="648" w:val="left"/>
        </w:tabs>
        <w:numPr>
          <w:ilvl w:val="1"/>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Loss for the three and six months ended June 28, 2025 and June 29, 2024 related primarily to costs incurred to support DBT through the subcontractor liquidation process mentioned above.</w:t>
      </w:r>
    </w:p>
    <w:p>
      <w:pPr>
        <w:spacing w:after="0" w:line="321" w:lineRule="exact"/>
        <w:rPr>
          <w:rFonts w:ascii="Times New Roman" w:cs="Times New Roman" w:eastAsia="Times New Roman" w:hAnsi="Times New Roman"/>
          <w:sz w:val="21"/>
          <w:szCs w:val="21"/>
          <w:color w:val="auto"/>
          <w:vertAlign w:val="superscript"/>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and six months ended June 28, 2025 and June 29,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Three months ended June 28, 2025</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460" w:type="dxa"/>
            <w:vAlign w:val="bottom"/>
          </w:tcPr>
          <w:p>
            <w:pPr>
              <w:spacing w:after="0"/>
              <w:rPr>
                <w:sz w:val="13"/>
                <w:szCs w:val="13"/>
                <w:color w:val="auto"/>
              </w:rPr>
            </w:pPr>
          </w:p>
        </w:tc>
        <w:tc>
          <w:tcPr>
            <w:tcW w:w="86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940" w:type="dxa"/>
            <w:vAlign w:val="bottom"/>
            <w:tcBorders>
              <w:top w:val="single" w:sz="8" w:color="auto"/>
            </w:tcBorders>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165"/>
        </w:trPr>
        <w:tc>
          <w:tcPr>
            <w:tcW w:w="70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Underground locators, inspection and rehabilitation</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and robotic systems</w:t>
            </w: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35"/>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Six months ended June 28, 2025</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400" w:type="dxa"/>
            <w:vAlign w:val="bottom"/>
          </w:tcPr>
          <w:p>
            <w:pPr>
              <w:spacing w:after="0"/>
              <w:rPr>
                <w:sz w:val="13"/>
                <w:szCs w:val="13"/>
                <w:color w:val="auto"/>
              </w:rPr>
            </w:pPr>
          </w:p>
        </w:tc>
        <w:tc>
          <w:tcPr>
            <w:tcW w:w="9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940" w:type="dxa"/>
            <w:vAlign w:val="bottom"/>
            <w:tcBorders>
              <w:top w:val="single" w:sz="8" w:color="auto"/>
            </w:tcBorders>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CCEEFF"/>
            </w:tcBorders>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165"/>
        </w:trPr>
        <w:tc>
          <w:tcPr>
            <w:tcW w:w="70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Underground locators, inspection and rehabilitation</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and robotic systems</w:t>
            </w: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0" w:type="dxa"/>
            <w:vAlign w:val="bottom"/>
          </w:tcPr>
          <w:p>
            <w:pPr>
              <w:spacing w:after="0"/>
              <w:rPr>
                <w:sz w:val="1"/>
                <w:szCs w:val="1"/>
                <w:color w:val="auto"/>
              </w:rPr>
            </w:pPr>
          </w:p>
        </w:tc>
      </w:tr>
      <w:tr>
        <w:trPr>
          <w:trHeight w:val="234"/>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Three months ended June 29, 2024</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460" w:type="dxa"/>
            <w:vAlign w:val="bottom"/>
          </w:tcPr>
          <w:p>
            <w:pPr>
              <w:spacing w:after="0"/>
              <w:rPr>
                <w:sz w:val="13"/>
                <w:szCs w:val="13"/>
                <w:color w:val="auto"/>
              </w:rPr>
            </w:pPr>
          </w:p>
        </w:tc>
        <w:tc>
          <w:tcPr>
            <w:tcW w:w="86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940" w:type="dxa"/>
            <w:vAlign w:val="bottom"/>
            <w:tcBorders>
              <w:top w:val="single" w:sz="8" w:color="auto"/>
            </w:tcBorders>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CCEEFF"/>
            </w:tcBorders>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165"/>
        </w:trPr>
        <w:tc>
          <w:tcPr>
            <w:tcW w:w="70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Underground locators, inspection and rehabilitation</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and robotic systems</w:t>
            </w: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35"/>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Six months ended June 29, 2024</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HVAC</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Detection and</w:t>
            </w:r>
          </w:p>
        </w:tc>
        <w:tc>
          <w:tcPr>
            <w:tcW w:w="400" w:type="dxa"/>
            <w:vAlign w:val="bottom"/>
          </w:tcPr>
          <w:p>
            <w:pPr>
              <w:spacing w:after="0"/>
              <w:rPr>
                <w:sz w:val="13"/>
                <w:szCs w:val="13"/>
                <w:color w:val="auto"/>
              </w:rPr>
            </w:pPr>
          </w:p>
        </w:tc>
        <w:tc>
          <w:tcPr>
            <w:tcW w:w="92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Measurement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Major product lines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Package and process cooling equipment and services, and engineered air movement and handling</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2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Hydronic heating, electrical heating, and ventilation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0" w:type="dxa"/>
            <w:vAlign w:val="bottom"/>
          </w:tcPr>
          <w:p>
            <w:pPr>
              <w:spacing w:after="0"/>
              <w:rPr>
                <w:sz w:val="1"/>
                <w:szCs w:val="1"/>
                <w:color w:val="auto"/>
              </w:rPr>
            </w:pPr>
          </w:p>
        </w:tc>
      </w:tr>
      <w:tr>
        <w:trPr>
          <w:trHeight w:val="165"/>
        </w:trPr>
        <w:tc>
          <w:tcPr>
            <w:tcW w:w="706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Underground locators, inspection and rehabilitation</w:t>
            </w:r>
          </w:p>
        </w:tc>
        <w:tc>
          <w:tcPr>
            <w:tcW w:w="2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and robotic systems</w:t>
            </w:r>
          </w:p>
        </w:tc>
        <w:tc>
          <w:tcPr>
            <w:tcW w:w="2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Communication technologies, aids to navigation, and transportation systems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34"/>
        </w:trPr>
        <w:tc>
          <w:tcPr>
            <w:tcW w:w="69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Timing of Revenue Recognition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Revenues recognized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856.1</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Revenues recognized over time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contract balances consisted of the following as of June 28, 2025 and December 31, 2024:</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480" w:type="dxa"/>
            <w:vAlign w:val="bottom"/>
          </w:tcPr>
          <w:p>
            <w:pPr>
              <w:spacing w:after="0"/>
              <w:rPr>
                <w:sz w:val="18"/>
                <w:szCs w:val="18"/>
                <w:color w:val="auto"/>
              </w:rPr>
            </w:pPr>
          </w:p>
        </w:tc>
        <w:tc>
          <w:tcPr>
            <w:tcW w:w="2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38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60" w:type="dxa"/>
            <w:vAlign w:val="bottom"/>
          </w:tcPr>
          <w:p>
            <w:pPr>
              <w:spacing w:after="0"/>
              <w:rPr>
                <w:sz w:val="18"/>
                <w:szCs w:val="18"/>
                <w:color w:val="auto"/>
              </w:rPr>
            </w:pPr>
          </w:p>
        </w:tc>
        <w:tc>
          <w:tcPr>
            <w:tcW w:w="1980" w:type="dxa"/>
            <w:vAlign w:val="bottom"/>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340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Contract Accounts Receivable</w:t>
            </w:r>
            <w:r>
              <w:rPr>
                <w:rFonts w:ascii="Times New Roman" w:cs="Times New Roman" w:eastAsia="Times New Roman" w:hAnsi="Times New Roman"/>
                <w:sz w:val="21"/>
                <w:szCs w:val="21"/>
                <w:color w:val="auto"/>
                <w:vertAlign w:val="superscript"/>
              </w:rPr>
              <w:t>(1)</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4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4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6"/>
        </w:trPr>
        <w:tc>
          <w:tcPr>
            <w:tcW w:w="34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Contract Liabilities - non-current</w:t>
            </w:r>
            <w:r>
              <w:rPr>
                <w:rFonts w:ascii="Times New Roman" w:cs="Times New Roman" w:eastAsia="Times New Roman" w:hAnsi="Times New Roman"/>
                <w:sz w:val="21"/>
                <w:szCs w:val="21"/>
                <w:color w:val="auto"/>
                <w:vertAlign w:val="superscript"/>
              </w:rPr>
              <w:t>(2)</w:t>
            </w: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ind w:left="640" w:hanging="308"/>
        <w:spacing w:after="0" w:line="222"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“Accounts receivable, net” within the accompanying condensed consolidated balance sheets.</w:t>
      </w:r>
    </w:p>
    <w:p>
      <w:pPr>
        <w:spacing w:after="0" w:line="71" w:lineRule="exact"/>
        <w:rPr>
          <w:rFonts w:ascii="Times New Roman" w:cs="Times New Roman" w:eastAsia="Times New Roman" w:hAnsi="Times New Roman"/>
          <w:sz w:val="21"/>
          <w:szCs w:val="21"/>
          <w:color w:val="auto"/>
          <w:vertAlign w:val="superscript"/>
        </w:rPr>
      </w:pPr>
    </w:p>
    <w:p>
      <w:pPr>
        <w:ind w:left="640" w:hanging="308"/>
        <w:spacing w:after="0" w:line="224" w:lineRule="auto"/>
        <w:tabs>
          <w:tab w:leader="none" w:pos="6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“Other long-term liabilities” within the accompanying condensed consolidated balance sheets.</w:t>
      </w:r>
    </w:p>
    <w:p>
      <w:pPr>
        <w:sectPr>
          <w:pgSz w:w="11900" w:h="16838" w:orient="portrait"/>
          <w:cols w:equalWidth="0" w:num="1">
            <w:col w:w="11240"/>
          </w:cols>
          <w:pgMar w:left="320" w:top="6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type w:val="continuous"/>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Our contract balances consisted of the following as of June 29, 2024 and 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480" w:type="dxa"/>
            <w:vAlign w:val="bottom"/>
          </w:tcPr>
          <w:p>
            <w:pPr>
              <w:spacing w:after="0"/>
              <w:rPr>
                <w:sz w:val="18"/>
                <w:szCs w:val="18"/>
                <w:color w:val="auto"/>
              </w:rPr>
            </w:pPr>
          </w:p>
        </w:tc>
        <w:tc>
          <w:tcPr>
            <w:tcW w:w="2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80" w:type="dxa"/>
            <w:vAlign w:val="bottom"/>
          </w:tcPr>
          <w:p>
            <w:pPr>
              <w:spacing w:after="0"/>
              <w:rPr>
                <w:sz w:val="18"/>
                <w:szCs w:val="18"/>
                <w:color w:val="auto"/>
              </w:rPr>
            </w:pPr>
          </w:p>
        </w:tc>
        <w:tc>
          <w:tcPr>
            <w:tcW w:w="2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18"/>
                <w:szCs w:val="18"/>
                <w:color w:val="auto"/>
              </w:rPr>
            </w:pPr>
          </w:p>
        </w:tc>
        <w:tc>
          <w:tcPr>
            <w:tcW w:w="1980" w:type="dxa"/>
            <w:vAlign w:val="bottom"/>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2"/>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Accounts Receivable</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4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4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contract balance</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three and six months ended June 28, 2025, changes in contract balances were not significantly impacted by any other factors besides the acquisition of KTS. At June 28, 2025, Contract Account Receivables, contract assets, and current contract liabilities attributable to KTS were $2.7, $5.1, and $8.6, respectively.</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28, 2025, we recognized revenues of $10.3 and $39.0, respectively, related to our contract liabilities at December 31, 2024. During the three and six months ended June 29, 2024, we recognized revenues of $14.2 and $40.7, respectively, related to our contract liabilities at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28, 2025, the aggregate amount allocated to remaining performance obligations was $221.4. We expect to recognize revenue on approximately 45% and 61% of these remaining performance obligations over the next 12 and 24 months, respectively, with the remaining recognized thereafter.</w:t>
      </w:r>
    </w:p>
    <w:p>
      <w:pPr>
        <w:spacing w:after="0" w:line="19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our finance leases during the three and six months ended June 28, 2025.</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28, 2025 lease obligations were not significantly impacted by any other factors besides the acquisition of KTS.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28, 2025, we obtained operating right-of-use assets in exchange for new lease obligations of $4.9 related to the KTS acquisition.</w:t>
      </w:r>
    </w:p>
    <w:p>
      <w:pPr>
        <w:spacing w:after="0" w:line="228"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ON REPORTABLE SEGMENTS AND CORPORATE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global supplier of highly specialized, engineered solutions with operations in 16 countries and sales in over 100 countries around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t>
      </w:r>
    </w:p>
    <w:p>
      <w:pPr>
        <w:spacing w:after="0" w:line="15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determining our reportable segments, we apply the threshold criteria of the Segment Reporting Topic of the Financial Accounting Standards Board Codification (the “Codification”). 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w:t>
      </w:r>
    </w:p>
    <w:p>
      <w:pPr>
        <w:spacing w:after="0" w:line="14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CODM, who is our President and Chief Executive Officer, uses segment income to evaluate the results of each operating segment. Segment income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There have been no changes in the basis of segmentation or measurement of segment income during 2025. Our CODM assesses segment income performance in comparison to prior years, previously forecasted results, and anticipated/experienced market trends when determining how to allocate operating and capital resources. The only significant segment expense categories reviewed by our CODM are total selling, general, and administrative expense and cost of products sold. Our CODM does not review asset or liability information for our operating segments as this information is not used to assess performance or allocate resources.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HVAC Reportable Segment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HVAC reportable segment engineers, designs, manufactures, installs and services package and process cooling products and engineered air movement and handling solutions for the HVAC industrial, commercial, data center, and power generation markets, as well as hydronic and electrical heating and ventilation products for the residential, institutional, industrial,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Detection and Measurement Reportable Segment</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expense generally relates to the personnel and general operating costs of our corporate headquarters based in Charlotte, North Carolina.</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data for our reportable segments for the three and six months ended June 28, 2025 and June 29, 2024 are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72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46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500" w:type="dxa"/>
            <w:vAlign w:val="bottom"/>
          </w:tcPr>
          <w:p>
            <w:pPr>
              <w:spacing w:after="0"/>
              <w:rPr>
                <w:sz w:val="11"/>
                <w:szCs w:val="11"/>
                <w:color w:val="auto"/>
              </w:rPr>
            </w:pPr>
          </w:p>
        </w:tc>
        <w:tc>
          <w:tcPr>
            <w:tcW w:w="1060" w:type="dxa"/>
            <w:vAlign w:val="bottom"/>
          </w:tcPr>
          <w:p>
            <w:pPr>
              <w:jc w:val="right"/>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6"/>
        </w:trPr>
        <w:tc>
          <w:tcPr>
            <w:tcW w:w="46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120" w:type="dxa"/>
            <w:vAlign w:val="bottom"/>
          </w:tcPr>
          <w:p>
            <w:pPr>
              <w:spacing w:after="0"/>
              <w:rPr>
                <w:sz w:val="18"/>
                <w:szCs w:val="18"/>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w:t>
            </w: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 sold</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r>
      <w:tr>
        <w:trPr>
          <w:trHeight w:val="235"/>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Segment income</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tcPr>
          <w:p>
            <w:pPr>
              <w:spacing w:after="0"/>
              <w:rPr>
                <w:sz w:val="18"/>
                <w:szCs w:val="18"/>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w:t>
            </w: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 sold</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34"/>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Segment income</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revenues</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income for segments</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r>
      <w:tr>
        <w:trPr>
          <w:trHeight w:val="219"/>
        </w:trPr>
        <w:tc>
          <w:tcPr>
            <w:tcW w:w="4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46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Acquisition-related and other costs </w:t>
            </w:r>
            <w:r>
              <w:rPr>
                <w:rFonts w:ascii="Times New Roman" w:cs="Times New Roman" w:eastAsia="Times New Roman" w:hAnsi="Times New Roman"/>
                <w:sz w:val="21"/>
                <w:szCs w:val="21"/>
                <w:color w:val="auto"/>
                <w:vertAlign w:val="superscript"/>
              </w:rPr>
              <w:t>(1)</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1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46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operating expense, net</w:t>
            </w:r>
            <w:r>
              <w:rPr>
                <w:rFonts w:ascii="Times New Roman" w:cs="Times New Roman" w:eastAsia="Times New Roman" w:hAnsi="Times New Roman"/>
                <w:sz w:val="21"/>
                <w:szCs w:val="21"/>
                <w:color w:val="auto"/>
                <w:vertAlign w:val="superscript"/>
              </w:rPr>
              <w:t>(2)</w:t>
            </w: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7"/>
        </w:trPr>
        <w:tc>
          <w:tcPr>
            <w:tcW w:w="4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Consolidated operating income</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19"/>
        </w:trPr>
        <w:tc>
          <w:tcPr>
            <w:tcW w:w="4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3"/>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4"/>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0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37"/>
        </w:trPr>
        <w:tc>
          <w:tcPr>
            <w:tcW w:w="46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HVAC reportable segment</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8"/>
                <w:szCs w:val="18"/>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r>
      <w:tr>
        <w:trPr>
          <w:trHeight w:val="21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3"/>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4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740" w:type="dxa"/>
            <w:vAlign w:val="bottom"/>
            <w:gridSpan w:val="4"/>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31"/>
        </w:trPr>
        <w:tc>
          <w:tcPr>
            <w:tcW w:w="472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40" w:type="dxa"/>
            <w:vAlign w:val="bottom"/>
          </w:tcPr>
          <w:p>
            <w:pPr>
              <w:spacing w:after="0"/>
              <w:rPr>
                <w:sz w:val="11"/>
                <w:szCs w:val="11"/>
                <w:color w:val="auto"/>
              </w:rPr>
            </w:pPr>
          </w:p>
        </w:tc>
        <w:tc>
          <w:tcPr>
            <w:tcW w:w="142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4"/>
        </w:trPr>
        <w:tc>
          <w:tcPr>
            <w:tcW w:w="4720" w:type="dxa"/>
            <w:vAlign w:val="bottom"/>
          </w:tcPr>
          <w:p>
            <w:pPr>
              <w:spacing w:after="0"/>
              <w:rPr>
                <w:sz w:val="16"/>
                <w:szCs w:val="16"/>
                <w:color w:val="auto"/>
              </w:rPr>
            </w:pPr>
          </w:p>
        </w:tc>
        <w:tc>
          <w:tcPr>
            <w:tcW w:w="10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472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 xml:space="preserve">Revenues: </w:t>
            </w:r>
            <w:r>
              <w:rPr>
                <w:rFonts w:ascii="Times New Roman" w:cs="Times New Roman" w:eastAsia="Times New Roman" w:hAnsi="Times New Roman"/>
                <w:sz w:val="21"/>
                <w:szCs w:val="21"/>
                <w:color w:val="auto"/>
                <w:vertAlign w:val="superscript"/>
              </w:rPr>
              <w:t>(3)</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4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100" w:type="dxa"/>
            <w:vAlign w:val="bottom"/>
          </w:tcPr>
          <w:p>
            <w:pPr>
              <w:spacing w:after="0"/>
              <w:rPr>
                <w:sz w:val="18"/>
                <w:szCs w:val="18"/>
                <w:color w:val="auto"/>
              </w:rPr>
            </w:pPr>
          </w:p>
        </w:tc>
        <w:tc>
          <w:tcPr>
            <w:tcW w:w="1080" w:type="dxa"/>
            <w:vAlign w:val="bottom"/>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803.5</w:t>
            </w:r>
          </w:p>
        </w:tc>
      </w:tr>
      <w:tr>
        <w:trPr>
          <w:trHeight w:val="21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Canada</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213"/>
        </w:trPr>
        <w:tc>
          <w:tcPr>
            <w:tcW w:w="4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China</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1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Kingdom</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3"/>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34"/>
        </w:trPr>
        <w:tc>
          <w:tcPr>
            <w:tcW w:w="47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2"/>
        </w:trPr>
        <w:tc>
          <w:tcPr>
            <w:tcW w:w="4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Tangible Long-Lived Assets:</w:t>
            </w: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9"/>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r>
      <w:tr>
        <w:trPr>
          <w:trHeight w:val="213"/>
        </w:trPr>
        <w:tc>
          <w:tcPr>
            <w:tcW w:w="4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Canada</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tangible long-lived assets</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384.5</w:t>
            </w:r>
          </w:p>
        </w:tc>
      </w:tr>
      <w:tr>
        <w:trPr>
          <w:trHeight w:val="20"/>
        </w:trPr>
        <w:tc>
          <w:tcPr>
            <w:tcW w:w="4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64" w:lineRule="exact"/>
        <w:rPr>
          <w:sz w:val="20"/>
          <w:szCs w:val="20"/>
          <w:color w:val="auto"/>
        </w:rPr>
      </w:pPr>
    </w:p>
    <w:p>
      <w:pPr>
        <w:jc w:val="both"/>
        <w:ind w:left="660" w:hanging="328"/>
        <w:spacing w:after="0" w:line="244" w:lineRule="auto"/>
        <w:tabs>
          <w:tab w:leader="none" w:pos="648" w:val="left"/>
        </w:tabs>
        <w:numPr>
          <w:ilvl w:val="1"/>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integration costs incurred in connection with acquisitions of $6.9 and $13.3 during the three and six months ended June 28, 2025, respectively, and $2.3 and $4.9 during the three and six months ended June 29, 2024, respectively, including additional “Cost of products sold” related to the step-up of inventory (to fair value) acquired in connection with the KTS acquisition of $0.5 and $0.8 during the three and six months ended June 28, 2025, respectively, and the Ingénia acquisition of $0.9 and $1.8 during the three and six months ended June 29, 2024.</w:t>
      </w:r>
    </w:p>
    <w:p>
      <w:pPr>
        <w:spacing w:after="0" w:line="84" w:lineRule="exact"/>
        <w:rPr>
          <w:rFonts w:ascii="Times New Roman" w:cs="Times New Roman" w:eastAsia="Times New Roman" w:hAnsi="Times New Roman"/>
          <w:sz w:val="21"/>
          <w:szCs w:val="21"/>
          <w:color w:val="auto"/>
          <w:vertAlign w:val="superscript"/>
        </w:rPr>
      </w:pPr>
    </w:p>
    <w:p>
      <w:pPr>
        <w:ind w:left="660" w:hanging="328"/>
        <w:spacing w:after="0" w:line="225" w:lineRule="auto"/>
        <w:tabs>
          <w:tab w:leader="none" w:pos="648" w:val="left"/>
        </w:tabs>
        <w:numPr>
          <w:ilvl w:val="1"/>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charge of $8.4 incurred during the three and six months ended June 29, 2024 related to a settlement with the seller of ULC regarding additional contingent consideration.</w:t>
      </w:r>
    </w:p>
    <w:p>
      <w:pPr>
        <w:spacing w:after="0" w:line="69"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1"/>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are included in the above geographic areas based on the country that recorded the revenue.</w:t>
      </w:r>
    </w:p>
    <w:p>
      <w:pPr>
        <w:spacing w:after="0" w:line="200" w:lineRule="exact"/>
        <w:rPr>
          <w:rFonts w:ascii="Times New Roman" w:cs="Times New Roman" w:eastAsia="Times New Roman" w:hAnsi="Times New Roman"/>
          <w:sz w:val="21"/>
          <w:szCs w:val="21"/>
          <w:color w:val="auto"/>
          <w:vertAlign w:val="superscript"/>
        </w:rPr>
      </w:pPr>
    </w:p>
    <w:p>
      <w:pPr>
        <w:spacing w:after="0" w:line="229" w:lineRule="exact"/>
        <w:rPr>
          <w:rFonts w:ascii="Times New Roman" w:cs="Times New Roman" w:eastAsia="Times New Roman" w:hAnsi="Times New Roman"/>
          <w:sz w:val="21"/>
          <w:szCs w:val="21"/>
          <w:color w:val="auto"/>
          <w:vertAlign w:val="superscript"/>
        </w:rPr>
      </w:pPr>
    </w:p>
    <w:p>
      <w:pPr>
        <w:ind w:left="400" w:hanging="392"/>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CHARGES, NET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charges, net, for the three and six months ended June 28, 2025 and June 29, 2024 are described in more detail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2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8"/>
        </w:trPr>
        <w:tc>
          <w:tcPr>
            <w:tcW w:w="394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ind w:left="320"/>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5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502"/>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5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82"/>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6"/>
        </w:trPr>
        <w:tc>
          <w:tcPr>
            <w:tcW w:w="39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HVAC reportable segment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ind w:left="923"/>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Detection and Measurement reportable segment</w:t>
            </w:r>
          </w:p>
        </w:tc>
        <w:tc>
          <w:tcPr>
            <w:tcW w:w="440" w:type="dxa"/>
            <w:vAlign w:val="bottom"/>
          </w:tcPr>
          <w:p>
            <w:pPr>
              <w:spacing w:after="0"/>
              <w:rPr>
                <w:sz w:val="18"/>
                <w:szCs w:val="18"/>
                <w:color w:val="auto"/>
              </w:rPr>
            </w:pPr>
          </w:p>
        </w:tc>
        <w:tc>
          <w:tcPr>
            <w:tcW w:w="168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center"/>
              <w:ind w:left="963"/>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63"/>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center"/>
              <w:ind w:left="963"/>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
        </w:trPr>
        <w:tc>
          <w:tcPr>
            <w:tcW w:w="39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0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HVAC </w:t>
      </w:r>
      <w:r>
        <w:rPr>
          <w:rFonts w:ascii="Times New Roman" w:cs="Times New Roman" w:eastAsia="Times New Roman" w:hAnsi="Times New Roman"/>
          <w:sz w:val="18"/>
          <w:szCs w:val="18"/>
          <w:color w:val="auto"/>
        </w:rPr>
        <w:t>— Charges for the six months ended June 28, 2025 and three and six months ended June 29, 2024 related primarily to recording,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adjustments of, severance costs associated with restructuring actions at one of the segment’s cooling businesses.</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Detection and Measurement </w:t>
      </w:r>
      <w:r>
        <w:rPr>
          <w:rFonts w:ascii="Times New Roman" w:cs="Times New Roman" w:eastAsia="Times New Roman" w:hAnsi="Times New Roman"/>
          <w:sz w:val="18"/>
          <w:szCs w:val="18"/>
          <w:color w:val="auto"/>
        </w:rPr>
        <w:t>— Charges for the six months ended June 29, 2025 related primarily to severance costs associated with restructuring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at the segment's inspection and rehabilitation business. Charges for the three and six months ended June 29, 2024 primarily related to recording, and subsequent adjustments of, severance costs associated with restructuring actions at the segment's inspection and rehabilitation and aids to navigation businesses.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Corporate </w:t>
      </w:r>
      <w:r>
        <w:rPr>
          <w:rFonts w:ascii="Times New Roman" w:cs="Times New Roman" w:eastAsia="Times New Roman" w:hAnsi="Times New Roman"/>
          <w:sz w:val="18"/>
          <w:szCs w:val="18"/>
          <w:color w:val="auto"/>
        </w:rPr>
        <w:t>— Charges for the six months ended June 28, 2025 related primarily to severance costs associated with a restructuring action.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significant future charges are expected to be incurred under actions approved as of June 28, 2025.</w:t>
      </w:r>
    </w:p>
    <w:p>
      <w:pPr>
        <w:sectPr>
          <w:pgSz w:w="11900" w:h="16838" w:orient="portrait"/>
          <w:cols w:equalWidth="0" w:num="1">
            <w:col w:w="11240"/>
          </w:cols>
          <w:pgMar w:left="320" w:top="6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type w:val="continuous"/>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The following is an analysis of our restructuring liabilities for the six months ended June 28, 2025 and June 29,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180" w:type="dxa"/>
            <w:vAlign w:val="bottom"/>
            <w:gridSpan w:val="4"/>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16"/>
                <w:szCs w:val="16"/>
                <w:color w:val="auto"/>
              </w:rPr>
            </w:pPr>
          </w:p>
        </w:tc>
      </w:tr>
      <w:tr>
        <w:trPr>
          <w:trHeight w:val="23"/>
        </w:trPr>
        <w:tc>
          <w:tcPr>
            <w:tcW w:w="8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28"/>
        </w:trPr>
        <w:tc>
          <w:tcPr>
            <w:tcW w:w="86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40" w:type="dxa"/>
            <w:vAlign w:val="bottom"/>
          </w:tcPr>
          <w:p>
            <w:pPr>
              <w:spacing w:after="0"/>
              <w:rPr>
                <w:sz w:val="11"/>
                <w:szCs w:val="11"/>
                <w:color w:val="auto"/>
              </w:rPr>
            </w:pPr>
          </w:p>
        </w:tc>
      </w:tr>
      <w:tr>
        <w:trPr>
          <w:trHeight w:val="196"/>
        </w:trPr>
        <w:tc>
          <w:tcPr>
            <w:tcW w:w="86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 charges</w:t>
            </w:r>
          </w:p>
        </w:tc>
        <w:tc>
          <w:tcPr>
            <w:tcW w:w="8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Utilization — cash</w:t>
            </w: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(0.9)</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0.3</w:t>
            </w:r>
          </w:p>
        </w:tc>
      </w:tr>
      <w:tr>
        <w:trPr>
          <w:trHeight w:val="23"/>
        </w:trPr>
        <w:tc>
          <w:tcPr>
            <w:tcW w:w="8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accounted for under the first-in, first-out method and are comprised of the following at June 28, 2025 and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68.5</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32.3</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purchased parts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170.2</w:t>
            </w:r>
          </w:p>
        </w:tc>
      </w:tr>
      <w:tr>
        <w:trPr>
          <w:trHeight w:val="207"/>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271.0</w:t>
            </w:r>
          </w:p>
        </w:tc>
      </w:tr>
      <w:tr>
        <w:trPr>
          <w:trHeight w:val="23"/>
        </w:trPr>
        <w:tc>
          <w:tcPr>
            <w:tcW w:w="8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include material, labor and factory overhead costs and are reduced, when necessary, to estimated net realizable values.</w:t>
      </w:r>
    </w:p>
    <w:p>
      <w:pPr>
        <w:spacing w:after="0" w:line="200" w:lineRule="exact"/>
        <w:rPr>
          <w:sz w:val="20"/>
          <w:szCs w:val="20"/>
          <w:color w:val="auto"/>
        </w:rPr>
      </w:pPr>
    </w:p>
    <w:p>
      <w:pPr>
        <w:spacing w:after="0" w:line="291"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28, 2025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Pr>
          <w:p>
            <w:pPr>
              <w:spacing w:after="0"/>
              <w:rPr>
                <w:sz w:val="13"/>
                <w:szCs w:val="1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Resulting from</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Combinations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80" w:type="dxa"/>
            <w:vAlign w:val="bottom"/>
          </w:tcPr>
          <w:p>
            <w:pPr>
              <w:spacing w:after="0"/>
              <w:rPr>
                <w:sz w:val="17"/>
                <w:szCs w:val="17"/>
                <w:color w:val="auto"/>
              </w:rPr>
            </w:pPr>
          </w:p>
        </w:tc>
        <w:tc>
          <w:tcPr>
            <w:tcW w:w="11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HVAC reportable segment</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1,010.2</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0" w:type="dxa"/>
            <w:vAlign w:val="bottom"/>
          </w:tcPr>
          <w:p>
            <w:pPr>
              <w:spacing w:after="0"/>
              <w:rPr>
                <w:sz w:val="1"/>
                <w:szCs w:val="1"/>
                <w:color w:val="auto"/>
              </w:rPr>
            </w:pPr>
          </w:p>
        </w:tc>
      </w:tr>
      <w:tr>
        <w:trPr>
          <w:trHeight w:val="207"/>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674.3</w:t>
            </w:r>
          </w:p>
        </w:tc>
        <w:tc>
          <w:tcPr>
            <w:tcW w:w="0" w:type="dxa"/>
            <w:vAlign w:val="bottom"/>
          </w:tcPr>
          <w:p>
            <w:pPr>
              <w:spacing w:after="0"/>
              <w:rPr>
                <w:sz w:val="1"/>
                <w:szCs w:val="1"/>
                <w:color w:val="auto"/>
              </w:rPr>
            </w:pPr>
          </w:p>
        </w:tc>
      </w:tr>
      <w:tr>
        <w:trPr>
          <w:trHeight w:val="253"/>
        </w:trPr>
        <w:tc>
          <w:tcPr>
            <w:tcW w:w="5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Detection and Measurement reportable segment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53"/>
        </w:trPr>
        <w:tc>
          <w:tcPr>
            <w:tcW w:w="5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goodwill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1,553.2</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impairments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0" w:type="dxa"/>
            <w:vAlign w:val="bottom"/>
          </w:tcPr>
          <w:p>
            <w:pPr>
              <w:spacing w:after="0"/>
              <w:rPr>
                <w:sz w:val="1"/>
                <w:szCs w:val="1"/>
                <w:color w:val="auto"/>
              </w:rPr>
            </w:pPr>
          </w:p>
        </w:tc>
      </w:tr>
      <w:tr>
        <w:trPr>
          <w:trHeight w:val="207"/>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1,040.9</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4" w:lineRule="exact"/>
        <w:rPr>
          <w:sz w:val="20"/>
          <w:szCs w:val="20"/>
          <w:color w:val="auto"/>
        </w:rPr>
      </w:pPr>
    </w:p>
    <w:p>
      <w:pPr>
        <w:jc w:val="both"/>
        <w:ind w:left="660" w:hanging="328"/>
        <w:spacing w:after="0" w:line="210" w:lineRule="auto"/>
        <w:tabs>
          <w:tab w:leader="none" w:pos="648"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(i) goodwill acquired with the KTS and Sigma &amp; Omega acquisitions of $105.0 and $75.8, respectively, and an immaterial acquisition within the HVAC reportable segment. As indicated in Note 1, the acquired assets, including goodwill, and liabilities assumed in the KTS and Sigma &amp; Omega acquisitions have been recorded at estimates of fair value and are subject to change upon completion of acquisition accounting.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Identifiable intangible assets at June 28, 2025 and December 31, 2024 comprised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12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9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4"/>
        </w:trPr>
        <w:tc>
          <w:tcPr>
            <w:tcW w:w="3960" w:type="dxa"/>
            <w:vAlign w:val="bottom"/>
            <w:tcBorders>
              <w:top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6"/>
                <w:szCs w:val="16"/>
                <w:color w:val="auto"/>
              </w:rPr>
              <w:t xml:space="preserve">Intangible assets with determinable lives: </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3"/>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with indefinite lives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0" w:type="dxa"/>
            <w:vAlign w:val="bottom"/>
          </w:tcPr>
          <w:p>
            <w:pPr>
              <w:spacing w:after="0"/>
              <w:rPr>
                <w:sz w:val="1"/>
                <w:szCs w:val="1"/>
                <w:color w:val="auto"/>
              </w:rPr>
            </w:pPr>
          </w:p>
        </w:tc>
      </w:tr>
      <w:tr>
        <w:trPr>
          <w:trHeight w:val="207"/>
        </w:trPr>
        <w:tc>
          <w:tcPr>
            <w:tcW w:w="3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4" w:lineRule="exact"/>
        <w:rPr>
          <w:sz w:val="20"/>
          <w:szCs w:val="20"/>
          <w:color w:val="auto"/>
        </w:rPr>
      </w:pPr>
    </w:p>
    <w:p>
      <w:pPr>
        <w:jc w:val="both"/>
        <w:ind w:left="660" w:hanging="328"/>
        <w:spacing w:after="0" w:line="210" w:lineRule="auto"/>
        <w:tabs>
          <w:tab w:leader="none" w:pos="648"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gross carrying value of identifiable intangible assets acquired with the KTS acquisition consist of technology of $79.8, customer relationships and contracts of $70.7, definite-lived trademarks of $6.7, and customer backlog of $7.3. The gross carrying value of identifiable intangible assets acquired with the Sigma &amp; Omega acquisition consist of customer relationships and contracts of $56.3, customer backlog of $8.9, technology of $8.5, and definite-lived trademarks of $3.9.</w:t>
      </w:r>
    </w:p>
    <w:p>
      <w:pPr>
        <w:spacing w:after="0" w:line="3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acquisitions of KTS and Sigma &amp; Omega, which have definite-lived intangible assets as noted above, we updated our estimated annual amortization expense related to intangible assets to approximately $90.0 for the full year 2025, $73.0 for 2026, and $70.0 for each of the three years thereafter.</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June 28, 2025, the net carrying value of intangible assets with determinable lives consisted of $439.8 in the HVAC reportable segment and $253.0 in the Detection and Measurement reportable segment. At June 28, 2025, trademarks with indefinite lives consisted of $157.0 in the HVAC reportable segment and $64.9 in the Detection and Measurement reportable segment.</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review goodwill and indefinite-lived intangible assets for impairment annually during the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spacing w:after="0" w:line="14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fair value of the net assets related to the Sigma &amp; Omega, KTS and Ingénia acquisitions approximate their respective carrying values. If Sigma &amp; Omega, KTS or Ingénia are unable to achieve their current financial forecasts, or there is a change in key assumptions used in the fair value analyses (e.g. projected revenues and profit growth rates, industry price multiples, discount rates, etc.), we may be required to record an impairment charge in a future period related to their goodwill. As of June 28, 2025, Sigma &amp; Omega, KTS and Ingénia's goodwill totaled $76.6, $105.0 and $139.7, respectively.</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perform our annual indefinite-lived trademarks impairment testing during the fourth quarter, or on a more frequent basis, if there are indications of potential impairment. The fair value of these trademarks is based on applying estimated royalty rates to projected revenues, with resulting cash flows discounted at a rate of return that reflects current market conditions (fair value based on unobservable inputs - Level 3, as defined in Note 17). The primary basis for these projected revenues is the annual operating plan for each of the related businesses, which is prepared in the fourth quarter of each year. During the fourth quarter of 2024, in connection with the 2024 annual trademark impairment analyses, we determined that the implied value of ASPEQ’s trademarks approximated their carrying value. If ASPEQ is unable to achieve its current revenue forecast, or there is a change in assumptions used in ASPEQ’s analysis (e.g., projected revenues and discount rates, etc.), we may be required to record an impairment charge in a future period related to its trademarks. As of June 28, 2025, ASPEQ’s trademarks totaled $51.5.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0" w:name="page21"/>
    <w:bookmarkEnd w:id="20"/>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(10)</w:t>
        <w:tab/>
        <w:t>WARRANTY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an analysis of our product warranty accrual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8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220" w:type="dxa"/>
            <w:vAlign w:val="bottom"/>
          </w:tcPr>
          <w:p>
            <w:pPr>
              <w:spacing w:after="0"/>
              <w:rPr>
                <w:sz w:val="11"/>
                <w:szCs w:val="11"/>
                <w:color w:val="auto"/>
              </w:rPr>
            </w:pPr>
          </w:p>
        </w:tc>
        <w:tc>
          <w:tcPr>
            <w:tcW w:w="980" w:type="dxa"/>
            <w:vAlign w:val="bottom"/>
          </w:tcPr>
          <w:p>
            <w:pPr>
              <w:jc w:val="right"/>
              <w:ind w:right="281"/>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7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37.9</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Usage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2"/>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w:t>
            </w:r>
          </w:p>
        </w:tc>
      </w:tr>
      <w:tr>
        <w:trPr>
          <w:trHeight w:val="213"/>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r>
      <w:tr>
        <w:trPr>
          <w:trHeight w:val="234"/>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warranty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During the fourth quarter of 2023, we initiated the wind-up of our Canadian defined benefit pension plans (collectively, the “Canadian Pension Plans”). We received regulatory approval for the wind-up which was completed during the first quarter of 2025. This transaction resulted in a settlement loss of $0.3 recorded in net periodic pension benefit expense during the six months ended June 28, 2025. In addition, and in connection with this wind-up, we remeasured the assets and liabilities of the Canadian Pension Plans, which resulted in a loss of $0.5 recorded in net periodic pension benefit expense for the six months ended June 28, 2025. Lastly, as a result of the wind-up, we have eliminated the third-party cost and internal resource requirements associated with administering these benefit plans.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periodic benefit (income) expense for our pension and postretirement plans included the following components: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Pension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78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4740" w:type="dxa"/>
            <w:vAlign w:val="bottom"/>
          </w:tcPr>
          <w:p>
            <w:pPr>
              <w:spacing w:after="0"/>
              <w:rPr>
                <w:sz w:val="11"/>
                <w:szCs w:val="11"/>
                <w:color w:val="auto"/>
              </w:rPr>
            </w:pPr>
          </w:p>
        </w:tc>
        <w:tc>
          <w:tcPr>
            <w:tcW w:w="1120" w:type="dxa"/>
            <w:vAlign w:val="bottom"/>
          </w:tcPr>
          <w:p>
            <w:pPr>
              <w:jc w:val="right"/>
              <w:ind w:right="24"/>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4"/>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right"/>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6"/>
        </w:trPr>
        <w:tc>
          <w:tcPr>
            <w:tcW w:w="47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7"/>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pension benefit expense</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
        </w:trPr>
        <w:tc>
          <w:tcPr>
            <w:tcW w:w="4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Pension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78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31"/>
        </w:trPr>
        <w:tc>
          <w:tcPr>
            <w:tcW w:w="4740" w:type="dxa"/>
            <w:vAlign w:val="bottom"/>
          </w:tcPr>
          <w:p>
            <w:pPr>
              <w:spacing w:after="0"/>
              <w:rPr>
                <w:sz w:val="11"/>
                <w:szCs w:val="11"/>
                <w:color w:val="auto"/>
              </w:rPr>
            </w:pPr>
          </w:p>
        </w:tc>
        <w:tc>
          <w:tcPr>
            <w:tcW w:w="1120" w:type="dxa"/>
            <w:vAlign w:val="bottom"/>
          </w:tcPr>
          <w:p>
            <w:pPr>
              <w:jc w:val="right"/>
              <w:ind w:right="24"/>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4"/>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right"/>
              <w:ind w:right="441"/>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47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6"/>
        </w:trPr>
        <w:tc>
          <w:tcPr>
            <w:tcW w:w="4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Settlement loss </w:t>
            </w:r>
            <w:r>
              <w:rPr>
                <w:rFonts w:ascii="Times New Roman" w:cs="Times New Roman" w:eastAsia="Times New Roman" w:hAnsi="Times New Roman"/>
                <w:sz w:val="21"/>
                <w:szCs w:val="21"/>
                <w:color w:val="auto"/>
                <w:vertAlign w:val="superscript"/>
              </w:rPr>
              <w:t>(1)</w:t>
            </w:r>
          </w:p>
        </w:tc>
        <w:tc>
          <w:tcPr>
            <w:tcW w:w="11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7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Recognized net actuarial loss </w:t>
            </w:r>
            <w:r>
              <w:rPr>
                <w:rFonts w:ascii="Times New Roman" w:cs="Times New Roman" w:eastAsia="Times New Roman" w:hAnsi="Times New Roman"/>
                <w:sz w:val="21"/>
                <w:szCs w:val="21"/>
                <w:color w:val="auto"/>
                <w:vertAlign w:val="superscript"/>
              </w:rPr>
              <w:t>(1)</w:t>
            </w: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pension benefit expense</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
        </w:trPr>
        <w:tc>
          <w:tcPr>
            <w:tcW w:w="4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36"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Relates to the wind-up of the Canadian Pension Plans referred to previously.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78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6"/>
                <w:szCs w:val="16"/>
                <w:color w:val="auto"/>
              </w:rPr>
            </w:pPr>
          </w:p>
        </w:tc>
      </w:tr>
      <w:tr>
        <w:trPr>
          <w:trHeight w:val="24"/>
        </w:trPr>
        <w:tc>
          <w:tcPr>
            <w:tcW w:w="4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29"/>
        </w:trPr>
        <w:tc>
          <w:tcPr>
            <w:tcW w:w="4740" w:type="dxa"/>
            <w:vAlign w:val="bottom"/>
          </w:tcPr>
          <w:p>
            <w:pPr>
              <w:spacing w:after="0"/>
              <w:rPr>
                <w:sz w:val="11"/>
                <w:szCs w:val="11"/>
                <w:color w:val="auto"/>
              </w:rPr>
            </w:pPr>
          </w:p>
        </w:tc>
        <w:tc>
          <w:tcPr>
            <w:tcW w:w="1120" w:type="dxa"/>
            <w:vAlign w:val="bottom"/>
          </w:tcPr>
          <w:p>
            <w:pPr>
              <w:jc w:val="right"/>
              <w:ind w:right="24"/>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24"/>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jc w:val="right"/>
              <w:ind w:right="442"/>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6"/>
        </w:trPr>
        <w:tc>
          <w:tcPr>
            <w:tcW w:w="47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unrecognized prior service credits</w:t>
            </w: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7"/>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postretirement benefit income</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
        </w:trPr>
        <w:tc>
          <w:tcPr>
            <w:tcW w:w="47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1" w:name="page22"/>
    <w:bookmarkEnd w:id="21"/>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tab/>
        <w:t>INDEBTEDNESS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debt activity (both current and non-current) for the six months ended June 28,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40" w:type="dxa"/>
            <w:vAlign w:val="bottom"/>
          </w:tcPr>
          <w:p>
            <w:pPr>
              <w:spacing w:after="0"/>
              <w:rPr>
                <w:sz w:val="13"/>
                <w:szCs w:val="13"/>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loans</w:t>
            </w:r>
            <w:r>
              <w:rPr>
                <w:rFonts w:ascii="Times New Roman" w:cs="Times New Roman" w:eastAsia="Times New Roman" w:hAnsi="Times New Roman"/>
                <w:sz w:val="21"/>
                <w:szCs w:val="21"/>
                <w:color w:val="auto"/>
                <w:vertAlign w:val="superscript"/>
              </w:rPr>
              <w:t>(2)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receivables financing arrangement</w:t>
            </w:r>
            <w:r>
              <w:rPr>
                <w:rFonts w:ascii="Times New Roman" w:cs="Times New Roman" w:eastAsia="Times New Roman" w:hAnsi="Times New Roman"/>
                <w:sz w:val="21"/>
                <w:szCs w:val="21"/>
                <w:color w:val="auto"/>
                <w:vertAlign w:val="superscript"/>
              </w:rPr>
              <w:t>(3)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indebtedness</w:t>
            </w:r>
            <w:r>
              <w:rPr>
                <w:rFonts w:ascii="Times New Roman" w:cs="Times New Roman" w:eastAsia="Times New Roman" w:hAnsi="Times New Roman"/>
                <w:sz w:val="21"/>
                <w:szCs w:val="21"/>
                <w:color w:val="auto"/>
                <w:vertAlign w:val="superscript"/>
              </w:rPr>
              <w:t>(4)</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8"/>
        </w:trPr>
        <w:tc>
          <w:tcPr>
            <w:tcW w:w="5080" w:type="dxa"/>
            <w:vAlign w:val="bottom"/>
            <w:tcBorders>
              <w:top w:val="single" w:sz="8" w:color="CCEEFF"/>
              <w:bottom w:val="single" w:sz="8" w:color="CCEEFF"/>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4"/>
              </w:rPr>
              <w:t>614.7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657.6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(253.2)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4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1,019.3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line="20" w:lineRule="exact"/>
              <w:rPr>
                <w:sz w:val="1"/>
                <w:szCs w:val="1"/>
                <w:color w:val="auto"/>
              </w:rPr>
            </w:pPr>
          </w:p>
        </w:tc>
      </w:tr>
      <w:tr>
        <w:trPr>
          <w:trHeight w:val="160"/>
        </w:trPr>
        <w:tc>
          <w:tcPr>
            <w:tcW w:w="508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09"/>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577.0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950.3</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 w:lineRule="exact"/>
        <w:rPr>
          <w:sz w:val="20"/>
          <w:szCs w:val="20"/>
          <w:color w:val="auto"/>
        </w:rPr>
      </w:pPr>
    </w:p>
    <w:p>
      <w:pPr>
        <w:ind w:left="660" w:hanging="328"/>
        <w:spacing w:after="0" w:line="217"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credit facility extends through August 2027 under the terms of our senior credit agreement and is primarily used to provide liquidity for funding acquisitions, including related fees and expenses, and was utilized as a funding mechanism for the KTS and Sigma &amp; Omega acquisitions.</w:t>
      </w:r>
    </w:p>
    <w:p>
      <w:pPr>
        <w:spacing w:after="0" w:line="154" w:lineRule="exact"/>
        <w:rPr>
          <w:rFonts w:ascii="Times New Roman" w:cs="Times New Roman" w:eastAsia="Times New Roman" w:hAnsi="Times New Roman"/>
          <w:sz w:val="21"/>
          <w:szCs w:val="21"/>
          <w:color w:val="auto"/>
          <w:vertAlign w:val="superscript"/>
        </w:rPr>
      </w:pPr>
    </w:p>
    <w:p>
      <w:pPr>
        <w:jc w:val="both"/>
        <w:ind w:left="660" w:hanging="328"/>
        <w:spacing w:after="0" w:line="231"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loans are repayable in quarterly installments equal to 1.25% of the initial term loan balances of $545.0, in all quarters of 2025 and 2026, and the first two quarters of 2027. The remaining balances are payable in full on August 12, 2027. Balances are net of unamortized debt issuance costs of $1.0 and $1.2 at June 28, 2025 and December 31, 2024, respectively.</w:t>
      </w:r>
    </w:p>
    <w:p>
      <w:pPr>
        <w:spacing w:after="0" w:line="155" w:lineRule="exact"/>
        <w:rPr>
          <w:rFonts w:ascii="Times New Roman" w:cs="Times New Roman" w:eastAsia="Times New Roman" w:hAnsi="Times New Roman"/>
          <w:sz w:val="21"/>
          <w:szCs w:val="21"/>
          <w:color w:val="auto"/>
          <w:vertAlign w:val="superscript"/>
        </w:rPr>
      </w:pPr>
    </w:p>
    <w:p>
      <w:pPr>
        <w:jc w:val="both"/>
        <w:ind w:left="660" w:hanging="328"/>
        <w:spacing w:after="0" w:line="231"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June 28, 2025, we had $49.1 of available borrowing capacity under this facility after giving effect to outstanding borrowings of $40.0.</w:t>
      </w:r>
    </w:p>
    <w:p>
      <w:pPr>
        <w:spacing w:after="0" w:line="169" w:lineRule="exact"/>
        <w:rPr>
          <w:rFonts w:ascii="Times New Roman" w:cs="Times New Roman" w:eastAsia="Times New Roman" w:hAnsi="Times New Roman"/>
          <w:sz w:val="21"/>
          <w:szCs w:val="21"/>
          <w:color w:val="auto"/>
          <w:vertAlign w:val="superscript"/>
        </w:rPr>
      </w:pPr>
    </w:p>
    <w:p>
      <w:pPr>
        <w:jc w:val="both"/>
        <w:ind w:left="660" w:hanging="328"/>
        <w:spacing w:after="0" w:line="239" w:lineRule="auto"/>
        <w:tabs>
          <w:tab w:leader="none" w:pos="64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$1.4 and $1.1 and finance lease obligations of $1.1 and $1.2 at June 28,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137"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impact of amortization of debt issuance costs associated with the term loans.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Credit Facilities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detailed description of our senior credit facilities is included in our 2024 Annual Report on Form 10-K.</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28, 2025, we had $529.0 of available borrowing capacity under our revolving credit facilities, after giving effect to borrowings under the domestic revolving loan facility of $460.0 and $11.0 reserved for outstanding letters of credit. In addition, at June 28, 2025, we had $11.9 of available issuance capacity under our foreign credit instrument facilities after giving effect to $13.1 reserved for outstanding letters of credit.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interest rate of outstanding borrowings under our senior credit agreement was approximately 5.8% at June 28, 2025.</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28, 2025, we were in compliance with all covenants of our senior credit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Borrowings and Financing Activities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we renewed our trade receivables financing agreement for the next 12 months, whereby we can borrow, on a continuous basis, up to $100.0, as available.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Company-owned Life Insurance</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investments in company-owned life insurance (“COLI”) policies, which are recorded at their cash surrender value at each balance sheet date. Changes in the cash surrender value during the period are recorded as a gain or loss within “Other income (expense), net” within our condensed consolidated statements of operations. We have the ability to borrow against a portion of our investment in the COLI policies as an additional source of liquidity. During the quarter ended June 29, 2024, the Company borrowed $41.2 against the cash surrender value of these COLI policies. The amounts borrowed totaled $39.0 at June 28, 2025 and December 31, 2024 and incur interest at a rate of 5.3%. After such borrowings, minimal capacity to borrow against the policies remains. The cash surrender value of our investments in COLI assets, net of the aforementioned</w:t>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borrowing, was $36.2 at June 28, 2025 and December 31, 2024, respectively, recorded in “Other assets” on the condensed consolidated balance sheets.</w:t>
      </w:r>
    </w:p>
    <w:p>
      <w:pPr>
        <w:spacing w:after="0" w:line="24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0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In 2020, we entered into interest swap agreements (“Initial Swaps”) that covered the period through November 2024, and effectively converted borrowings under our senior credit facilities to a fixed rate of 1.077%, plus the applicable margin. In September 2024, commensurate with an amendment to our senior credit agreement, we entered into additional interest rate swap agreements (“Additional Swaps”). The Additional Swaps have a notional amount of $517.8, cover the period from December 2024 to June 2026, and effectively convert this portion of the borrowings under our senior credit facilities to a fixed rate of 3.58%, plus the applicable margin. We have designated, and are accounting for, our Additional Swaps (and, prior to their maturity, accounted for the Initial Swaps) as cash flow hedges.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June 28, 2025 and December 31, 2024, the unrealized gain, net of tax, recorded in accumulated other comprehensive income (“AOCI”) was $1.3 and $2.6, respectively. In addition, the fair value of our interest rate swap agreements was $1.8 (with $1.5 recorded as a current asset and $0.3 as a non-current asset) and $3.4 (with $2.7 recorded as a current asset and $0.7 as a non-current asset) as of June 28, 2025 and December 31, 2024, respectively. Changes in the fair value of our Swaps are reclassified into earnings, as a component of interest expense, when the forecasted transaction impacts earnings.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Forward Contracts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British Pound Sterling, Canadian Dollar, Euro, and South African Rand.</w:t>
      </w:r>
    </w:p>
    <w:p>
      <w:pPr>
        <w:spacing w:after="0" w:line="19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AOCI and are reclassified into earnings as a component of revenues or cost of products sold, as applicable, when the forecasted transaction impacts earnings. In addition, if the forecasted transaction is no longer probable, the cumulative change in the derivatives’ fair value is recorded into earnings in the period in which the transaction is no longer considered probable of occurring.</w:t>
      </w:r>
    </w:p>
    <w:p>
      <w:pPr>
        <w:spacing w:after="0" w:line="20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had FX forward contracts with an aggregate notional amount of $31.1 and $22.9 outstanding as of June 28, 2025 and December 31, 2024, respectively, with all of the $31.1 scheduled to mature within one year. There were no unrealized gains/losses recorded in AOCI related to FX forward contracts designated as cash flow hedges as of June 28, 2025 and December 31, 2024. The fair value of our FX forward contracts was less than $0.1 at June 28, 2025 and December 31, 2024.</w:t>
      </w:r>
    </w:p>
    <w:p>
      <w:pPr>
        <w:spacing w:after="0" w:line="2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above, we entered FX forward contracts associated with the Settlement Agreement, to mitigate our exposure to fluctuations in the South African Rand, with a notional amount of South African Rand 480.9 (or $24.9 at the time of execution). We designated and accounted for these FX forward contracts as fair value hedges. These FX forward contracts matured during the third quarter of 2024 commensurate with the final payment under the Settlement Agreement. Refer to Note 3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p>
      <w:pPr>
        <w:ind w:right="424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(14) STOCKHOLDERS' EQUITY AND LONG-TERM INCENTIVE COMPENSATION </w:t>
      </w:r>
      <w:r>
        <w:rPr>
          <w:rFonts w:ascii="Times New Roman" w:cs="Times New Roman" w:eastAsia="Times New Roman" w:hAnsi="Times New Roman"/>
          <w:sz w:val="18"/>
          <w:szCs w:val="18"/>
          <w:b w:val="1"/>
          <w:bCs w:val="1"/>
          <w:i w:val="1"/>
          <w:iCs w:val="1"/>
          <w:color w:val="auto"/>
        </w:rPr>
        <w:t>Income Per Share</w:t>
      </w:r>
    </w:p>
    <w:p>
      <w:pPr>
        <w:ind w:left="660"/>
        <w:spacing w:after="0"/>
        <w:rPr>
          <w:sz w:val="20"/>
          <w:szCs w:val="20"/>
          <w:color w:val="auto"/>
        </w:rPr>
      </w:pPr>
      <w:r>
        <w:rPr>
          <w:rFonts w:ascii="Times New Roman" w:cs="Times New Roman" w:eastAsia="Times New Roman" w:hAnsi="Times New Roman"/>
          <w:sz w:val="17"/>
          <w:szCs w:val="17"/>
          <w:color w:val="auto"/>
        </w:rPr>
        <w:t>The following table sets forth the number of weighted-average shares outstanding used in the computation of basic and diluted income per share:</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right="60"/>
        <w:spacing w:after="0" w:line="245" w:lineRule="auto"/>
        <w:rPr>
          <w:sz w:val="20"/>
          <w:szCs w:val="20"/>
          <w:color w:val="auto"/>
        </w:rPr>
      </w:pPr>
      <w:r>
        <w:rPr>
          <w:rFonts w:ascii="Times New Roman" w:cs="Times New Roman" w:eastAsia="Times New Roman" w:hAnsi="Times New Roman"/>
          <w:sz w:val="16"/>
          <w:szCs w:val="16"/>
          <w:color w:val="auto"/>
        </w:rPr>
        <w:t>Weighted-average number of common shares used in basic income per share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Dilutive securities — Employee stock options and restricted stock units</w:t>
      </w:r>
    </w:p>
    <w:p>
      <w:pPr>
        <w:spacing w:after="0" w:line="32" w:lineRule="exact"/>
        <w:rPr>
          <w:sz w:val="20"/>
          <w:szCs w:val="20"/>
          <w:color w:val="auto"/>
        </w:rPr>
      </w:pPr>
    </w:p>
    <w:p>
      <w:pPr>
        <w:ind w:left="20" w:right="240"/>
        <w:spacing w:after="0" w:line="245" w:lineRule="auto"/>
        <w:rPr>
          <w:sz w:val="20"/>
          <w:szCs w:val="20"/>
          <w:color w:val="auto"/>
        </w:rPr>
      </w:pPr>
      <w:r>
        <w:rPr>
          <w:rFonts w:ascii="Times New Roman" w:cs="Times New Roman" w:eastAsia="Times New Roman" w:hAnsi="Times New Roman"/>
          <w:sz w:val="16"/>
          <w:szCs w:val="16"/>
          <w:color w:val="auto"/>
        </w:rPr>
        <w:t>Weighted-average number of common shares and dilutive securities used in diluted income per share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70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8"/>
        </w:trPr>
        <w:tc>
          <w:tcPr>
            <w:tcW w:w="1040" w:type="dxa"/>
            <w:vAlign w:val="bottom"/>
          </w:tcPr>
          <w:p>
            <w:pPr>
              <w:jc w:val="center"/>
              <w:ind w:left="448"/>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48"/>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060" w:type="dxa"/>
            <w:vAlign w:val="bottom"/>
          </w:tcPr>
          <w:p>
            <w:pPr>
              <w:jc w:val="right"/>
              <w:ind w:right="443"/>
              <w:spacing w:after="0" w:line="129"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6"/>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58"/>
        </w:trPr>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5"/>
              </w:rPr>
              <w:t>46.716</w:t>
            </w: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46.246</w:t>
            </w:r>
          </w:p>
        </w:tc>
        <w:tc>
          <w:tcPr>
            <w:tcW w:w="80" w:type="dxa"/>
            <w:vAlign w:val="bottom"/>
          </w:tcPr>
          <w:p>
            <w:pPr>
              <w:spacing w:after="0"/>
              <w:rPr>
                <w:sz w:val="24"/>
                <w:szCs w:val="2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46.586</w:t>
            </w: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46.038</w:t>
            </w:r>
          </w:p>
        </w:tc>
      </w:tr>
      <w:tr>
        <w:trPr>
          <w:trHeight w:val="219"/>
        </w:trPr>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0.680</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0.912</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0.863</w:t>
            </w:r>
          </w:p>
        </w:tc>
      </w:tr>
      <w:tr>
        <w:trPr>
          <w:trHeight w:val="331"/>
        </w:trPr>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5"/>
              </w:rPr>
              <w:t>47.396</w:t>
            </w: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47.158</w:t>
            </w:r>
          </w:p>
        </w:tc>
        <w:tc>
          <w:tcPr>
            <w:tcW w:w="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47.255</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46.901</w:t>
            </w:r>
          </w:p>
        </w:tc>
      </w:tr>
      <w:tr>
        <w:trPr>
          <w:trHeight w:val="23"/>
        </w:trPr>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-633730</wp:posOffset>
            </wp:positionV>
            <wp:extent cx="71323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-2991485</wp:posOffset>
            </wp:positionH>
            <wp:positionV relativeFrom="paragraph">
              <wp:posOffset>-256540</wp:posOffset>
            </wp:positionV>
            <wp:extent cx="713232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60"/>
            <w:col w:w="6520"/>
          </w:cols>
          <w:pgMar w:left="320" w:top="603" w:right="339" w:bottom="1440" w:gutter="0" w:footer="0" w:header="0"/>
          <w:type w:val="continuous"/>
        </w:sectPr>
      </w:pPr>
    </w:p>
    <w:p>
      <w:pPr>
        <w:spacing w:after="0" w:line="1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0.151 and 0.265, respectively, for the three months ended June 28, 2025, and 0.133 and 0.251, respectively, for the six months ended June 28, 2025.</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number of restricted stock units and stock options excluded from the computation of diluted income per share because the assumed proceeds for these instruments exceed the average market value of the underlying common stock for the related period were 0.155 and 0.283, respectively, for the three months ended June 29, 2024, and 0.137 and 0.305, respectively, for the six months ended June 29,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Long-term incentive compensation awards may be granted to certain eligible employees or non-employee directors. A detailed description of the awards granted prior to 2025 is included in our 2024 Annual Report on Form 10-K.</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Awards granted on March 3, 2025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w:t>
      </w:r>
    </w:p>
    <w:p>
      <w:pPr>
        <w:spacing w:after="0" w:line="1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Effective May 13, 2025, we granted 0.007 RSU’s to our non-employee directors, which vest in their entirety immediately prior to the annual meeting of stockholders in May 2026.</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Compensation expense within income from continuing operations related to long-term incentive awards totaled $3.9 and $3.7 for the three months ended June 28, 2025 and June 29, 2024, respectively, and $7.6 and $7.0 for the six months ended June 28, 2025 and June 29, 2024, respectively. The related tax benefit was $0.7 and $0.6 for the three months ended June 28, 2025 and June 29, 2024, respectively, and $1.3 and $1.2 for the six months ended June 28, 2025 and June 29, 2024,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13, 2025, our Board of Directors authorized management, in its sole discretion, to repurchase, in any fiscal year, up to $100.0 of our common stock, subject to maintaining compliance with all covenants of our senior credit agreement. No share repurchases were effected pursuant to this and prior authorizations during the three and six months ended June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three months ended June 28, 2025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4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Flow Hedges</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Adjustment</w:t>
            </w:r>
            <w:r>
              <w:rPr>
                <w:rFonts w:ascii="Times New Roman" w:cs="Times New Roman" w:eastAsia="Times New Roman" w:hAnsi="Times New Roman"/>
                <w:sz w:val="18"/>
                <w:szCs w:val="18"/>
                <w:b w:val="1"/>
                <w:bCs w:val="1"/>
                <w:color w:val="auto"/>
                <w:w w:val="99"/>
                <w:vertAlign w:val="superscript"/>
              </w:rPr>
              <w:t>(2)</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center"/>
              <w:ind w:left="1162"/>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center"/>
              <w:ind w:left="1162"/>
              <w:spacing w:after="0"/>
              <w:rPr>
                <w:sz w:val="20"/>
                <w:szCs w:val="20"/>
                <w:color w:val="auto"/>
              </w:rPr>
            </w:pPr>
            <w:r>
              <w:rPr>
                <w:rFonts w:ascii="Times New Roman" w:cs="Times New Roman" w:eastAsia="Times New Roman" w:hAnsi="Times New Roman"/>
                <w:sz w:val="16"/>
                <w:szCs w:val="16"/>
                <w:color w:val="auto"/>
                <w:w w:val="97"/>
              </w:rPr>
              <w:t>(0.5)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$0.5 and $0.4 as of June 28, 2025 and March 29, 2025, respectively.</w:t>
      </w:r>
    </w:p>
    <w:p>
      <w:pPr>
        <w:spacing w:after="0" w:line="154" w:lineRule="exact"/>
        <w:rPr>
          <w:rFonts w:ascii="Times New Roman" w:cs="Times New Roman" w:eastAsia="Times New Roman" w:hAnsi="Times New Roman"/>
          <w:sz w:val="21"/>
          <w:szCs w:val="21"/>
          <w:color w:val="auto"/>
          <w:vertAlign w:val="superscript"/>
        </w:rPr>
      </w:pPr>
    </w:p>
    <w:p>
      <w:pPr>
        <w:ind w:left="660" w:right="600" w:hanging="328"/>
        <w:spacing w:after="0" w:line="232" w:lineRule="auto"/>
        <w:tabs>
          <w:tab w:leader="none" w:pos="64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$0.5 and $0.8 as of June 28, 2025 and March 29, 2025, respectively. The balances as of June 28, 2025 and March 29, 2025 include unamortized prior service credits.</w:t>
      </w: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six months ended June 28, 2025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6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80" w:type="dxa"/>
            <w:vAlign w:val="bottom"/>
          </w:tcPr>
          <w:p>
            <w:pPr>
              <w:spacing w:after="0"/>
              <w:rPr>
                <w:sz w:val="13"/>
                <w:szCs w:val="13"/>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Pr>
          <w:p>
            <w:pPr>
              <w:spacing w:after="0"/>
              <w:rPr>
                <w:sz w:val="12"/>
                <w:szCs w:val="12"/>
                <w:color w:val="auto"/>
              </w:rPr>
            </w:pPr>
          </w:p>
        </w:tc>
        <w:tc>
          <w:tcPr>
            <w:tcW w:w="17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8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4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7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9"/>
              </w:rPr>
              <w:t>Flow Hedges</w:t>
            </w:r>
            <w:r>
              <w:rPr>
                <w:rFonts w:ascii="Times New Roman" w:cs="Times New Roman" w:eastAsia="Times New Roman" w:hAnsi="Times New Roman"/>
                <w:sz w:val="18"/>
                <w:szCs w:val="18"/>
                <w:b w:val="1"/>
                <w:bCs w:val="1"/>
                <w:color w:val="auto"/>
                <w:w w:val="99"/>
                <w:vertAlign w:val="superscript"/>
              </w:rPr>
              <w:t>(1)</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r>
              <w:rPr>
                <w:rFonts w:ascii="Times New Roman" w:cs="Times New Roman" w:eastAsia="Times New Roman" w:hAnsi="Times New Roman"/>
                <w:sz w:val="9"/>
                <w:szCs w:val="9"/>
                <w:b w:val="1"/>
                <w:bCs w:val="1"/>
                <w:color w:val="auto"/>
              </w:rPr>
              <w:t>(2)</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4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4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income (loss)</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$0.5 and $0.7 as of June 28, 2025 and December 31, 2024, respectively.</w:t>
      </w:r>
    </w:p>
    <w:p>
      <w:pPr>
        <w:spacing w:after="0" w:line="168" w:lineRule="exact"/>
        <w:rPr>
          <w:rFonts w:ascii="Times New Roman" w:cs="Times New Roman" w:eastAsia="Times New Roman" w:hAnsi="Times New Roman"/>
          <w:sz w:val="21"/>
          <w:szCs w:val="21"/>
          <w:color w:val="auto"/>
          <w:vertAlign w:val="superscript"/>
        </w:rPr>
      </w:pPr>
    </w:p>
    <w:p>
      <w:pPr>
        <w:ind w:left="660" w:right="100" w:hanging="328"/>
        <w:spacing w:after="0" w:line="225" w:lineRule="auto"/>
        <w:tabs>
          <w:tab w:leader="none" w:pos="64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$0.5 and $1.0 as of June 28, 2025 and December 31, 2024, respectively. The balances as of June 28, 2025 and December 31, 2024 include unamortized prior service credits.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three months ended June 29, 2024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6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Flow Hedges</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7"/>
                <w:szCs w:val="17"/>
                <w:color w:val="auto"/>
              </w:rPr>
            </w:pPr>
          </w:p>
        </w:tc>
        <w:tc>
          <w:tcPr>
            <w:tcW w:w="162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Adjustment</w:t>
            </w:r>
            <w:r>
              <w:rPr>
                <w:rFonts w:ascii="Times New Roman" w:cs="Times New Roman" w:eastAsia="Times New Roman" w:hAnsi="Times New Roman"/>
                <w:sz w:val="18"/>
                <w:szCs w:val="18"/>
                <w:b w:val="1"/>
                <w:bCs w:val="1"/>
                <w:color w:val="auto"/>
                <w:w w:val="99"/>
                <w:vertAlign w:val="superscript"/>
              </w:rPr>
              <w:t>(2)</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4.4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250.9</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(1.7)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loss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left="1182"/>
              <w:spacing w:after="0"/>
              <w:rPr>
                <w:sz w:val="20"/>
                <w:szCs w:val="20"/>
                <w:color w:val="auto"/>
              </w:rPr>
            </w:pPr>
            <w:r>
              <w:rPr>
                <w:rFonts w:ascii="Times New Roman" w:cs="Times New Roman" w:eastAsia="Times New Roman" w:hAnsi="Times New Roman"/>
                <w:sz w:val="16"/>
                <w:szCs w:val="16"/>
                <w:color w:val="auto"/>
                <w:w w:val="97"/>
              </w:rPr>
              <w:t>(1.5)</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2.9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$0.8 and $1.4 as of June 29, 2024 and March 30, 2024, respectively.</w:t>
      </w:r>
    </w:p>
    <w:p>
      <w:pPr>
        <w:spacing w:after="0" w:line="154" w:lineRule="exact"/>
        <w:rPr>
          <w:rFonts w:ascii="Times New Roman" w:cs="Times New Roman" w:eastAsia="Times New Roman" w:hAnsi="Times New Roman"/>
          <w:sz w:val="21"/>
          <w:szCs w:val="21"/>
          <w:color w:val="auto"/>
          <w:vertAlign w:val="superscript"/>
        </w:rPr>
      </w:pPr>
    </w:p>
    <w:p>
      <w:pPr>
        <w:ind w:left="660" w:right="600" w:hanging="328"/>
        <w:spacing w:after="0" w:line="232" w:lineRule="auto"/>
        <w:tabs>
          <w:tab w:leader="none" w:pos="64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$1.4 and $1.6 as of June 29, 2024 and March 30, 2024, respectively. The balances as of June 29, 2024 and March 30, 2024 include unamortized prior service credits.</w:t>
      </w:r>
    </w:p>
    <w:p>
      <w:pPr>
        <w:sectPr>
          <w:pgSz w:w="11900" w:h="16838" w:orient="portrait"/>
          <w:cols w:equalWidth="0" w:num="1">
            <w:col w:w="11220"/>
          </w:cols>
          <w:pgMar w:left="320" w:top="6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type w:val="continuous"/>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The changes in the components of AOCI, net of tax, for the six months ended June 29,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80" w:type="dxa"/>
            <w:vAlign w:val="bottom"/>
          </w:tcPr>
          <w:p>
            <w:pPr>
              <w:spacing w:after="0"/>
              <w:rPr>
                <w:sz w:val="13"/>
                <w:szCs w:val="13"/>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260" w:type="dxa"/>
            <w:vAlign w:val="bottom"/>
          </w:tcPr>
          <w:p>
            <w:pPr>
              <w:spacing w:after="0"/>
              <w:rPr>
                <w:sz w:val="13"/>
                <w:szCs w:val="13"/>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on Qualifying Cash</w:t>
            </w:r>
          </w:p>
        </w:tc>
        <w:tc>
          <w:tcPr>
            <w:tcW w:w="260" w:type="dxa"/>
            <w:vAlign w:val="bottom"/>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116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80" w:type="dxa"/>
            <w:vAlign w:val="bottom"/>
          </w:tcPr>
          <w:p>
            <w:pPr>
              <w:spacing w:after="0"/>
              <w:rPr>
                <w:sz w:val="17"/>
                <w:szCs w:val="17"/>
                <w:color w:val="auto"/>
              </w:rPr>
            </w:pPr>
          </w:p>
        </w:tc>
        <w:tc>
          <w:tcPr>
            <w:tcW w:w="17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7"/>
              </w:rPr>
              <w:t>Flow Hedges</w:t>
            </w:r>
            <w:r>
              <w:rPr>
                <w:rFonts w:ascii="Times New Roman" w:cs="Times New Roman" w:eastAsia="Times New Roman" w:hAnsi="Times New Roman"/>
                <w:sz w:val="18"/>
                <w:szCs w:val="18"/>
                <w:b w:val="1"/>
                <w:bCs w:val="1"/>
                <w:color w:val="auto"/>
                <w:w w:val="97"/>
                <w:vertAlign w:val="superscript"/>
              </w:rPr>
              <w:t>(1)</w:t>
            </w:r>
          </w:p>
        </w:tc>
        <w:tc>
          <w:tcPr>
            <w:tcW w:w="26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r>
              <w:rPr>
                <w:rFonts w:ascii="Times New Roman" w:cs="Times New Roman" w:eastAsia="Times New Roman" w:hAnsi="Times New Roman"/>
                <w:sz w:val="9"/>
                <w:szCs w:val="9"/>
                <w:b w:val="1"/>
                <w:bCs w:val="1"/>
                <w:color w:val="auto"/>
              </w:rPr>
              <w:t>(2)</w:t>
            </w:r>
          </w:p>
        </w:tc>
        <w:tc>
          <w:tcPr>
            <w:tcW w:w="3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5.7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2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center"/>
              <w:ind w:left="1182"/>
              <w:spacing w:after="0"/>
              <w:rPr>
                <w:sz w:val="20"/>
                <w:szCs w:val="20"/>
                <w:color w:val="auto"/>
              </w:rPr>
            </w:pPr>
            <w:r>
              <w:rPr>
                <w:rFonts w:ascii="Times New Roman" w:cs="Times New Roman" w:eastAsia="Times New Roman" w:hAnsi="Times New Roman"/>
                <w:sz w:val="16"/>
                <w:szCs w:val="16"/>
                <w:color w:val="auto"/>
                <w:w w:val="97"/>
              </w:rPr>
              <w:t>(3.5)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2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Current-period other comprehensive loss</w:t>
            </w: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left="1182"/>
              <w:spacing w:after="0"/>
              <w:rPr>
                <w:sz w:val="20"/>
                <w:szCs w:val="20"/>
                <w:color w:val="auto"/>
              </w:rPr>
            </w:pPr>
            <w:r>
              <w:rPr>
                <w:rFonts w:ascii="Times New Roman" w:cs="Times New Roman" w:eastAsia="Times New Roman" w:hAnsi="Times New Roman"/>
                <w:sz w:val="16"/>
                <w:szCs w:val="16"/>
                <w:color w:val="auto"/>
                <w:w w:val="97"/>
              </w:rPr>
              <w:t>(2.8)</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3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center"/>
              <w:ind w:left="1202"/>
              <w:spacing w:after="0"/>
              <w:rPr>
                <w:sz w:val="20"/>
                <w:szCs w:val="20"/>
                <w:color w:val="auto"/>
              </w:rPr>
            </w:pPr>
            <w:r>
              <w:rPr>
                <w:rFonts w:ascii="Times New Roman" w:cs="Times New Roman" w:eastAsia="Times New Roman" w:hAnsi="Times New Roman"/>
                <w:sz w:val="16"/>
                <w:szCs w:val="16"/>
                <w:color w:val="auto"/>
                <w:w w:val="99"/>
              </w:rPr>
              <w:t>2.9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ind w:left="640" w:hanging="308"/>
        <w:spacing w:after="0" w:line="222" w:lineRule="auto"/>
        <w:tabs>
          <w:tab w:leader="none" w:pos="64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$0.8 and $1.8 as of June 29, 2024 and December 31, 2023, respectively.</w:t>
      </w:r>
    </w:p>
    <w:p>
      <w:pPr>
        <w:spacing w:after="0" w:line="168" w:lineRule="exact"/>
        <w:rPr>
          <w:rFonts w:ascii="Times New Roman" w:cs="Times New Roman" w:eastAsia="Times New Roman" w:hAnsi="Times New Roman"/>
          <w:sz w:val="21"/>
          <w:szCs w:val="21"/>
          <w:color w:val="auto"/>
          <w:vertAlign w:val="superscript"/>
        </w:rPr>
      </w:pPr>
    </w:p>
    <w:p>
      <w:pPr>
        <w:ind w:left="660" w:right="120" w:hanging="328"/>
        <w:spacing w:after="0" w:line="225" w:lineRule="auto"/>
        <w:tabs>
          <w:tab w:leader="none" w:pos="64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of tax provision of $1.4 and $1.8 as of June 29, 2024 and December 31, 2023, respectively. The balances as of June 29, 2024 and December 31, 2023 include unamortized prior service credits.</w:t>
      </w:r>
    </w:p>
    <w:p>
      <w:pPr>
        <w:spacing w:after="0" w:line="163"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The following summarizes amounts reclassified from each component of AOCI for the three months ended June 28, 2025 and June 29,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3"/>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3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Pre-tax</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(2.4)</w:t>
            </w: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pension and postretirement items: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unrecognized prior service credits - Pre-</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4"/>
                <w:szCs w:val="14"/>
                <w:color w:val="auto"/>
              </w:rPr>
            </w:pPr>
          </w:p>
        </w:tc>
        <w:tc>
          <w:tcPr>
            <w:tcW w:w="1300" w:type="dxa"/>
            <w:vAlign w:val="bottom"/>
            <w:vMerge w:val="restart"/>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(0.8)</w:t>
            </w:r>
          </w:p>
        </w:tc>
        <w:tc>
          <w:tcPr>
            <w:tcW w:w="100" w:type="dxa"/>
            <w:vAlign w:val="bottom"/>
          </w:tcPr>
          <w:p>
            <w:pPr>
              <w:spacing w:after="0"/>
              <w:rPr>
                <w:sz w:val="14"/>
                <w:szCs w:val="14"/>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2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amounts reclassified from each component of AOCI for the six months ended June 28, 2025 and June 29,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3"/>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Amount Reclassified from AOCI</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3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1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qualifying cash flow hedges:</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Swaps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782"/>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(4.8)</w:t>
            </w:r>
          </w:p>
        </w:tc>
        <w:tc>
          <w:tcPr>
            <w:tcW w:w="10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Pre-tax</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782"/>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(4.8)</w:t>
            </w: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802"/>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0" w:type="dxa"/>
            <w:vAlign w:val="bottom"/>
            <w:tcBorders>
              <w:bottom w:val="single" w:sz="8" w:color="CCEEFF"/>
            </w:tcBorders>
          </w:tcPr>
          <w:p>
            <w:pPr>
              <w:spacing w:after="0"/>
              <w:rPr>
                <w:sz w:val="18"/>
                <w:szCs w:val="18"/>
                <w:color w:val="auto"/>
              </w:rPr>
            </w:pPr>
          </w:p>
        </w:tc>
        <w:tc>
          <w:tcPr>
            <w:tcW w:w="4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782"/>
              <w:spacing w:after="0"/>
              <w:rPr>
                <w:sz w:val="20"/>
                <w:szCs w:val="20"/>
                <w:color w:val="auto"/>
              </w:rPr>
            </w:pPr>
            <w:r>
              <w:rPr>
                <w:rFonts w:ascii="Times New Roman" w:cs="Times New Roman" w:eastAsia="Times New Roman" w:hAnsi="Times New Roman"/>
                <w:sz w:val="16"/>
                <w:szCs w:val="16"/>
                <w:color w:val="auto"/>
                <w:w w:val="97"/>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(3.5)</w:t>
            </w:r>
          </w:p>
        </w:tc>
        <w:tc>
          <w:tcPr>
            <w:tcW w:w="100" w:type="dxa"/>
            <w:vAlign w:val="bottom"/>
            <w:tcBorders>
              <w:bottom w:val="single" w:sz="8" w:color="CCEEFF"/>
            </w:tcBorders>
            <w:shd w:val="clear" w:color="auto" w:fill="CCEEFF"/>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Gains on pension and postretirement items: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unrecognized prior service credits - Pre-</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center"/>
              <w:ind w:left="782"/>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tcPr>
          <w:p>
            <w:pPr>
              <w:spacing w:after="0"/>
              <w:rPr>
                <w:sz w:val="14"/>
                <w:szCs w:val="14"/>
                <w:color w:val="auto"/>
              </w:rPr>
            </w:pPr>
          </w:p>
        </w:tc>
        <w:tc>
          <w:tcPr>
            <w:tcW w:w="1300" w:type="dxa"/>
            <w:vAlign w:val="bottom"/>
            <w:vMerge w:val="restart"/>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tcPr>
          <w:p>
            <w:pPr>
              <w:spacing w:after="0"/>
              <w:rPr>
                <w:sz w:val="14"/>
                <w:szCs w:val="14"/>
                <w:color w:val="auto"/>
              </w:rPr>
            </w:pP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2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802"/>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center"/>
              <w:ind w:left="782"/>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center"/>
              <w:ind w:right="110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(1.2)</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CONTINGENT LIABILITIES AND OTHER MATTERS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recorded liabilities related to these matters, primarily associated with environmental remediation matters, totaled $39.4 and $39.9 at June 28, 2025 and December 31, 2024, respectively. Of these amounts, $31.9 and $32.0 are included in “Other long-term liabilities” within our condensed consolidated balance sheets at June 28, 2025 and December 31, 2024,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Power Projects in South Africa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5, 2021, DBT received payment of $6.7 on bonds issued in support of performance by one of DBT’s subcontractors that is currently in liquidation. The subcontractor maintain rights to seek recovery of such amount and, thus, the amount received by DBT has not been reflected in our condensed consolidated statements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 for Contingent Consideration Related to ULC Acquisition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ULC in September 2020, the seller of ULC was eligible to receive additional contingent consideration of up to $45.0 under an earn-out provision. During the third quarter of 2021, we concluded that none of the milestones for the payment of any of the contingent consideration were achieved.</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20, 2024, we entered into a settlement agreement with the seller of ULC to resolve a lawsuit it commenced in August 2022 seeking contingent consideration of $15.0, prejudgment interest on that amount, and attorney's fees. The settlement agreement required a payment by us to the seller of ULC of $8.4, which was paid during the second quarter of 2024, with a corresponding charge recorded within “Other operating expense, net” within the condensed consolidated statement of operations for the three and six months ended June 29, 2024. We expect this payment to be tax deductible in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Resolution of Dispute with Former Representative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paid during the first quarter of 2024, to the former representative of $9.0 to resolve all claims related to the matter.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operations and properties are subject to federal, state, local and foreign regulatory requirements relating to environmental protection. It is our policy to comply fully with all applicable requirements. As part of our effort to comply, we</w:t>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 sites that we own or control, as of June 28, 2025 and December 31, 2024.</w:t>
      </w:r>
    </w:p>
    <w:p>
      <w:pPr>
        <w:spacing w:after="0" w:line="1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It is our policy to revise an estimate once it becomes probable and the amount of change can be reasonably estimated. We generally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case of contamination at offsite, third-party disposal sites, as of June 28, 2025 and December 31, 2024,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opinion, after considering accruals established for such purposes of $27.1 and $27.4 at June 28, 2025 and December 31, 2024, respectively, the cost of remedial actions for compliance with the present laws and regulations governing the protection of the environment are not expected to have a material impact, individually or in the aggregate, on our financial position, results of operations or cash flows. That said, we cannot provide assurance that new matters, developments, laws and regulations, or stricter interpretations of existing laws and regulations will not materially affect our business or operations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Self-Insured Risk Management Matters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loss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8" w:name="page29"/>
    <w:bookmarkEnd w:id="28"/>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INCOME AND OTHER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Benefits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28, 2025, we had gross and net unrecognized tax benefits of $3.9 (net unrecognized tax benefits of $3.8). All of these net unrecognized tax benefits would impact our effective tax rate from continuing operations if recognized.</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classify interest and penalties related to unrecognized tax benefits as a component of our income tax provision. As of June 28, 2025, gross accrued interest totaled $1.6 (net accrued interest of $1.5). As of June 28, 2025, we had no accrual for penalties included in our unrecognized tax benefits.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outcome of certain examinations or as a result of the expiration of statutes of limitations for certain jurisdictions, we believe that within the next 12 months it is reasonably possible that our previously unrecognized tax benefits could decrease by up to $2.0. The previously unrecognized tax benefits relate to a variety of tax matters including transfer pricing and various foreign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Tax Legislation</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On July 4, 2025, new legislation commonly referred to as the One Big Beautiful Bill Act (“the Act”) was signed into law in the United States and contains a broad range of tax provisions affecting businesses. We are evaluating the full impact of the Act on our estimated annual effective tax rate and balance sheet positions, but we do not expect the legislation to have a material impact on our statements of operations. As the Act was signed into law after June 28, 2025, no impacts are included in our condensed consolidated balance sheet at June 28, 2025, statement of operations for the three and six months ended June 28, 2025, or statement of cash flows for the six months ended June 28, 2025.</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2021, the OECD issued model rules for a new global minimum tax framework (“Pillar Two”), and various governments around the world have issued, or are in the process of issuing, legislation to implement these rules. We are within the scope of the OECD Pillar Two model rules and continue to assess the impact thereof. As of June 28, 2025, and December 31, 2024, we had $2.3 and $1.8, respectively, accrued related to these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 Matters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the three months ended June 28, 2025, we recorded an income tax provision of $17.4 on $69.9 of pre-tax income from continuing operations, resulting in an effective rate of 24.9%. This compares to an income tax provision for the three months ended June 29, 2024 of $15.2 on $60.4 of pre-tax income from continuing operations, resulting in an effective rate of 25.2%. The most significant item impacting the income tax provision for the second quarters of 2025 and 2024 was $0.8 and $0.5 of tax provision, respectively, related to revisions to liabilities for uncertain tax positions.</w:t>
      </w: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the six months ended June 28, 2025, we recorded an income tax provision of $23.6 on $127.8 of pre-tax income from continuing operations, resulting in an effective rate of 18.5%. This compares to an income tax provision for the six months ended June 29, 2024 of $17.1 on $111.5 of pre-tax income from continuing operations, resulting in an effective rate of 15.3%. The most significant items impacting the income tax provision during the first half of 2025 and 2024 were (i) $8.8 and $11.1, respectively, of excess tax benefits resulting from stock-based compensation awards that vested and/or were exercised during the periods and (ii) $0.8 and $0.5 of tax provision, respectively, related to revisions to liabilities for uncertain tax positions.</w:t>
      </w:r>
    </w:p>
    <w:p>
      <w:pPr>
        <w:spacing w:after="0" w:line="22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spacing w:after="0" w:line="2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 Federal income tax returns are subject to examination for a period of three years after filing the return. We are not currently under examination by the Internal Revenue Service and believe any contingencies in open years are adequately provided for.</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regularly have various foreign income tax returns under examination. We believe that any uncertain tax positions related to these examinations have been adequately provided for.</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spacing w:after="0" w:line="19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spacing w:after="0" w:line="143"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84"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during the periods presented to the valuation techniques we use to measure asset and liability fair values on a recurring or nonrecurring basis. There were no transfers between the three levels of the fair value hierarchy for the periods presented.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presents our fair value hierarchy of our financial assets measured at fair value on a recurring basis as of June 28,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gridSpan w:val="3"/>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9"/>
        </w:trPr>
        <w:tc>
          <w:tcPr>
            <w:tcW w:w="42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180" w:type="dxa"/>
            <w:vAlign w:val="bottom"/>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260" w:type="dxa"/>
            <w:vAlign w:val="bottom"/>
          </w:tcPr>
          <w:p>
            <w:pPr>
              <w:jc w:val="right"/>
              <w:ind w:right="10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security</w:t>
            </w: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39.7</w:t>
            </w: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fair value hierarchy of our financial assets measured at fair value on a recurring basis as of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40" w:type="dxa"/>
            <w:vAlign w:val="bottom"/>
            <w:gridSpan w:val="3"/>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4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180" w:type="dxa"/>
            <w:vAlign w:val="bottom"/>
          </w:tcPr>
          <w:p>
            <w:pPr>
              <w:jc w:val="right"/>
              <w:ind w:right="10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1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260" w:type="dxa"/>
            <w:vAlign w:val="bottom"/>
          </w:tcPr>
          <w:p>
            <w:pPr>
              <w:jc w:val="right"/>
              <w:ind w:right="10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security</w:t>
            </w:r>
          </w:p>
        </w:tc>
        <w:tc>
          <w:tcPr>
            <w:tcW w:w="1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r>
    </w:tbl>
    <w:p>
      <w:pPr>
        <w:spacing w:after="0" w:line="20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Indefinite-Lived Intangible and Other Long-Lived Assets </w:t>
      </w:r>
      <w:r>
        <w:rPr>
          <w:rFonts w:ascii="Times New Roman" w:cs="Times New Roman" w:eastAsia="Times New Roman" w:hAnsi="Times New Roman"/>
          <w:sz w:val="18"/>
          <w:szCs w:val="18"/>
          <w:color w:val="auto"/>
        </w:rPr>
        <w:t>— Certain of our non-financial assets are subject to impairment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impairments would result in the asset being recorded at its fair value. Based on the inputs used in the impairment analyses, these assets are classified within Level 3 of the valuation hierarchy.</w:t>
      </w:r>
    </w:p>
    <w:p>
      <w:pPr>
        <w:spacing w:after="0" w:line="1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 </w:t>
      </w:r>
      <w:r>
        <w:rPr>
          <w:rFonts w:ascii="Times New Roman" w:cs="Times New Roman" w:eastAsia="Times New Roman" w:hAnsi="Times New Roman"/>
          <w:sz w:val="18"/>
          <w:szCs w:val="18"/>
          <w:color w:val="auto"/>
        </w:rPr>
        <w:t>Our financial derivative assets and liabilities include interest rate swaps and FX forward contracts,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using valuation models based on observable market inputs such as forward rates, interest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and interest rate swap agreements, we consider the markets for our fair value instruments active. We primarily use the income approach, which uses valuation techniques to convert future amounts to a single present amount.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28, 2025,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spacing w:after="0" w:line="1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Equity Security </w:t>
      </w:r>
      <w:r>
        <w:rPr>
          <w:rFonts w:ascii="Times New Roman" w:cs="Times New Roman" w:eastAsia="Times New Roman" w:hAnsi="Times New Roman"/>
          <w:sz w:val="18"/>
          <w:szCs w:val="18"/>
          <w:color w:val="auto"/>
        </w:rPr>
        <w:t>— We estimate the fair value of an equity security that we hold utilizing a practical expedient under existing guidance, with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fair value based on our ownership percentage applied to the net asset value as provided quarterly by the investee. Based on these inputs, the equity security is classified within Level 3 of the valuation hierarchy. During the first quarter, the net asset value is updated based on the investee’s most recent audited financial statements. During the three and six months ended June 28, 2025 and June 29, 2024, we recorded a gains (losses) of $0.0 and $4.5, and $0.0 and $(4.2), respectively, to “Other income (expense), net” to reflect the change in the estimated fair value of the equity security. We are restricted from transferring this investment without approval of the manager of the investee.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activity for the equity security for the six months ended June 28, 2025:</w:t>
      </w:r>
    </w:p>
    <w:p>
      <w:pPr>
        <w:sectPr>
          <w:pgSz w:w="11900" w:h="16838" w:orient="portrait"/>
          <w:cols w:equalWidth="0" w:num="1">
            <w:col w:w="11240"/>
          </w:cols>
          <w:pgMar w:left="320" w:top="607" w:right="339" w:bottom="1440" w:gutter="0" w:footer="0" w:header="0"/>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Change in fair value of equity security</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9"/>
        </w:trPr>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0"/>
        </w:trPr>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3"/>
        </w:trPr>
        <w:tc>
          <w:tcPr>
            <w:tcW w:w="9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607" w:right="339" w:bottom="1440" w:gutter="0" w:footer="0" w:header="0"/>
          <w:type w:val="continuous"/>
        </w:sectPr>
      </w:pPr>
    </w:p>
    <w:p>
      <w:pPr>
        <w:spacing w:after="0" w:line="10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 and Other </w:t>
      </w:r>
      <w:r>
        <w:rPr>
          <w:rFonts w:ascii="Times New Roman" w:cs="Times New Roman" w:eastAsia="Times New Roman" w:hAnsi="Times New Roman"/>
          <w:sz w:val="18"/>
          <w:szCs w:val="18"/>
          <w:color w:val="auto"/>
        </w:rPr>
        <w:t>— The estimated fair value of our debt instruments as of June 28, 2025 and December 31, 2024 approximated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values due primarily to the variable market-based interest rates for such instruments. See Note 12 for further details.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(in millions)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our markets; changes in anticipated capital investment and maintenance expenditures by customers; changes in economic conditions in relevant global and North American markets, including as a result of the imposition, or threat of imposition, of tariffs, such as the significant tariffs announced by the U.S. government in 2025 and retaliatory tariffs announced in response thereto and other trade barriers or geopolitical conflicts; availability, limitations or cost increases of raw materials and/or commodities, including as a result of new or increased tariffs, as well as the potential impact of retaliatory tariffs and other penalties that cannot be recovered in product pricing; the impact of competition on profit margins and our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our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our business, including regulatory changes; uncertainties with respect to our ability to identify acceptable acquisition targets; uncertainties surrounding timing and successful completion of acquisition or disposition transactions, including with respect to integrating acquisitions and achieving cost savings, synergistic sales or other benefits from acquisitions, including from the acquisition of Sigma &amp; Omega;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the forward-looking statements are qualified in their entirety by reference to the factors discussed under the heading “Risk Factors” in our 2024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except to the extent we are legally required to update or publicly revise any forward-looking statements to reflect events or circumstances that arise after the date of this document.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TARIFFS AND OTHER COST INCREASES</w:t>
      </w:r>
    </w:p>
    <w:p>
      <w:pPr>
        <w:spacing w:after="0" w:line="2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During 2025, the U.S. government announced significant additional tariffs on goods imported to the U.S., which have subsequently been modified, including by extending the date the announced tariffs would become applicable. In response, certain governments have announced significant retaliatory tariffs on goods imported from the U.S. We continue to analyze the impact of these announced tariffs on our business. While we do not expect these new tariffs to have a direct material impact on our results of operations in fiscal year 2025, we are unable to determine the full extent or duration at this time, as well as the impact of such tariffs, if implemented on announced terms, on general economic conditions in relevant global and North American markets. We believe that our diverse set of businesses, along with our strong balance sheet and available liquidity, position us well to manage the direct adverse impacts of the announced tariffs. We have taken actions to manage near-term costs and cash flows, and implemented actions to address potential material sourcing challenges we could face over the near-term. Lastly, we will continue to assess the actual and expected impacts of the tariffs and the need for further actions.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POTENTIAL IMPACTS OF GEOPOLITICAL CONFLICTS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Ongoing geopolitical conflicts, and governmental actions implemented in response to these conflicts, did not have a significant adverse impact on our operating results during the three and six months ended June 28, 2025 and June 29, 2024. We are monitoring the availability of certain raw materials that are supplied by businesses in the countries impacted by these conflicts. However, at this time, we do not expect the potential impact to be material to our operating results. These conflicts have created additional demand for certain products within our communication technologies business. The longer-term impact of these global events on our business is currently unknown due to the uncertainty around their duration and broader impact.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SIGNIFICANT MATTERS</w:t>
      </w:r>
    </w:p>
    <w:p>
      <w:pPr>
        <w:spacing w:after="0" w:line="25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Ingénia Technologies Inc. (“Ingénia”)</w:t>
      </w:r>
    </w:p>
    <w:p>
      <w:pPr>
        <w:spacing w:after="0" w:line="27" w:lineRule="exact"/>
        <w:rPr>
          <w:rFonts w:ascii="Times New Roman" w:cs="Times New Roman" w:eastAsia="Times New Roman" w:hAnsi="Times New Roman"/>
          <w:sz w:val="18"/>
          <w:szCs w:val="18"/>
          <w:color w:val="auto"/>
        </w:rPr>
      </w:pPr>
    </w:p>
    <w:p>
      <w:pPr>
        <w:ind w:left="1960" w:hanging="332"/>
        <w:spacing w:after="0" w:line="250" w:lineRule="auto"/>
        <w:tabs>
          <w:tab w:leader="none" w:pos="195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February 7, 2024 for cash consideration of $292.0, net of (i) an adjustment to the purchase price of $2.1 received during the third quarter of 2024 related to acquired working capital and (ii) cash acquired of $1.5.</w:t>
      </w:r>
    </w:p>
    <w:p>
      <w:pPr>
        <w:ind w:left="1940" w:hanging="312"/>
        <w:spacing w:after="0"/>
        <w:tabs>
          <w:tab w:leader="none" w:pos="19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Ingénia are included within our HVAC reportable segment.</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Kranze Technology Solutions, Inc. (“KTS”)</w:t>
      </w:r>
    </w:p>
    <w:p>
      <w:pPr>
        <w:spacing w:after="0" w:line="27" w:lineRule="exact"/>
        <w:rPr>
          <w:rFonts w:ascii="Times New Roman" w:cs="Times New Roman" w:eastAsia="Times New Roman" w:hAnsi="Times New Roman"/>
          <w:sz w:val="18"/>
          <w:szCs w:val="18"/>
          <w:color w:val="auto"/>
        </w:rPr>
      </w:pPr>
    </w:p>
    <w:p>
      <w:pPr>
        <w:ind w:left="1960" w:hanging="332"/>
        <w:spacing w:after="0" w:line="250" w:lineRule="auto"/>
        <w:tabs>
          <w:tab w:leader="none" w:pos="197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January 27, 2025 for cash consideration of $342.4, inclusive of amounts related to future service obligations of certain existing employees of $46.5.</w:t>
      </w:r>
    </w:p>
    <w:p>
      <w:pPr>
        <w:ind w:left="1960" w:right="20" w:hanging="332"/>
        <w:spacing w:after="0" w:line="250" w:lineRule="auto"/>
        <w:tabs>
          <w:tab w:leader="none" w:pos="198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subject to adjustment based upon the final settlement of working capital and cash as of the date of acquisition.</w:t>
      </w:r>
    </w:p>
    <w:p>
      <w:pPr>
        <w:ind w:left="1940" w:hanging="312"/>
        <w:spacing w:after="0"/>
        <w:tabs>
          <w:tab w:leader="none" w:pos="19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KTS are included within our Detection and Measurement reportable segment.</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condensed consolidated financial statements for additional details.</w:t>
      </w:r>
    </w:p>
    <w:p>
      <w:pPr>
        <w:spacing w:after="0" w:line="2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Sigma Heating and Cooling and Omega Heat Pump (“Sigma &amp; Omega”)</w:t>
      </w:r>
    </w:p>
    <w:p>
      <w:pPr>
        <w:spacing w:after="0" w:line="2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on April 15, 2025 for cash consideration of $143.6, net of cash acquired of $0.2.</w:t>
      </w:r>
    </w:p>
    <w:p>
      <w:pPr>
        <w:spacing w:after="0" w:line="9" w:lineRule="exact"/>
        <w:rPr>
          <w:rFonts w:ascii="Times New Roman" w:cs="Times New Roman" w:eastAsia="Times New Roman" w:hAnsi="Times New Roman"/>
          <w:sz w:val="18"/>
          <w:szCs w:val="18"/>
          <w:color w:val="auto"/>
        </w:rPr>
      </w:pPr>
    </w:p>
    <w:p>
      <w:pPr>
        <w:ind w:left="1960" w:right="20" w:hanging="332"/>
        <w:spacing w:after="0" w:line="250" w:lineRule="auto"/>
        <w:tabs>
          <w:tab w:leader="none" w:pos="198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is subject to adjustment based upon the final settlement of working capital and cash as of the date of acquisition.</w:t>
      </w:r>
    </w:p>
    <w:p>
      <w:pPr>
        <w:ind w:left="1940" w:hanging="312"/>
        <w:spacing w:after="0"/>
        <w:tabs>
          <w:tab w:leader="none" w:pos="19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Post-acquisition operating results of Sigma &amp; Omega are included within our HVAC reportable segment.</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condensed consolidated financial statements for additional details.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Estimated Fair Value of an Equity Security</w:t>
      </w:r>
    </w:p>
    <w:p>
      <w:pPr>
        <w:spacing w:after="0" w:line="27" w:lineRule="exact"/>
        <w:rPr>
          <w:rFonts w:ascii="Times New Roman" w:cs="Times New Roman" w:eastAsia="Times New Roman" w:hAnsi="Times New Roman"/>
          <w:sz w:val="18"/>
          <w:szCs w:val="18"/>
          <w:color w:val="auto"/>
        </w:rPr>
      </w:pPr>
    </w:p>
    <w:p>
      <w:pPr>
        <w:ind w:left="1300" w:hanging="320"/>
        <w:spacing w:after="0" w:line="244" w:lineRule="auto"/>
        <w:tabs>
          <w:tab w:leader="none" w:pos="1289" w:val="left"/>
        </w:tabs>
        <w:numPr>
          <w:ilvl w:val="1"/>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We recorded no adjustments to the fair value during the three months ended June 28, 2025 and June 29, 2024. We recorded gains (losses) of $4.5 and $(4.2) during the six months ended June 28, 2025 and June 29, 2024, respectively.</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27"/>
        </w:numPr>
        <w:rPr>
          <w:rFonts w:ascii="Arial" w:cs="Arial" w:eastAsia="Arial" w:hAnsi="Arial"/>
          <w:sz w:val="20"/>
          <w:szCs w:val="20"/>
          <w:color w:val="auto"/>
        </w:rPr>
      </w:pPr>
      <w:r>
        <w:rPr>
          <w:rFonts w:ascii="Times New Roman" w:cs="Times New Roman" w:eastAsia="Times New Roman" w:hAnsi="Times New Roman"/>
          <w:sz w:val="18"/>
          <w:szCs w:val="18"/>
          <w:color w:val="auto"/>
        </w:rPr>
        <w:t>See Note 17 to our condensed consolidated financial statements for additional details.</w:t>
      </w:r>
    </w:p>
    <w:p>
      <w:pPr>
        <w:spacing w:after="0" w:line="224" w:lineRule="exact"/>
        <w:rPr>
          <w:rFonts w:ascii="Arial" w:cs="Arial" w:eastAsia="Arial" w:hAnsi="Arial"/>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Big Beautiful Bill Act</w:t>
      </w:r>
    </w:p>
    <w:p>
      <w:pPr>
        <w:spacing w:after="0" w:line="49" w:lineRule="exact"/>
        <w:rPr>
          <w:rFonts w:ascii="Times New Roman" w:cs="Times New Roman" w:eastAsia="Times New Roman" w:hAnsi="Times New Roman"/>
          <w:sz w:val="18"/>
          <w:szCs w:val="18"/>
          <w:color w:val="auto"/>
        </w:rPr>
      </w:pPr>
    </w:p>
    <w:p>
      <w:pPr>
        <w:jc w:val="both"/>
        <w:ind w:left="1300" w:hanging="320"/>
        <w:spacing w:after="0" w:line="238"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4, 2025, new legislation commonly referred to as the One Big Beautiful Bill Act (“the Act”) was signed into law in the United States and contains a broad range of tax provisions affecting businesses. We are evaluating the full impact of the Act on our estimated annual effective tax rate and balance sheet positions, but we do not expect the legislation to have a material impact on our statements of operations. As the Act was signed into law after June 28, 2025, no impacts are included in our condensed consolidated balance sheet at June 28, 2025, statement of operations for the three and six months ended June 28, 2025, or statement of cash flows for the six months ended June 28, 2025.</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 with Seller of ULC Robotics (“ULC”)</w:t>
      </w:r>
    </w:p>
    <w:p>
      <w:pPr>
        <w:spacing w:after="0" w:line="49" w:lineRule="exact"/>
        <w:rPr>
          <w:rFonts w:ascii="Times New Roman" w:cs="Times New Roman" w:eastAsia="Times New Roman" w:hAnsi="Times New Roman"/>
          <w:sz w:val="18"/>
          <w:szCs w:val="18"/>
          <w:color w:val="auto"/>
        </w:rPr>
      </w:pPr>
    </w:p>
    <w:p>
      <w:pPr>
        <w:ind w:left="1300" w:hanging="320"/>
        <w:spacing w:after="0" w:line="246" w:lineRule="auto"/>
        <w:tabs>
          <w:tab w:leader="none" w:pos="1296" w:val="left"/>
        </w:tabs>
        <w:numPr>
          <w:ilvl w:val="1"/>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our acquisition of ULC in September 2020, the seller of ULC was eligible for contingent consideration of up to $45.0 under an earn-out provision.</w:t>
      </w:r>
    </w:p>
    <w:p>
      <w:pPr>
        <w:ind w:left="1300" w:hanging="320"/>
        <w:spacing w:after="0" w:line="234" w:lineRule="auto"/>
        <w:tabs>
          <w:tab w:leader="none" w:pos="12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2021, we concluded that none of the milestones for the payment of any of the contingent consideration had been achieved.</w:t>
      </w:r>
    </w:p>
    <w:p>
      <w:pPr>
        <w:spacing w:after="0" w:line="1" w:lineRule="exact"/>
        <w:rPr>
          <w:rFonts w:ascii="Times New Roman" w:cs="Times New Roman" w:eastAsia="Times New Roman" w:hAnsi="Times New Roman"/>
          <w:sz w:val="18"/>
          <w:szCs w:val="18"/>
          <w:color w:val="auto"/>
        </w:rPr>
      </w:pPr>
    </w:p>
    <w:p>
      <w:pPr>
        <w:ind w:left="1300" w:hanging="320"/>
        <w:spacing w:after="0" w:line="243" w:lineRule="auto"/>
        <w:tabs>
          <w:tab w:leader="none" w:pos="13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2024, we entered into a settlement agreement with the seller of ULC to resolve a lawsuit it commenced in August 2022 seeking contingent consideration of $15.0, prejudgment interest on that amount, and attorney's fees.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3" w:name="page34"/>
    <w:bookmarkEnd w:id="33"/>
    <w:p>
      <w:pPr>
        <w:jc w:val="both"/>
        <w:ind w:left="1300" w:hanging="320"/>
        <w:spacing w:after="0" w:line="250"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agreement required a payment by us to the seller of ULC of $8.4, which was paid during the second quarter of 2024, with a corresponding charge recorded within “Other operating expense, net” within our condensed consolidated statements of operations for the three and six months ended June 29, 2024. We expect this payment to be tax deductible in future periods.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OPERATING RESULTS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Revenues for the three months ended June 28, 2025 totaled $552.4, compared to $501.3 during the respective period in 2024. The increase in revenues, compared to the respective period in 2024, was due primarily to (i) inorganic revenue growth resulting from the KTS acquisition within the Detection and Measurement reportable segment and the Sigma &amp; Omega acquisition within the HVAC reportable segment, and (ii) organic revenue growth within the Detection and Measurement reportable segment and, to a lesser extent, the HVAC reportable segment.</w:t>
      </w:r>
    </w:p>
    <w:p>
      <w:pPr>
        <w:spacing w:after="0" w:line="20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Revenues for the six months ended June 28, 2025 totaled $1,035.0, compared to $966.5 during the respective period in 2024. The increase in revenues, compared to the respective period in 2024, was due primarily to (i) inorganic revenue growth resulting from the Ingénia and Sigma &amp; Omega acquisitions within the HVAC reportable segment and the KTS acquisition within the Detection and Measurement reportable segment and (ii) organic revenue growth within the HVAC reportable segment, partially offset by an organic revenue decline within the Detection and Measurement reportable segment.</w:t>
      </w:r>
    </w:p>
    <w:p>
      <w:pPr>
        <w:spacing w:after="0" w:line="21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28, 2025, we generated operating income of $86.6 and $153.2, respectively, compared to $74.6 and $139.2 for the respective periods in 2024.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information included in this Quarterly Report on Form 10-Q should be read in conjunction with the consolidated financial statements contained in our 2024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2025 are March 29, June 28, and September 27, compared to the respective March 30, June 29, and September 28, 2024 dates. We had two less days in the first quarter of 2025 and will have one more day in the fourth quarter of 2025 than in the respective 2024 periods.</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Cyclicality of End Markets, Seasonality and Competition </w:t>
      </w:r>
      <w:r>
        <w:rPr>
          <w:rFonts w:ascii="Times New Roman" w:cs="Times New Roman" w:eastAsia="Times New Roman" w:hAnsi="Times New Roman"/>
          <w:sz w:val="18"/>
          <w:szCs w:val="18"/>
          <w:color w:val="auto"/>
        </w:rPr>
        <w:t>— The financial results of our businesses closely follow changes in the industries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spacing w:after="0" w:line="1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 for the three and six months ended June 28, 2025 and June 29,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966.5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200.8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424.8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383.7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101.2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amortization</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 charges,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 net</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from continuing operations before income</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increase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68" w:lineRule="exact"/>
        <w:rPr>
          <w:sz w:val="20"/>
          <w:szCs w:val="20"/>
          <w:color w:val="auto"/>
        </w:rPr>
      </w:pPr>
    </w:p>
    <w:p>
      <w:pPr>
        <w:ind w:left="340"/>
        <w:spacing w:after="0"/>
        <w:tabs>
          <w:tab w:leader="none" w:pos="560" w:val="left"/>
        </w:tabs>
        <w:rPr>
          <w:sz w:val="20"/>
          <w:szCs w:val="20"/>
          <w:color w:val="auto"/>
        </w:rPr>
      </w:pPr>
      <w:r>
        <w:rPr>
          <w:rFonts w:ascii="Times New Roman" w:cs="Times New Roman" w:eastAsia="Times New Roman" w:hAnsi="Times New Roman"/>
          <w:sz w:val="16"/>
          <w:szCs w:val="16"/>
          <w:color w:val="auto"/>
        </w:rPr>
        <w:t>*</w:t>
        <w:tab/>
        <w:t>Not meaningful for comparison purposes.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increase in revenues for the three months ended June 28, 2025, compared to the respective period in 2024, was due primarily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-118110</wp:posOffset>
            </wp:positionV>
            <wp:extent cx="17145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jc w:val="both"/>
        <w:ind w:firstLine="8"/>
        <w:spacing w:after="0" w:line="239" w:lineRule="auto"/>
        <w:tabs>
          <w:tab w:leader="none" w:pos="2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inorganic revenue growth resulting from the KTS acquisition within the Detection and Measurement reportable segment and the Sigma &amp; Omega acquisition within the HVAC reportable segment, and (ii) organic revenue growth within the Detection and Measurement reportable segment and, to a lesser extent, the HVAC reportable segment.</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increase in revenues for the six months ended June 28, 2025, compared to the respective period in 2024, was due primarily to (i) inorganic revenue growth resulting from the Ingénia and Sigma &amp; Omega acquisitions within the HVAC reportable segment and the KTS acquisition within the Detection and Measurement reportable segment, and (ii) organic revenue growth within the HVAC reportable segment, partially offset by an organic revenue decline within the Detection and Measurement reportable segment.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“Results of Reportable Segments” for additional details.</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and six months ended June 28, 2025, the increase in gross profit and gross profit as a percentage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respective periods in 2024, was due primarily to (i) the revenue growth mentioned above, and (ii) favorable project execution and more accretive mix, primarily within our HVAC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-398780</wp:posOffset>
            </wp:positionV>
            <wp:extent cx="19685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6850" cy="128905"/>
                    </a:xfrm>
                    <a:prstGeom prst="rect">
                      <a:avLst/>
                    </a:prstGeom>
                    <a:noFill/>
                  </pic:spPr>
                </pic:pic>
              </a:graphicData>
            </a:graphic>
          </wp:anchor>
        </w:drawing>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(“SG&amp;A”)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June 28, 2025, the increase in SG&amp;A expense,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respective period in 2024, was due primarily to (i) higher acquisition and integration-related costs of $5.7, (ii) incremental SG&amp;A resulting from the acquisitions of KTS and Sigma &amp; Omega of $2.6, (iii) increases in personnel costs due to annual merit increases and growth-related headcount additions, and (iv) higher costs relating to lease renewals.</w:t>
      </w:r>
    </w:p>
    <w:p>
      <w:pPr>
        <w:spacing w:after="0" w:line="20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the six months ended June 28, 2025, the increase in SG&amp;A expense, compared to the respective period in 2024, was due primarily to (i) higher acquisition and integration-related costs of $9.9, (ii) incremental SG&amp;A resulting from the acquisitions of Ingénia, KTS and Sigma &amp; Omega of $4.1, (iii) increases in personnel costs due to annual merit increases and growth-related headcount additions, and (iv) higher costs relating to lease renewals.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5" w:name="page36"/>
    <w:bookmarkEnd w:id="35"/>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Intangible Amortiz</w:t>
      </w:r>
      <w:r>
        <w:rPr>
          <w:rFonts w:ascii="Times New Roman" w:cs="Times New Roman" w:eastAsia="Times New Roman" w:hAnsi="Times New Roman"/>
          <w:sz w:val="18"/>
          <w:szCs w:val="18"/>
          <w:i w:val="1"/>
          <w:iCs w:val="1"/>
          <w:u w:val="single" w:color="auto"/>
          <w:color w:val="auto"/>
          <w:highlight w:val="white"/>
        </w:rPr>
        <w: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highlight w:val="white"/>
        </w:rPr>
        <w:t>— For the three an</w:t>
      </w:r>
      <w:r>
        <w:rPr>
          <w:rFonts w:ascii="Times New Roman" w:cs="Times New Roman" w:eastAsia="Times New Roman" w:hAnsi="Times New Roman"/>
          <w:sz w:val="18"/>
          <w:szCs w:val="18"/>
          <w:color w:val="auto"/>
        </w:rPr>
        <w:t>d six months ended June 28, 2025, the increase in intangible asset amortization,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periods in 2024, was primarily related to incremental amortization associated with (i) backlog from the KTS and Sigma &amp; Omega acquisitions and (ii) other intangible assets associated with the acquisitions of Ingénia, KTS and Sigma &amp; Omega.</w:t>
      </w:r>
    </w:p>
    <w:p>
      <w:pPr>
        <w:spacing w:after="0" w:line="20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Special Charges,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Special charges, net, for the six months ended June 28, 2025 and the three and six months ended June 29, 2024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recording, and subsequent adjustments of, severance costs associated with restructuring actions at businesses within our HVAC and Detection and Measurement reportable segments. See Note 7 to our condensed consolidated financial statements for additional details.</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Other Operating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operating expense, net for the three and six months ended June 29, 2024 related to a charge of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a settlement with the seller of ULC referred to previously.</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expense, net, for the three months ended June 28, 2025 was composed primarily of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losses of $0.9, pension and postretirement expense of $0.6, and environmental remediation charges of $0.6.</w:t>
      </w:r>
    </w:p>
    <w:p>
      <w:pPr>
        <w:spacing w:after="0" w:line="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Other expense, net, for the three months ended June 29, 2024 was composed primarily of environmental remediation charges of $1.0, pension and postretirement expense of $0.4, and foreign currency transaction losses of $0.4.</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Other income, net, for the six months ended June 28, 2025 was composed primarily of a gain of $4.5 related to a change in the estimated fair value of an equity security that we hold and income of $1.7 derived from company-owned life insurance (“COLI”) policies, partially offset by pension and postretirement expense of $2.0 (including net settlement and actuarial losses of $0.8), environmental remediation charges of $1.8, and foreign currency transaction losses of $1.4.</w:t>
      </w:r>
    </w:p>
    <w:p>
      <w:pPr>
        <w:spacing w:after="0" w:line="20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expense, net, for the six months ended June 29, 2024 was composed primarily of a loss of $4.2 related to a change in the estimated fair value of an equity security that we hold, environmental remediation charges of $1.8, and pension and postretirement expense of $0.8, partially offset by income of $0.9 derived from COLI polices.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Interest Expense, net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Interest expense, net, includes both interest expense and interest income. The increase in interest expense, net,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June 28, 2025, compared to the respective periods in 2024, was due primarily to higher average debt balances during the 2025 periods. The higher average debt balances primarily resulted from borrowings associated with the Ingénia, KTS, and Sigma &amp; Omega acquisitions. Refer to Note 12 to the condensed consolidated financial statements for additional details.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Income Tax Provision</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For the three months ended June 28, 2025, we recorded an income tax provision of $17.4 on $69.9 of pre-tax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continuing operations, resulting in an effective rate of 24.9%. This compares to an income tax provision for the three months ended June 29, 2024 of $15.2 on $60.4 of pre-tax income from continuing operations, resulting in an effective rate of 25.2%. The most significant item impacting the income tax provision for the second quarters of 2025 and 2024 was $0.8 and $0.5 of tax provision, respectively, related to revisions to liabilities for uncertain tax positions.</w:t>
      </w:r>
    </w:p>
    <w:p>
      <w:pPr>
        <w:spacing w:after="0" w:line="21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June 28, 2025, we recorded an income tax provision of $23.6 on $127.8 of pre-tax income from continuing operations, resulting in effective rate of 18.5%. This compares to an income tax provision for the six months ended June 29, 2024 of $17.1 on $111.5 of pre-tax income from continuing operations, resulting in an effective rate of 15.3%. The most significant items impacting the income tax provision during the first half of 2025 and 2024 were (i) $8.8 and $11.1, respectively, of excess tax benefits resulting from stock-based compensation awards that vested and/or were exercised during the periods and (ii) $0.8 and $0.5 of tax provision, respectively, related to revisions to liabilities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REPORTABLE SEGMENTS AND CORPORATE EXPENSE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condensed consolidated financial statements and related notes. These results exclude the operating results of discontinued operations for all periods presented. See Note 6 to our condensed consolidated financial statements for a description of our reportable segments.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HVAC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Pr>
          <w:p>
            <w:pPr>
              <w:spacing w:after="0"/>
              <w:rPr>
                <w:sz w:val="16"/>
                <w:szCs w:val="16"/>
                <w:color w:val="auto"/>
              </w:rPr>
            </w:pPr>
          </w:p>
        </w:tc>
      </w:tr>
      <w:tr>
        <w:trPr>
          <w:trHeight w:val="23"/>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376.7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658.9</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180" w:type="dxa"/>
            <w:vAlign w:val="bottom"/>
          </w:tcPr>
          <w:p>
            <w:pPr>
              <w:spacing w:after="0"/>
              <w:rPr>
                <w:sz w:val="18"/>
                <w:szCs w:val="18"/>
                <w:color w:val="auto"/>
              </w:rPr>
            </w:pPr>
          </w:p>
        </w:tc>
        <w:tc>
          <w:tcPr>
            <w:tcW w:w="11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4"/>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bl>
    <w:p>
      <w:pPr>
        <w:spacing w:after="0" w:line="24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June 28, 2025, the increase in revenues, compared to the respective period in 2024, was due primarily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inorganic revenue growth from the Sigma &amp; Omega acquisition and, to a lesser extent, organic revenue growth. The organic revenue growth was due primarily to higher volumes of both heating and cooling products, partially offset by the execution of a larger than typical service project within our cooling products business in the second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-512445</wp:posOffset>
            </wp:positionV>
            <wp:extent cx="14541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the six months ended June 28, 2025, the increase in revenues, compared to the respective period in 2024, was due primarily to inorganic revenue growth resulting from the Ingénia and Sigma &amp; Omega acquisitions and, to a lesser extent, organic revenue growth. The organic revenue growth was due primarily to higher volumes of both heating and cooling products. This net volume increase included the impact of (i) higher volumes of heating products associated with the unseasonably warm winter conditions prevalent in the relevant end markets during the first quarter of 2024 and (ii) the execution of a larger than typical service project within our cooling products business in the second quarter of 2024.</w:t>
      </w:r>
    </w:p>
    <w:p>
      <w:pPr>
        <w:spacing w:after="0" w:line="21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and six months ended June 28, 2025, the increase in income and margin, compared to the respective periods in 2024,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primarily to the higher volumes mentioned above with a more accretive mix and favorable project execution primarily within our cooling products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-398780</wp:posOffset>
            </wp:positionV>
            <wp:extent cx="17145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28905"/>
                    </a:xfrm>
                    <a:prstGeom prst="rect">
                      <a:avLst/>
                    </a:prstGeom>
                    <a:noFill/>
                  </pic:spPr>
                </pic:pic>
              </a:graphicData>
            </a:graphic>
          </wp:anchor>
        </w:drawing>
      </w:r>
    </w:p>
    <w:p>
      <w:pPr>
        <w:spacing w:after="0" w:line="19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segment had backlog of $539.5 and $433.7 as of June 28, 2025 and June 29, 2024, respectively. Backlog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Sigma &amp; Omega acquisition totaled $57.3 as of June 28,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Detection and Measurement Reportable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6"/>
                <w:szCs w:val="16"/>
                <w:color w:val="auto"/>
              </w:rPr>
            </w:pPr>
          </w:p>
        </w:tc>
      </w:tr>
      <w:tr>
        <w:trPr>
          <w:trHeight w:val="2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Income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Components of revenue increase: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Organic</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4"/>
        </w:trPr>
        <w:tc>
          <w:tcPr>
            <w:tcW w:w="3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revenue increase</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bl>
    <w:p>
      <w:pPr>
        <w:spacing w:after="0" w:line="24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i w:val="1"/>
          <w:iCs w:val="1"/>
          <w:u w:val="single" w:color="auto"/>
          <w:color w:val="auto"/>
        </w:rPr>
        <w:t>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June 28, 2025, the increase in revenues, compared to the respective period in 2024, was due to inorganic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growth resulting from the KTS acquisition and, to a lesser extent, organic revenue growth. The organic revenue growth was driven by higher project volumes within our communication technologies and transportation systems businesses. These increases were partially offset by lower project volumes within our aids to navigation business. Project volumes, primarily within our communication technologies, aids to navigation, and transportation systems businesses, can vary from period to period based on the timing of project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-640715</wp:posOffset>
            </wp:positionV>
            <wp:extent cx="14541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the six months ended June 28, 2025, the increase in revenues, compared to the respective period in 2024, was due primarily to inorganic revenue growth resulting from the KTS acquisition, partially offset by an organic revenue decline. The organic revenue decline was due primarily to lower project volumes within our aids to navigation business. This decline was partially offset by higher project volumes primarily within our communication technologies and transportation systems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37" w:name="page38"/>
    <w:bookmarkEnd w:id="3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businesses. Project volumes, primarily within our communication technologies, aids to navigation, and transportation systems businesses, can vary from period to period based on the timing of project execution.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For the three months ended June 28, 2025, the increase in income, compared to the respective period in 2024, was due primarily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growth mentioned above. The decrease in margin for the three months ended June 28, 2025, compared to the respective period in 2024, was primarily due to less favorable project mix within our transportation systems, communications technologies, and aids to navigation businesses.</w:t>
      </w:r>
    </w:p>
    <w:p>
      <w:pPr>
        <w:spacing w:after="0" w:line="20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For the six months ended June 28, 2025, the increase in income and margin, compared to the respective periods in 2024, was due primarily to (i) income resulting from the KTS acquisition and (ii) higher volumes and more favorable product mix from large projects primarily within our communication technologies business. These increases were partially offset by the impact of the lower project volumes within our aids to navigation business mentioned above.</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Backlog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segment had backlog of $365.4 and $205.4 as of June 28, 2025 and June 29, 2024, respectively. Backlog associated with the KTS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totaled $52.0 as of June 28,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6"/>
                <w:szCs w:val="16"/>
                <w:color w:val="auto"/>
              </w:rPr>
            </w:pPr>
          </w:p>
        </w:tc>
      </w:tr>
      <w:tr>
        <w:trPr>
          <w:trHeight w:val="2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3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9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02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consolidated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552.4</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501.3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966.5</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expense</w:t>
            </w: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of revenues</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0"/>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1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Corporate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expense generally relates to the personnel and general operating costs of our corporate headquarters in Charlotte,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 Carolina. The increase in corporate expense during the three months ended June 28, 2025, compared to the respective period in 2024, was due primarily to higher expense related to acquisition and integration-related costs of $0.7 largely driven by the Sigma &amp; Omega acquisition.</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increase in corporate expense during the six months ended June 28, 2025, compared to the respective period in 2024, was due primarily to higher expense related to (i) an increase in costs incurred for professional services and (ii) acquisition and integration-related costs of $0.5 largely driven by the KTS and Sigma &amp; Omega acquisitions in 2025, partially offset by expense incurred for the Ingénia acquisition in 2024.</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Long-Term Incentive Compensation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Long-term incentive compensation expense represents our consolidated expense, which 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for segment reporting purposes. The increase in long-term incentive compensation expense in 2025, compared to 2024, was due primarily to (i) an increase in the fair value of performance-based share awards resulting from plan design changes affected beginning in 2024, which increased the maximum potential payout range from 150% to 200% of target, and (ii) the accumulation of awards related to recent changes in certain key management positions.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Listed below are the cash flows from (used in) operating, investing, and financing activities and discontinued operations, as well as the net change in cash and equivalents for the six months ended June 28, 2025 and June 29,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4"/>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4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discontinued operations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and equivalents due to changes in foreign currency exchange rates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5"/>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cash and equivalents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Cash flows from operating activities associated with continuing operations totaled $33.0 for the six months ended June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cash flows from operating activities of $69.4 during the six months ended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8" w:name="page39"/>
    <w:bookmarkEnd w:id="38"/>
    <w:p>
      <w:pPr>
        <w:jc w:val="both"/>
        <w:spacing w:after="0"/>
        <w:rPr>
          <w:sz w:val="20"/>
          <w:szCs w:val="20"/>
          <w:color w:val="auto"/>
        </w:rPr>
      </w:pPr>
      <w:r>
        <w:rPr>
          <w:rFonts w:ascii="Times New Roman" w:cs="Times New Roman" w:eastAsia="Times New Roman" w:hAnsi="Times New Roman"/>
          <w:sz w:val="18"/>
          <w:szCs w:val="18"/>
          <w:color w:val="auto"/>
        </w:rPr>
        <w:t>June 29, 2024. The decrease in cash flows from operating activities for the six months ended June 28, 2025, compared to the six months ended June 29, 2024, was due primarily to (i) amounts paid into an escrow account in connection with the KTS acquisition related to future service obligations of certain employees of $46.5 and (ii) investments in working capital in support of increased backlog within our HVAC and Detection and Measurement reportable segments, partially offset by (i) the increase in income, exclusive of the non-cash expenses incurred during the 2025 period, (ii) a payment, during the first quarter of 2024, related to the resolution of a dispute with a former representative at one of our businesses within the Detection and Measurement reportable segment of $9.0, and (iii) a payment of $8.4 during the second quarter of 2024 associated with a settlement with the seller of ULC for additional contingent consideration, as discussed above.</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used in investing activities of continuing operations for the six months ended June 28, 2025 were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net cash utilized in acquisitions, including KTS and Sigma &amp; Omega, of $447.7 and capital expenditures of $13.2, partially offset by net proceeds from COLI policies of $3.1.</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of continuing operations for the six months ended June 29, 2024 were comprised of net cash utilized in the acquisition of Ingénia of $294.1 and capital expenditures of $20.3, partially offset by net proceeds from COLI policies of $42.9, inclusive of borrowings of $41.2 against the cash surrender value of these COLI policies. See Note 12 to the condensed consolidated financial statements for additional details.</w:t>
      </w:r>
    </w:p>
    <w:p>
      <w:pPr>
        <w:spacing w:after="0" w:line="20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from financing activities of continuing operations for the six months ended June 28, 2025 were comprised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net borrowings under the Credit Agreement and trade receivables financing arrangement of $373.2 and $31.0, respectively, primarily in connection with the KTS and Sigma &amp; Omega acquisitions. These net borrowings were partially offset by minimum tax withholdings paid on behalf of employees related to long-term incentive awards, net of proceeds from options exercised, of $9.1.</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flows from financing activities of continuing operations for the six months ended June 29, 2024 were comprised of net borrowings under the Credit Agreement and trade receivables financing arrangement of $193.2 and $39.0, respectively, primarily in connection with the Ingénia acquisition. These net borrowings were partially offset by minimum tax withholdings paid on behalf of employees related to long-term incentive awards, net of proceeds from options exercised, of $0.9, and net repayments under our other various debt instruments of $0.8.</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Discontinued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flows used in discontinued operations for the six months ended June 28, 2025 relate primarily to disbursements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costs incurred to support our wound-down DBT Technologies (PTY) LTD (“DBT”) subsidiary through processes associated with the liquidation of a subcontractor.</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flows used in discontinued operations for the six months ended June 29, 2024 relate primarily to disbursements for liabilities retained in connection with previous dispositions.</w:t>
      </w:r>
    </w:p>
    <w:p>
      <w:pPr>
        <w:spacing w:after="0" w:line="18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Change in Cash and Equivalents due to Changes in Foreign Currency Exchange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Changes in foreign currency exchange rates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significant impact on our cash and equivalents during the first six months of 2025 and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 and Availability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following summarizes our debt activity (both current and non-current) for the six months ended June 28,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6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0" w:type="dxa"/>
            <w:vAlign w:val="bottom"/>
          </w:tcPr>
          <w:p>
            <w:pPr>
              <w:spacing w:after="0"/>
              <w:rPr>
                <w:sz w:val="1"/>
                <w:szCs w:val="1"/>
                <w:color w:val="auto"/>
              </w:rPr>
            </w:pPr>
          </w:p>
        </w:tc>
      </w:tr>
      <w:tr>
        <w:trPr>
          <w:trHeight w:val="200"/>
        </w:trPr>
        <w:tc>
          <w:tcPr>
            <w:tcW w:w="48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Revolving loans</w:t>
            </w:r>
            <w:r>
              <w:rPr>
                <w:rFonts w:ascii="Times New Roman" w:cs="Times New Roman" w:eastAsia="Times New Roman" w:hAnsi="Times New Roman"/>
                <w:sz w:val="21"/>
                <w:szCs w:val="21"/>
                <w:color w:val="auto"/>
                <w:vertAlign w:val="superscript"/>
              </w:rPr>
              <w:t>(1)</w:t>
            </w:r>
          </w:p>
        </w:tc>
        <w:tc>
          <w:tcPr>
            <w:tcW w:w="76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loans</w:t>
            </w:r>
            <w:r>
              <w:rPr>
                <w:rFonts w:ascii="Times New Roman" w:cs="Times New Roman" w:eastAsia="Times New Roman" w:hAnsi="Times New Roman"/>
                <w:sz w:val="21"/>
                <w:szCs w:val="21"/>
                <w:color w:val="auto"/>
                <w:vertAlign w:val="superscript"/>
              </w:rPr>
              <w:t>(2)</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516.8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Trade receivables financing arrangement</w:t>
            </w:r>
            <w:r>
              <w:rPr>
                <w:rFonts w:ascii="Times New Roman" w:cs="Times New Roman" w:eastAsia="Times New Roman" w:hAnsi="Times New Roman"/>
                <w:sz w:val="21"/>
                <w:szCs w:val="21"/>
                <w:color w:val="auto"/>
                <w:vertAlign w:val="superscript"/>
              </w:rPr>
              <w:t>(3)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indebtedness</w:t>
            </w:r>
            <w:r>
              <w:rPr>
                <w:rFonts w:ascii="Times New Roman" w:cs="Times New Roman" w:eastAsia="Times New Roman" w:hAnsi="Times New Roman"/>
                <w:sz w:val="21"/>
                <w:szCs w:val="21"/>
                <w:color w:val="auto"/>
                <w:vertAlign w:val="superscript"/>
              </w:rPr>
              <w:t>(4)</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8"/>
        </w:trPr>
        <w:tc>
          <w:tcPr>
            <w:tcW w:w="4860" w:type="dxa"/>
            <w:vAlign w:val="bottom"/>
            <w:tcBorders>
              <w:top w:val="single" w:sz="8" w:color="CCEEFF"/>
              <w:bottom w:val="single" w:sz="8" w:color="CCEEFF"/>
            </w:tcBorders>
            <w:shd w:val="clear" w:color="auto" w:fill="CCEEFF"/>
          </w:tcPr>
          <w:p>
            <w:pPr>
              <w:ind w:left="140"/>
              <w:spacing w:after="0" w:line="183" w:lineRule="exact"/>
              <w:rPr>
                <w:sz w:val="20"/>
                <w:szCs w:val="20"/>
                <w:color w:val="auto"/>
              </w:rPr>
            </w:pPr>
            <w:r>
              <w:rPr>
                <w:rFonts w:ascii="Times New Roman" w:cs="Times New Roman" w:eastAsia="Times New Roman" w:hAnsi="Times New Roman"/>
                <w:sz w:val="16"/>
                <w:szCs w:val="16"/>
                <w:color w:val="auto"/>
              </w:rPr>
              <w:t>Total debt</w:t>
            </w:r>
          </w:p>
        </w:tc>
        <w:tc>
          <w:tcPr>
            <w:tcW w:w="76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4"/>
              </w:rPr>
              <w:t>614.7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657.6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(253.2)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42"/>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1,019.3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Less: short-term debt</w:t>
            </w:r>
          </w:p>
        </w:tc>
        <w:tc>
          <w:tcPr>
            <w:tcW w:w="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line="20" w:lineRule="exact"/>
              <w:rPr>
                <w:sz w:val="1"/>
                <w:szCs w:val="1"/>
                <w:color w:val="auto"/>
              </w:rPr>
            </w:pPr>
          </w:p>
        </w:tc>
      </w:tr>
      <w:tr>
        <w:trPr>
          <w:trHeight w:val="160"/>
        </w:trPr>
        <w:tc>
          <w:tcPr>
            <w:tcW w:w="48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0"/>
        </w:trPr>
        <w:tc>
          <w:tcPr>
            <w:tcW w:w="4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 net</w:t>
            </w:r>
          </w:p>
        </w:tc>
        <w:tc>
          <w:tcPr>
            <w:tcW w:w="7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577.0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950.3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4" w:lineRule="exact"/>
        <w:rPr>
          <w:sz w:val="20"/>
          <w:szCs w:val="20"/>
          <w:color w:val="auto"/>
        </w:rPr>
      </w:pPr>
    </w:p>
    <w:p>
      <w:pPr>
        <w:ind w:left="660" w:hanging="328"/>
        <w:spacing w:after="0" w:line="225" w:lineRule="auto"/>
        <w:tabs>
          <w:tab w:leader="none" w:pos="64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revolving credit facility extends through August 2027 under the terms of our senior credit agreement and is primarily used to provide liquidity for funding acquisitions, including related fees and expenses, and was utilized as a funding mechanism for the KTS and Sigma &amp; Omega acquisitions.</w:t>
      </w:r>
    </w:p>
    <w:p>
      <w:pPr>
        <w:spacing w:after="0" w:line="154" w:lineRule="exact"/>
        <w:rPr>
          <w:rFonts w:ascii="Times New Roman" w:cs="Times New Roman" w:eastAsia="Times New Roman" w:hAnsi="Times New Roman"/>
          <w:sz w:val="21"/>
          <w:szCs w:val="21"/>
          <w:color w:val="auto"/>
          <w:vertAlign w:val="superscript"/>
        </w:rPr>
      </w:pPr>
    </w:p>
    <w:p>
      <w:pPr>
        <w:jc w:val="both"/>
        <w:ind w:left="660" w:hanging="328"/>
        <w:spacing w:after="0" w:line="226" w:lineRule="auto"/>
        <w:tabs>
          <w:tab w:leader="none" w:pos="64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term loans are repayable in quarterly installments equal to 1.25% of the initial term loan balances of $545.0, in all quarters of 2025 and 2026, and the first two quarters of 2027. The remaining balances are payable in full on August 12, 2027. Balances are net of unamortized debt issuance costs of $1.0 and $1.2 at June 28, 2025 and December 31, 2024, respectively.</w:t>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39" w:name="page40"/>
    <w:bookmarkEnd w:id="39"/>
    <w:p>
      <w:pPr>
        <w:jc w:val="both"/>
        <w:ind w:left="660" w:hanging="328"/>
        <w:spacing w:after="0" w:line="231" w:lineRule="auto"/>
        <w:tabs>
          <w:tab w:leader="none" w:pos="64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this arrangement, we can borrow, on a continuous basis, up to $100.0, as available. Borrowings under this arrangement are collateralized by eligible trade receivables of certain of our businesses. At June 28, 2025, we had $49.1 of available borrowing capacity under this facility after giving effect to outstanding borrowings of $40.0.</w:t>
      </w:r>
    </w:p>
    <w:p>
      <w:pPr>
        <w:spacing w:after="0" w:line="169" w:lineRule="exact"/>
        <w:rPr>
          <w:rFonts w:ascii="Times New Roman" w:cs="Times New Roman" w:eastAsia="Times New Roman" w:hAnsi="Times New Roman"/>
          <w:sz w:val="21"/>
          <w:szCs w:val="21"/>
          <w:color w:val="auto"/>
          <w:vertAlign w:val="superscript"/>
        </w:rPr>
      </w:pPr>
    </w:p>
    <w:p>
      <w:pPr>
        <w:jc w:val="both"/>
        <w:ind w:left="660" w:hanging="328"/>
        <w:spacing w:after="0" w:line="239" w:lineRule="auto"/>
        <w:tabs>
          <w:tab w:leader="none" w:pos="64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includes balances under a purchase card program of $1.4 and $1.1 and finance lease obligations of $1.1 and $1.2 at June 28, 2025 and December 31, 2024,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spacing w:after="0" w:line="137"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the impact of amortization of debt issuance costs associated with the term loans.</w:t>
      </w:r>
    </w:p>
    <w:p>
      <w:pPr>
        <w:spacing w:after="0" w:line="136" w:lineRule="exact"/>
        <w:rPr>
          <w:rFonts w:ascii="Times New Roman" w:cs="Times New Roman" w:eastAsia="Times New Roman" w:hAnsi="Times New Roman"/>
          <w:sz w:val="21"/>
          <w:szCs w:val="21"/>
          <w:color w:val="auto"/>
          <w:vertAlign w:val="superscript"/>
        </w:rPr>
      </w:pPr>
    </w:p>
    <w:p>
      <w:pPr>
        <w:ind w:left="6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At June 28, 2025, we were in compliance with all covenants of the senior credit agreement.</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we renewed our trade receivables financing agreement for the next 12 months, whereby we can borrow, on a continuous basis, up to $100.0, as available.</w:t>
      </w:r>
    </w:p>
    <w:p>
      <w:pPr>
        <w:spacing w:after="0" w:line="13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At June 28, 2025, we had $529.0 of available borrowing capacity under our revolving credit facilities, after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domestic revolving loan facility of $460.0 and $11.0 reserved for outstanding letters of credit. In addition, at June 28, 2025, we had $11.9 of available issuance capacity under our foreign credit instrument facilities after giving effect to $13.1 reserved for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-424815</wp:posOffset>
            </wp:positionV>
            <wp:extent cx="136271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62710" cy="128905"/>
                    </a:xfrm>
                    <a:prstGeom prst="rect">
                      <a:avLst/>
                    </a:prstGeom>
                    <a:noFill/>
                  </pic:spPr>
                </pic:pic>
              </a:graphicData>
            </a:graphic>
          </wp:anchor>
        </w:drawing>
      </w:r>
    </w:p>
    <w:p>
      <w:pPr>
        <w:spacing w:after="0" w:line="11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Financing instruments may be used from time to time including, 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investments in COLI policies, which are recorded at their net cash surrender value of $36.2 at June 28, 2025 and December 31, 2024. We have the ability to borrow against a portion of our investment in the COLI policies as an additional source of liquidity. The amounts borrowed totaled $39.0 at June 28, 2025 and December 31, 2024 and incur interest at a rate of 5.3%. After such borrowings, minimal capacity to borrow against the policies remains. See Note 12 to the condensed consolidated financial statements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of cash and equivalents, trade accounts receivable, cash surrender values of COLI policies, and interest rate swap and foreign currency forward contracts. These financial instruments, other than trade accounts receivable, are placed with high-quality financial institutions. We periodically evaluate the credit standing of these financial institutions.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maintain cash levels in bank accounts that, at times, may exceed federally-insured limits. We have not experienced, and believe we are not exposed to, significant risk of loss in these accounts.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Contractual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than the borrowings under our revolving loan facility in connection with the KTS and Sigma &amp; Omega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discussed above, there have been no material changes in the amounts of our contractual obligations from those disclosed in our 2024 Annual Report on Form 10-K. Our total net liabilities for unrecognized tax benefits including interest were $5.3 as of June 28, 2025. Based on the outcome of certain examinations or as a result of the expiration of statutes of limitations for certain jurisdictions, we believe that within the next 12 months it is reasonably possible that our previously unrecognized tax benefits could decrease by up to $2.0.</w:t>
      </w:r>
    </w:p>
    <w:p>
      <w:pPr>
        <w:spacing w:after="0" w:line="14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Contingencies and Other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Numerous claims, complaints and proceedings arising in the ordinary course of business have been asserted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are pending against us or certain of our subsidiaries (collectively, “claims”). These claims relate to litigation matters (e.g., contracts, intellectual property, and competitive claims), environmental matters, claims for contingent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condensed consolidated financial statements for a further discussion of contingencies and other matters.</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you should read “Management’s Discussion and Analysis of Financial Condition and Results of Operations — Other Matters” herein, and “Risk Factors” in our 2024 Annual Report on Form 10-K, as well as similar sections in any future filings for an understanding of the risks, uncertainties, and trends facing our businesses.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63">
        <w:r>
          <w:rPr>
            <w:rFonts w:ascii="Times New Roman" w:cs="Times New Roman" w:eastAsia="Times New Roman" w:hAnsi="Times New Roman"/>
            <w:sz w:val="18"/>
            <w:szCs w:val="18"/>
            <w:u w:val="single" w:color="auto"/>
            <w:color w:val="0000FF"/>
          </w:rPr>
          <w:t>2024 Annual Report on Form 10-K</w:t>
        </w:r>
      </w:hyperlink>
      <w:r>
        <w:rPr>
          <w:rFonts w:ascii="Times New Roman" w:cs="Times New Roman" w:eastAsia="Times New Roman" w:hAnsi="Times New Roman"/>
          <w:sz w:val="18"/>
          <w:szCs w:val="18"/>
          <w:color w:val="auto"/>
        </w:rPr>
        <w:t>, the discussion within which is incorporated herein by reference. We have affected no material change in either our critical accounting policies or use of estimates since the filing of our 2024 Annual Report on Form 10-K.</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Management does not believe our exposure to market risk has significantly changed since December 31, 2024 and does not believe that such risks will result in significant adverse impacts to our financial condition, results of operations or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SPX management, including the Chief Executive Officer and Chief Financial Officer, conducted an evaluation of the effectiveness of disclosure controls and procedures, pursuant to Exchange Act Rule 13a-15(b), as of June 28, 2025. Based on that evaluation, the Chief Executive Officer and Chief Financial Officer concluded that our disclosure controls and procedures were effective as of June 28,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evaluation by SPX management, including the Chief Executive Officer and the Chief Financial Officer, of our internal control over financial reporting, pursuant to Exchange Act Rule 13a-15(d), no changes during the quarter ended June 28, 2025 were identified that have materially affected, or are reasonably likely to materially affect, our internal control over financial reporting.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from the footnotes to the condensed consolidated financial statements, specifically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included under Part I of this Form 10-Q.</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other information set forth in this report, you should carefully consider the factors discussed in Part I, “Item 1A. Risk Factors” in our </w:t>
      </w:r>
      <w:hyperlink r:id="rId63">
        <w:r>
          <w:rPr>
            <w:rFonts w:ascii="Times New Roman" w:cs="Times New Roman" w:eastAsia="Times New Roman" w:hAnsi="Times New Roman"/>
            <w:sz w:val="18"/>
            <w:szCs w:val="18"/>
            <w:u w:val="single" w:color="auto"/>
            <w:color w:val="0000FF"/>
          </w:rPr>
          <w:t>2024 Annual Report on Form 10-K</w:t>
        </w:r>
      </w:hyperlink>
      <w:r>
        <w:rPr>
          <w:rFonts w:ascii="Times New Roman" w:cs="Times New Roman" w:eastAsia="Times New Roman" w:hAnsi="Times New Roman"/>
          <w:sz w:val="18"/>
          <w:szCs w:val="18"/>
          <w:color w:val="auto"/>
        </w:rPr>
        <w:t>, which could materially affect our business, financial condition or future results. Other than as noted below, there have been no material changes to our risk factors as previously disclosed in our 2024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economic conditions could negatively impact our businesses.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Poor macroeconomic conditions could negatively impact our businesses by adversely affecting, among other things, our:</w:t>
      </w:r>
    </w:p>
    <w:p>
      <w:pPr>
        <w:spacing w:after="0" w:line="26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Revenues;</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Margins;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Profits;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Cash flows;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Customers’ orders, including order cancellation activity or delays on new or existing orders;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Customers’ ability to access credit;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Customers’ ability to pay amounts due to us; and</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Suppliers’ and distributors’ ability to perform and the availability and costs of materials and subcontracted services.</w:t>
      </w:r>
    </w:p>
    <w:p>
      <w:pPr>
        <w:spacing w:after="0" w:line="22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results of operations and prospects could be negatively impacted by downturns in economic conditions in relevant global and North American markets, including as a result of the imposition, or threat of imposition, of tariffs and other trade barriers, such as the significant tariffs announced by the U.S. government in 2025, and retaliatory tariffs announced in response thereto. In addition, economic instabilities resulting from geopolitical activities, including instabilities associated with armed conflicts, and the imposition of governmental sanctions in response thereto, and any conflict or threat of conflict that may affect nations relevant to our business or the businesses of our customers and vendors, could negatively impact our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director or officer of SPX adopted, modified or terminated a “Rule 10b5-1 trading arrangement” or adopted, modified, or terminated a “non-Rule 10b5-1 trading arrangement” (as such terms are defined in Item 408 of Regulation S-K) during the three months ended June 28, 2025.</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6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660" w:type="dxa"/>
            <w:vAlign w:val="bottom"/>
            <w:gridSpan w:val="2"/>
          </w:tcPr>
          <w:p>
            <w:pPr>
              <w:spacing w:after="0"/>
              <w:rPr>
                <w:sz w:val="22"/>
                <w:szCs w:val="22"/>
                <w:color w:val="auto"/>
              </w:rPr>
            </w:pPr>
          </w:p>
        </w:tc>
      </w:tr>
      <w:tr>
        <w:trPr>
          <w:trHeight w:val="26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and Chief Financial Officer pursuant to Section 906 of the Sarbanes-Oxley Act of 2002.</w:t>
            </w:r>
          </w:p>
        </w:tc>
        <w:tc>
          <w:tcPr>
            <w:tcW w:w="620" w:type="dxa"/>
            <w:vAlign w:val="bottom"/>
          </w:tcPr>
          <w:p>
            <w:pPr>
              <w:spacing w:after="0"/>
              <w:rPr>
                <w:sz w:val="22"/>
                <w:szCs w:val="22"/>
                <w:color w:val="auto"/>
              </w:rPr>
            </w:pPr>
          </w:p>
        </w:tc>
      </w:tr>
      <w:tr>
        <w:trPr>
          <w:trHeight w:val="27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1300" w:type="dxa"/>
            <w:vAlign w:val="bottom"/>
          </w:tcPr>
          <w:p>
            <w:pPr>
              <w:spacing w:after="0"/>
              <w:rPr>
                <w:sz w:val="20"/>
                <w:szCs w:val="20"/>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Definitions Linkbase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sz w:val="20"/>
          <w:szCs w:val="20"/>
          <w:color w:val="auto"/>
        </w:rPr>
      </w:pPr>
    </w:p>
    <w:p>
      <w:pPr>
        <w:ind w:left="1320" w:hanging="129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the Interactive Data Files submitted as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44" w:name="page45"/>
    <w:bookmarkEnd w:id="4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SPX TECHNOLOGIES, INC.</w:t>
      </w:r>
    </w:p>
    <w:p>
      <w:pPr>
        <w:spacing w:after="0" w:line="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(Registrant)</w:t>
      </w:r>
    </w:p>
    <w:p>
      <w:pPr>
        <w:spacing w:after="0" w:line="243" w:lineRule="exact"/>
        <w:rPr>
          <w:sz w:val="20"/>
          <w:szCs w:val="20"/>
          <w:color w:val="auto"/>
        </w:rPr>
      </w:pPr>
    </w:p>
    <w:p>
      <w:pPr>
        <w:ind w:left="20"/>
        <w:spacing w:after="0"/>
        <w:tabs>
          <w:tab w:leader="none" w:pos="5020" w:val="left"/>
          <w:tab w:leader="none" w:pos="590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19685</wp:posOffset>
            </wp:positionV>
            <wp:extent cx="33947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020" w:val="left"/>
          <w:tab w:leader="none" w:pos="590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19685</wp:posOffset>
            </wp:positionV>
            <wp:extent cx="33947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320" w:top="603" w:right="5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J. Lowe, III, certify that:</w:t>
      </w:r>
    </w:p>
    <w:p>
      <w:pPr>
        <w:spacing w:after="0" w:line="158"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SPX Technologies, Inc.;</w:t>
      </w:r>
    </w:p>
    <w:p>
      <w:pPr>
        <w:spacing w:after="0" w:line="15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hanging="644"/>
        <w:spacing w:after="0" w:line="266" w:lineRule="auto"/>
        <w:tabs>
          <w:tab w:leader="none" w:pos="97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0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300" w:hanging="644"/>
        <w:spacing w:after="0" w:line="282" w:lineRule="auto"/>
        <w:tabs>
          <w:tab w:leader="none" w:pos="106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9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104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0"/>
        <w:spacing w:after="0"/>
        <w:tabs>
          <w:tab w:leader="none" w:pos="7080" w:val="left"/>
        </w:tabs>
        <w:rPr>
          <w:sz w:val="20"/>
          <w:szCs w:val="20"/>
          <w:color w:val="auto"/>
        </w:rPr>
      </w:pPr>
      <w:r>
        <w:rPr>
          <w:rFonts w:ascii="Times New Roman" w:cs="Times New Roman" w:eastAsia="Times New Roman" w:hAnsi="Times New Roman"/>
          <w:sz w:val="35"/>
          <w:szCs w:val="35"/>
          <w:color w:val="auto"/>
          <w:vertAlign w:val="superscript"/>
        </w:rPr>
        <w:t>Date: July 31, 2025</w:t>
      </w:r>
      <w:r>
        <w:rPr>
          <w:sz w:val="20"/>
          <w:szCs w:val="20"/>
          <w:color w:val="auto"/>
        </w:rPr>
        <w:tab/>
      </w:r>
      <w:r>
        <w:rPr>
          <w:rFonts w:ascii="Times New Roman" w:cs="Times New Roman" w:eastAsia="Times New Roman" w:hAnsi="Times New Roman"/>
          <w:sz w:val="18"/>
          <w:szCs w:val="18"/>
          <w:color w:val="auto"/>
        </w:rPr>
        <w:t>/s/ EUGENE J. LOWE,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34118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jc w:val="center"/>
        <w:ind w:left="4880"/>
        <w:spacing w:after="0" w:line="203" w:lineRule="auto"/>
        <w:rPr>
          <w:sz w:val="20"/>
          <w:szCs w:val="20"/>
          <w:color w:val="auto"/>
        </w:rPr>
      </w:pPr>
      <w:r>
        <w:rPr>
          <w:rFonts w:ascii="Times New Roman" w:cs="Times New Roman" w:eastAsia="Times New Roman" w:hAnsi="Times New Roman"/>
          <w:sz w:val="18"/>
          <w:szCs w:val="18"/>
          <w:color w:val="auto"/>
        </w:rPr>
        <w:t>Eugene J. Lowe, III</w:t>
      </w:r>
    </w:p>
    <w:p>
      <w:pPr>
        <w:jc w:val="cente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7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Carano, certify that:</w:t>
      </w:r>
    </w:p>
    <w:p>
      <w:pPr>
        <w:spacing w:after="0" w:line="158"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SPX Technologies, Inc.;</w:t>
      </w:r>
    </w:p>
    <w:p>
      <w:pPr>
        <w:spacing w:after="0" w:line="157"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300" w:hanging="644"/>
        <w:spacing w:after="0" w:line="266" w:lineRule="auto"/>
        <w:tabs>
          <w:tab w:leader="none" w:pos="97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0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300" w:hanging="644"/>
        <w:spacing w:after="0" w:line="282" w:lineRule="auto"/>
        <w:tabs>
          <w:tab w:leader="none" w:pos="10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98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9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300" w:hanging="644"/>
        <w:spacing w:after="0" w:line="282" w:lineRule="auto"/>
        <w:tabs>
          <w:tab w:leader="none" w:pos="10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60"/>
        <w:spacing w:after="0"/>
        <w:tabs>
          <w:tab w:leader="none" w:pos="716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26"/>
          <w:szCs w:val="26"/>
          <w:color w:val="auto"/>
          <w:vertAlign w:val="subscript"/>
        </w:rPr>
        <w:t>/s/ MARK A.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111760</wp:posOffset>
            </wp:positionV>
            <wp:extent cx="34118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5"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Mark A. Carano</w:t>
      </w:r>
    </w:p>
    <w:p>
      <w:pPr>
        <w:spacing w:after="0" w:line="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1240"/>
          </w:cols>
          <w:pgMar w:left="320" w:top="17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97" w:lineRule="exact"/>
        <w:rPr>
          <w:sz w:val="20"/>
          <w:szCs w:val="20"/>
          <w:color w:val="auto"/>
        </w:rPr>
      </w:pPr>
    </w:p>
    <w:p>
      <w:pPr>
        <w:jc w:val="both"/>
        <w:ind w:firstLine="221"/>
        <w:spacing w:after="0" w:line="321" w:lineRule="auto"/>
        <w:rPr>
          <w:sz w:val="20"/>
          <w:szCs w:val="20"/>
          <w:color w:val="auto"/>
        </w:rPr>
      </w:pPr>
      <w:r>
        <w:rPr>
          <w:rFonts w:ascii="Times New Roman" w:cs="Times New Roman" w:eastAsia="Times New Roman" w:hAnsi="Times New Roman"/>
          <w:sz w:val="18"/>
          <w:szCs w:val="18"/>
          <w:color w:val="auto"/>
        </w:rPr>
        <w:t>In connection with the Quarterly Report of SPX Technologies, Inc. on Form 10-Q for the period ended June 28, 2025, as filed with the Securities and Exchange Commission on the date hereof (the “Report”), we certify, pursuant to 18 U.S.C. Section 1350, as adopted pursuant to Section 906 of the Sarbanes-Oxley Act of 2002, that, to the best of our knowledge:</w:t>
      </w:r>
    </w:p>
    <w:p>
      <w:pPr>
        <w:spacing w:after="0" w:line="195"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49" w:lineRule="exact"/>
        <w:rPr>
          <w:rFonts w:ascii="Times New Roman" w:cs="Times New Roman" w:eastAsia="Times New Roman" w:hAnsi="Times New Roman"/>
          <w:sz w:val="18"/>
          <w:szCs w:val="18"/>
          <w:color w:val="auto"/>
        </w:rPr>
      </w:pPr>
    </w:p>
    <w:p>
      <w:pPr>
        <w:ind w:left="660" w:right="880" w:hanging="328"/>
        <w:spacing w:after="0" w:line="329" w:lineRule="auto"/>
        <w:tabs>
          <w:tab w:leader="none" w:pos="6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SPX Technologies,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2025</w:t>
      </w:r>
    </w:p>
    <w:p>
      <w:pPr>
        <w:spacing w:after="0" w:line="90" w:lineRule="exact"/>
        <w:rPr>
          <w:sz w:val="20"/>
          <w:szCs w:val="20"/>
          <w:color w:val="auto"/>
        </w:rPr>
      </w:pPr>
    </w:p>
    <w:tbl>
      <w:tblPr>
        <w:tblLayout w:type="fixed"/>
        <w:tblInd w:w="960" w:type="dxa"/>
        <w:tblCellMar>
          <w:top w:w="0" w:type="dxa"/>
          <w:left w:w="0" w:type="dxa"/>
          <w:bottom w:w="0" w:type="dxa"/>
          <w:right w:w="0" w:type="dxa"/>
        </w:tblCellMar>
      </w:tblPr>
      <w:tr>
        <w:trPr>
          <w:trHeight w:val="248"/>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EUGENE J. LOWE, III</w:t>
            </w:r>
          </w:p>
        </w:tc>
        <w:tc>
          <w:tcPr>
            <w:tcW w:w="600" w:type="dxa"/>
            <w:vAlign w:val="bottom"/>
          </w:tcPr>
          <w:p>
            <w:pPr>
              <w:spacing w:after="0"/>
              <w:rPr>
                <w:sz w:val="21"/>
                <w:szCs w:val="21"/>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A. CARANO</w:t>
            </w:r>
          </w:p>
        </w:tc>
      </w:tr>
      <w:tr>
        <w:trPr>
          <w:trHeight w:val="205"/>
        </w:trPr>
        <w:tc>
          <w:tcPr>
            <w:tcW w:w="4980" w:type="dxa"/>
            <w:vAlign w:val="bottom"/>
            <w:gridSpan w:val="2"/>
          </w:tcPr>
          <w:p>
            <w:pPr>
              <w:jc w:val="center"/>
              <w:ind w:right="600"/>
              <w:spacing w:after="0" w:line="205" w:lineRule="exact"/>
              <w:rPr>
                <w:sz w:val="20"/>
                <w:szCs w:val="20"/>
                <w:color w:val="auto"/>
              </w:rPr>
            </w:pPr>
            <w:r>
              <w:rPr>
                <w:rFonts w:ascii="Times New Roman" w:cs="Times New Roman" w:eastAsia="Times New Roman" w:hAnsi="Times New Roman"/>
                <w:sz w:val="18"/>
                <w:szCs w:val="18"/>
                <w:color w:val="auto"/>
                <w:w w:val="99"/>
              </w:rPr>
              <w:t>Eugene J. Lowe, III</w:t>
            </w:r>
          </w:p>
        </w:tc>
        <w:tc>
          <w:tcPr>
            <w:tcW w:w="43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Mark A. Carano</w:t>
            </w:r>
          </w:p>
        </w:tc>
      </w:tr>
      <w:tr>
        <w:trPr>
          <w:trHeight w:val="234"/>
        </w:trPr>
        <w:tc>
          <w:tcPr>
            <w:tcW w:w="49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Chief Financial Officer and Treasurer</w:t>
            </w:r>
          </w:p>
        </w:tc>
      </w:tr>
    </w:tbl>
    <w:p>
      <w:pPr>
        <w:spacing w:after="0" w:line="169"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has been provided to SPX Technologies, Inc. and will be retained by SPX Technologies, Inc. and furnished to the Securities and Exchange Commission or its staff upon request.</w:t>
      </w:r>
    </w:p>
    <w:sectPr>
      <w:pgSz w:w="11900" w:h="16838" w:orient="portrait"/>
      <w:cols w:equalWidth="0" w:num="1">
        <w:col w:w="11240"/>
      </w:cols>
      <w:pgMar w:left="320" w:top="1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lvl w:ilvl="1">
      <w:lvlJc w:val="left"/>
      <w:lvlText w:val="(%2)"/>
      <w:numFmt w:val="decimal"/>
      <w:start w:val="1"/>
    </w:lvl>
  </w:abstractNum>
  <w:abstractNum w:abstractNumId="9">
    <w:nsid w:val="2D1D5AE9"/>
    <w:multiLevelType w:val="hybridMultilevel"/>
    <w:lvl w:ilvl="0">
      <w:lvlJc w:val="left"/>
      <w:lvlText w:val="(%1)"/>
      <w:numFmt w:val="decimal"/>
      <w:start w:val="4"/>
    </w:lvl>
    <w:lvl w:ilvl="1">
      <w:lvlJc w:val="left"/>
      <w:lvlText w:val="%2"/>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6"/>
    </w:lvl>
  </w:abstractNum>
  <w:abstractNum w:abstractNumId="12">
    <w:nsid w:val="8EDBDAB"/>
    <w:multiLevelType w:val="hybridMultilevel"/>
    <w:lvl w:ilvl="0">
      <w:lvlJc w:val="left"/>
      <w:lvlText w:val="%1"/>
      <w:numFmt w:val="decimal"/>
      <w:start w:val="1"/>
    </w:lvl>
    <w:lvl w:ilvl="1">
      <w:lvlJc w:val="left"/>
      <w:lvlText w:val="(%2)"/>
      <w:numFmt w:val="decimal"/>
      <w:start w:val="1"/>
    </w:lvl>
  </w:abstractNum>
  <w:abstractNum w:abstractNumId="13">
    <w:nsid w:val="79838CB2"/>
    <w:multiLevelType w:val="hybridMultilevel"/>
    <w:lvl w:ilvl="0">
      <w:lvlJc w:val="left"/>
      <w:lvlText w:val="(%1)"/>
      <w:numFmt w:val="decimal"/>
      <w:start w:val="7"/>
    </w:lvl>
    <w:lvl w:ilvl="1">
      <w:lvlJc w:val="left"/>
      <w:lvlText w:val="%2"/>
      <w:numFmt w:val="decimal"/>
      <w:start w:val="1"/>
    </w:lvl>
  </w:abstractNum>
  <w:abstractNum w:abstractNumId="14">
    <w:nsid w:val="4353D0CD"/>
    <w:multiLevelType w:val="hybridMultilevel"/>
    <w:lvl w:ilvl="0">
      <w:lvlJc w:val="left"/>
      <w:lvlText w:val="(%1)"/>
      <w:numFmt w:val="decimal"/>
      <w:start w:val="8"/>
    </w:lvl>
  </w:abstractNum>
  <w:abstractNum w:abstractNumId="15">
    <w:nsid w:val="B03E0C6"/>
    <w:multiLevelType w:val="hybridMultilevel"/>
    <w:lvl w:ilvl="0">
      <w:lvlJc w:val="left"/>
      <w:lvlText w:val="(%1)"/>
      <w:numFmt w:val="decimal"/>
      <w:start w:val="9"/>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Roman"/>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3"/>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63" Type="http://schemas.openxmlformats.org/officeDocument/2006/relationships/hyperlink" Target="https://www.sec.gov/Archives/edgar/data/88205/000008820525000007/spxc-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2025-08-01T05:22:25Z</dcterms:created>
  <dcterms:modified xsi:type="dcterms:W3CDTF">2025-08-01T05:22:25Z</dcterms:modified>
</cp:coreProperties>
</file>