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 w:lineRule="exact"/>
        <w:rPr>
          <w:sz w:val="24"/>
          <w:szCs w:val="24"/>
          <w:color w:val="auto"/>
        </w:rPr>
      </w:pPr>
    </w:p>
    <w:p>
      <w:pPr>
        <w:ind w:left="940" w:right="160" w:hanging="554"/>
        <w:spacing w:after="0" w:line="196" w:lineRule="auto"/>
        <w:tabs>
          <w:tab w:leader="none" w:pos="94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28, 2024</w:t>
      </w:r>
    </w:p>
    <w:p>
      <w:pPr>
        <w:spacing w:after="0" w:line="40" w:lineRule="exact"/>
        <w:rPr>
          <w:sz w:val="24"/>
          <w:szCs w:val="24"/>
          <w:color w:val="auto"/>
        </w:rPr>
      </w:pPr>
    </w:p>
    <w:p>
      <w:pPr>
        <w:ind w:left="940" w:right="160" w:hanging="554"/>
        <w:spacing w:after="0" w:line="196" w:lineRule="auto"/>
        <w:tabs>
          <w:tab w:leader="none" w:pos="94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6" w:lineRule="exact"/>
        <w:rPr>
          <w:sz w:val="24"/>
          <w:szCs w:val="24"/>
          <w:color w:val="auto"/>
        </w:rPr>
      </w:pPr>
    </w:p>
    <w:p>
      <w:pPr>
        <w:ind w:left="38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1-6948</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SPX TECHNOLOGIES,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64" w:right="339" w:bottom="1440" w:gutter="0" w:footer="0" w:header="0"/>
        </w:sectPr>
      </w:pPr>
    </w:p>
    <w:p>
      <w:pPr>
        <w:spacing w:after="0" w:line="26"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88-3567996</w:t>
      </w:r>
    </w:p>
    <w:p>
      <w:pPr>
        <w:spacing w:after="0" w:line="38" w:lineRule="exact"/>
        <w:rPr>
          <w:sz w:val="24"/>
          <w:szCs w:val="24"/>
          <w:color w:val="auto"/>
        </w:rPr>
      </w:pPr>
    </w:p>
    <w:p>
      <w:pPr>
        <w:sectPr>
          <w:pgSz w:w="11900" w:h="16838" w:orient="portrait"/>
          <w:cols w:equalWidth="0" w:num="2">
            <w:col w:w="7380" w:space="720"/>
            <w:col w:w="3140"/>
          </w:cols>
          <w:pgMar w:left="320" w:top="664" w:right="339" w:bottom="1440" w:gutter="0" w:footer="0" w:header="0"/>
          <w:type w:val="continuous"/>
        </w:sectPr>
      </w:pPr>
    </w:p>
    <w:p>
      <w:pPr>
        <w:jc w:val="center"/>
        <w:ind w:right="10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jc w:val="center"/>
        <w:ind w:right="108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390" w:lineRule="exact"/>
        <w:rPr>
          <w:sz w:val="24"/>
          <w:szCs w:val="24"/>
          <w:color w:val="auto"/>
        </w:rPr>
      </w:pPr>
    </w:p>
    <w:p>
      <w:pPr>
        <w:sectPr>
          <w:pgSz w:w="11900" w:h="16838" w:orient="portrait"/>
          <w:cols w:equalWidth="0" w:num="2">
            <w:col w:w="6500" w:space="720"/>
            <w:col w:w="4020"/>
          </w:cols>
          <w:pgMar w:left="320" w:top="664" w:right="339" w:bottom="1440" w:gutter="0" w:footer="0" w:header="0"/>
          <w:type w:val="continuous"/>
        </w:sectPr>
      </w:pP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6325 Ardrey Kell Road, Suite 400, Charlotte, North Carolina 28277</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(980) 474-3700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664" w:right="339" w:bottom="1440" w:gutter="0" w:footer="0" w:header="0"/>
          <w:type w:val="continuous"/>
        </w:sectPr>
      </w:pPr>
    </w:p>
    <w:p>
      <w:pPr>
        <w:spacing w:after="0" w:line="50"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sectPr>
          <w:pgSz w:w="11900" w:h="16838" w:orient="portrait"/>
          <w:cols w:equalWidth="0" w:num="3">
            <w:col w:w="3900" w:space="720"/>
            <w:col w:w="1880" w:space="720"/>
            <w:col w:w="4020"/>
          </w:cols>
          <w:pgMar w:left="320" w:top="664"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b w:val="1"/>
          <w:bCs w:val="1"/>
          <w:color w:val="auto"/>
        </w:rPr>
        <w:t>Common Stock, par value $0.01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SPXC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New York Stock Exchange</w:t>
      </w:r>
    </w:p>
    <w:p>
      <w:pPr>
        <w:spacing w:after="0" w:line="200" w:lineRule="exact"/>
        <w:rPr>
          <w:sz w:val="24"/>
          <w:szCs w:val="24"/>
          <w:color w:val="auto"/>
        </w:rPr>
      </w:pPr>
    </w:p>
    <w:p>
      <w:pPr>
        <w:sectPr>
          <w:pgSz w:w="11900" w:h="16838" w:orient="portrait"/>
          <w:cols w:equalWidth="0" w:num="3">
            <w:col w:w="4380" w:space="720"/>
            <w:col w:w="1980" w:space="720"/>
            <w:col w:w="3440"/>
          </w:cols>
          <w:pgMar w:left="320" w:top="664" w:right="339" w:bottom="1440" w:gutter="0" w:footer="0" w:header="0"/>
          <w:type w:val="continuous"/>
        </w:sectPr>
      </w:pPr>
    </w:p>
    <w:p>
      <w:pPr>
        <w:spacing w:after="0" w:line="5" w:lineRule="exact"/>
        <w:rPr>
          <w:sz w:val="24"/>
          <w:szCs w:val="24"/>
          <w:color w:val="auto"/>
        </w:rPr>
      </w:pPr>
    </w:p>
    <w:p>
      <w:pPr>
        <w:ind w:right="6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39" w:lineRule="exact"/>
        <w:rPr>
          <w:sz w:val="24"/>
          <w:szCs w:val="24"/>
          <w:color w:val="auto"/>
        </w:rPr>
      </w:pPr>
    </w:p>
    <w:p>
      <w:pPr>
        <w:ind w:right="20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680" w:type="dxa"/>
        <w:tblCellMar>
          <w:top w:w="0" w:type="dxa"/>
          <w:left w:w="0" w:type="dxa"/>
          <w:bottom w:w="0" w:type="dxa"/>
          <w:right w:w="0" w:type="dxa"/>
        </w:tblCellMar>
      </w:tblPr>
      <w:tr>
        <w:trPr>
          <w:trHeight w:val="265"/>
        </w:trPr>
        <w:tc>
          <w:tcPr>
            <w:tcW w:w="24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Accelerated filer</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20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Smaller reporting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Emerging growth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ind w:left="3500" w:right="1720" w:hanging="3167"/>
        <w:spacing w:after="0" w:line="24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Common shares outstanding October 25, 2024, 46,358,661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INDEX</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89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1 – FINANCIAL INFORMATION</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9"/>
        </w:trPr>
        <w:tc>
          <w:tcPr>
            <w:tcW w:w="220" w:type="dxa"/>
            <w:vAlign w:val="bottom"/>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1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1 – Financial Statements</w:t>
            </w:r>
          </w:p>
        </w:tc>
        <w:tc>
          <w:tcPr>
            <w:tcW w:w="700" w:type="dxa"/>
            <w:vAlign w:val="bottom"/>
            <w:tcBorders>
              <w:top w:val="single" w:sz="8" w:color="0000FF"/>
            </w:tcBorders>
            <w:gridSpan w:val="3"/>
          </w:tcPr>
          <w:p>
            <w:pPr>
              <w:spacing w:after="0"/>
              <w:rPr>
                <w:sz w:val="18"/>
                <w:szCs w:val="18"/>
                <w:color w:val="auto"/>
              </w:rPr>
            </w:pPr>
          </w:p>
        </w:tc>
        <w:tc>
          <w:tcPr>
            <w:tcW w:w="5920" w:type="dxa"/>
            <w:vAlign w:val="bottom"/>
            <w:gridSpan w:val="8"/>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 (Loss)</w:t>
            </w:r>
          </w:p>
        </w:tc>
        <w:tc>
          <w:tcPr>
            <w:tcW w:w="2380" w:type="dxa"/>
            <w:vAlign w:val="bottom"/>
            <w:gridSpan w:val="2"/>
          </w:tcPr>
          <w:p>
            <w:pPr>
              <w:spacing w:after="0"/>
              <w:rPr>
                <w:sz w:val="18"/>
                <w:szCs w:val="18"/>
                <w:color w:val="auto"/>
              </w:rPr>
            </w:pPr>
          </w:p>
        </w:tc>
        <w:tc>
          <w:tcPr>
            <w:tcW w:w="17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2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660" w:type="dxa"/>
            <w:vAlign w:val="bottom"/>
            <w:gridSpan w:val="7"/>
          </w:tcPr>
          <w:p>
            <w:pPr>
              <w:spacing w:after="0"/>
              <w:rPr>
                <w:sz w:val="18"/>
                <w:szCs w:val="18"/>
                <w:color w:val="auto"/>
              </w:rPr>
            </w:pPr>
          </w:p>
        </w:tc>
        <w:tc>
          <w:tcPr>
            <w:tcW w:w="17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2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220" w:type="dxa"/>
            <w:vAlign w:val="bottom"/>
            <w:gridSpan w:val="4"/>
          </w:tcPr>
          <w:p>
            <w:pPr>
              <w:spacing w:after="0"/>
              <w:rPr>
                <w:sz w:val="18"/>
                <w:szCs w:val="18"/>
                <w:color w:val="auto"/>
              </w:rPr>
            </w:pPr>
          </w:p>
        </w:tc>
        <w:tc>
          <w:tcPr>
            <w:tcW w:w="17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2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4880" w:type="dxa"/>
            <w:vAlign w:val="bottom"/>
            <w:gridSpan w:val="6"/>
          </w:tcPr>
          <w:p>
            <w:pPr>
              <w:spacing w:after="0"/>
              <w:rPr>
                <w:sz w:val="18"/>
                <w:szCs w:val="18"/>
                <w:color w:val="auto"/>
              </w:rPr>
            </w:pPr>
          </w:p>
        </w:tc>
        <w:tc>
          <w:tcPr>
            <w:tcW w:w="17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2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600" w:type="dxa"/>
            <w:vAlign w:val="bottom"/>
            <w:gridSpan w:val="5"/>
          </w:tcPr>
          <w:p>
            <w:pPr>
              <w:spacing w:after="0"/>
              <w:rPr>
                <w:sz w:val="18"/>
                <w:szCs w:val="18"/>
                <w:color w:val="auto"/>
              </w:rPr>
            </w:pPr>
          </w:p>
        </w:tc>
        <w:tc>
          <w:tcPr>
            <w:tcW w:w="17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2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 Management's Discussion and Analysis of Financial Condition and Results of Operations</w:t>
            </w: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31</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3 – Quantitative and Qualitative Disclosures About Market Risk</w:t>
            </w:r>
          </w:p>
        </w:tc>
        <w:tc>
          <w:tcPr>
            <w:tcW w:w="1700" w:type="dxa"/>
            <w:vAlign w:val="bottom"/>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43</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Item 4 – Controls and Procedures</w:t>
            </w:r>
          </w:p>
        </w:tc>
        <w:tc>
          <w:tcPr>
            <w:tcW w:w="2580" w:type="dxa"/>
            <w:vAlign w:val="bottom"/>
            <w:gridSpan w:val="7"/>
          </w:tcPr>
          <w:p>
            <w:pPr>
              <w:spacing w:after="0"/>
              <w:rPr>
                <w:sz w:val="18"/>
                <w:szCs w:val="18"/>
                <w:color w:val="auto"/>
              </w:rPr>
            </w:pPr>
          </w:p>
        </w:tc>
        <w:tc>
          <w:tcPr>
            <w:tcW w:w="3780" w:type="dxa"/>
            <w:vAlign w:val="bottom"/>
            <w:gridSpan w:val="3"/>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43</w:t>
            </w:r>
          </w:p>
        </w:tc>
      </w:tr>
      <w:tr>
        <w:trPr>
          <w:trHeight w:val="20"/>
        </w:trPr>
        <w:tc>
          <w:tcPr>
            <w:tcW w:w="360" w:type="dxa"/>
            <w:vAlign w:val="bottom"/>
            <w:gridSpan w:val="2"/>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80"/>
        </w:trPr>
        <w:tc>
          <w:tcPr>
            <w:tcW w:w="220" w:type="dxa"/>
            <w:vAlign w:val="bottom"/>
          </w:tcPr>
          <w:p>
            <w:pPr>
              <w:spacing w:after="0"/>
              <w:rPr>
                <w:sz w:val="24"/>
                <w:szCs w:val="24"/>
                <w:color w:val="auto"/>
              </w:rPr>
            </w:pPr>
          </w:p>
        </w:tc>
        <w:tc>
          <w:tcPr>
            <w:tcW w:w="89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2 – OTHER INFORMATION</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220" w:type="dxa"/>
            <w:vAlign w:val="bottom"/>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5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 – Legal Proceedings</w:t>
            </w:r>
          </w:p>
        </w:tc>
        <w:tc>
          <w:tcPr>
            <w:tcW w:w="6280" w:type="dxa"/>
            <w:vAlign w:val="bottom"/>
            <w:gridSpan w:val="9"/>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44</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 – Risk Factors</w:t>
            </w:r>
          </w:p>
        </w:tc>
        <w:tc>
          <w:tcPr>
            <w:tcW w:w="6820" w:type="dxa"/>
            <w:vAlign w:val="bottom"/>
            <w:gridSpan w:val="12"/>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44</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20" w:type="dxa"/>
            <w:vAlign w:val="bottom"/>
            <w:gridSpan w:val="1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5 – Other Information</w:t>
            </w: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44</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820" w:type="dxa"/>
            <w:vAlign w:val="bottom"/>
            <w:gridSpan w:val="1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6 – Exhibits</w:t>
            </w:r>
          </w:p>
        </w:tc>
        <w:tc>
          <w:tcPr>
            <w:tcW w:w="6820" w:type="dxa"/>
            <w:vAlign w:val="bottom"/>
            <w:gridSpan w:val="12"/>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44</w:t>
            </w:r>
          </w:p>
        </w:tc>
      </w:tr>
      <w:tr>
        <w:trPr>
          <w:trHeight w:val="20"/>
        </w:trPr>
        <w:tc>
          <w:tcPr>
            <w:tcW w:w="360" w:type="dxa"/>
            <w:vAlign w:val="bottom"/>
            <w:gridSpan w:val="2"/>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540" w:type="dxa"/>
            <w:vAlign w:val="bottom"/>
            <w:gridSpan w:val="1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80"/>
        </w:trPr>
        <w:tc>
          <w:tcPr>
            <w:tcW w:w="9140" w:type="dxa"/>
            <w:vAlign w:val="bottom"/>
            <w:gridSpan w:val="21"/>
          </w:tcPr>
          <w:p>
            <w:pPr>
              <w:ind w:left="220"/>
              <w:spacing w:after="0"/>
              <w:rPr>
                <w:sz w:val="20"/>
                <w:szCs w:val="20"/>
                <w:color w:val="auto"/>
              </w:rPr>
            </w:pPr>
            <w:r>
              <w:rPr>
                <w:rFonts w:ascii="Times New Roman" w:cs="Times New Roman" w:eastAsia="Times New Roman" w:hAnsi="Times New Roman"/>
                <w:sz w:val="18"/>
                <w:szCs w:val="18"/>
                <w:color w:val="0000FF"/>
              </w:rPr>
              <w:t>SIGNATURES</w:t>
            </w: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45</w:t>
            </w:r>
          </w:p>
        </w:tc>
      </w:tr>
      <w:tr>
        <w:trPr>
          <w:trHeight w:val="1634"/>
        </w:trPr>
        <w:tc>
          <w:tcPr>
            <w:tcW w:w="22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54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31"/>
        </w:trPr>
        <w:tc>
          <w:tcPr>
            <w:tcW w:w="57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57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1,271.8</w:t>
            </w: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products sold</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789.7</w:t>
            </w: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w:t>
            </w: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amortization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Special charges, net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operating expense, net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w:t>
            </w:r>
          </w:p>
        </w:tc>
      </w:tr>
      <w:tr>
        <w:trPr>
          <w:trHeight w:val="273"/>
        </w:trPr>
        <w:tc>
          <w:tcPr>
            <w:tcW w:w="5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r>
      <w:tr>
        <w:trPr>
          <w:trHeight w:val="21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12"/>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r>
      <w:tr>
        <w:trPr>
          <w:trHeight w:val="270"/>
        </w:trPr>
        <w:tc>
          <w:tcPr>
            <w:tcW w:w="5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on disposition of discontinued operations, net of tax</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w:t>
            </w:r>
          </w:p>
        </w:tc>
      </w:tr>
      <w:tr>
        <w:trPr>
          <w:trHeight w:val="20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r>
      <w:tr>
        <w:trPr>
          <w:trHeight w:val="253"/>
        </w:trPr>
        <w:tc>
          <w:tcPr>
            <w:tcW w:w="57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32"/>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5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income (loss) per share of common stock:</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07"/>
        </w:trPr>
        <w:tc>
          <w:tcPr>
            <w:tcW w:w="5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(loss)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0"/>
        </w:trPr>
        <w:tc>
          <w:tcPr>
            <w:tcW w:w="5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 basic</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45.507</w:t>
            </w:r>
          </w:p>
        </w:tc>
      </w:tr>
      <w:tr>
        <w:trPr>
          <w:trHeight w:val="273"/>
        </w:trPr>
        <w:tc>
          <w:tcPr>
            <w:tcW w:w="5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income (loss) per share of common stock:</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13"/>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35"/>
        </w:trPr>
        <w:tc>
          <w:tcPr>
            <w:tcW w:w="5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(loss)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5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 diluted</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46.560</w:t>
            </w:r>
          </w:p>
        </w:tc>
      </w:tr>
      <w:tr>
        <w:trPr>
          <w:trHeight w:val="270"/>
        </w:trPr>
        <w:tc>
          <w:tcPr>
            <w:tcW w:w="57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232"/>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603"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3"/>
                <w:szCs w:val="13"/>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6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5"/>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07"/>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709.6</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Land</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Machinery and equipment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0" w:type="dxa"/>
            <w:vAlign w:val="bottom"/>
          </w:tcPr>
          <w:p>
            <w:pPr>
              <w:spacing w:after="0"/>
              <w:rPr>
                <w:sz w:val="1"/>
                <w:szCs w:val="1"/>
                <w:color w:val="auto"/>
              </w:rPr>
            </w:pPr>
          </w:p>
        </w:tc>
      </w:tr>
      <w:tr>
        <w:trPr>
          <w:trHeight w:val="207"/>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704.8</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Intangibles,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680.8</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62"/>
        </w:trPr>
        <w:tc>
          <w:tcPr>
            <w:tcW w:w="8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Assets of DBT and Heat Transfer (includes cash and equivalents of $4.6 and $5.5 at September 28, 2024 and December 31, 2023,</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respectively) (Note 3)</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2,439.7</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debt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w:t>
            </w:r>
          </w:p>
        </w:tc>
        <w:tc>
          <w:tcPr>
            <w:tcW w:w="0" w:type="dxa"/>
            <w:vAlign w:val="bottom"/>
          </w:tcPr>
          <w:p>
            <w:pPr>
              <w:spacing w:after="0"/>
              <w:rPr>
                <w:sz w:val="1"/>
                <w:szCs w:val="1"/>
                <w:color w:val="auto"/>
              </w:rPr>
            </w:pPr>
          </w:p>
        </w:tc>
      </w:tr>
      <w:tr>
        <w:trPr>
          <w:trHeight w:val="239"/>
        </w:trPr>
        <w:tc>
          <w:tcPr>
            <w:tcW w:w="8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523.1</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and other income taxes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Liabilities of DBT and Heat Transfer (Note 3)</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843.9</w:t>
            </w:r>
          </w:p>
        </w:tc>
        <w:tc>
          <w:tcPr>
            <w:tcW w:w="0" w:type="dxa"/>
            <w:vAlign w:val="bottom"/>
          </w:tcPr>
          <w:p>
            <w:pPr>
              <w:spacing w:after="0"/>
              <w:rPr>
                <w:sz w:val="1"/>
                <w:szCs w:val="1"/>
                <w:color w:val="auto"/>
              </w:rPr>
            </w:pPr>
          </w:p>
        </w:tc>
      </w:tr>
      <w:tr>
        <w:trPr>
          <w:trHeight w:val="19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(Note 15)</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6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Common stock (54,180,614 and 46,349,838 issued and outstanding at September 28, 2024, respectively, and 53,618,720 and</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3"/>
        </w:trPr>
        <w:tc>
          <w:tcPr>
            <w:tcW w:w="8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45,674,572 issued and outstanding at December 31, 2023, respectively)</w:t>
            </w: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Paid-in capital</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1,353.6</w:t>
            </w:r>
          </w:p>
        </w:tc>
        <w:tc>
          <w:tcPr>
            <w:tcW w:w="0" w:type="dxa"/>
            <w:vAlign w:val="bottom"/>
          </w:tcPr>
          <w:p>
            <w:pPr>
              <w:spacing w:after="0"/>
              <w:rPr>
                <w:sz w:val="1"/>
                <w:szCs w:val="1"/>
                <w:color w:val="auto"/>
              </w:rPr>
            </w:pPr>
          </w:p>
        </w:tc>
      </w:tr>
      <w:tr>
        <w:trPr>
          <w:trHeight w:val="213"/>
        </w:trPr>
        <w:tc>
          <w:tcPr>
            <w:tcW w:w="8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Common stock in treasury (7,830,776 and 7,944,148 shares at September 28, 2024 and December 31, 2023, respectively)</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(458.9)</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1,194.6</w:t>
            </w:r>
          </w:p>
        </w:tc>
        <w:tc>
          <w:tcPr>
            <w:tcW w:w="0" w:type="dxa"/>
            <w:vAlign w:val="bottom"/>
          </w:tcPr>
          <w:p>
            <w:pPr>
              <w:spacing w:after="0"/>
              <w:rPr>
                <w:sz w:val="1"/>
                <w:szCs w:val="1"/>
                <w:color w:val="auto"/>
              </w:rPr>
            </w:pPr>
          </w:p>
        </w:tc>
      </w:tr>
      <w:tr>
        <w:trPr>
          <w:trHeight w:val="207"/>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2,806.0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2,439.7</w:t>
            </w:r>
          </w:p>
        </w:tc>
        <w:tc>
          <w:tcPr>
            <w:tcW w:w="0" w:type="dxa"/>
            <w:vAlign w:val="bottom"/>
          </w:tcPr>
          <w:p>
            <w:pPr>
              <w:spacing w:after="0"/>
              <w:rPr>
                <w:sz w:val="1"/>
                <w:szCs w:val="1"/>
                <w:color w:val="auto"/>
              </w:rPr>
            </w:pPr>
          </w:p>
        </w:tc>
      </w:tr>
      <w:tr>
        <w:trPr>
          <w:trHeight w:val="23"/>
        </w:trPr>
        <w:tc>
          <w:tcPr>
            <w:tcW w:w="8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4" w:name="page5"/>
    <w:bookmarkEnd w:id="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SPX TECHNOLOGIES, INC. AND SUBSIDIARIES CONDENSED CONSOLIDATED STATEMENTS OF STOCKHOLDERS' EQUITY (Unaudited;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 September 28, 2024</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 Other</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1"/>
                <w:szCs w:val="11"/>
                <w:color w:val="auto"/>
              </w:rPr>
            </w:pPr>
          </w:p>
        </w:tc>
        <w:tc>
          <w:tcPr>
            <w:tcW w:w="104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140" w:type="dxa"/>
            <w:vAlign w:val="bottom"/>
          </w:tcPr>
          <w:p>
            <w:pPr>
              <w:spacing w:after="0"/>
              <w:rPr>
                <w:sz w:val="17"/>
                <w:szCs w:val="17"/>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29, 2024</w:t>
            </w: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1,283.8</w:t>
            </w:r>
          </w:p>
        </w:tc>
        <w:tc>
          <w:tcPr>
            <w:tcW w:w="0" w:type="dxa"/>
            <w:vAlign w:val="bottom"/>
          </w:tcPr>
          <w:p>
            <w:pPr>
              <w:spacing w:after="0"/>
              <w:rPr>
                <w:sz w:val="1"/>
                <w:szCs w:val="1"/>
                <w:color w:val="auto"/>
              </w:rPr>
            </w:pPr>
          </w:p>
        </w:tc>
      </w:tr>
      <w:tr>
        <w:trPr>
          <w:trHeight w:val="195"/>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net</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95"/>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Incentive plan activity</w:t>
            </w:r>
          </w:p>
        </w:tc>
        <w:tc>
          <w:tcPr>
            <w:tcW w:w="4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incentive compensation expense</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6"/>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unit vesting</w:t>
            </w:r>
          </w:p>
        </w:tc>
        <w:tc>
          <w:tcPr>
            <w:tcW w:w="4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28, 2024</w:t>
            </w:r>
          </w:p>
        </w:tc>
        <w:tc>
          <w:tcPr>
            <w:tcW w:w="48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3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 September 28, 2024</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 Other</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1"/>
                <w:szCs w:val="11"/>
                <w:color w:val="auto"/>
              </w:rPr>
            </w:pPr>
          </w:p>
        </w:tc>
        <w:tc>
          <w:tcPr>
            <w:tcW w:w="1040" w:type="dxa"/>
            <w:vAlign w:val="bottom"/>
          </w:tcPr>
          <w:p>
            <w:pPr>
              <w:jc w:val="center"/>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140" w:type="dxa"/>
            <w:vAlign w:val="bottom"/>
          </w:tcPr>
          <w:p>
            <w:pPr>
              <w:spacing w:after="0"/>
              <w:rPr>
                <w:sz w:val="17"/>
                <w:szCs w:val="17"/>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1,194.6</w:t>
            </w:r>
          </w:p>
        </w:tc>
        <w:tc>
          <w:tcPr>
            <w:tcW w:w="0" w:type="dxa"/>
            <w:vAlign w:val="bottom"/>
          </w:tcPr>
          <w:p>
            <w:pPr>
              <w:spacing w:after="0"/>
              <w:rPr>
                <w:sz w:val="1"/>
                <w:szCs w:val="1"/>
                <w:color w:val="auto"/>
              </w:rPr>
            </w:pPr>
          </w:p>
        </w:tc>
      </w:tr>
      <w:tr>
        <w:trPr>
          <w:trHeight w:val="195"/>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95"/>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Incentive plan activity</w:t>
            </w:r>
          </w:p>
        </w:tc>
        <w:tc>
          <w:tcPr>
            <w:tcW w:w="4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incentive compensation expense</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96"/>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unit vesting</w:t>
            </w:r>
          </w:p>
        </w:tc>
        <w:tc>
          <w:tcPr>
            <w:tcW w:w="4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2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28, 2024</w:t>
            </w:r>
          </w:p>
        </w:tc>
        <w:tc>
          <w:tcPr>
            <w:tcW w:w="48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3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 Other</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1"/>
                <w:szCs w:val="11"/>
                <w:color w:val="auto"/>
              </w:rPr>
            </w:pPr>
          </w:p>
        </w:tc>
        <w:tc>
          <w:tcPr>
            <w:tcW w:w="104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140" w:type="dxa"/>
            <w:vAlign w:val="bottom"/>
          </w:tcPr>
          <w:p>
            <w:pPr>
              <w:spacing w:after="0"/>
              <w:rPr>
                <w:sz w:val="16"/>
                <w:szCs w:val="16"/>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1, 2023</w:t>
            </w: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1,172.6</w:t>
            </w:r>
          </w:p>
        </w:tc>
        <w:tc>
          <w:tcPr>
            <w:tcW w:w="0" w:type="dxa"/>
            <w:vAlign w:val="bottom"/>
          </w:tcPr>
          <w:p>
            <w:pPr>
              <w:spacing w:after="0"/>
              <w:rPr>
                <w:sz w:val="1"/>
                <w:szCs w:val="1"/>
                <w:color w:val="auto"/>
              </w:rPr>
            </w:pPr>
          </w:p>
        </w:tc>
      </w:tr>
      <w:tr>
        <w:trPr>
          <w:trHeight w:val="195"/>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4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95"/>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Incentive plan activity</w:t>
            </w:r>
          </w:p>
        </w:tc>
        <w:tc>
          <w:tcPr>
            <w:tcW w:w="4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incentive compensation expense</w:t>
            </w:r>
          </w:p>
        </w:tc>
        <w:tc>
          <w:tcPr>
            <w:tcW w:w="4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1,348.0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1,146.9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3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 Other</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1"/>
                <w:szCs w:val="11"/>
                <w:color w:val="auto"/>
              </w:rPr>
            </w:pPr>
          </w:p>
        </w:tc>
        <w:tc>
          <w:tcPr>
            <w:tcW w:w="104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140" w:type="dxa"/>
            <w:vAlign w:val="bottom"/>
          </w:tcPr>
          <w:p>
            <w:pPr>
              <w:spacing w:after="0"/>
              <w:rPr>
                <w:sz w:val="17"/>
                <w:szCs w:val="17"/>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1,079.2</w:t>
            </w:r>
          </w:p>
        </w:tc>
        <w:tc>
          <w:tcPr>
            <w:tcW w:w="0" w:type="dxa"/>
            <w:vAlign w:val="bottom"/>
          </w:tcPr>
          <w:p>
            <w:pPr>
              <w:spacing w:after="0"/>
              <w:rPr>
                <w:sz w:val="1"/>
                <w:szCs w:val="1"/>
                <w:color w:val="auto"/>
              </w:rPr>
            </w:pPr>
          </w:p>
        </w:tc>
      </w:tr>
      <w:tr>
        <w:trPr>
          <w:trHeight w:val="195"/>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95"/>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Incentive plan activity</w:t>
            </w:r>
          </w:p>
        </w:tc>
        <w:tc>
          <w:tcPr>
            <w:tcW w:w="4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incentive compensation expense</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6"/>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unit vesting</w:t>
            </w:r>
          </w:p>
        </w:tc>
        <w:tc>
          <w:tcPr>
            <w:tcW w:w="4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2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48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25"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6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60"/>
              <w:spacing w:after="0" w:line="15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86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4"/>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(used in) operating activities: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Loss from discontinued operations, net of tax</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income from continuing operations to net cash from operating activities: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Special charges, net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change in fair value of equity security</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and other income taxes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and other employee benefits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incentive compensation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from acquisitions and divestitures: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and other assets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accrued expenses and other</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spending on restructuring actions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from continuing operations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discontinued operations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(used in) investing activities: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Proceeds/borrowings related to company-owned life insurance policies, net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(547.3)</w:t>
            </w:r>
          </w:p>
        </w:tc>
        <w:tc>
          <w:tcPr>
            <w:tcW w:w="0" w:type="dxa"/>
            <w:vAlign w:val="bottom"/>
          </w:tcPr>
          <w:p>
            <w:pPr>
              <w:spacing w:after="0"/>
              <w:rPr>
                <w:sz w:val="1"/>
                <w:szCs w:val="1"/>
                <w:color w:val="auto"/>
              </w:rPr>
            </w:pPr>
          </w:p>
        </w:tc>
      </w:tr>
      <w:tr>
        <w:trPr>
          <w:trHeight w:val="213"/>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continuing operations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w:t>
            </w: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discontinued operations</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w:t>
            </w:r>
          </w:p>
        </w:tc>
        <w:tc>
          <w:tcPr>
            <w:tcW w:w="0" w:type="dxa"/>
            <w:vAlign w:val="bottom"/>
          </w:tcPr>
          <w:p>
            <w:pPr>
              <w:spacing w:after="0"/>
              <w:rPr>
                <w:sz w:val="1"/>
                <w:szCs w:val="1"/>
                <w:color w:val="auto"/>
              </w:rPr>
            </w:pPr>
          </w:p>
        </w:tc>
      </w:tr>
      <w:tr>
        <w:trPr>
          <w:trHeight w:val="214"/>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(used in) financing activities: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 under senior credit facilities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851.3</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under senior credit facilities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 under trade receivables arrangement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under trade receivables arrangement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repayments under other financing arrangements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162"/>
        </w:trPr>
        <w:tc>
          <w:tcPr>
            <w:tcW w:w="86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Minimum withholdings paid on behalf of employees for net share settlements, net of proceeds from the exercise of employee</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options</w:t>
            </w: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fees paid</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from continuing operations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from discontinued operations</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from financing activities</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cash and equivalents due to changes in foreign currency exchange rates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equivalents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cash and equivalents,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cash and equivalents,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0" w:type="dxa"/>
            <w:vAlign w:val="bottom"/>
          </w:tcPr>
          <w:p>
            <w:pPr>
              <w:spacing w:after="0"/>
              <w:rPr>
                <w:sz w:val="1"/>
                <w:szCs w:val="1"/>
                <w:color w:val="auto"/>
              </w:rPr>
            </w:pPr>
          </w:p>
        </w:tc>
      </w:tr>
      <w:tr>
        <w:trPr>
          <w:trHeight w:val="23"/>
        </w:trPr>
        <w:tc>
          <w:tcPr>
            <w:tcW w:w="8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8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8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1"/>
                <w:szCs w:val="11"/>
                <w:color w:val="auto"/>
              </w:rPr>
            </w:pPr>
          </w:p>
        </w:tc>
        <w:tc>
          <w:tcPr>
            <w:tcW w:w="1100" w:type="dxa"/>
            <w:vAlign w:val="bottom"/>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86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02"/>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Components of cash and equivalents: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 included in assets of DBT and Heat Transfer</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2"/>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and equivalents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0" w:type="dxa"/>
            <w:vAlign w:val="bottom"/>
          </w:tcPr>
          <w:p>
            <w:pPr>
              <w:spacing w:after="0"/>
              <w:rPr>
                <w:sz w:val="1"/>
                <w:szCs w:val="1"/>
                <w:color w:val="auto"/>
              </w:rPr>
            </w:pPr>
          </w:p>
        </w:tc>
      </w:tr>
      <w:tr>
        <w:trPr>
          <w:trHeight w:val="21"/>
        </w:trPr>
        <w:tc>
          <w:tcPr>
            <w:tcW w:w="8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6" w:name="page7"/>
    <w:bookmarkEnd w:id="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SPX TECHNOLOGIES, INC. AND SUBSIDIARIES NOTES TO CONDENSED CONSOLIDATED FINANCIAL STATEMENTS (Unaudited; in millions, except per share data)</w:t>
      </w:r>
    </w:p>
    <w:p>
      <w:pPr>
        <w:spacing w:after="0" w:line="171"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“we,” “us” and “our” mean SPX Technologies, Inc. and its consolidated subsidiaries (“SPX” or the “Company”).</w:t>
      </w:r>
    </w:p>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prepared the condensed consolidated financial statements pursuant to the rules and regulations of the Securities and Exchange Commission (“SEC”) for interim reporting. As permitted under those rules and regulations, certain footnotes or other financial information normally required by accounting principles generally accepted in the United States (“GAAP”) can be condensed or omitted. The financial statements represent our accounts after the elimination of intercompany transactions and, in our opinion, include the adjustments (consisting only of normal and recurring items) necessary for their presentation. Unless otherwise indicated, amounts provided in these Notes pertain to continuing operations only (see Note 3 for information on discontinued operations).</w:t>
      </w:r>
    </w:p>
    <w:p>
      <w:pPr>
        <w:spacing w:after="0" w:line="1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account for investments in unconsolidated companies where we exercise significant influence but do not have control using the equity method. In determining whether we are the primary beneficiary of a variable interest entity (“VIE”), we perform a qualitative analysis that considers the design of the VIE, the nature of our involvement and the variable interests held by other parties to determine which party has the power to direct the activities of the VIE that most significantly impact the entity’s economic performance, and which party has the obligation to absorb losses or the right to receive benefits that could potentially be significant to the VIE. All of our VIE’s are immaterial, individually and in aggregate, to our condensed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TAMCO</w:t>
      </w:r>
    </w:p>
    <w:p>
      <w:pPr>
        <w:spacing w:after="0" w:line="25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April 3, 2023, we completed the acquisition of T. A. Morrison &amp; Co. Inc. (“TAMCO”), a market leader in motorized and non-motorized dampers that control airflow in large-scale specialty applications in commercial, industrial, and institutional markets. We purchased TAMCO for cash consideration of $125.5, inclusive of an adjustment to the purchase price of $0.2 paid during the third quarter of 2023 related to acquired working capital, and net of cash acquired of $1.0. The post-acquisition operating results of TAMCO are reflected within our HVAC reportable segment.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ASPEQ</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June 2, 2023, we completed the acquisition of ASPEQ Heating Group (“ASPEQ”), a leading provider of electrical heating solutions to customers in industrial and commercial markets. We purchased ASPEQ for cash consideration of $421.5, net of (i) an adjustment to the purchase price of $0.3 received during the fourth quarter of 2023 related to acquired working capital and (ii) cash acquired of $0.9. The post-acquisition operating results of ASPEQ are reflected within our HVAC reportable segment.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Ingénia</w:t>
      </w:r>
    </w:p>
    <w:p>
      <w:pPr>
        <w:spacing w:after="0" w:line="14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February 7, 2024, we completed the acquisition of Ingénia Technologies Inc. (“Ingénia”) which specializes in the design and manufacture of custom air handling units that demand high levels of precision and reliability in healthcare, pharmaceutical, education, food processing and industrial end markets. We purchased Ingénia for cash consideration of $292.0, net of (i) an adjustment to the purchase price of $2.1 during the third quarter of 2024 related to acquired working capital and (ii) cash acquired of $1.5. Under the terms of the purchase and sales agreement, the seller is eligible for additional cash consideration of up to Canadian Dollar (“CAD”) 3.0 (or $2.2 at the time of acquisition), with payment scheduled to be made in the event certain contingent liabilities do not materialize. The estimated fair value of such contingent consideration is $0.3, which is reflected as a liability in our condensed consolidated balance sheet as of September 28, 2024. The post-acquisition results of Ingénia are reflected within our HVAC reportable segment.</w:t>
      </w:r>
    </w:p>
    <w:p>
      <w:pPr>
        <w:spacing w:after="0" w:line="1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assets acquired and liabilities assumed in the Ingénia transaction have been recorded at estimates of fair value as determined by management, based on information available and assumptions as to future operations and are subject to change, primarily for the final assessment and valuation of certain income tax amounts.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Preparing financial statements requires us to make estimates and assumptions that affect the reported amounts of assets, liabilities, revenues and expenses. Actual results could differ from these estimates. The unaudited information included in this Quarterly Report on Form 10-Q should be read in conjunction with the consolidated financial statements contained in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our Annual Report on Form 10-K for the year ended December 31, 2023 (“our 2023 Annual Report on Form 10-K”). Interim results are not necessarily indicative of full year results.</w:t>
      </w:r>
    </w:p>
    <w:p>
      <w:pPr>
        <w:spacing w:after="0" w:line="12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We establish actual interim closing dates using a fiscal calendar, which requires our businesses to close their books on the Saturday closest to the end of the first calendar quarter, with the second and third quarters being 91 days in length. Our fourth quarter ends on December 31. The interim closing dates for the first, second and third quarters of 2024 are March 30, June 29, and September 28, compared to the respective April 1, July 1, and September 30 dates of 2023. We had one less day in the first quarter of 2024, and will have two more days in the fourth quarter of 2024 than in the respective 2023 periods. It is not practicable to estimate the impact of the one less day on our consolidated operating results for the nine months ended September 28, 2024, when compared to the consolidated operating results for the respective 2023 period.</w:t>
      </w:r>
    </w:p>
    <w:p>
      <w:pPr>
        <w:spacing w:after="0" w:line="200" w:lineRule="exact"/>
        <w:rPr>
          <w:sz w:val="20"/>
          <w:szCs w:val="20"/>
          <w:color w:val="auto"/>
        </w:rPr>
      </w:pPr>
    </w:p>
    <w:p>
      <w:pPr>
        <w:spacing w:after="0" w:line="246"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new accounting pronouncements that apply or may apply to our business.</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In November 2023, the FASB issued ASU No. 2023-07. Among other new disclosure requirements, ASU 2023-07 requires companies to disclose significant segment expenses that are regularly provided to the chief operating decision maker. ASU 2023-07 will be effective for annual periods beginning on January 1, 2024 and interim periods beginning on January 1, 2025. ASU 2023-07 must be applied retrospectively to all prior periods presented in the financial statements. We are currently evaluating the disclosure impact of ASU 2023-07; however, the standard will not have an impact on the Company’s condensed consolidated financial position, results of operations or cash flows.</w:t>
      </w:r>
    </w:p>
    <w:p>
      <w:pPr>
        <w:spacing w:after="0" w:line="2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currently evaluating the disclosure impact of ASU 2023-09; however, the standard will not have an impact on the Company’s condensed consolidated financial position, results of operations or cash flows.</w:t>
      </w:r>
    </w:p>
    <w:p>
      <w:pPr>
        <w:spacing w:after="0" w:line="200" w:lineRule="exact"/>
        <w:rPr>
          <w:sz w:val="20"/>
          <w:szCs w:val="20"/>
          <w:color w:val="auto"/>
        </w:rPr>
      </w:pPr>
    </w:p>
    <w:p>
      <w:pPr>
        <w:spacing w:after="0" w:line="253" w:lineRule="exact"/>
        <w:rPr>
          <w:sz w:val="20"/>
          <w:szCs w:val="20"/>
          <w:color w:val="auto"/>
        </w:rPr>
      </w:pPr>
    </w:p>
    <w:p>
      <w:pPr>
        <w:ind w:right="6420" w:firstLine="8"/>
        <w:spacing w:after="0" w:line="487" w:lineRule="auto"/>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DISCONTINUED OPERATIONS Acquisitions</w:t>
      </w:r>
    </w:p>
    <w:p>
      <w:pPr>
        <w:spacing w:after="0" w:line="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indicated in Note 1, on April 3, 2023, we completed the acquisition of TAMCO. The pro forma effect of this acquisition is not material to our condensed consolidated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Ingénia</w:t>
      </w:r>
    </w:p>
    <w:p>
      <w:pPr>
        <w:spacing w:after="0" w:line="2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indicated in Note 1, on February 7, 2024, we completed the acquisition of Ingénia, for $292.0, net of (i) an adjustment to the purchase price of $2.1 during the third quarter of 2024 related to acquired working capital and (ii) cash acquired of $1.5. We financed the acquisition with available borrowings on our revolving credit facilities under our senior credit facilities. The assets acquired and liabilities assumed have been recorded at preliminary estimates of fair value as determined by management, based on information currently available and on current assumptions as to future operations and are subject to change upon completion of the acquisition method of accounting. Final determination of the fair values of certain assets and liabilities will be completed within the measurement period of up to one year from the acquisition date, as permitted under GAAP. The excess of the purchase price over the total of the estimated fair values assigned to tangible and identifiable intangible assets acquired and liabilities assumed is recognized as goodwill. In order to determine the fair values of tangible and intangible assets acquired and liabilities assumed for Ingénia, we engaged a third-party independent valuation specialist.</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recorded preliminary fair values of the assets acquired and liabilities assumed for Ingénia as of February 7,</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9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assets, including cash and equivalents of $1.5</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19"/>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13"/>
        </w:trPr>
        <w:tc>
          <w:tcPr>
            <w:tcW w:w="9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r>
      <w:tr>
        <w:trPr>
          <w:trHeight w:val="219"/>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r>
      <w:tr>
        <w:trPr>
          <w:trHeight w:val="213"/>
        </w:trPr>
        <w:tc>
          <w:tcPr>
            <w:tcW w:w="9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2"/>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w:t>
            </w:r>
          </w:p>
        </w:tc>
      </w:tr>
      <w:tr>
        <w:trPr>
          <w:trHeight w:val="257"/>
        </w:trPr>
        <w:tc>
          <w:tcPr>
            <w:tcW w:w="90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 assumed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and other income taxes</w:t>
            </w: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r>
      <w:tr>
        <w:trPr>
          <w:trHeight w:val="259"/>
        </w:trPr>
        <w:tc>
          <w:tcPr>
            <w:tcW w:w="906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r>
      <w:tr>
        <w:trPr>
          <w:trHeight w:val="207"/>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293.5</w:t>
            </w:r>
          </w:p>
        </w:tc>
      </w:tr>
      <w:tr>
        <w:trPr>
          <w:trHeight w:val="23"/>
        </w:trPr>
        <w:tc>
          <w:tcPr>
            <w:tcW w:w="90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identifiable intangible assets acquired consist of technology, customer relationships, trademarks, and customer backlog of $46.7, $23.5, $13.9, and $13.8, respectively, with such amounts based on a preliminary assessment of the related fair values. We expect to amortize the technology, customer relationships, trademarks, and customer backlog assets over 12.0, 7.0, 8.0, and 1.0 years, respectively.</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acquired gross receivables of $16.1, which had the same fair value at the acquisition date based on our estimates of cash flows expected to be recovered.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qualitative factors that comprise the recorded goodwill include expected market growth for Ingénia's existing operations, increased volumes achieved by selling Ingénia’s products through existing SPX sales channels, procurement and operational savings and efficiencies, and various other factors. We expect none of the goodwill described above to be deductible for tax purposes.</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recognized revenues and net income for Ingénia of $19.7 and $1.1, and $53.8 and $3.4, respectively, for the three and nine months ended September 28, 2024, with net income impacted by charges during the three and nine months ended September 28, 2024 of (i) $5.1 and $13.7, respectively, associated with amortization of the various intangible assets mentioned above and (ii) $0.0 and $1.8, respectively, associated with the excess fair value (over historical cost) of inventory acquired which was subsequently sold.</w:t>
      </w:r>
    </w:p>
    <w:p>
      <w:pPr>
        <w:spacing w:after="0" w:line="20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during the three and nine months ended September 28, 2024, we incurred acquisition-related costs for Ingénia of $0.2 and $3.1, respectively, which have been recorded to “Selling, general and administrative” within our condensed consolidated statements of operations and “Corporate expense” within consolidated operating income, as further described in Note 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ASPEQ</w:t>
      </w:r>
    </w:p>
    <w:p>
      <w:pPr>
        <w:spacing w:after="0" w:line="25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As indicated in Note 1, on June 2, 2023, we completed the acquisition of ASPEQ for $421.5, net of (i) an adjustment to the purchase price of $0.3 received during the fourth quarter of 2023 related to acquired working capital and (ii) cash acquired of $0.9. We financed the acquisition with available cash and borrowings under our senior credit facilities. The excess of the purchase price over the total of the fair values assigned to tangible and identifiable intangible assets acquired and liabilities assumed is recognized as goodwill. In order to determine the fair values of tangible and intangible assets acquired and liabilities assumed for ASPEQ, we engaged a third-party independent valuation specialist.</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color w:val="auto"/>
        </w:rPr>
        <w:t>The following is a summary of the recorded final fair values of the assets acquired and liabilities assumed for ASPEQ as of June 2, 2023:</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assets, including cash and equivalents of $0.9</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3"/>
        </w:trPr>
        <w:tc>
          <w:tcPr>
            <w:tcW w:w="9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0" w:type="dxa"/>
            <w:vAlign w:val="bottom"/>
          </w:tcPr>
          <w:p>
            <w:pPr>
              <w:spacing w:after="0"/>
              <w:rPr>
                <w:sz w:val="1"/>
                <w:szCs w:val="1"/>
                <w:color w:val="auto"/>
              </w:rPr>
            </w:pPr>
          </w:p>
        </w:tc>
      </w:tr>
      <w:tr>
        <w:trPr>
          <w:trHeight w:val="213"/>
        </w:trPr>
        <w:tc>
          <w:tcPr>
            <w:tcW w:w="9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0" w:type="dxa"/>
            <w:vAlign w:val="bottom"/>
          </w:tcPr>
          <w:p>
            <w:pPr>
              <w:spacing w:after="0"/>
              <w:rPr>
                <w:sz w:val="1"/>
                <w:szCs w:val="1"/>
                <w:color w:val="auto"/>
              </w:rPr>
            </w:pPr>
          </w:p>
        </w:tc>
      </w:tr>
      <w:tr>
        <w:trPr>
          <w:trHeight w:val="257"/>
        </w:trPr>
        <w:tc>
          <w:tcPr>
            <w:tcW w:w="90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 assumed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6"/>
        </w:trPr>
        <w:tc>
          <w:tcPr>
            <w:tcW w:w="9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Non-current liabilities assumed </w:t>
            </w:r>
            <w:r>
              <w:rPr>
                <w:rFonts w:ascii="Times New Roman" w:cs="Times New Roman" w:eastAsia="Times New Roman" w:hAnsi="Times New Roman"/>
                <w:sz w:val="21"/>
                <w:szCs w:val="21"/>
                <w:color w:val="auto"/>
                <w:vertAlign w:val="superscript"/>
              </w:rPr>
              <w:t>(1)</w:t>
            </w: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57"/>
        </w:trPr>
        <w:tc>
          <w:tcPr>
            <w:tcW w:w="906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0" w:type="dxa"/>
            <w:vAlign w:val="bottom"/>
          </w:tcPr>
          <w:p>
            <w:pPr>
              <w:spacing w:after="0"/>
              <w:rPr>
                <w:sz w:val="1"/>
                <w:szCs w:val="1"/>
                <w:color w:val="auto"/>
              </w:rPr>
            </w:pPr>
          </w:p>
        </w:tc>
      </w:tr>
      <w:tr>
        <w:trPr>
          <w:trHeight w:val="26"/>
        </w:trPr>
        <w:tc>
          <w:tcPr>
            <w:tcW w:w="9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w:t>
            </w:r>
          </w:p>
        </w:tc>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9060" w:type="dxa"/>
            <w:vAlign w:val="bottom"/>
            <w:vMerge w:val="continue"/>
          </w:tcPr>
          <w:p>
            <w:pPr>
              <w:spacing w:after="0"/>
              <w:rPr>
                <w:sz w:val="22"/>
                <w:szCs w:val="22"/>
                <w:color w:val="auto"/>
              </w:rPr>
            </w:pPr>
          </w:p>
        </w:tc>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40" w:hanging="308"/>
        <w:spacing w:after="0" w:line="232" w:lineRule="auto"/>
        <w:tabs>
          <w:tab w:leader="none" w:pos="64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net deferred income tax liabilities and other liabilities of $56.4 and $1.0, respectively.</w:t>
      </w:r>
    </w:p>
    <w:p>
      <w:pPr>
        <w:spacing w:after="0" w:line="33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identifiable intangible assets acquired consist of customer relationships, trademarks, technology, and customer backlog of $142.3, $51.5, $47.8, and $4.5, respectively, with such amounts based on a final assessment of the related fair values. We expect to amortize the ASPEQ customer relationships, technology, and customer backlog assets over 12.0, 16.0, and 1.0 years, respectively, with the trademarks acquired being indefinite-lived.</w:t>
      </w:r>
    </w:p>
    <w:p>
      <w:pPr>
        <w:spacing w:after="0" w:line="21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acquired gross receivables of $18.0, which had a fair value at the acquisition date of $17.8, respectively, based on our estimates of cash flows expected to be recovered.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qualitative factors that comprise the recorded goodwill include expected market growth for ASPEQ’s existing operations, increased volumes achieved by selling ASPEQ’s products through existing SPX sales channels, procurement and operational savings and efficiencies, and various other factors.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unaudited pro forma information presents our condensed consolidated results of operations for the three and nine months ended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September 28, 2024 and September 30, 2023, respectively, as if the acquisitions of Ingénia and ASPEQ had taken place on January 1, 2023 and January 1, 2022, respectively. The unaudited pro forma financial information is not intended to represent or be indicative of our condensed consolidated results of operations that would have been reported had the acquisitions been completed as of the dates presented, and should not be taken as representative of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future consolidated results of operations. The pro forma results include estimates and assumptions that management believes are reasonable; however, these results do not include any anticipated cost savings or expenses of the planned integration of Ingénia and ASPEQ. These pro forma consolidated results of operations have been prepared for comparative purposes only and include additional interest expense on the borrowings required to finance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acquisitions, additional depreciation and amortization expense associated with fair value adjustments to the acquired property, plant and equipment and intangible assets, adjustments to reflect charges associated with acquisition and integration-related costs and charges associated with the excess fair value (over historical cost) of inventory acquired and subsequently sold as if they were incurred beginning in the first quarter of 2023 for Ingénia and first quarter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2022 for ASPEQ, and the related income tax effects.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2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4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45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16"/>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483.7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1,366.1</w:t>
            </w: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4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57"/>
        </w:trPr>
        <w:tc>
          <w:tcPr>
            <w:tcW w:w="4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per share of common stock:</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57"/>
        </w:trPr>
        <w:tc>
          <w:tcPr>
            <w:tcW w:w="4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share of common stock:</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0.99</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Wind-Down of DBT Business</w:t>
      </w:r>
    </w:p>
    <w:p>
      <w:pPr>
        <w:spacing w:after="0" w:line="25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completed the wind-down of our DBT Technologies (PTY) LTD (“DBT”) business after ceasing all operations, including those related to two large power projects in South Africa (Kusile and Medupi), in the fourth quarter of 2021. As a result of completing the wind-down plan, we are reporting DBT as a discontinued operation for all periods presented. As previously disclosed, DBT had asserted claims against the remaining prime contractor on the large projects, Mitsubishi Heavy Industries Power — ZAF (f.k.a. Mitsubishi-Hitachi Power Systems Africa (PTY) LTD) (“MHI”), which had also asserted claims against DBT.</w:t>
      </w:r>
    </w:p>
    <w:p>
      <w:pPr>
        <w:spacing w:after="0" w:line="22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previously disclosed in our 2023 Annual Report on Form 10-K, on September 5, 2023, DBT and SPX entered into an agreement with MHI to resolve all claims between the parties with respect to the two large power projects in South Africa (the “Settlement Agreement”). The Settlement Agreement provides for full and final settlement and mutual release of all claims between the parties with respect to the projects, including any claim against SPX Technologies, Inc. as guarantor of DBT's performance on the projects. It also provides that the underlying subcontracts are terminated and all obligations of both parties under the subcontracts have been satisfied in full. In connection with the Settlement Agreement, we incurred a charge, net of tax, of $54.2 during the three months ended September 30, 2023. The charge included the write-off of $15.2 in net amounts due from MHI. Such charge is included in “Loss on disposition of discontinued operations, net of tax” for the three and nine months ended September 30, 2023.</w:t>
      </w:r>
    </w:p>
    <w:p>
      <w:pPr>
        <w:spacing w:after="0" w:line="20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the Settlement Agreement, on February 22, 2021, a dispute adjudication panel issued a ruling in favor of DBT against MHI related to costs incurred in connection with delays on two units of the Kusile project. In connection with the ruling, DBT received South African Rand 126.6 (or $8.6 at the time of payment). This ruling was subject to final and binding arbitration in this matter. In March 2023, an arbitration tribunal upheld the decision of the dispute adjudication panel. As a result, South African Rand 126.6 (or $7.0) was recorded as income during the first quarter of 2023, with such amount recorded within “Loss on disposition of discontinued operations, net of tax.” Additionally, in June 2023, the arbitration tribunal ruled DBT was entitled to recover $1.3 of legal costs incurred related to the arbitration. Such amount was recorded to “Loss on disposition of discontinued operations, net of tax” during the second quarter of 2023 with the cash payment received during the nine months ended September 30, 2023.</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in May 2023, a separate arbitration tribunal ruled DBT was entitled to recover $5.5 of legal costs incurred related to another prior arbitration. Such amount was recorded within “Loss on disposition of discontinued operations, net of tax” during the second quarter of 2023 with the cash payment received during the nine months ended September 30, 2023.</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11" w:name="page12"/>
    <w:bookmarkEnd w:id="1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assets and liabilities of DBT have been included within “Assets of DBT and Heat Transfer” and “Liabilities of DBT and Heat Transfer,” respectively, on the condensed consolidated balance sheets as of September 28, 2024 and December 31, 2023. The major line items constituting DBT’s assets and liabilities as of September 28, 2024 and December 31, 2023 are shown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equivalents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current assets</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260" w:type="dxa"/>
            <w:vAlign w:val="bottom"/>
          </w:tcPr>
          <w:p>
            <w:pPr>
              <w:spacing w:after="0"/>
              <w:rPr>
                <w:sz w:val="18"/>
                <w:szCs w:val="18"/>
                <w:color w:val="auto"/>
              </w:rPr>
            </w:pPr>
          </w:p>
        </w:tc>
        <w:tc>
          <w:tcPr>
            <w:tcW w:w="2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Machinery and equipment</w:t>
            </w:r>
          </w:p>
        </w:tc>
        <w:tc>
          <w:tcPr>
            <w:tcW w:w="26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7"/>
        </w:trPr>
        <w:tc>
          <w:tcPr>
            <w:tcW w:w="66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6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7"/>
        </w:trPr>
        <w:tc>
          <w:tcPr>
            <w:tcW w:w="66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top w:val="single" w:sz="8" w:color="auto"/>
              <w:bottom w:val="single" w:sz="8" w:color="auto"/>
            </w:tcBorders>
          </w:tcPr>
          <w:p>
            <w:pPr>
              <w:spacing w:after="0"/>
              <w:rPr>
                <w:sz w:val="17"/>
                <w:szCs w:val="17"/>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5"/>
        </w:trPr>
        <w:tc>
          <w:tcPr>
            <w:tcW w:w="6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assets of DBT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Accounts payable</w:t>
            </w:r>
            <w:r>
              <w:rPr>
                <w:rFonts w:ascii="Times New Roman" w:cs="Times New Roman" w:eastAsia="Times New Roman" w:hAnsi="Times New Roman"/>
                <w:sz w:val="21"/>
                <w:szCs w:val="21"/>
                <w:color w:val="auto"/>
                <w:vertAlign w:val="superscript"/>
              </w:rPr>
              <w:t>(1)(2)</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Contract liabilities</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Accrued expenses</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long-term liabilities</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32"/>
        </w:trPr>
        <w:tc>
          <w:tcPr>
            <w:tcW w:w="6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liabilities of DBT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57" w:lineRule="exact"/>
        <w:rPr>
          <w:sz w:val="20"/>
          <w:szCs w:val="20"/>
          <w:color w:val="auto"/>
        </w:rPr>
      </w:pPr>
    </w:p>
    <w:p>
      <w:pPr>
        <w:ind w:left="660" w:hanging="166"/>
        <w:spacing w:after="0" w:line="225" w:lineRule="auto"/>
        <w:tabs>
          <w:tab w:leader="none" w:pos="679"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Balances relate primarily to disputed amounts due to or from a subcontractor engaged by DBT during the Kusile project, that is currently in liquidation. The timing of the ultimate resolution of these matters is uncertain as they are likely to occur as part of the liquidation process.</w:t>
      </w:r>
    </w:p>
    <w:p>
      <w:pPr>
        <w:spacing w:after="0" w:line="222" w:lineRule="exact"/>
        <w:rPr>
          <w:rFonts w:ascii="Times New Roman" w:cs="Times New Roman" w:eastAsia="Times New Roman" w:hAnsi="Times New Roman"/>
          <w:sz w:val="21"/>
          <w:szCs w:val="21"/>
          <w:color w:val="auto"/>
          <w:vertAlign w:val="superscript"/>
        </w:rPr>
      </w:pPr>
    </w:p>
    <w:p>
      <w:pPr>
        <w:jc w:val="both"/>
        <w:ind w:left="660" w:hanging="166"/>
        <w:spacing w:after="0" w:line="242" w:lineRule="auto"/>
        <w:tabs>
          <w:tab w:leader="none" w:pos="677"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At December 31, 2023, the balance included DBT's remaining obligation under the Settlement Agreement to make a payment to MHI of South African Rand 480.9 (or $26.2 at December 31, 2023), which was paid ($27.1 at the time of payment) during the third quarter of 2024. In connection with this remaining obligation, we entered into a foreign currency forward contract which we accounted for as a fair value hedge and matured at the time of the final payment to MHI. The resulting cash received of $2.0 is presented within “Net cash used in discontinued operations” within the condensed consolidated statement of cash flows for the nine months ended September 28, 2024. Refer to Note 13 for additional details. There are no further payment obligations to MHI under the terms of the Settlement Agreement.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Wind-Down of the Heat Transfer Business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completed the wind-down of our SPX Heat Transfer (“Heat Transfer”) business in the fourth quarter of 2020. As a result of completing the wind-down plan, we are reporting Heat Transfer as a discontinued operation for all periods presented.</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assets and liabilities of Heat Transfer have been included within “Assets of DBT and Heat Transfer” and “Liabilities of DBT and Heat Transfer,” respectively, on the condensed consolidated balance sheets as of September 28, 2024 and December 31, 2023. The major line items constituting Heat Transfer’s assets and liabilities as of September 28, 2024 and December 31, 2023 are shown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840" w:type="dxa"/>
            <w:vAlign w:val="bottom"/>
          </w:tcPr>
          <w:p>
            <w:pPr>
              <w:jc w:val="right"/>
              <w:ind w:right="16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7"/>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assets of Heat Transfer</w:t>
            </w:r>
          </w:p>
        </w:tc>
        <w:tc>
          <w:tcPr>
            <w:tcW w:w="1840" w:type="dxa"/>
            <w:vAlign w:val="bottom"/>
            <w:tcBorders>
              <w:top w:val="single" w:sz="8" w:color="auto"/>
              <w:bottom w:val="single" w:sz="8" w:color="auto"/>
            </w:tcBorders>
          </w:tcPr>
          <w:p>
            <w:pPr>
              <w:jc w:val="right"/>
              <w:ind w:right="16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8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r>
      <w:tr>
        <w:trPr>
          <w:trHeight w:val="213"/>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40" w:type="dxa"/>
            <w:vAlign w:val="bottom"/>
            <w:tcBorders>
              <w:bottom w:val="single" w:sz="8" w:color="auto"/>
            </w:tcBorders>
          </w:tcPr>
          <w:p>
            <w:pPr>
              <w:jc w:val="right"/>
              <w:ind w:right="16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34"/>
        </w:trPr>
        <w:tc>
          <w:tcPr>
            <w:tcW w:w="6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liabilities of Heat Transfer</w:t>
            </w:r>
          </w:p>
        </w:tc>
        <w:tc>
          <w:tcPr>
            <w:tcW w:w="1840" w:type="dxa"/>
            <w:vAlign w:val="bottom"/>
            <w:tcBorders>
              <w:bottom w:val="single" w:sz="8" w:color="auto"/>
            </w:tcBorders>
            <w:shd w:val="clear" w:color="auto" w:fill="CCEEFF"/>
          </w:tcPr>
          <w:p>
            <w:pPr>
              <w:jc w:val="right"/>
              <w:ind w:right="16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 w:name="page13"/>
    <w:bookmarkEnd w:id="12"/>
    <w:p>
      <w:pPr>
        <w:ind w:firstLine="648"/>
        <w:spacing w:after="0" w:line="266" w:lineRule="auto"/>
        <w:rPr>
          <w:sz w:val="20"/>
          <w:szCs w:val="20"/>
          <w:color w:val="auto"/>
        </w:rPr>
      </w:pPr>
      <w:r>
        <w:rPr>
          <w:rFonts w:ascii="Times New Roman" w:cs="Times New Roman" w:eastAsia="Times New Roman" w:hAnsi="Times New Roman"/>
          <w:sz w:val="18"/>
          <w:szCs w:val="18"/>
          <w:color w:val="auto"/>
        </w:rPr>
        <w:t>Changes in estimates associated with liabilities retained in connection with a business divestiture (e.g. income taxes) may occur. As a result, it is possible that the resulting gains/losses on these and other previous divestitures may be materially adjusted in subsequent periods.</w:t>
      </w:r>
    </w:p>
    <w:p>
      <w:pPr>
        <w:spacing w:after="0" w:line="9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28, 2024 and September 30, 2023, results of operations from our businesses reported as discontinued operations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320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44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02"/>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DBT</w:t>
            </w:r>
          </w:p>
        </w:tc>
        <w:tc>
          <w:tcPr>
            <w:tcW w:w="1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16"/>
        </w:trPr>
        <w:tc>
          <w:tcPr>
            <w:tcW w:w="44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Loss from discontinued operations </w:t>
            </w:r>
            <w:r>
              <w:rPr>
                <w:rFonts w:ascii="Times New Roman" w:cs="Times New Roman" w:eastAsia="Times New Roman" w:hAnsi="Times New Roman"/>
                <w:sz w:val="21"/>
                <w:szCs w:val="21"/>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07"/>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w:t>
            </w: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w:t>
            </w:r>
          </w:p>
        </w:tc>
      </w:tr>
      <w:tr>
        <w:trPr>
          <w:trHeight w:val="199"/>
        </w:trPr>
        <w:tc>
          <w:tcPr>
            <w:tcW w:w="4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8"/>
        </w:trPr>
        <w:tc>
          <w:tcPr>
            <w:tcW w:w="444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 xml:space="preserve">Loss from discontinued operations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60" w:type="dxa"/>
            <w:vAlign w:val="bottom"/>
          </w:tcPr>
          <w:p>
            <w:pPr>
              <w:spacing w:after="0"/>
              <w:rPr>
                <w:sz w:val="18"/>
                <w:szCs w:val="18"/>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199"/>
        </w:trPr>
        <w:tc>
          <w:tcPr>
            <w:tcW w:w="4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2"/>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w:t>
            </w: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64" w:lineRule="exact"/>
        <w:rPr>
          <w:sz w:val="20"/>
          <w:szCs w:val="20"/>
          <w:color w:val="auto"/>
        </w:rPr>
      </w:pPr>
    </w:p>
    <w:p>
      <w:pPr>
        <w:jc w:val="both"/>
        <w:ind w:left="660" w:hanging="328"/>
        <w:spacing w:after="0" w:line="231" w:lineRule="auto"/>
        <w:tabs>
          <w:tab w:leader="none" w:pos="64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for the three and nine months ended September 30, 2023 resulted primarily from the charge, and related income tax impacts, recorded in connection with the Settlement Agreement referred to above and legal costs incurred in connection with the various dispute resolution matters. This loss for the nine months ended September 30, 2023 was partially offset by the arbitration awards received, which are discussed above.</w:t>
      </w:r>
    </w:p>
    <w:p>
      <w:pPr>
        <w:spacing w:after="0" w:line="101" w:lineRule="exact"/>
        <w:rPr>
          <w:rFonts w:ascii="Times New Roman" w:cs="Times New Roman" w:eastAsia="Times New Roman" w:hAnsi="Times New Roman"/>
          <w:sz w:val="21"/>
          <w:szCs w:val="21"/>
          <w:color w:val="auto"/>
          <w:vertAlign w:val="superscript"/>
        </w:rPr>
      </w:pPr>
    </w:p>
    <w:p>
      <w:pPr>
        <w:ind w:left="660" w:hanging="328"/>
        <w:spacing w:after="0" w:line="225" w:lineRule="auto"/>
        <w:tabs>
          <w:tab w:leader="none" w:pos="64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for the three and nine months ended September 28, 2024 and September 30, 2023 resulted primarily from revisions to liabilities retained in connection with prior dispositions.</w:t>
      </w:r>
    </w:p>
    <w:p>
      <w:pPr>
        <w:spacing w:after="0" w:line="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Net cash used in discontinued operations for the nine months ended September 28, 2024 related primarily to the final cash payment of South African Rand 480.9 ($27.1 at time of payment) made by DBT to MHI during the three months ended September 28, 2024 in connection with the Settlement Agreement, partially offset by $2.0 from the foreign currency forward contract mentioned above.</w:t>
      </w:r>
    </w:p>
    <w:p>
      <w:pPr>
        <w:spacing w:after="0" w:line="21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Net cash used in discontinued operations for the nine months ended September 30, 2023 related primarily to (i) cash payments of $25.3 made by DBT to MHI during the three months ended September 30, 2023 in connection with the Settlement Agreement, (ii) disbursements of $14.5 for professional fees and support costs incurred principally in connection with the claims resolved by the Settlement Agreement, and (iii) local taxes of $3.8 paid in South Africa, which we subsequently recovered during the fourth quarter of 2023, partially offset by recovery of legal costs we were awarded in arbitration proceeds between DBT and MHI of $6.8 mentioned above.</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3" w:name="page14"/>
    <w:bookmarkEnd w:id="13"/>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FROM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disaggregate revenue from contracts with customers by major product line and based on the timing of recognition for each of our reportable segments, as we believe such disaggregation best depicts how the nature, amount, timing, and uncertainty of our revenues and cash flows are affected by economic factors, with such disaggregation presented below for the three and nine months ended September 28, 2024 and September 30, 2023:</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44062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Major product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140" w:right="140"/>
        <w:spacing w:after="0" w:line="281" w:lineRule="auto"/>
        <w:rPr>
          <w:sz w:val="20"/>
          <w:szCs w:val="20"/>
          <w:color w:val="auto"/>
        </w:rPr>
      </w:pPr>
      <w:r>
        <w:rPr>
          <w:rFonts w:ascii="Times New Roman" w:cs="Times New Roman" w:eastAsia="Times New Roman" w:hAnsi="Times New Roman"/>
          <w:sz w:val="16"/>
          <w:szCs w:val="16"/>
          <w:color w:val="auto"/>
        </w:rPr>
        <w:t>Package and process cooling equipment and services, and engineered air movement solutions Boilers, electrical heating, and ventilation</w:t>
      </w:r>
    </w:p>
    <w:p>
      <w:pPr>
        <w:spacing w:after="0" w:line="1" w:lineRule="exact"/>
        <w:rPr>
          <w:sz w:val="20"/>
          <w:szCs w:val="20"/>
          <w:color w:val="auto"/>
        </w:rPr>
      </w:pPr>
    </w:p>
    <w:p>
      <w:pPr>
        <w:ind w:left="140" w:right="760"/>
        <w:spacing w:after="0" w:line="316" w:lineRule="auto"/>
        <w:rPr>
          <w:sz w:val="20"/>
          <w:szCs w:val="20"/>
          <w:color w:val="auto"/>
        </w:rPr>
      </w:pPr>
      <w:r>
        <w:rPr>
          <w:rFonts w:ascii="Times New Roman" w:cs="Times New Roman" w:eastAsia="Times New Roman" w:hAnsi="Times New Roman"/>
          <w:sz w:val="16"/>
          <w:szCs w:val="16"/>
          <w:color w:val="auto"/>
        </w:rPr>
        <w:t>Underground locators, inspection and rehabilitation equipment, and robotic systems Communication technologies, aids to navigation, and transportation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Timing of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Revenues recognized at a point in time</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Revenues recognized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44062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Major product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140" w:right="140"/>
        <w:spacing w:after="0" w:line="281" w:lineRule="auto"/>
        <w:rPr>
          <w:sz w:val="20"/>
          <w:szCs w:val="20"/>
          <w:color w:val="auto"/>
        </w:rPr>
      </w:pPr>
      <w:r>
        <w:rPr>
          <w:rFonts w:ascii="Times New Roman" w:cs="Times New Roman" w:eastAsia="Times New Roman" w:hAnsi="Times New Roman"/>
          <w:sz w:val="16"/>
          <w:szCs w:val="16"/>
          <w:color w:val="auto"/>
        </w:rPr>
        <w:t>Package and process cooling equipment and services, and engineered air movement solutions Boilers, electrical heating, and ventilation</w:t>
      </w:r>
    </w:p>
    <w:p>
      <w:pPr>
        <w:spacing w:after="0" w:line="1" w:lineRule="exact"/>
        <w:rPr>
          <w:sz w:val="20"/>
          <w:szCs w:val="20"/>
          <w:color w:val="auto"/>
        </w:rPr>
      </w:pPr>
    </w:p>
    <w:p>
      <w:pPr>
        <w:ind w:left="140" w:right="760"/>
        <w:spacing w:after="0" w:line="316" w:lineRule="auto"/>
        <w:rPr>
          <w:sz w:val="20"/>
          <w:szCs w:val="20"/>
          <w:color w:val="auto"/>
        </w:rPr>
      </w:pPr>
      <w:r>
        <w:rPr>
          <w:rFonts w:ascii="Times New Roman" w:cs="Times New Roman" w:eastAsia="Times New Roman" w:hAnsi="Times New Roman"/>
          <w:sz w:val="16"/>
          <w:szCs w:val="16"/>
          <w:color w:val="auto"/>
        </w:rPr>
        <w:t>Underground locators, inspection and rehabilitation equipment, and robotic systems Communication technologies, aids to navigation, and transportation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Timing of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Revenues recognized at a point in time</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Revenues recognized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44062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Major product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140" w:right="140"/>
        <w:spacing w:after="0" w:line="281" w:lineRule="auto"/>
        <w:rPr>
          <w:sz w:val="20"/>
          <w:szCs w:val="20"/>
          <w:color w:val="auto"/>
        </w:rPr>
      </w:pPr>
      <w:r>
        <w:rPr>
          <w:rFonts w:ascii="Times New Roman" w:cs="Times New Roman" w:eastAsia="Times New Roman" w:hAnsi="Times New Roman"/>
          <w:sz w:val="16"/>
          <w:szCs w:val="16"/>
          <w:color w:val="auto"/>
        </w:rPr>
        <w:t>Package and process cooling equipment and services, and engineered air movement solutions Boilers, electrical heating, and ventilation</w:t>
      </w:r>
    </w:p>
    <w:p>
      <w:pPr>
        <w:spacing w:after="0" w:line="1" w:lineRule="exact"/>
        <w:rPr>
          <w:sz w:val="20"/>
          <w:szCs w:val="20"/>
          <w:color w:val="auto"/>
        </w:rPr>
      </w:pPr>
    </w:p>
    <w:p>
      <w:pPr>
        <w:ind w:left="140" w:right="760"/>
        <w:spacing w:after="0" w:line="316" w:lineRule="auto"/>
        <w:rPr>
          <w:sz w:val="20"/>
          <w:szCs w:val="20"/>
          <w:color w:val="auto"/>
        </w:rPr>
      </w:pPr>
      <w:r>
        <w:rPr>
          <w:rFonts w:ascii="Times New Roman" w:cs="Times New Roman" w:eastAsia="Times New Roman" w:hAnsi="Times New Roman"/>
          <w:sz w:val="16"/>
          <w:szCs w:val="16"/>
          <w:color w:val="auto"/>
        </w:rPr>
        <w:t>Underground locators, inspection and rehabilitation equipment, and robotic systems Communication technologies, aids to navigation, and transportation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Timing of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Revenues recognized at a point in time</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Revenues recognized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September 28,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HVAC</w:t>
            </w:r>
          </w:p>
        </w:tc>
        <w:tc>
          <w:tcPr>
            <w:tcW w:w="100" w:type="dxa"/>
            <w:vAlign w:val="bottom"/>
            <w:tcBorders>
              <w:top w:val="single" w:sz="8" w:color="auto"/>
            </w:tcBorders>
            <w:vMerge w:val="restart"/>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Detection and</w:t>
            </w: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Measurement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29"/>
        </w:trPr>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19"/>
        </w:trPr>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0" w:type="dxa"/>
            <w:vAlign w:val="bottom"/>
          </w:tcPr>
          <w:p>
            <w:pPr>
              <w:spacing w:after="0"/>
              <w:rPr>
                <w:sz w:val="1"/>
                <w:szCs w:val="1"/>
                <w:color w:val="auto"/>
              </w:rPr>
            </w:pPr>
          </w:p>
        </w:tc>
      </w:tr>
      <w:tr>
        <w:trPr>
          <w:trHeight w:val="210"/>
        </w:trPr>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483.7</w:t>
            </w:r>
          </w:p>
        </w:tc>
        <w:tc>
          <w:tcPr>
            <w:tcW w:w="0" w:type="dxa"/>
            <w:vAlign w:val="bottom"/>
          </w:tcPr>
          <w:p>
            <w:pPr>
              <w:spacing w:after="0"/>
              <w:rPr>
                <w:sz w:val="1"/>
                <w:szCs w:val="1"/>
                <w:color w:val="auto"/>
              </w:rPr>
            </w:pPr>
          </w:p>
        </w:tc>
      </w:tr>
      <w:tr>
        <w:trPr>
          <w:trHeight w:val="23"/>
        </w:trPr>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0" w:type="dxa"/>
            <w:vAlign w:val="bottom"/>
          </w:tcPr>
          <w:p>
            <w:pPr>
              <w:spacing w:after="0"/>
              <w:rPr>
                <w:sz w:val="1"/>
                <w:szCs w:val="1"/>
                <w:color w:val="auto"/>
              </w:rPr>
            </w:pPr>
          </w:p>
        </w:tc>
      </w:tr>
      <w:tr>
        <w:trPr>
          <w:trHeight w:val="219"/>
        </w:trPr>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0"/>
        </w:trPr>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483.7</w:t>
            </w:r>
          </w:p>
        </w:tc>
        <w:tc>
          <w:tcPr>
            <w:tcW w:w="0" w:type="dxa"/>
            <w:vAlign w:val="bottom"/>
          </w:tcPr>
          <w:p>
            <w:pPr>
              <w:spacing w:after="0"/>
              <w:rPr>
                <w:sz w:val="1"/>
                <w:szCs w:val="1"/>
                <w:color w:val="auto"/>
              </w:rPr>
            </w:pPr>
          </w:p>
        </w:tc>
      </w:tr>
      <w:tr>
        <w:trPr>
          <w:trHeight w:val="23"/>
        </w:trPr>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color w:val="auto"/>
        </w:rPr>
        <w:t>Nine months ended September 28,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HVAC</w:t>
            </w:r>
          </w:p>
        </w:tc>
        <w:tc>
          <w:tcPr>
            <w:tcW w:w="100" w:type="dxa"/>
            <w:vAlign w:val="bottom"/>
            <w:tcBorders>
              <w:top w:val="single" w:sz="8" w:color="auto"/>
            </w:tcBorders>
            <w:vMerge w:val="restart"/>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Detection and</w:t>
            </w: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Measurement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29"/>
        </w:trPr>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0" w:type="dxa"/>
            <w:vAlign w:val="bottom"/>
          </w:tcPr>
          <w:p>
            <w:pPr>
              <w:spacing w:after="0"/>
              <w:rPr>
                <w:sz w:val="1"/>
                <w:szCs w:val="1"/>
                <w:color w:val="auto"/>
              </w:rPr>
            </w:pPr>
          </w:p>
        </w:tc>
      </w:tr>
      <w:tr>
        <w:trPr>
          <w:trHeight w:val="219"/>
        </w:trPr>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0" w:type="dxa"/>
            <w:vAlign w:val="bottom"/>
          </w:tcPr>
          <w:p>
            <w:pPr>
              <w:spacing w:after="0"/>
              <w:rPr>
                <w:sz w:val="1"/>
                <w:szCs w:val="1"/>
                <w:color w:val="auto"/>
              </w:rPr>
            </w:pPr>
          </w:p>
        </w:tc>
      </w:tr>
      <w:tr>
        <w:trPr>
          <w:trHeight w:val="210"/>
        </w:trPr>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1,450.2</w:t>
            </w:r>
          </w:p>
        </w:tc>
        <w:tc>
          <w:tcPr>
            <w:tcW w:w="0" w:type="dxa"/>
            <w:vAlign w:val="bottom"/>
          </w:tcPr>
          <w:p>
            <w:pPr>
              <w:spacing w:after="0"/>
              <w:rPr>
                <w:sz w:val="1"/>
                <w:szCs w:val="1"/>
                <w:color w:val="auto"/>
              </w:rPr>
            </w:pPr>
          </w:p>
        </w:tc>
      </w:tr>
      <w:tr>
        <w:trPr>
          <w:trHeight w:val="23"/>
        </w:trPr>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1,288.5</w:t>
            </w:r>
          </w:p>
        </w:tc>
        <w:tc>
          <w:tcPr>
            <w:tcW w:w="0" w:type="dxa"/>
            <w:vAlign w:val="bottom"/>
          </w:tcPr>
          <w:p>
            <w:pPr>
              <w:spacing w:after="0"/>
              <w:rPr>
                <w:sz w:val="1"/>
                <w:szCs w:val="1"/>
                <w:color w:val="auto"/>
              </w:rPr>
            </w:pPr>
          </w:p>
        </w:tc>
      </w:tr>
      <w:tr>
        <w:trPr>
          <w:trHeight w:val="219"/>
        </w:trPr>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0" w:type="dxa"/>
            <w:vAlign w:val="bottom"/>
          </w:tcPr>
          <w:p>
            <w:pPr>
              <w:spacing w:after="0"/>
              <w:rPr>
                <w:sz w:val="1"/>
                <w:szCs w:val="1"/>
                <w:color w:val="auto"/>
              </w:rPr>
            </w:pPr>
          </w:p>
        </w:tc>
      </w:tr>
      <w:tr>
        <w:trPr>
          <w:trHeight w:val="210"/>
        </w:trPr>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1,450.2</w:t>
            </w:r>
          </w:p>
        </w:tc>
        <w:tc>
          <w:tcPr>
            <w:tcW w:w="0" w:type="dxa"/>
            <w:vAlign w:val="bottom"/>
          </w:tcPr>
          <w:p>
            <w:pPr>
              <w:spacing w:after="0"/>
              <w:rPr>
                <w:sz w:val="1"/>
                <w:szCs w:val="1"/>
                <w:color w:val="auto"/>
              </w:rPr>
            </w:pPr>
          </w:p>
        </w:tc>
      </w:tr>
      <w:tr>
        <w:trPr>
          <w:trHeight w:val="23"/>
        </w:trPr>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HVAC</w:t>
            </w:r>
          </w:p>
        </w:tc>
        <w:tc>
          <w:tcPr>
            <w:tcW w:w="100" w:type="dxa"/>
            <w:vAlign w:val="bottom"/>
            <w:tcBorders>
              <w:top w:val="single" w:sz="8" w:color="auto"/>
            </w:tcBorders>
            <w:vMerge w:val="restart"/>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Detection and</w:t>
            </w: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Measurement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29"/>
        </w:trPr>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0" w:type="dxa"/>
            <w:vAlign w:val="bottom"/>
          </w:tcPr>
          <w:p>
            <w:pPr>
              <w:spacing w:after="0"/>
              <w:rPr>
                <w:sz w:val="1"/>
                <w:szCs w:val="1"/>
                <w:color w:val="auto"/>
              </w:rPr>
            </w:pPr>
          </w:p>
        </w:tc>
      </w:tr>
      <w:tr>
        <w:trPr>
          <w:trHeight w:val="219"/>
        </w:trPr>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0" w:type="dxa"/>
            <w:vAlign w:val="bottom"/>
          </w:tcPr>
          <w:p>
            <w:pPr>
              <w:spacing w:after="0"/>
              <w:rPr>
                <w:sz w:val="1"/>
                <w:szCs w:val="1"/>
                <w:color w:val="auto"/>
              </w:rPr>
            </w:pPr>
          </w:p>
        </w:tc>
      </w:tr>
      <w:tr>
        <w:trPr>
          <w:trHeight w:val="210"/>
        </w:trPr>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448.7</w:t>
            </w:r>
          </w:p>
        </w:tc>
        <w:tc>
          <w:tcPr>
            <w:tcW w:w="0" w:type="dxa"/>
            <w:vAlign w:val="bottom"/>
          </w:tcPr>
          <w:p>
            <w:pPr>
              <w:spacing w:after="0"/>
              <w:rPr>
                <w:sz w:val="1"/>
                <w:szCs w:val="1"/>
                <w:color w:val="auto"/>
              </w:rPr>
            </w:pPr>
          </w:p>
        </w:tc>
      </w:tr>
      <w:tr>
        <w:trPr>
          <w:trHeight w:val="23"/>
        </w:trPr>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0" w:type="dxa"/>
            <w:vAlign w:val="bottom"/>
          </w:tcPr>
          <w:p>
            <w:pPr>
              <w:spacing w:after="0"/>
              <w:rPr>
                <w:sz w:val="1"/>
                <w:szCs w:val="1"/>
                <w:color w:val="auto"/>
              </w:rPr>
            </w:pPr>
          </w:p>
        </w:tc>
      </w:tr>
      <w:tr>
        <w:trPr>
          <w:trHeight w:val="219"/>
        </w:trPr>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10"/>
        </w:trPr>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448.7</w:t>
            </w:r>
          </w:p>
        </w:tc>
        <w:tc>
          <w:tcPr>
            <w:tcW w:w="0" w:type="dxa"/>
            <w:vAlign w:val="bottom"/>
          </w:tcPr>
          <w:p>
            <w:pPr>
              <w:spacing w:after="0"/>
              <w:rPr>
                <w:sz w:val="1"/>
                <w:szCs w:val="1"/>
                <w:color w:val="auto"/>
              </w:rPr>
            </w:pPr>
          </w:p>
        </w:tc>
      </w:tr>
      <w:tr>
        <w:trPr>
          <w:trHeight w:val="23"/>
        </w:trPr>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340" w:space="720"/>
            <w:col w:w="4180"/>
          </w:cols>
          <w:pgMar w:left="320" w:top="603"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0" w:type="dxa"/>
            <w:vAlign w:val="bottom"/>
          </w:tcPr>
          <w:p>
            <w:pPr>
              <w:spacing w:after="0"/>
              <w:rPr>
                <w:sz w:val="1"/>
                <w:szCs w:val="1"/>
                <w:color w:val="auto"/>
              </w:rPr>
            </w:pPr>
          </w:p>
        </w:tc>
      </w:tr>
      <w:tr>
        <w:trPr>
          <w:trHeight w:val="158"/>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HVAC</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Detection and</w:t>
            </w:r>
          </w:p>
        </w:tc>
        <w:tc>
          <w:tcPr>
            <w:tcW w:w="280" w:type="dxa"/>
            <w:vAlign w:val="bottom"/>
          </w:tcPr>
          <w:p>
            <w:pPr>
              <w:spacing w:after="0"/>
              <w:rPr>
                <w:sz w:val="13"/>
                <w:szCs w:val="13"/>
                <w:color w:val="auto"/>
              </w:rPr>
            </w:pPr>
          </w:p>
        </w:tc>
        <w:tc>
          <w:tcPr>
            <w:tcW w:w="104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9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Measurement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Major product lines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9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Package and process cooling equipment and services, and engineered air movement solutions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0" w:type="dxa"/>
            <w:vAlign w:val="bottom"/>
          </w:tcPr>
          <w:p>
            <w:pPr>
              <w:spacing w:after="0"/>
              <w:rPr>
                <w:sz w:val="1"/>
                <w:szCs w:val="1"/>
                <w:color w:val="auto"/>
              </w:rPr>
            </w:pPr>
          </w:p>
        </w:tc>
      </w:tr>
      <w:tr>
        <w:trPr>
          <w:trHeight w:val="21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Boilers, electrical heating, and ventilation</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w:t>
            </w:r>
          </w:p>
        </w:tc>
        <w:tc>
          <w:tcPr>
            <w:tcW w:w="0" w:type="dxa"/>
            <w:vAlign w:val="bottom"/>
          </w:tcPr>
          <w:p>
            <w:pPr>
              <w:spacing w:after="0"/>
              <w:rPr>
                <w:sz w:val="1"/>
                <w:szCs w:val="1"/>
                <w:color w:val="auto"/>
              </w:rPr>
            </w:pPr>
          </w:p>
        </w:tc>
      </w:tr>
      <w:tr>
        <w:trPr>
          <w:trHeight w:val="219"/>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Underground locators, inspection and rehabilitation equipment, and robotic systems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w:t>
            </w:r>
          </w:p>
        </w:tc>
        <w:tc>
          <w:tcPr>
            <w:tcW w:w="0" w:type="dxa"/>
            <w:vAlign w:val="bottom"/>
          </w:tcPr>
          <w:p>
            <w:pPr>
              <w:spacing w:after="0"/>
              <w:rPr>
                <w:sz w:val="1"/>
                <w:szCs w:val="1"/>
                <w:color w:val="auto"/>
              </w:rPr>
            </w:pPr>
          </w:p>
        </w:tc>
      </w:tr>
      <w:tr>
        <w:trPr>
          <w:trHeight w:val="21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Communication technologies, aids to navigation, and transportation systems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0" w:type="dxa"/>
            <w:vAlign w:val="bottom"/>
          </w:tcPr>
          <w:p>
            <w:pPr>
              <w:spacing w:after="0"/>
              <w:rPr>
                <w:sz w:val="1"/>
                <w:szCs w:val="1"/>
                <w:color w:val="auto"/>
              </w:rPr>
            </w:pPr>
          </w:p>
        </w:tc>
      </w:tr>
      <w:tr>
        <w:trPr>
          <w:trHeight w:val="234"/>
        </w:trPr>
        <w:tc>
          <w:tcPr>
            <w:tcW w:w="69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1,271.8</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Timing of Revenue Recognition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060" w:type="dxa"/>
            <w:vAlign w:val="bottom"/>
            <w:gridSpan w:val="2"/>
            <w:vMerge w:val="continue"/>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9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Revenues recognized at a point in time</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1,133.8</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Revenues recognized over time</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0" w:type="dxa"/>
            <w:vAlign w:val="bottom"/>
          </w:tcPr>
          <w:p>
            <w:pPr>
              <w:spacing w:after="0"/>
              <w:rPr>
                <w:sz w:val="1"/>
                <w:szCs w:val="1"/>
                <w:color w:val="auto"/>
              </w:rPr>
            </w:pPr>
          </w:p>
        </w:tc>
      </w:tr>
      <w:tr>
        <w:trPr>
          <w:trHeight w:val="234"/>
        </w:trPr>
        <w:tc>
          <w:tcPr>
            <w:tcW w:w="6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customers are invoiced for products and services at the time of delivery or based on contractual milestones, resulting in outstanding receivables with payment terms from these customers (“Contract Accounts Receivable”). In some cases, the timing of revenue recognition, particularly for revenue recognized over time, differs from when such amounts are invoiced to customers, resulting in a contract asset (revenue recognition precedes the invoicing of the related revenue amount) or a contract liability (payment from the customer precedes recognition of the related revenue amount). Contract assets and liabilities are generally classified as current. On a contract-by-contract basis, the contract assets and contract liabilities are reported net within our condensed consolidated balance sheets. Our contract balances consisted of the following as of September 28, 2024 and December 31, 2023: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Contract Balances</w:t>
            </w:r>
          </w:p>
        </w:tc>
        <w:tc>
          <w:tcPr>
            <w:tcW w:w="400" w:type="dxa"/>
            <w:vAlign w:val="bottom"/>
          </w:tcPr>
          <w:p>
            <w:pPr>
              <w:spacing w:after="0"/>
              <w:rPr>
                <w:sz w:val="18"/>
                <w:szCs w:val="18"/>
                <w:color w:val="auto"/>
              </w:rPr>
            </w:pPr>
          </w:p>
        </w:tc>
        <w:tc>
          <w:tcPr>
            <w:tcW w:w="22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380" w:type="dxa"/>
            <w:vAlign w:val="bottom"/>
          </w:tcPr>
          <w:p>
            <w:pPr>
              <w:spacing w:after="0"/>
              <w:rPr>
                <w:sz w:val="18"/>
                <w:szCs w:val="18"/>
                <w:color w:val="auto"/>
              </w:rPr>
            </w:pPr>
          </w:p>
        </w:tc>
        <w:tc>
          <w:tcPr>
            <w:tcW w:w="22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60" w:type="dxa"/>
            <w:vAlign w:val="bottom"/>
          </w:tcPr>
          <w:p>
            <w:pPr>
              <w:spacing w:after="0"/>
              <w:rPr>
                <w:sz w:val="18"/>
                <w:szCs w:val="18"/>
                <w:color w:val="auto"/>
              </w:rPr>
            </w:pPr>
          </w:p>
        </w:tc>
        <w:tc>
          <w:tcPr>
            <w:tcW w:w="19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3"/>
        </w:trPr>
        <w:tc>
          <w:tcPr>
            <w:tcW w:w="340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Contract Accounts Receivable</w:t>
            </w:r>
            <w:r>
              <w:rPr>
                <w:rFonts w:ascii="Times New Roman" w:cs="Times New Roman" w:eastAsia="Times New Roman" w:hAnsi="Times New Roman"/>
                <w:sz w:val="21"/>
                <w:szCs w:val="21"/>
                <w:color w:val="auto"/>
                <w:vertAlign w:val="superscript"/>
              </w:rPr>
              <w:t>(1)</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275.4</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58.3</w:t>
            </w: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4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20.1</w:t>
            </w: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4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12.7</w:t>
            </w:r>
          </w:p>
        </w:tc>
      </w:tr>
      <w:tr>
        <w:trPr>
          <w:trHeight w:val="216"/>
        </w:trPr>
        <w:tc>
          <w:tcPr>
            <w:tcW w:w="34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Contract Liabilities - non-current</w:t>
            </w:r>
            <w:r>
              <w:rPr>
                <w:rFonts w:ascii="Times New Roman" w:cs="Times New Roman" w:eastAsia="Times New Roman" w:hAnsi="Times New Roman"/>
                <w:sz w:val="21"/>
                <w:szCs w:val="21"/>
                <w:color w:val="auto"/>
                <w:vertAlign w:val="superscript"/>
              </w:rPr>
              <w:t>(2)</w:t>
            </w:r>
          </w:p>
        </w:tc>
        <w:tc>
          <w:tcPr>
            <w:tcW w:w="4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6"/>
                <w:szCs w:val="16"/>
                <w:color w:val="auto"/>
              </w:rPr>
              <w:t>(0.3)</w:t>
            </w:r>
          </w:p>
        </w:tc>
      </w:tr>
      <w:tr>
        <w:trPr>
          <w:trHeight w:val="234"/>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contract balance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214.5</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90.8</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ind w:left="640" w:hanging="308"/>
        <w:spacing w:after="0" w:line="222" w:lineRule="auto"/>
        <w:tabs>
          <w:tab w:leader="none" w:pos="6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“Accounts receivable, net” within the accompanying condensed consolidated balance sheets.</w:t>
      </w:r>
    </w:p>
    <w:p>
      <w:pPr>
        <w:spacing w:after="0" w:line="71" w:lineRule="exact"/>
        <w:rPr>
          <w:rFonts w:ascii="Times New Roman" w:cs="Times New Roman" w:eastAsia="Times New Roman" w:hAnsi="Times New Roman"/>
          <w:sz w:val="21"/>
          <w:szCs w:val="21"/>
          <w:color w:val="auto"/>
          <w:vertAlign w:val="superscript"/>
        </w:rPr>
      </w:pPr>
    </w:p>
    <w:p>
      <w:pPr>
        <w:ind w:left="640" w:hanging="308"/>
        <w:spacing w:after="0" w:line="238" w:lineRule="auto"/>
        <w:tabs>
          <w:tab w:leader="none" w:pos="6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“Other long-term liabilities” within the accompanying condensed consolidated balance sheets.</w:t>
      </w:r>
    </w:p>
    <w:p>
      <w:pPr>
        <w:spacing w:after="0" w:line="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timing of revenue recognition, invoicing and cash collections results in contract accounts receivable, contract assets, and customer advances and deposits (contract liabilities) on our condensed consolidated balance sheets. In general, we receive payments from customers based on a billing schedule established in our contracts. During the three and nine months ended September 28, 2024, changes in contract balances were not materially impacted by any other factors besides the acquisition of Ingénia. At September 28, 2024, contract account receivables and current contract liabilities attributable to Ingénia were $23.9 and $0.3, respectively.</w:t>
      </w:r>
    </w:p>
    <w:p>
      <w:pPr>
        <w:spacing w:after="0" w:line="14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28, 2024, we recognized revenues of $7.0 and $47.7, respectively, related to our contract liabilities at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28, 2024, the aggregate amount allocated to remaining performance obligations was $127.0. We expect to recognize revenue on approximately 67% and 81% of these remaining performance obligations over the next 12 and 24 months, respectively, with the remaining recognized thereafter.</w:t>
      </w:r>
    </w:p>
    <w:p>
      <w:pPr>
        <w:sectPr>
          <w:pgSz w:w="11900" w:h="16838" w:orient="portrait"/>
          <w:cols w:equalWidth="0" w:num="1">
            <w:col w:w="11240"/>
          </w:cols>
          <w:pgMar w:left="320" w:top="6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type w:val="continuous"/>
        </w:sectPr>
      </w:pPr>
    </w:p>
    <w:bookmarkStart w:id="15" w:name="page16"/>
    <w:bookmarkEnd w:id="15"/>
    <w:p>
      <w:pPr>
        <w:ind w:left="400" w:hanging="392"/>
        <w:spacing w:after="0"/>
        <w:tabs>
          <w:tab w:leader="none" w:pos="4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to our finance leases during the three and nine months ended September 28, 2024.</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28, 2024, we obtained operating lease right-of-use assets in exchange for new lease obligations of $17.2, recorded as a non-cash activity within the condensed consolidated statement of cash flows.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6"/>
                <w:szCs w:val="16"/>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600" w:type="dxa"/>
            <w:vAlign w:val="bottom"/>
          </w:tcPr>
          <w:p>
            <w:pPr>
              <w:spacing w:after="0"/>
              <w:rPr>
                <w:sz w:val="16"/>
                <w:szCs w:val="16"/>
                <w:color w:val="auto"/>
              </w:rPr>
            </w:pPr>
          </w:p>
        </w:tc>
      </w:tr>
      <w:tr>
        <w:trPr>
          <w:trHeight w:val="23"/>
        </w:trPr>
        <w:tc>
          <w:tcPr>
            <w:tcW w:w="38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r>
      <w:tr>
        <w:trPr>
          <w:trHeight w:val="19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Affected Line Item in the Condensed Consolidated Balance Sheets</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r>
      <w:tr>
        <w:trPr>
          <w:trHeight w:val="183"/>
        </w:trPr>
        <w:tc>
          <w:tcPr>
            <w:tcW w:w="3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600" w:type="dxa"/>
            <w:vAlign w:val="bottom"/>
            <w:shd w:val="clear" w:color="auto" w:fill="CCEEFF"/>
          </w:tcPr>
          <w:p>
            <w:pPr>
              <w:spacing w:after="0"/>
              <w:rPr>
                <w:sz w:val="15"/>
                <w:szCs w:val="15"/>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current liabilities</w:t>
            </w:r>
          </w:p>
        </w:tc>
        <w:tc>
          <w:tcPr>
            <w:tcW w:w="54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non-current liabilities</w:t>
            </w:r>
          </w:p>
        </w:tc>
        <w:tc>
          <w:tcPr>
            <w:tcW w:w="5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r>
      <w:tr>
        <w:trPr>
          <w:trHeight w:val="212"/>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lease liability</w:t>
            </w: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460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remaining lease term (years) of our operating leases as of September 28, 2024 and December 31, 2023,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36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2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bl>
    <w:p>
      <w:pPr>
        <w:spacing w:after="0" w:line="3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discount rate utilized to determine the present value of lease payments over the lease term is our incremental borrowing rate based on the information available at lease commencement date. In developing the incremental borrowing rate, we considered the interest rate that reflects a term similar to the underlying lease term on a fully collateralized basis. We concluded to apply the incremental borrowing rate at a consolidated portfolio level using a five-year term, as the results did not materially differ upon further stratification. The weighted-average discount rate for our operating leases was 3.9% and 3.2% at September 28, 2024 and December 31, 2023, respectively.</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future minimum payments under our operating leases were as follows as of September 28,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9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6"/>
        </w:trPr>
        <w:tc>
          <w:tcPr>
            <w:tcW w:w="9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6"/>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2024</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3"/>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2"/>
        </w:trPr>
        <w:tc>
          <w:tcPr>
            <w:tcW w:w="9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lease payments</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r>
      <w:tr>
        <w:trPr>
          <w:trHeight w:val="213"/>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37"/>
        </w:trPr>
        <w:tc>
          <w:tcPr>
            <w:tcW w:w="9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ON REPORTABLE SEGMENTS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 global supplier of highly specialized, engineered solutions with operations in 15 countries and sales in over 100 countries around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aggregated our operating segments into the following two reportable segments: HVAC and Detection and Measurement. The factors considered in determining our aggregated segments are the economic similarity of the businesses, the nature of products sold or services provided, production processes, types of customers, distribution methods, and regulatory environment. In determining our reportable segments, we apply the threshold criteria of the Segment Reporting Topic of the Codification. Segment Income is determined before considering, if applicable, impairment and special charges, long-term incentive compensation, certain other operating income/expense, other indirect corporate expenses, intangible asset amortization expense, inventory step-up charges, and certain other acquisition and integration-related costs. This is consistent with the way our Chief Operating Decision Maker (“CODM”) evaluates the results of each segment.</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HVAC Reportable Segment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HVAC reportable segment engineers, designs, manufactures, installs and services package and process cooling products and engineered air movement solutions for the HVAC industrial, commercial, data center, and power generation markets, as well as boilers and electrical heating and ventilation products for the residential and commercial markets. The primary distribution channels for the segment’s products are direct to customers, independent manufacturing representatives, third-party distributors, and retailers. The segment serves a global customer base in North America, Europe, and Asia.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Detection and Measurement Reportable Segment</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Detection and Measurement reportable segment engineers, designs, manufactures, services, and installs underground pipe and cable locators, inspection and rehabilitation equipment, robotic systems, transportation systems, communication technologies, and aids to navigation. The primary distribution channels for the segment’s products are direct to customers and third-party distributors. The segment serves a global customer base in North America, Europe, Africa, and Asia.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Expense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Corporate expense generally relates to the personnel and general operating cost of our corporate headquarters based in Charlotte, North Carolina.</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data for our reportable segments for the three and nine months ended September 28, 2024 and September 30, 2023 are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3300" w:type="dxa"/>
            <w:vAlign w:val="bottom"/>
            <w:gridSpan w:val="4"/>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20" w:type="dxa"/>
            <w:vAlign w:val="bottom"/>
            <w:gridSpan w:val="4"/>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38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28"/>
        </w:trPr>
        <w:tc>
          <w:tcPr>
            <w:tcW w:w="3820" w:type="dxa"/>
            <w:vAlign w:val="bottom"/>
          </w:tcPr>
          <w:p>
            <w:pPr>
              <w:spacing w:after="0"/>
              <w:rPr>
                <w:sz w:val="11"/>
                <w:szCs w:val="11"/>
                <w:color w:val="auto"/>
              </w:rPr>
            </w:pPr>
          </w:p>
        </w:tc>
        <w:tc>
          <w:tcPr>
            <w:tcW w:w="14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80" w:type="dxa"/>
            <w:vAlign w:val="bottom"/>
          </w:tcPr>
          <w:p>
            <w:pPr>
              <w:spacing w:after="0"/>
              <w:rPr>
                <w:sz w:val="11"/>
                <w:szCs w:val="11"/>
                <w:color w:val="auto"/>
              </w:rPr>
            </w:pPr>
          </w:p>
        </w:tc>
        <w:tc>
          <w:tcPr>
            <w:tcW w:w="1480" w:type="dxa"/>
            <w:vAlign w:val="bottom"/>
          </w:tcPr>
          <w:p>
            <w:pPr>
              <w:jc w:val="right"/>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38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HVAC reportable segment</w:t>
            </w:r>
          </w:p>
        </w:tc>
        <w:tc>
          <w:tcPr>
            <w:tcW w:w="1420" w:type="dxa"/>
            <w:vAlign w:val="bottom"/>
          </w:tcPr>
          <w:p>
            <w:pPr>
              <w:jc w:val="right"/>
              <w:ind w:right="124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120" w:type="dxa"/>
            <w:vAlign w:val="bottom"/>
          </w:tcPr>
          <w:p>
            <w:pPr>
              <w:spacing w:after="0"/>
              <w:rPr>
                <w:sz w:val="18"/>
                <w:szCs w:val="18"/>
                <w:color w:val="auto"/>
              </w:rPr>
            </w:pPr>
          </w:p>
        </w:tc>
        <w:tc>
          <w:tcPr>
            <w:tcW w:w="1300" w:type="dxa"/>
            <w:vAlign w:val="bottom"/>
          </w:tcPr>
          <w:p>
            <w:pPr>
              <w:jc w:val="right"/>
              <w:ind w:right="112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289.2</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994.2</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809.8</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Detection and Measurement reportable segment</w:t>
            </w: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159.5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456.0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462.0</w:t>
            </w:r>
          </w:p>
        </w:tc>
      </w:tr>
      <w:tr>
        <w:trPr>
          <w:trHeight w:val="207"/>
        </w:trPr>
        <w:tc>
          <w:tcPr>
            <w:tcW w:w="3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Consolidated revenues</w:t>
            </w:r>
          </w:p>
        </w:tc>
        <w:tc>
          <w:tcPr>
            <w:tcW w:w="1420" w:type="dxa"/>
            <w:vAlign w:val="bottom"/>
            <w:tcBorders>
              <w:bottom w:val="single" w:sz="8" w:color="auto"/>
            </w:tcBorders>
          </w:tcPr>
          <w:p>
            <w:pPr>
              <w:jc w:val="right"/>
              <w:ind w:right="124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483.7</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ind w:right="112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448.7</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1,450.2</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1,271.8</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6"/>
        </w:trPr>
        <w:tc>
          <w:tcPr>
            <w:tcW w:w="38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14"/>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8"/>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HVAC reportable segment</w:t>
            </w:r>
          </w:p>
        </w:tc>
        <w:tc>
          <w:tcPr>
            <w:tcW w:w="1420" w:type="dxa"/>
            <w:vAlign w:val="bottom"/>
            <w:shd w:val="clear" w:color="auto" w:fill="CCEEFF"/>
          </w:tcPr>
          <w:p>
            <w:pPr>
              <w:jc w:val="right"/>
              <w:ind w:right="124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2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w:t>
            </w:r>
          </w:p>
        </w:tc>
      </w:tr>
      <w:tr>
        <w:trPr>
          <w:trHeight w:val="213"/>
        </w:trPr>
        <w:tc>
          <w:tcPr>
            <w:tcW w:w="3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Detection and Measurement reportable segment</w:t>
            </w:r>
          </w:p>
        </w:tc>
        <w:tc>
          <w:tcPr>
            <w:tcW w:w="1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99.1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w:t>
            </w:r>
          </w:p>
        </w:tc>
      </w:tr>
      <w:tr>
        <w:trPr>
          <w:trHeight w:val="212"/>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income for segments</w:t>
            </w:r>
          </w:p>
        </w:tc>
        <w:tc>
          <w:tcPr>
            <w:tcW w:w="1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331.2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w:t>
            </w:r>
          </w:p>
        </w:tc>
      </w:tr>
      <w:tr>
        <w:trPr>
          <w:trHeight w:val="216"/>
        </w:trPr>
        <w:tc>
          <w:tcPr>
            <w:tcW w:w="3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expense</w:t>
            </w:r>
          </w:p>
        </w:tc>
        <w:tc>
          <w:tcPr>
            <w:tcW w:w="1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216"/>
        </w:trPr>
        <w:tc>
          <w:tcPr>
            <w:tcW w:w="3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Acquisition-related and other costs </w:t>
            </w:r>
            <w:r>
              <w:rPr>
                <w:rFonts w:ascii="Times New Roman" w:cs="Times New Roman" w:eastAsia="Times New Roman" w:hAnsi="Times New Roman"/>
                <w:sz w:val="21"/>
                <w:szCs w:val="21"/>
                <w:color w:val="auto"/>
                <w:vertAlign w:val="superscript"/>
              </w:rPr>
              <w:t>(1)</w:t>
            </w:r>
          </w:p>
        </w:tc>
        <w:tc>
          <w:tcPr>
            <w:tcW w:w="1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incentive compensation expense</w:t>
            </w:r>
          </w:p>
        </w:tc>
        <w:tc>
          <w:tcPr>
            <w:tcW w:w="1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1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Special charges, net</w:t>
            </w: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operating expense, net </w:t>
            </w:r>
            <w:r>
              <w:rPr>
                <w:rFonts w:ascii="Times New Roman" w:cs="Times New Roman" w:eastAsia="Times New Roman" w:hAnsi="Times New Roman"/>
                <w:sz w:val="21"/>
                <w:szCs w:val="21"/>
                <w:color w:val="auto"/>
                <w:vertAlign w:val="superscript"/>
              </w:rPr>
              <w:t>(2)</w:t>
            </w:r>
          </w:p>
        </w:tc>
        <w:tc>
          <w:tcPr>
            <w:tcW w:w="14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38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1420" w:type="dxa"/>
            <w:vAlign w:val="bottom"/>
            <w:tcBorders>
              <w:top w:val="single" w:sz="8" w:color="auto"/>
              <w:bottom w:val="single" w:sz="8" w:color="auto"/>
            </w:tcBorders>
            <w:shd w:val="clear" w:color="auto" w:fill="CCEEFF"/>
          </w:tcPr>
          <w:p>
            <w:pPr>
              <w:jc w:val="right"/>
              <w:ind w:right="124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2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77" w:lineRule="exact"/>
        <w:rPr>
          <w:sz w:val="20"/>
          <w:szCs w:val="20"/>
          <w:color w:val="auto"/>
        </w:rPr>
      </w:pPr>
    </w:p>
    <w:p>
      <w:pPr>
        <w:jc w:val="both"/>
        <w:ind w:left="660" w:hanging="328"/>
        <w:spacing w:after="0" w:line="239" w:lineRule="auto"/>
        <w:tabs>
          <w:tab w:leader="none" w:pos="64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integration costs incurred of $1.4 and $6.3 during the three and nine months ended September 28, 2024, respectively, and $2.9 and $5.0 during the three and nine months ended September 30, 2023, respectively, including additional “Cost of products sold” related to the step-up of inventory (to fair value) acquired in connection with the Ingénia acquisition of $1.8 during nine months ended September 28, 2024, and the ASPEQ acquisition of $2.5 and $3.6 during the three and nine months ended September 30, 2023, respectively.</w:t>
      </w:r>
    </w:p>
    <w:p>
      <w:pPr>
        <w:spacing w:after="0" w:line="69"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a charge of $8.4 related to a settlement with the seller of ULC Robotics (“ULC”) regarding additional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7" w:name="page18"/>
    <w:bookmarkEnd w:id="17"/>
    <w:p>
      <w:pPr>
        <w:ind w:left="400" w:hanging="392"/>
        <w:spacing w:after="0"/>
        <w:tabs>
          <w:tab w:leader="none" w:pos="4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CHARGES, NET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Special charges, net, for the three and nine months ended September 28, 2024 and September 30, 2023 are described in more detail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3460" w:type="dxa"/>
            <w:vAlign w:val="bottom"/>
            <w:gridSpan w:val="4"/>
          </w:tcPr>
          <w:p>
            <w:pPr>
              <w:jc w:val="right"/>
              <w:ind w:right="86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8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39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31"/>
        </w:trPr>
        <w:tc>
          <w:tcPr>
            <w:tcW w:w="3940" w:type="dxa"/>
            <w:vAlign w:val="bottom"/>
          </w:tcPr>
          <w:p>
            <w:pPr>
              <w:spacing w:after="0"/>
              <w:rPr>
                <w:sz w:val="11"/>
                <w:szCs w:val="11"/>
                <w:color w:val="auto"/>
              </w:rPr>
            </w:pPr>
          </w:p>
        </w:tc>
        <w:tc>
          <w:tcPr>
            <w:tcW w:w="1580" w:type="dxa"/>
            <w:vAlign w:val="bottom"/>
          </w:tcPr>
          <w:p>
            <w:pPr>
              <w:jc w:val="right"/>
              <w:ind w:right="64"/>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right"/>
              <w:ind w:right="4"/>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40" w:type="dxa"/>
            <w:vAlign w:val="bottom"/>
          </w:tcPr>
          <w:p>
            <w:pPr>
              <w:spacing w:after="0"/>
              <w:rPr>
                <w:sz w:val="11"/>
                <w:szCs w:val="11"/>
                <w:color w:val="auto"/>
              </w:rPr>
            </w:pPr>
          </w:p>
        </w:tc>
        <w:tc>
          <w:tcPr>
            <w:tcW w:w="1400" w:type="dxa"/>
            <w:vAlign w:val="bottom"/>
          </w:tcPr>
          <w:p>
            <w:pPr>
              <w:jc w:val="center"/>
              <w:ind w:right="163"/>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394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HVAC reportable segment</w:t>
            </w:r>
          </w:p>
        </w:tc>
        <w:tc>
          <w:tcPr>
            <w:tcW w:w="1580" w:type="dxa"/>
            <w:vAlign w:val="bottom"/>
            <w:shd w:val="clear" w:color="auto" w:fill="CCEEFF"/>
          </w:tcPr>
          <w:p>
            <w:pPr>
              <w:jc w:val="right"/>
              <w:ind w:right="140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6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Detection and Measurement reportable segment</w:t>
            </w:r>
          </w:p>
        </w:tc>
        <w:tc>
          <w:tcPr>
            <w:tcW w:w="1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3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580" w:type="dxa"/>
            <w:vAlign w:val="bottom"/>
            <w:tcBorders>
              <w:top w:val="single" w:sz="8" w:color="auto"/>
              <w:bottom w:val="single" w:sz="8" w:color="auto"/>
            </w:tcBorders>
            <w:shd w:val="clear" w:color="auto" w:fill="CCEEFF"/>
          </w:tcPr>
          <w:p>
            <w:pPr>
              <w:jc w:val="right"/>
              <w:ind w:right="140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116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HVAC </w:t>
      </w:r>
      <w:r>
        <w:rPr>
          <w:rFonts w:ascii="Times New Roman" w:cs="Times New Roman" w:eastAsia="Times New Roman" w:hAnsi="Times New Roman"/>
          <w:sz w:val="18"/>
          <w:szCs w:val="18"/>
          <w:color w:val="auto"/>
        </w:rPr>
        <w:t>— Special charges, net for the nine months ended September 28, 2024 related primarily to recording severance costs associated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action at one of the segment’s cooling businesses.</w:t>
      </w:r>
    </w:p>
    <w:p>
      <w:pPr>
        <w:spacing w:after="0" w:line="11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Detection and Measurement </w:t>
      </w:r>
      <w:r>
        <w:rPr>
          <w:rFonts w:ascii="Times New Roman" w:cs="Times New Roman" w:eastAsia="Times New Roman" w:hAnsi="Times New Roman"/>
          <w:sz w:val="18"/>
          <w:szCs w:val="18"/>
          <w:color w:val="auto"/>
        </w:rPr>
        <w:t>— Special charges, net for the three and nine months ended September 28, 2024 related primarily to recording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costs associated with a restructuring action at the segment’s location and inspection businesses. In addition, special charges, net for the nine months ended September 28, 2024 included severance costs associated with a restructuring action at the segment’s aids to navigation business.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significant future charges are expected to be incurred under actions approved as of September 28, 2024.</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an analysis of our restructuring liabilities for the nine months ended September 28, 2024 and September 30,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28"/>
        </w:trPr>
        <w:tc>
          <w:tcPr>
            <w:tcW w:w="8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Pr>
          <w:p>
            <w:pPr>
              <w:spacing w:after="0"/>
              <w:rPr>
                <w:sz w:val="11"/>
                <w:szCs w:val="11"/>
                <w:color w:val="auto"/>
              </w:rPr>
            </w:pPr>
          </w:p>
        </w:tc>
        <w:tc>
          <w:tcPr>
            <w:tcW w:w="108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86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ind w:left="663"/>
              <w:spacing w:after="0"/>
              <w:rPr>
                <w:sz w:val="20"/>
                <w:szCs w:val="20"/>
                <w:color w:val="auto"/>
              </w:rPr>
            </w:pPr>
            <w:r>
              <w:rPr>
                <w:rFonts w:ascii="Times New Roman" w:cs="Times New Roman" w:eastAsia="Times New Roman" w:hAnsi="Times New Roman"/>
                <w:sz w:val="16"/>
                <w:szCs w:val="16"/>
                <w:color w:val="auto"/>
                <w:w w:val="99"/>
              </w:rPr>
              <w:t>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Special charges</w:t>
            </w:r>
          </w:p>
        </w:tc>
        <w:tc>
          <w:tcPr>
            <w:tcW w:w="140" w:type="dxa"/>
            <w:vAlign w:val="bottom"/>
          </w:tcPr>
          <w:p>
            <w:pPr>
              <w:spacing w:after="0"/>
              <w:rPr>
                <w:sz w:val="18"/>
                <w:szCs w:val="18"/>
                <w:color w:val="auto"/>
              </w:rPr>
            </w:pPr>
          </w:p>
        </w:tc>
        <w:tc>
          <w:tcPr>
            <w:tcW w:w="1060" w:type="dxa"/>
            <w:vAlign w:val="bottom"/>
          </w:tcPr>
          <w:p>
            <w:pPr>
              <w:jc w:val="center"/>
              <w:ind w:left="663"/>
              <w:spacing w:after="0"/>
              <w:rPr>
                <w:sz w:val="20"/>
                <w:szCs w:val="20"/>
                <w:color w:val="auto"/>
              </w:rPr>
            </w:pPr>
            <w:r>
              <w:rPr>
                <w:rFonts w:ascii="Times New Roman" w:cs="Times New Roman" w:eastAsia="Times New Roman" w:hAnsi="Times New Roman"/>
                <w:sz w:val="16"/>
                <w:szCs w:val="16"/>
                <w:color w:val="auto"/>
                <w:w w:val="99"/>
              </w:rPr>
              <w:t>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Utilization — cash</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643"/>
              <w:spacing w:after="0"/>
              <w:rPr>
                <w:sz w:val="20"/>
                <w:szCs w:val="20"/>
                <w:color w:val="auto"/>
              </w:rPr>
            </w:pPr>
            <w:r>
              <w:rPr>
                <w:rFonts w:ascii="Times New Roman" w:cs="Times New Roman" w:eastAsia="Times New Roman" w:hAnsi="Times New Roman"/>
                <w:sz w:val="16"/>
                <w:szCs w:val="16"/>
                <w:color w:val="auto"/>
                <w:w w:val="97"/>
              </w:rPr>
              <w:t>(0.9)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center"/>
              <w:ind w:left="663"/>
              <w:spacing w:after="0"/>
              <w:rPr>
                <w:sz w:val="20"/>
                <w:szCs w:val="20"/>
                <w:color w:val="auto"/>
              </w:rPr>
            </w:pPr>
            <w:r>
              <w:rPr>
                <w:rFonts w:ascii="Times New Roman" w:cs="Times New Roman" w:eastAsia="Times New Roman" w:hAnsi="Times New Roman"/>
                <w:sz w:val="16"/>
                <w:szCs w:val="16"/>
                <w:color w:val="auto"/>
                <w:w w:val="99"/>
              </w:rPr>
              <w:t>0.7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8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1"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 NET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are accounted for under the first-in, first-out method and are comprised of the following at September 28, 2024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3"/>
                <w:szCs w:val="13"/>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79.4</w:t>
            </w:r>
          </w:p>
        </w:tc>
      </w:tr>
      <w:tr>
        <w:trPr>
          <w:trHeight w:val="21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31.4</w:t>
            </w:r>
          </w:p>
        </w:tc>
      </w:tr>
      <w:tr>
        <w:trPr>
          <w:trHeight w:val="21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purchased parts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165.9</w:t>
            </w:r>
          </w:p>
        </w:tc>
      </w:tr>
      <w:tr>
        <w:trPr>
          <w:trHeight w:val="207"/>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276.7</w:t>
            </w:r>
          </w:p>
        </w:tc>
      </w:tr>
      <w:tr>
        <w:trPr>
          <w:trHeight w:val="23"/>
        </w:trPr>
        <w:tc>
          <w:tcPr>
            <w:tcW w:w="8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include material, labor and factory overhead costs and are reduced, when necessary, to estimated net realizable values.</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8" w:name="page19"/>
    <w:bookmarkEnd w:id="18"/>
    <w:p>
      <w:pPr>
        <w:ind w:left="400" w:hanging="392"/>
        <w:spacing w:after="0"/>
        <w:tabs>
          <w:tab w:leader="none" w:pos="4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nine months ended September 28, 2024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40" w:type="dxa"/>
            <w:vAlign w:val="bottom"/>
          </w:tcPr>
          <w:p>
            <w:pPr>
              <w:spacing w:after="0"/>
              <w:rPr>
                <w:sz w:val="13"/>
                <w:szCs w:val="13"/>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Resulting from</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2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Combinations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80" w:type="dxa"/>
            <w:vAlign w:val="bottom"/>
          </w:tcPr>
          <w:p>
            <w:pPr>
              <w:spacing w:after="0"/>
              <w:rPr>
                <w:sz w:val="17"/>
                <w:szCs w:val="17"/>
                <w:color w:val="auto"/>
              </w:rPr>
            </w:pPr>
          </w:p>
        </w:tc>
        <w:tc>
          <w:tcPr>
            <w:tcW w:w="126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HVAC reportable segment</w:t>
            </w: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goodwill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148.2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926.5</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impairments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0" w:type="dxa"/>
            <w:vAlign w:val="bottom"/>
          </w:tcPr>
          <w:p>
            <w:pPr>
              <w:spacing w:after="0"/>
              <w:rPr>
                <w:sz w:val="1"/>
                <w:szCs w:val="1"/>
                <w:color w:val="auto"/>
              </w:rPr>
            </w:pPr>
          </w:p>
        </w:tc>
      </w:tr>
      <w:tr>
        <w:trPr>
          <w:trHeight w:val="207"/>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445.9</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148.2</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594.1</w:t>
            </w:r>
          </w:p>
        </w:tc>
        <w:tc>
          <w:tcPr>
            <w:tcW w:w="0" w:type="dxa"/>
            <w:vAlign w:val="bottom"/>
          </w:tcPr>
          <w:p>
            <w:pPr>
              <w:spacing w:after="0"/>
              <w:rPr>
                <w:sz w:val="1"/>
                <w:szCs w:val="1"/>
                <w:color w:val="auto"/>
              </w:rPr>
            </w:pPr>
          </w:p>
        </w:tc>
      </w:tr>
      <w:tr>
        <w:trPr>
          <w:trHeight w:val="253"/>
        </w:trPr>
        <w:tc>
          <w:tcPr>
            <w:tcW w:w="5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Detection and Measurement reportable segment</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goodwill</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0" w:type="dxa"/>
            <w:vAlign w:val="bottom"/>
          </w:tcPr>
          <w:p>
            <w:pPr>
              <w:spacing w:after="0"/>
              <w:rPr>
                <w:sz w:val="1"/>
                <w:szCs w:val="1"/>
                <w:color w:val="auto"/>
              </w:rPr>
            </w:pPr>
          </w:p>
        </w:tc>
      </w:tr>
      <w:tr>
        <w:trPr>
          <w:trHeight w:val="213"/>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impairments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0" w:type="dxa"/>
            <w:vAlign w:val="bottom"/>
          </w:tcPr>
          <w:p>
            <w:pPr>
              <w:spacing w:after="0"/>
              <w:rPr>
                <w:sz w:val="1"/>
                <w:szCs w:val="1"/>
                <w:color w:val="auto"/>
              </w:rPr>
            </w:pPr>
          </w:p>
        </w:tc>
      </w:tr>
      <w:tr>
        <w:trPr>
          <w:trHeight w:val="209"/>
        </w:trPr>
        <w:tc>
          <w:tcPr>
            <w:tcW w:w="51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0" w:type="dxa"/>
            <w:vAlign w:val="bottom"/>
          </w:tcPr>
          <w:p>
            <w:pPr>
              <w:spacing w:after="0"/>
              <w:rPr>
                <w:sz w:val="1"/>
                <w:szCs w:val="1"/>
                <w:color w:val="auto"/>
              </w:rPr>
            </w:pPr>
          </w:p>
        </w:tc>
      </w:tr>
      <w:tr>
        <w:trPr>
          <w:trHeight w:val="253"/>
        </w:trPr>
        <w:tc>
          <w:tcPr>
            <w:tcW w:w="5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goodwill</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1,362.1</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impairments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(507.8)</w:t>
            </w:r>
          </w:p>
        </w:tc>
        <w:tc>
          <w:tcPr>
            <w:tcW w:w="0" w:type="dxa"/>
            <w:vAlign w:val="bottom"/>
          </w:tcPr>
          <w:p>
            <w:pPr>
              <w:spacing w:after="0"/>
              <w:rPr>
                <w:sz w:val="1"/>
                <w:szCs w:val="1"/>
                <w:color w:val="auto"/>
              </w:rPr>
            </w:pPr>
          </w:p>
        </w:tc>
      </w:tr>
      <w:tr>
        <w:trPr>
          <w:trHeight w:val="207"/>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148.2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854.3</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54" w:lineRule="exact"/>
        <w:rPr>
          <w:sz w:val="20"/>
          <w:szCs w:val="20"/>
          <w:color w:val="auto"/>
        </w:rPr>
      </w:pPr>
    </w:p>
    <w:p>
      <w:pPr>
        <w:jc w:val="both"/>
        <w:ind w:left="660" w:right="20" w:hanging="328"/>
        <w:spacing w:after="0" w:line="210" w:lineRule="auto"/>
        <w:tabs>
          <w:tab w:leader="none" w:pos="64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(i) goodwill acquired with the Ingénia acquisition of $142.6 and (ii) an increase in ASPEQ and TAMCO goodwill of $3.9 and $1.7, respectively, resulting from revisions to the valuation of certain assets and liabilities. As indicated in Notes 1 and 3, the acquired assets, including goodwill, and liabilities assumed in the Ingénia acquisition have been recorded at estimates of fair value and are subject to change upon completion of acquisition accounting.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Intangibles, Net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Identifiable intangible assets at September 28, 2024 and December 31, 2023 comprised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82"/>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22"/>
              <w:spacing w:after="0" w:line="12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82"/>
              <w:spacing w:after="0" w:line="12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98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7"/>
                <w:szCs w:val="17"/>
                <w:color w:val="auto"/>
              </w:rPr>
            </w:pPr>
          </w:p>
        </w:tc>
        <w:tc>
          <w:tcPr>
            <w:tcW w:w="9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8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6"/>
        </w:trPr>
        <w:tc>
          <w:tcPr>
            <w:tcW w:w="3960" w:type="dxa"/>
            <w:vAlign w:val="bottom"/>
            <w:tcBorders>
              <w:top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Intangible assets with determinable lives: </w:t>
            </w:r>
            <w:r>
              <w:rPr>
                <w:rFonts w:ascii="Times New Roman" w:cs="Times New Roman" w:eastAsia="Times New Roman" w:hAnsi="Times New Roman"/>
                <w:sz w:val="21"/>
                <w:szCs w:val="21"/>
                <w:color w:val="auto"/>
                <w:vertAlign w:val="superscript"/>
              </w:rPr>
              <w:t>(1)</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427.0</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Technology</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09"/>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459.5</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with indefinite lives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0" w:type="dxa"/>
            <w:vAlign w:val="bottom"/>
          </w:tcPr>
          <w:p>
            <w:pPr>
              <w:spacing w:after="0"/>
              <w:rPr>
                <w:sz w:val="1"/>
                <w:szCs w:val="1"/>
                <w:color w:val="auto"/>
              </w:rPr>
            </w:pPr>
          </w:p>
        </w:tc>
      </w:tr>
      <w:tr>
        <w:trPr>
          <w:trHeight w:val="207"/>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730.7</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680.8</w:t>
            </w: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54" w:lineRule="exact"/>
        <w:rPr>
          <w:sz w:val="20"/>
          <w:szCs w:val="20"/>
          <w:color w:val="auto"/>
        </w:rPr>
      </w:pPr>
    </w:p>
    <w:p>
      <w:pPr>
        <w:ind w:left="660" w:hanging="328"/>
        <w:spacing w:after="0" w:line="210" w:lineRule="auto"/>
        <w:tabs>
          <w:tab w:leader="none" w:pos="648"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gross carrying value of identifiable intangible assets acquired with the Ingénia acquisition consist of technology of $46.7, customer relationships of $23.5, definite-lived trademarks of $13.9, and backlog of $13.8.</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Ingénia, which has definite-lived intangible assets as noted above, we updated our estimated annual amortization expense related to intangible assets to approximately $66.0 for the full year 2024, $54.0 for 2025, and $53.0 for each of the three years thereafter.</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September 28, 2024, the net carrying value of intangible assets with determinable lives consisted of $398.6 in the HVAC reportable segment and $110.6 in the Detection and Measurement reportable segment. At September 28, 2024, trademarks with indefinite lives consisted of $156.8 in the HVAC reportable segment and $64.7 in the Detection and Measurement reportable segment.</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review goodwill and indefinite-lived intangible assets for impairment annually during the fourth quarter in conjunction with our annual financial planning process, with such testing based primarily on events and circumstances existing as of the end of the third quarter. In addition, we test goodwill for impairment on a more frequent basis if there are indications</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of potential impairment. In reviewing goodwill and indefinite-lived intangible assets for impairment, we initially perform a qualitative analysis. If there is an indication of impairment, we then perform a quantitative analysis. A significant amount of judgment is involved in determining if an indication of impairment has occurred between annual testing dates. Such indication may include: a significant decline in expected future cash flows; a significant adverse change in legal factors or the business climate; unanticipated competition; and a more likely than not expectation of selling or disposing all, or a portion, of a reporting unit.</w:t>
      </w:r>
    </w:p>
    <w:p>
      <w:pPr>
        <w:spacing w:after="0" w:line="1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assets related to the Ingénia acquisition approximates its carrying value. If Ingénia is unable to achieve its current financial forecast, we may be required to record an impairment charge in a future period related to its goodwill. As of September 28, 2024, Ingénia's goodwill totaled $142.9.</w:t>
      </w:r>
    </w:p>
    <w:p>
      <w:pPr>
        <w:spacing w:after="0" w:line="14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perform our annual trademarks impairment testing during the fourth quarter, or on a more frequent basis, if there are indications of potential impairment. The fair value of our trademarks is based on applying estimated royalty rates to projected revenues, with resulting cash flows discounted at a rate of return that reflects current market conditions (fair value based on unobservable inputs - Level 3, as defined in Note 17). The primary basis for these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projected revenues is the annual operating plan for each of the related businesses, which is prepared in the fourth quarter of each year.</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6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WARRANTY</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2"/>
        </w:trPr>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is an analysis of our product warranty accrual for the periods presented:</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6"/>
        </w:trPr>
        <w:tc>
          <w:tcPr>
            <w:tcW w:w="8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4"/>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31"/>
        </w:trPr>
        <w:tc>
          <w:tcPr>
            <w:tcW w:w="8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Pr>
          <w:p>
            <w:pPr>
              <w:spacing w:after="0"/>
              <w:rPr>
                <w:sz w:val="11"/>
                <w:szCs w:val="11"/>
                <w:color w:val="auto"/>
              </w:rPr>
            </w:pPr>
          </w:p>
        </w:tc>
        <w:tc>
          <w:tcPr>
            <w:tcW w:w="1080" w:type="dxa"/>
            <w:vAlign w:val="bottom"/>
          </w:tcPr>
          <w:p>
            <w:pPr>
              <w:jc w:val="right"/>
              <w:ind w:right="81"/>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8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34.7</w:t>
            </w:r>
          </w:p>
        </w:tc>
      </w:tr>
      <w:tr>
        <w:trPr>
          <w:trHeight w:val="21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0.9</w:t>
            </w:r>
          </w:p>
        </w:tc>
      </w:tr>
      <w:tr>
        <w:trPr>
          <w:trHeight w:val="21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w:t>
            </w:r>
          </w:p>
        </w:tc>
      </w:tr>
      <w:tr>
        <w:trPr>
          <w:trHeight w:val="21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Usage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7"/>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36.7</w:t>
            </w:r>
          </w:p>
        </w:tc>
      </w:tr>
      <w:tr>
        <w:trPr>
          <w:trHeight w:val="21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w:t>
            </w:r>
          </w:p>
        </w:tc>
      </w:tr>
      <w:tr>
        <w:trPr>
          <w:trHeight w:val="207"/>
        </w:trPr>
        <w:tc>
          <w:tcPr>
            <w:tcW w:w="8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portion of warranty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22.1</w:t>
            </w:r>
          </w:p>
        </w:tc>
      </w:tr>
      <w:tr>
        <w:trPr>
          <w:trHeight w:val="23"/>
        </w:trPr>
        <w:tc>
          <w:tcPr>
            <w:tcW w:w="8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periodic benefit (income) expense for our pension and postretirement plans included the following components: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Pension Plans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880" w:type="dxa"/>
            <w:vAlign w:val="bottom"/>
            <w:gridSpan w:val="4"/>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4"/>
          </w:tcPr>
          <w:p>
            <w:pPr>
              <w:jc w:val="right"/>
              <w:ind w:right="94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7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31"/>
        </w:trPr>
        <w:tc>
          <w:tcPr>
            <w:tcW w:w="4700" w:type="dxa"/>
            <w:vAlign w:val="bottom"/>
          </w:tcPr>
          <w:p>
            <w:pPr>
              <w:spacing w:after="0"/>
              <w:rPr>
                <w:sz w:val="11"/>
                <w:szCs w:val="11"/>
                <w:color w:val="auto"/>
              </w:rPr>
            </w:pPr>
          </w:p>
        </w:tc>
        <w:tc>
          <w:tcPr>
            <w:tcW w:w="12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20" w:type="dxa"/>
            <w:vAlign w:val="bottom"/>
          </w:tcPr>
          <w:p>
            <w:pPr>
              <w:spacing w:after="0"/>
              <w:rPr>
                <w:sz w:val="11"/>
                <w:szCs w:val="11"/>
                <w:color w:val="auto"/>
              </w:rPr>
            </w:pPr>
          </w:p>
        </w:tc>
        <w:tc>
          <w:tcPr>
            <w:tcW w:w="1340" w:type="dxa"/>
            <w:vAlign w:val="bottom"/>
          </w:tcPr>
          <w:p>
            <w:pPr>
              <w:jc w:val="right"/>
              <w:ind w:right="262"/>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47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22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(2.2)</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7"/>
        </w:trPr>
        <w:tc>
          <w:tcPr>
            <w:tcW w:w="4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periodic pension benefit expense</w:t>
            </w:r>
          </w:p>
        </w:tc>
        <w:tc>
          <w:tcPr>
            <w:tcW w:w="1220" w:type="dxa"/>
            <w:vAlign w:val="bottom"/>
            <w:tcBorders>
              <w:bottom w:val="single" w:sz="8" w:color="auto"/>
            </w:tcBorders>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3"/>
        </w:trPr>
        <w:tc>
          <w:tcPr>
            <w:tcW w:w="47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Pension Plans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880" w:type="dxa"/>
            <w:vAlign w:val="bottom"/>
            <w:gridSpan w:val="4"/>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4"/>
          </w:tcPr>
          <w:p>
            <w:pPr>
              <w:jc w:val="right"/>
              <w:ind w:right="94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7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31"/>
        </w:trPr>
        <w:tc>
          <w:tcPr>
            <w:tcW w:w="4700" w:type="dxa"/>
            <w:vAlign w:val="bottom"/>
          </w:tcPr>
          <w:p>
            <w:pPr>
              <w:spacing w:after="0"/>
              <w:rPr>
                <w:sz w:val="11"/>
                <w:szCs w:val="11"/>
                <w:color w:val="auto"/>
              </w:rPr>
            </w:pPr>
          </w:p>
        </w:tc>
        <w:tc>
          <w:tcPr>
            <w:tcW w:w="12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20" w:type="dxa"/>
            <w:vAlign w:val="bottom"/>
          </w:tcPr>
          <w:p>
            <w:pPr>
              <w:spacing w:after="0"/>
              <w:rPr>
                <w:sz w:val="11"/>
                <w:szCs w:val="11"/>
                <w:color w:val="auto"/>
              </w:rPr>
            </w:pPr>
          </w:p>
        </w:tc>
        <w:tc>
          <w:tcPr>
            <w:tcW w:w="1340" w:type="dxa"/>
            <w:vAlign w:val="bottom"/>
          </w:tcPr>
          <w:p>
            <w:pPr>
              <w:jc w:val="right"/>
              <w:ind w:right="262"/>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47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22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(1.3)</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07"/>
        </w:trPr>
        <w:tc>
          <w:tcPr>
            <w:tcW w:w="4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periodic pension benefit (income) expense</w:t>
            </w:r>
          </w:p>
        </w:tc>
        <w:tc>
          <w:tcPr>
            <w:tcW w:w="1220" w:type="dxa"/>
            <w:vAlign w:val="bottom"/>
            <w:tcBorders>
              <w:bottom w:val="single" w:sz="8" w:color="auto"/>
            </w:tcBorders>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(0.2)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3"/>
        </w:trPr>
        <w:tc>
          <w:tcPr>
            <w:tcW w:w="47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Postretirement Plans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880" w:type="dxa"/>
            <w:vAlign w:val="bottom"/>
            <w:gridSpan w:val="4"/>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4"/>
          </w:tcPr>
          <w:p>
            <w:pPr>
              <w:jc w:val="right"/>
              <w:ind w:right="94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7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31"/>
        </w:trPr>
        <w:tc>
          <w:tcPr>
            <w:tcW w:w="4720" w:type="dxa"/>
            <w:vAlign w:val="bottom"/>
          </w:tcPr>
          <w:p>
            <w:pPr>
              <w:spacing w:after="0"/>
              <w:rPr>
                <w:sz w:val="11"/>
                <w:szCs w:val="11"/>
                <w:color w:val="auto"/>
              </w:rPr>
            </w:pPr>
          </w:p>
        </w:tc>
        <w:tc>
          <w:tcPr>
            <w:tcW w:w="12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20" w:type="dxa"/>
            <w:vAlign w:val="bottom"/>
          </w:tcPr>
          <w:p>
            <w:pPr>
              <w:spacing w:after="0"/>
              <w:rPr>
                <w:sz w:val="11"/>
                <w:szCs w:val="11"/>
                <w:color w:val="auto"/>
              </w:rPr>
            </w:pPr>
          </w:p>
        </w:tc>
        <w:tc>
          <w:tcPr>
            <w:tcW w:w="1340" w:type="dxa"/>
            <w:vAlign w:val="bottom"/>
          </w:tcPr>
          <w:p>
            <w:pPr>
              <w:jc w:val="right"/>
              <w:ind w:right="262"/>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47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22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unrecognized prior service credits</w:t>
            </w:r>
          </w:p>
        </w:tc>
        <w:tc>
          <w:tcPr>
            <w:tcW w:w="1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(0.8)</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(1.0)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7"/>
        </w:trPr>
        <w:tc>
          <w:tcPr>
            <w:tcW w:w="4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periodic postretirement benefit income</w:t>
            </w:r>
          </w:p>
        </w:tc>
        <w:tc>
          <w:tcPr>
            <w:tcW w:w="1220" w:type="dxa"/>
            <w:vAlign w:val="bottom"/>
            <w:tcBorders>
              <w:bottom w:val="single" w:sz="8" w:color="auto"/>
            </w:tcBorders>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(0.5)</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10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(0.7)</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3"/>
        </w:trPr>
        <w:tc>
          <w:tcPr>
            <w:tcW w:w="47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w:t>
        <w:tab/>
        <w:t>INDEBTEDNESS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our debt activity (both current and non-current) for the nine months ended September 28,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9"/>
                <w:szCs w:val="9"/>
                <w:b w:val="1"/>
                <w:bCs w:val="1"/>
                <w:color w:val="auto"/>
              </w:rPr>
              <w:t>(5)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95"/>
        </w:trPr>
        <w:tc>
          <w:tcPr>
            <w:tcW w:w="50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Revolving loans</w:t>
            </w:r>
            <w:r>
              <w:rPr>
                <w:rFonts w:ascii="Times New Roman" w:cs="Times New Roman" w:eastAsia="Times New Roman" w:hAnsi="Times New Roman"/>
                <w:sz w:val="21"/>
                <w:szCs w:val="21"/>
                <w:color w:val="auto"/>
                <w:vertAlign w:val="superscript"/>
              </w:rPr>
              <w:t>(1)</w:t>
            </w:r>
          </w:p>
        </w:tc>
        <w:tc>
          <w:tcPr>
            <w:tcW w:w="76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Term loans</w:t>
            </w:r>
            <w:r>
              <w:rPr>
                <w:rFonts w:ascii="Times New Roman" w:cs="Times New Roman" w:eastAsia="Times New Roman" w:hAnsi="Times New Roman"/>
                <w:sz w:val="21"/>
                <w:szCs w:val="21"/>
                <w:color w:val="auto"/>
                <w:vertAlign w:val="superscript"/>
              </w:rPr>
              <w:t>(2)</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539.9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Trade receivables financing arrangement</w:t>
            </w:r>
            <w:r>
              <w:rPr>
                <w:rFonts w:ascii="Times New Roman" w:cs="Times New Roman" w:eastAsia="Times New Roman" w:hAnsi="Times New Roman"/>
                <w:sz w:val="21"/>
                <w:szCs w:val="21"/>
                <w:color w:val="auto"/>
                <w:vertAlign w:val="superscript"/>
              </w:rPr>
              <w:t>(3)</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indebtedness</w:t>
            </w:r>
            <w:r>
              <w:rPr>
                <w:rFonts w:ascii="Times New Roman" w:cs="Times New Roman" w:eastAsia="Times New Roman" w:hAnsi="Times New Roman"/>
                <w:sz w:val="21"/>
                <w:szCs w:val="21"/>
                <w:color w:val="auto"/>
                <w:vertAlign w:val="superscript"/>
              </w:rPr>
              <w:t>(4)</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0.7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8"/>
        </w:trPr>
        <w:tc>
          <w:tcPr>
            <w:tcW w:w="5080" w:type="dxa"/>
            <w:vAlign w:val="bottom"/>
            <w:tcBorders>
              <w:bottom w:val="single" w:sz="8" w:color="CCEEFF"/>
            </w:tcBorders>
            <w:shd w:val="clear" w:color="auto" w:fill="CCEEFF"/>
          </w:tcPr>
          <w:p>
            <w:pPr>
              <w:ind w:left="140"/>
              <w:spacing w:after="0" w:line="183" w:lineRule="exact"/>
              <w:rPr>
                <w:sz w:val="20"/>
                <w:szCs w:val="20"/>
                <w:color w:val="auto"/>
              </w:rPr>
            </w:pPr>
            <w:r>
              <w:rPr>
                <w:rFonts w:ascii="Times New Roman" w:cs="Times New Roman" w:eastAsia="Times New Roman" w:hAnsi="Times New Roman"/>
                <w:sz w:val="16"/>
                <w:szCs w:val="16"/>
                <w:color w:val="auto"/>
              </w:rPr>
              <w:t>Total debt</w:t>
            </w:r>
          </w:p>
        </w:tc>
        <w:tc>
          <w:tcPr>
            <w:tcW w:w="7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4"/>
              </w:rPr>
              <w:t>558.3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827.3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(648.9)</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42"/>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89"/>
              </w:rPr>
              <w:t>1.1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737.8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Less: short-term debt</w:t>
            </w:r>
          </w:p>
        </w:tc>
        <w:tc>
          <w:tcPr>
            <w:tcW w:w="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line="20" w:lineRule="exact"/>
              <w:rPr>
                <w:sz w:val="1"/>
                <w:szCs w:val="1"/>
                <w:color w:val="auto"/>
              </w:rPr>
            </w:pPr>
          </w:p>
        </w:tc>
      </w:tr>
      <w:tr>
        <w:trPr>
          <w:trHeight w:val="160"/>
        </w:trPr>
        <w:tc>
          <w:tcPr>
            <w:tcW w:w="508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09"/>
        </w:trPr>
        <w:tc>
          <w:tcPr>
            <w:tcW w:w="5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long-term debt, net</w:t>
            </w:r>
          </w:p>
        </w:tc>
        <w:tc>
          <w:tcPr>
            <w:tcW w:w="76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523.1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665.2</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5" w:lineRule="exact"/>
        <w:rPr>
          <w:sz w:val="20"/>
          <w:szCs w:val="20"/>
          <w:color w:val="auto"/>
        </w:rPr>
      </w:pPr>
    </w:p>
    <w:p>
      <w:pPr>
        <w:ind w:left="660" w:hanging="328"/>
        <w:spacing w:after="0" w:line="217" w:lineRule="auto"/>
        <w:tabs>
          <w:tab w:leader="none" w:pos="64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revolving credit facility extends through August 2027 under the terms of our senior credit agreement and is primarily used to provide liquidity for funding acquisitions, including related fees and expenses, and was utilized as the primary funding mechanism for the Ingénia acquisition.</w:t>
      </w:r>
    </w:p>
    <w:p>
      <w:pPr>
        <w:spacing w:after="0" w:line="154" w:lineRule="exact"/>
        <w:rPr>
          <w:rFonts w:ascii="Times New Roman" w:cs="Times New Roman" w:eastAsia="Times New Roman" w:hAnsi="Times New Roman"/>
          <w:sz w:val="21"/>
          <w:szCs w:val="21"/>
          <w:color w:val="auto"/>
          <w:vertAlign w:val="superscript"/>
        </w:rPr>
      </w:pPr>
    </w:p>
    <w:p>
      <w:pPr>
        <w:jc w:val="both"/>
        <w:ind w:left="660" w:hanging="328"/>
        <w:spacing w:after="0" w:line="226" w:lineRule="auto"/>
        <w:tabs>
          <w:tab w:leader="none" w:pos="64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term loans are repayable in quarterly installments equal to 0.625% of the initial balances of $545.0, in each of the first three quarters of 2024, and 1.25% during the fourth quarter of 2024, all quarters of 2025 and 2026, and the first two quarters of 2027. The remaining balances are payable in full on August 12, 2027. Balances are net of unamortized debt issuance costs of $1.3 and $1.7 at September 28, 2024 and December 31, 2023, respectively.</w:t>
      </w:r>
    </w:p>
    <w:p>
      <w:pPr>
        <w:spacing w:after="0" w:line="168" w:lineRule="exact"/>
        <w:rPr>
          <w:rFonts w:ascii="Times New Roman" w:cs="Times New Roman" w:eastAsia="Times New Roman" w:hAnsi="Times New Roman"/>
          <w:sz w:val="21"/>
          <w:szCs w:val="21"/>
          <w:color w:val="auto"/>
          <w:vertAlign w:val="superscript"/>
        </w:rPr>
      </w:pPr>
    </w:p>
    <w:p>
      <w:pPr>
        <w:jc w:val="both"/>
        <w:ind w:left="660" w:hanging="328"/>
        <w:spacing w:after="0" w:line="226" w:lineRule="auto"/>
        <w:tabs>
          <w:tab w:leader="none" w:pos="64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Under this arrangement, we can borrow, on a continuous basis, up to $100.0, as available. Borrowings under this arrangement are collateralized by eligible trade receivables of certain of our businesses. At September 28, 2024, we had $17.5 of available borrowing capacity under this facility after giving effect to outstanding borrowings of $47.0.</w:t>
      </w:r>
    </w:p>
    <w:p>
      <w:pPr>
        <w:spacing w:after="0" w:line="168" w:lineRule="exact"/>
        <w:rPr>
          <w:rFonts w:ascii="Times New Roman" w:cs="Times New Roman" w:eastAsia="Times New Roman" w:hAnsi="Times New Roman"/>
          <w:sz w:val="21"/>
          <w:szCs w:val="21"/>
          <w:color w:val="auto"/>
          <w:vertAlign w:val="superscript"/>
        </w:rPr>
      </w:pPr>
    </w:p>
    <w:p>
      <w:pPr>
        <w:jc w:val="both"/>
        <w:ind w:left="660" w:hanging="328"/>
        <w:spacing w:after="0" w:line="244" w:lineRule="auto"/>
        <w:tabs>
          <w:tab w:leader="none" w:pos="64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balances under a purchase card program of $1.4 and $1.9 and finance lease obligations of $0.9 and $0.5 at September 28, 2024 and December 31, 2023,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w:t>
      </w:r>
    </w:p>
    <w:p>
      <w:pPr>
        <w:spacing w:after="0" w:line="120"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the amortization of debt issuance costs associated with the term loans.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Credit Facilities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detailed description of our senior credit facilities is included in our 2023 Annual Report on Form 10-K.</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30, 2024, we entered into a Second Amendment to the Amended and Restated Credit Agreement and Incremental Facility Activation Notice (the “Second Amendment”) with Bank of America, N.A., as administrative agent (the “Administrative Agent”), the lenders party thereto, and certain domestic subsidiaries of the Company, as guarantors, which amends our Amended and Restated Credit Agreement, dated as of August 12, 2022 (as amended, the “Credit Agreement”) with the lenders party thereto, Deutsche Bank AG, as foreign trade facility agent, and the Administrative Agent.</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Second Amendment increases the aggregate revolving credit commitments under the Credit Agreement from $500.0 to $1,000.0 and makes certain conforming changes and other amendments to the Credit Agreement. We expect to utilize the increased revolving credit capacity to finance, in part, permitted acquisitions, to pay related fees, costs and expenses and for other lawful corporate purposes. In connection with the Second Amendment, we recorded $2.6 of debt issuance costs classified within “Other assets” on the condensed consolidated balance sheet as of September 28, 2024.</w:t>
      </w:r>
    </w:p>
    <w:p>
      <w:pPr>
        <w:spacing w:after="0" w:line="1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September 28, 2024, we had $834.0 of available borrowing capacity under our revolving credit facilities, after giving effect to borrowings under the domestic revolving loan facilities of $155.0 and $11.0 reserved for outstanding letters of</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credit. In addition, at September 28, 2024, we had $8.9 of available issuance capacity under our foreign credit instrument facilities after giving effect to $16.1 reserved for outstanding letters of credit.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interest rate of outstanding borrowings under the Credit Agreement was approximately 6.5% at September 28, 2024.</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September 28, 2024, we were in compliance with all covenants of the Credit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Borrowings and Financing Activities</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During the third quarter of 2024, we renewed, and increased the capacity of, our trade receivables financing agreement for the next 12 months, whereby we can borrow, on a continuous basis, up to $100.0, as available.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Company-owned Life Insurance</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investments in company-owned life insurance (“COLI”) policies, which are recorded at their cash surrender value at each balance sheet date. Changes in the cash surrender value during the period are recorded as a gain or loss within “Other income (expense), net” within our condensed consolidated statements of operations. The Company has the ability to borrow against a portion of its investment in the COLI policies as an additional source of liquidity. During the first nine months of 2024, the Company borrowed $41.2 against the cash surrender value of these COLI policies. Such borrowings were primarily used to pay down amounts payable under the revolving credit facility. The amounts borrowed incur interest at a rate of 5.3%. The cash surrender value of the Company’s investments in COLI assets, net of the aforementioned borrowing, was $34.0 and $76.7 at September 28, 2024 and December 31, 2023, respectively, recorded in “Other assets” on the condensed consolidated balance sheets.</w:t>
      </w:r>
    </w:p>
    <w:p>
      <w:pPr>
        <w:spacing w:after="0" w:line="21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DERIVATIVE FINANCIAL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8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We maintain interest rate swap agreements (“Initial Swaps”) that have a remaining notional amount of $212.5, cover the period through November 2024, and effectively convert this portion of the borrowings under our senior credit facilities to a fixed rate of 1.077%, plus the applicable margin. In September 2024, commensurate with the Second Amendment, we entered into additional interest rate swap agreements (“Additional Swaps”). The Additional Swaps have a notional amount of $531.4, cover the period from December 2024 to June 2026, and effectively convert this portion of the borrowings under our senior credit facilities to a fixed rate of 3.58%, plus the applicable margin. We have designated, and are accounting for, our Initial Swaps and Additional Swaps as cash flow hedges.</w:t>
      </w:r>
    </w:p>
    <w:p>
      <w:pPr>
        <w:spacing w:after="0" w:line="20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September 28, 2024 and December 31, 2023, the unrealized gain (loss), net of tax, recorded in accumulated other comprehensive income (“AOCI”) was $(0.3) and $5.7, respectively. In addition, as of September 28, 2024 and December 31, 2023, the fair value of our interest rate swap agreements was a net liability of $0.6 (with $2.1 recorded as a current asset, $0.3 as a current liability, and $2.4 as a non-current liability) and a current asset of $7.5, respectively. Changes in the fair value of our interest rate swap agreements are reclassified into earnings, as a component of interest expense, when the forecasted transaction impacts earnings.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Forward Contracts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manufacture and sell our products in a number of countries and, as a result, are exposed to movements in foreign currency exchange rates. Our objective is to preserve the economic value of non-functional currency-denominated cash flows and to minimize the impact of changes as a result of currency fluctuations. Our principal currency exposures relate to the South African Rand, British Pound Sterling, Canadian Dollar, and Euro.</w:t>
      </w:r>
    </w:p>
    <w:p>
      <w:pPr>
        <w:spacing w:after="0" w:line="19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From time to time, we enter into forward contracts to manage the exposure on contracts with forecasted transactions denominated in non-functional currencies and to manage the risk of transaction gains and losses associated with assets/liabilities denominated in currencies other than the functional currency of certain subsidiaries (“FX forward contracts”). Certain of our FX forward contracts are designated as cash flow hedges. Changes in these derivatives’ fair value are included in AOCI and are reclassified into earnings as a component of revenues or cost of products sold, as applicable, when the forecasted transaction impacts earnings. In addition, if the forecasted transaction is no longer probable, the cumulative change in the derivatives’ fair value is recorded into earnings in the period in which the transaction is no longer considered probable of occurring.</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FX forward contracts with an aggregate notional amount of $14.0 and $9.4 outstanding as of September 28, 2024 and December 31, 2023, respectively, with all of the $14.0 scheduled to mature within one year. There were no unrealized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gains/losses recorded in AOCI related to FX forward contracts designated as cash flow hedges as of September 28, 2024. The fair value of our FX forward contracts was less than $0.1 at September 28, 2024 and December 31, 2023.</w:t>
      </w:r>
    </w:p>
    <w:p>
      <w:pPr>
        <w:spacing w:after="0" w:line="20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In addition to the above, we entered FX forward contracts associated with the Settlement Agreement, to mitigate our exposure to fluctuations in the South African Rand, with a notional amount of South African Rand 480.9 (or $24.9 at the time of execution) and a fair value of $1.3 at December 31, 2023, which was included within “Assets of DBT and Heat Transfer” on the condensed consolidated balance sheet. These FX forward contracts matured during the quarter ended September 28, 2024 commensurate with the final payment under the Settlement Agreement, resulting in cash received of $2.0 presented within “Net cash used in discontinued operations” within the condensed consolidated statement of cash flows for the nine months ended September 28, 2024. Refer to Note 3 for additional details.</w:t>
      </w:r>
    </w:p>
    <w:p>
      <w:pPr>
        <w:spacing w:after="0" w:line="200" w:lineRule="exact"/>
        <w:rPr>
          <w:sz w:val="20"/>
          <w:szCs w:val="20"/>
          <w:color w:val="auto"/>
        </w:rPr>
      </w:pPr>
    </w:p>
    <w:p>
      <w:pPr>
        <w:spacing w:after="0" w:line="26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STOCKHOLDERS' EQUITY AND LONG-TERM INCENTIVE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Per Share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number of weighted-average shares outstanding used in the computation of basic and diluted income per share:</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right="60"/>
        <w:spacing w:after="0" w:line="245" w:lineRule="auto"/>
        <w:rPr>
          <w:sz w:val="20"/>
          <w:szCs w:val="20"/>
          <w:color w:val="auto"/>
        </w:rPr>
      </w:pPr>
      <w:r>
        <w:rPr>
          <w:rFonts w:ascii="Times New Roman" w:cs="Times New Roman" w:eastAsia="Times New Roman" w:hAnsi="Times New Roman"/>
          <w:sz w:val="16"/>
          <w:szCs w:val="16"/>
          <w:color w:val="auto"/>
        </w:rPr>
        <w:t>Weighted-average number of common shares used in basic income per share</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Dilutive securities — Employee stock options and restricted stock units</w:t>
      </w:r>
    </w:p>
    <w:p>
      <w:pPr>
        <w:spacing w:after="0" w:line="32" w:lineRule="exact"/>
        <w:rPr>
          <w:sz w:val="20"/>
          <w:szCs w:val="20"/>
          <w:color w:val="auto"/>
        </w:rPr>
      </w:pPr>
    </w:p>
    <w:p>
      <w:pPr>
        <w:ind w:left="20" w:right="240"/>
        <w:spacing w:after="0" w:line="245" w:lineRule="auto"/>
        <w:rPr>
          <w:sz w:val="20"/>
          <w:szCs w:val="20"/>
          <w:color w:val="auto"/>
        </w:rPr>
      </w:pPr>
      <w:r>
        <w:rPr>
          <w:rFonts w:ascii="Times New Roman" w:cs="Times New Roman" w:eastAsia="Times New Roman" w:hAnsi="Times New Roman"/>
          <w:sz w:val="16"/>
          <w:szCs w:val="16"/>
          <w:color w:val="auto"/>
        </w:rPr>
        <w:t>Weighted-average number of common shares and dilutive securities used in diluted income per share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32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20" w:type="dxa"/>
            <w:vAlign w:val="bottom"/>
            <w:gridSpan w:val="3"/>
          </w:tcPr>
          <w:p>
            <w:pPr>
              <w:jc w:val="right"/>
              <w:ind w:right="94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166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131"/>
        </w:trPr>
        <w:tc>
          <w:tcPr>
            <w:tcW w:w="1660" w:type="dxa"/>
            <w:vAlign w:val="bottom"/>
            <w:tcBorders>
              <w:top w:val="single" w:sz="8" w:color="auto"/>
            </w:tcBorders>
            <w:gridSpan w:val="2"/>
          </w:tcPr>
          <w:p>
            <w:pPr>
              <w:ind w:left="3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560" w:type="dxa"/>
            <w:vAlign w:val="bottom"/>
            <w:tcBorders>
              <w:top w:val="single" w:sz="8" w:color="auto"/>
            </w:tcBorders>
          </w:tcPr>
          <w:p>
            <w:pPr>
              <w:jc w:val="right"/>
              <w:ind w:right="263"/>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660" w:type="dxa"/>
            <w:vAlign w:val="bottom"/>
            <w:tcBorders>
              <w:top w:val="single" w:sz="8" w:color="auto"/>
            </w:tcBorders>
            <w:gridSpan w:val="2"/>
          </w:tcPr>
          <w:p>
            <w:pPr>
              <w:ind w:left="3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560" w:type="dxa"/>
            <w:vAlign w:val="bottom"/>
            <w:tcBorders>
              <w:top w:val="single" w:sz="8" w:color="auto"/>
            </w:tcBorders>
          </w:tcPr>
          <w:p>
            <w:pPr>
              <w:jc w:val="right"/>
              <w:ind w:right="263"/>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156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7"/>
        </w:trPr>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46.305</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45.608</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46.127</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45.507</w:t>
            </w:r>
          </w:p>
        </w:tc>
      </w:tr>
      <w:tr>
        <w:trPr>
          <w:trHeight w:val="219"/>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0.960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0.876</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w:t>
            </w:r>
          </w:p>
        </w:tc>
      </w:tr>
      <w:tr>
        <w:trPr>
          <w:trHeight w:val="331"/>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47.265</w:t>
            </w:r>
          </w:p>
        </w:tc>
        <w:tc>
          <w:tcPr>
            <w:tcW w:w="10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46.751</w:t>
            </w:r>
          </w:p>
        </w:tc>
        <w:tc>
          <w:tcPr>
            <w:tcW w:w="10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47.003</w:t>
            </w:r>
          </w:p>
        </w:tc>
        <w:tc>
          <w:tcPr>
            <w:tcW w:w="10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46.560</w:t>
            </w:r>
          </w:p>
        </w:tc>
      </w:tr>
      <w:tr>
        <w:trPr>
          <w:trHeight w:val="24"/>
        </w:trPr>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-633730</wp:posOffset>
            </wp:positionV>
            <wp:extent cx="7132320"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-256540</wp:posOffset>
            </wp:positionV>
            <wp:extent cx="713232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40"/>
            <w:col w:w="6540"/>
          </w:cols>
          <w:pgMar w:left="320" w:top="607" w:right="339" w:bottom="1440" w:gutter="0" w:footer="0" w:header="0"/>
          <w:type w:val="continuous"/>
        </w:sectPr>
      </w:pP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number of restricted stock units and stock options excluded from the computation of diluted income per share because the assumed proceeds for these instruments exceed the average market value of the underlying common stock for the related period were 0.126 and 0.248, respectively, for the three months ended September 28, 2024, and 0.134 and 0.290, respectively, for the nine months ended September 28, 2024.</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number of restricted stock units and stock options excluded from the computation of diluted income per share because the assumed proceeds for these instruments exceed the average market value of the underlying common stock for the related period were 0.184 and 0.488, respectively, for the three months ended September 30, 2023, and 0.191 and 0.521, respectively, for the nine months ended September 30,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Long-term incentive compensation awards may be granted to certain eligible employees or non-employee directors. A detailed description of the awards granted prior to 2024 is included in our 2023 Annual Report on Form 10-K.</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Awards granted on February 28, 2024 to executive officers and other members of senior management were comprised of performance stock units (“PSU’s”), stock options, and time-based restricted stock units (“RSU’s”), while other eligible employees were granted PSU’s and RSU’s. The PSU’s are eligible to vest at the end of a three-year performance period, with performance based on the total return of our stock over the three-year performance period against a peer group within the combined S&amp;P 600 Small Cap Capital Goods Index and S&amp;P 400 Mid Cap Capital Goods Index. Stock options and RSU’s vest ratably over the three-year period subsequent to the date of grant.</w:t>
      </w:r>
    </w:p>
    <w:p>
      <w:pPr>
        <w:spacing w:after="0" w:line="1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Effective May 14, 2024, we granted 0.008 RSU’s to our non-employee directors, which vest in their entirety immediately prior to the annual meeting of stockholders in May 2025.</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Compensation expense within income from continuing operations related to long-term incentive awards totaled $4.0 and $3.4 for the three months ended September 28, 2024 and September 30, 2023, respectively, and $11.0 and $10.0 for the nine months ended September 28, 2024 and September 30, 2023, respectively. The related tax benefit was $0.7 and $0.6 for the three months ended September 28, 2024 and September 30, 2023, respectively, and $1.9 and $1.7 for the nine months ended September 28, 2024 and September 30,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Common Stock</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14, 2024, our Board of Directors authorized management, in its sole discretion, to repurchase, in any fiscal year, up to $100.0 of our common stock, subject to maintaining compliance with all covenants of our senior credit agreement. No share repurchases were effected pursuant to this and prior authorizations during the three and nine months ended September 28,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components of AOCI, net of tax, for the three months ended September 28, 2024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60" w:type="dxa"/>
            <w:vAlign w:val="bottom"/>
          </w:tcPr>
          <w:p>
            <w:pPr>
              <w:spacing w:after="0"/>
              <w:rPr>
                <w:sz w:val="13"/>
                <w:szCs w:val="13"/>
                <w:color w:val="auto"/>
              </w:rPr>
            </w:pPr>
          </w:p>
        </w:tc>
        <w:tc>
          <w:tcPr>
            <w:tcW w:w="17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280" w:type="dxa"/>
            <w:vAlign w:val="bottom"/>
          </w:tcPr>
          <w:p>
            <w:pPr>
              <w:spacing w:after="0"/>
              <w:rPr>
                <w:sz w:val="13"/>
                <w:szCs w:val="13"/>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8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(Losses) on Qualifying Cash</w:t>
            </w:r>
          </w:p>
        </w:tc>
        <w:tc>
          <w:tcPr>
            <w:tcW w:w="28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340" w:type="dxa"/>
            <w:vAlign w:val="bottom"/>
          </w:tcPr>
          <w:p>
            <w:pPr>
              <w:spacing w:after="0"/>
              <w:rPr>
                <w:sz w:val="12"/>
                <w:szCs w:val="12"/>
                <w:color w:val="auto"/>
              </w:rPr>
            </w:pPr>
          </w:p>
        </w:tc>
        <w:tc>
          <w:tcPr>
            <w:tcW w:w="114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Flow Hedges</w:t>
            </w:r>
            <w:r>
              <w:rPr>
                <w:rFonts w:ascii="Times New Roman" w:cs="Times New Roman" w:eastAsia="Times New Roman" w:hAnsi="Times New Roman"/>
                <w:sz w:val="9"/>
                <w:szCs w:val="9"/>
                <w:b w:val="1"/>
                <w:bCs w:val="1"/>
                <w:color w:val="auto"/>
              </w:rPr>
              <w:t>(1)</w:t>
            </w:r>
          </w:p>
        </w:tc>
        <w:tc>
          <w:tcPr>
            <w:tcW w:w="280" w:type="dxa"/>
            <w:vAlign w:val="bottom"/>
          </w:tcPr>
          <w:p>
            <w:pPr>
              <w:spacing w:after="0"/>
              <w:rPr>
                <w:sz w:val="17"/>
                <w:szCs w:val="17"/>
                <w:color w:val="auto"/>
              </w:rPr>
            </w:pPr>
          </w:p>
        </w:tc>
        <w:tc>
          <w:tcPr>
            <w:tcW w:w="1620" w:type="dxa"/>
            <w:vAlign w:val="bottom"/>
            <w:gridSpan w:val="2"/>
          </w:tcPr>
          <w:p>
            <w:pPr>
              <w:jc w:val="center"/>
              <w:ind w:right="380"/>
              <w:spacing w:after="0" w:line="202" w:lineRule="exact"/>
              <w:rPr>
                <w:sz w:val="20"/>
                <w:szCs w:val="20"/>
                <w:color w:val="auto"/>
              </w:rPr>
            </w:pPr>
            <w:r>
              <w:rPr>
                <w:rFonts w:ascii="Times New Roman" w:cs="Times New Roman" w:eastAsia="Times New Roman" w:hAnsi="Times New Roman"/>
                <w:sz w:val="14"/>
                <w:szCs w:val="14"/>
                <w:b w:val="1"/>
                <w:bCs w:val="1"/>
                <w:color w:val="auto"/>
                <w:w w:val="99"/>
              </w:rPr>
              <w:t>Adjustment</w:t>
            </w:r>
            <w:r>
              <w:rPr>
                <w:rFonts w:ascii="Times New Roman" w:cs="Times New Roman" w:eastAsia="Times New Roman" w:hAnsi="Times New Roman"/>
                <w:sz w:val="18"/>
                <w:szCs w:val="18"/>
                <w:b w:val="1"/>
                <w:bCs w:val="1"/>
                <w:color w:val="auto"/>
                <w:w w:val="99"/>
                <w:vertAlign w:val="superscript"/>
              </w:rPr>
              <w:t>(2)</w:t>
            </w:r>
          </w:p>
        </w:tc>
        <w:tc>
          <w:tcPr>
            <w:tcW w:w="3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165"/>
        </w:trPr>
        <w:tc>
          <w:tcPr>
            <w:tcW w:w="42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Amounts reclassified from accumulated other comprehensive</w:t>
            </w:r>
          </w:p>
        </w:tc>
        <w:tc>
          <w:tcPr>
            <w:tcW w:w="2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2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Current-period other comprehensive income (loss)</w:t>
            </w: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ind w:left="640" w:hanging="308"/>
        <w:spacing w:after="0" w:line="222" w:lineRule="auto"/>
        <w:tabs>
          <w:tab w:leader="none" w:pos="64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of tax provision (benefit) of $(0.3) and $0.8 as of September 28, 2024 and June 29, 2024, respectively.</w:t>
      </w:r>
    </w:p>
    <w:p>
      <w:pPr>
        <w:spacing w:after="0" w:line="154" w:lineRule="exact"/>
        <w:rPr>
          <w:rFonts w:ascii="Times New Roman" w:cs="Times New Roman" w:eastAsia="Times New Roman" w:hAnsi="Times New Roman"/>
          <w:sz w:val="21"/>
          <w:szCs w:val="21"/>
          <w:color w:val="auto"/>
          <w:vertAlign w:val="superscript"/>
        </w:rPr>
      </w:pPr>
    </w:p>
    <w:p>
      <w:pPr>
        <w:ind w:left="660" w:right="80" w:hanging="328"/>
        <w:spacing w:after="0" w:line="232" w:lineRule="auto"/>
        <w:tabs>
          <w:tab w:leader="none" w:pos="64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of tax provision of $1.2 and $1.4 as of September 28, 2024 and June 29, 2024, respectively. The balances as of September 28, 2024 and June 29, 2024 include unamortized prior service credits.</w:t>
      </w:r>
    </w:p>
    <w:p>
      <w:pPr>
        <w:spacing w:after="0" w:line="3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components of AOCI, net of tax, for the nine months ended September 28, 2024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60" w:type="dxa"/>
            <w:vAlign w:val="bottom"/>
          </w:tcPr>
          <w:p>
            <w:pPr>
              <w:spacing w:after="0"/>
              <w:rPr>
                <w:sz w:val="13"/>
                <w:szCs w:val="13"/>
                <w:color w:val="auto"/>
              </w:rPr>
            </w:pPr>
          </w:p>
        </w:tc>
        <w:tc>
          <w:tcPr>
            <w:tcW w:w="17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280" w:type="dxa"/>
            <w:vAlign w:val="bottom"/>
          </w:tcPr>
          <w:p>
            <w:pPr>
              <w:spacing w:after="0"/>
              <w:rPr>
                <w:sz w:val="13"/>
                <w:szCs w:val="13"/>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880" w:type="dxa"/>
            <w:vAlign w:val="bottom"/>
            <w:gridSpan w:val="3"/>
          </w:tcPr>
          <w:p>
            <w:pPr>
              <w:jc w:val="right"/>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(Losses) on Qualifying Cash</w:t>
            </w:r>
          </w:p>
        </w:tc>
        <w:tc>
          <w:tcPr>
            <w:tcW w:w="280" w:type="dxa"/>
            <w:vAlign w:val="bottom"/>
          </w:tcPr>
          <w:p>
            <w:pPr>
              <w:spacing w:after="0"/>
              <w:rPr>
                <w:sz w:val="12"/>
                <w:szCs w:val="12"/>
                <w:color w:val="auto"/>
              </w:rPr>
            </w:pPr>
          </w:p>
        </w:tc>
        <w:tc>
          <w:tcPr>
            <w:tcW w:w="16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340" w:type="dxa"/>
            <w:vAlign w:val="bottom"/>
          </w:tcPr>
          <w:p>
            <w:pPr>
              <w:spacing w:after="0"/>
              <w:rPr>
                <w:sz w:val="12"/>
                <w:szCs w:val="12"/>
                <w:color w:val="auto"/>
              </w:rPr>
            </w:pPr>
          </w:p>
        </w:tc>
        <w:tc>
          <w:tcPr>
            <w:tcW w:w="114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Pr>
          <w:p>
            <w:pPr>
              <w:spacing w:after="0"/>
              <w:rPr>
                <w:sz w:val="17"/>
                <w:szCs w:val="17"/>
                <w:color w:val="auto"/>
              </w:rPr>
            </w:pPr>
          </w:p>
        </w:tc>
        <w:tc>
          <w:tcPr>
            <w:tcW w:w="17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9"/>
              </w:rPr>
              <w:t>Flow Hedges</w:t>
            </w:r>
            <w:r>
              <w:rPr>
                <w:rFonts w:ascii="Times New Roman" w:cs="Times New Roman" w:eastAsia="Times New Roman" w:hAnsi="Times New Roman"/>
                <w:sz w:val="18"/>
                <w:szCs w:val="18"/>
                <w:b w:val="1"/>
                <w:bCs w:val="1"/>
                <w:color w:val="auto"/>
                <w:w w:val="99"/>
                <w:vertAlign w:val="superscript"/>
              </w:rPr>
              <w:t>(1)</w:t>
            </w:r>
          </w:p>
        </w:tc>
        <w:tc>
          <w:tcPr>
            <w:tcW w:w="280" w:type="dxa"/>
            <w:vAlign w:val="bottom"/>
          </w:tcPr>
          <w:p>
            <w:pPr>
              <w:spacing w:after="0"/>
              <w:rPr>
                <w:sz w:val="17"/>
                <w:szCs w:val="17"/>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Adjustment</w:t>
            </w:r>
            <w:r>
              <w:rPr>
                <w:rFonts w:ascii="Times New Roman" w:cs="Times New Roman" w:eastAsia="Times New Roman" w:hAnsi="Times New Roman"/>
                <w:sz w:val="9"/>
                <w:szCs w:val="9"/>
                <w:b w:val="1"/>
                <w:bCs w:val="1"/>
                <w:color w:val="auto"/>
              </w:rPr>
              <w:t>(2)</w:t>
            </w:r>
          </w:p>
        </w:tc>
        <w:tc>
          <w:tcPr>
            <w:tcW w:w="3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165"/>
        </w:trPr>
        <w:tc>
          <w:tcPr>
            <w:tcW w:w="42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Amounts reclassified from accumulated other comprehensive</w:t>
            </w:r>
          </w:p>
        </w:tc>
        <w:tc>
          <w:tcPr>
            <w:tcW w:w="2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2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Current-period other comprehensive income (loss)</w:t>
            </w: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ind w:left="640" w:hanging="308"/>
        <w:spacing w:after="0" w:line="222" w:lineRule="auto"/>
        <w:tabs>
          <w:tab w:leader="none" w:pos="640"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of tax provision (benefit) of $(0.3) and $1.8 as of September 28, 2024 and December 31, 2023, respectively.</w:t>
      </w:r>
    </w:p>
    <w:p>
      <w:pPr>
        <w:spacing w:after="0" w:line="168" w:lineRule="exact"/>
        <w:rPr>
          <w:rFonts w:ascii="Times New Roman" w:cs="Times New Roman" w:eastAsia="Times New Roman" w:hAnsi="Times New Roman"/>
          <w:sz w:val="21"/>
          <w:szCs w:val="21"/>
          <w:color w:val="auto"/>
          <w:vertAlign w:val="superscript"/>
        </w:rPr>
      </w:pPr>
    </w:p>
    <w:p>
      <w:pPr>
        <w:ind w:left="660" w:right="220" w:hanging="328"/>
        <w:spacing w:after="0" w:line="225" w:lineRule="auto"/>
        <w:tabs>
          <w:tab w:leader="none" w:pos="64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of tax provision of $1.2 and $1.8 as of September 28, 2024 and December 31, 2023, respectively. The balances as of September 28, 2024 and December 31, 2023 include unamortized prior service credits.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components of AOCI, net of tax, for the three months ended September 30, 2023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3"/>
                <w:szCs w:val="13"/>
                <w:color w:val="auto"/>
              </w:rPr>
            </w:pPr>
          </w:p>
        </w:tc>
        <w:tc>
          <w:tcPr>
            <w:tcW w:w="17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260" w:type="dxa"/>
            <w:vAlign w:val="bottom"/>
          </w:tcPr>
          <w:p>
            <w:pPr>
              <w:spacing w:after="0"/>
              <w:rPr>
                <w:sz w:val="13"/>
                <w:szCs w:val="13"/>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2"/>
                <w:szCs w:val="12"/>
                <w:color w:val="auto"/>
              </w:rPr>
            </w:pPr>
          </w:p>
        </w:tc>
        <w:tc>
          <w:tcPr>
            <w:tcW w:w="17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on Qualifying Cash</w:t>
            </w:r>
          </w:p>
        </w:tc>
        <w:tc>
          <w:tcPr>
            <w:tcW w:w="2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340" w:type="dxa"/>
            <w:vAlign w:val="bottom"/>
          </w:tcPr>
          <w:p>
            <w:pPr>
              <w:spacing w:after="0"/>
              <w:rPr>
                <w:sz w:val="12"/>
                <w:szCs w:val="12"/>
                <w:color w:val="auto"/>
              </w:rPr>
            </w:pPr>
          </w:p>
        </w:tc>
        <w:tc>
          <w:tcPr>
            <w:tcW w:w="1160" w:type="dxa"/>
            <w:vAlign w:val="bottom"/>
            <w:vMerge w:val="restart"/>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Flow Hedges</w:t>
            </w:r>
            <w:r>
              <w:rPr>
                <w:rFonts w:ascii="Times New Roman" w:cs="Times New Roman" w:eastAsia="Times New Roman" w:hAnsi="Times New Roman"/>
                <w:sz w:val="9"/>
                <w:szCs w:val="9"/>
                <w:b w:val="1"/>
                <w:bCs w:val="1"/>
                <w:color w:val="auto"/>
              </w:rPr>
              <w:t>(1)</w:t>
            </w:r>
          </w:p>
        </w:tc>
        <w:tc>
          <w:tcPr>
            <w:tcW w:w="260" w:type="dxa"/>
            <w:vAlign w:val="bottom"/>
          </w:tcPr>
          <w:p>
            <w:pPr>
              <w:spacing w:after="0"/>
              <w:rPr>
                <w:sz w:val="17"/>
                <w:szCs w:val="17"/>
                <w:color w:val="auto"/>
              </w:rPr>
            </w:pPr>
          </w:p>
        </w:tc>
        <w:tc>
          <w:tcPr>
            <w:tcW w:w="1620" w:type="dxa"/>
            <w:vAlign w:val="bottom"/>
            <w:gridSpan w:val="2"/>
          </w:tcPr>
          <w:p>
            <w:pPr>
              <w:jc w:val="center"/>
              <w:ind w:right="380"/>
              <w:spacing w:after="0" w:line="202" w:lineRule="exact"/>
              <w:rPr>
                <w:sz w:val="20"/>
                <w:szCs w:val="20"/>
                <w:color w:val="auto"/>
              </w:rPr>
            </w:pPr>
            <w:r>
              <w:rPr>
                <w:rFonts w:ascii="Times New Roman" w:cs="Times New Roman" w:eastAsia="Times New Roman" w:hAnsi="Times New Roman"/>
                <w:sz w:val="14"/>
                <w:szCs w:val="14"/>
                <w:b w:val="1"/>
                <w:bCs w:val="1"/>
                <w:color w:val="auto"/>
                <w:w w:val="99"/>
              </w:rPr>
              <w:t>Adjustment</w:t>
            </w:r>
            <w:r>
              <w:rPr>
                <w:rFonts w:ascii="Times New Roman" w:cs="Times New Roman" w:eastAsia="Times New Roman" w:hAnsi="Times New Roman"/>
                <w:sz w:val="18"/>
                <w:szCs w:val="18"/>
                <w:b w:val="1"/>
                <w:bCs w:val="1"/>
                <w:color w:val="auto"/>
                <w:w w:val="99"/>
                <w:vertAlign w:val="superscript"/>
              </w:rPr>
              <w:t>(2)</w:t>
            </w:r>
          </w:p>
        </w:tc>
        <w:tc>
          <w:tcPr>
            <w:tcW w:w="3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center"/>
              <w:ind w:left="1202"/>
              <w:spacing w:after="0"/>
              <w:rPr>
                <w:sz w:val="20"/>
                <w:szCs w:val="20"/>
                <w:color w:val="auto"/>
              </w:rPr>
            </w:pPr>
            <w:r>
              <w:rPr>
                <w:rFonts w:ascii="Times New Roman" w:cs="Times New Roman" w:eastAsia="Times New Roman" w:hAnsi="Times New Roman"/>
                <w:sz w:val="16"/>
                <w:szCs w:val="16"/>
                <w:color w:val="auto"/>
                <w:w w:val="99"/>
              </w:rPr>
              <w:t>9.2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262.5</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center"/>
              <w:ind w:left="1202"/>
              <w:spacing w:after="0"/>
              <w:rPr>
                <w:sz w:val="20"/>
                <w:szCs w:val="20"/>
                <w:color w:val="auto"/>
              </w:rPr>
            </w:pPr>
            <w:r>
              <w:rPr>
                <w:rFonts w:ascii="Times New Roman" w:cs="Times New Roman" w:eastAsia="Times New Roman" w:hAnsi="Times New Roman"/>
                <w:sz w:val="16"/>
                <w:szCs w:val="16"/>
                <w:color w:val="auto"/>
                <w:w w:val="99"/>
              </w:rPr>
              <w:t>0.7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165"/>
        </w:trPr>
        <w:tc>
          <w:tcPr>
            <w:tcW w:w="42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Amounts reclassified from accumulated other comprehensive</w:t>
            </w:r>
          </w:p>
        </w:tc>
        <w:tc>
          <w:tcPr>
            <w:tcW w:w="2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(1.8)</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2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Current-period other comprehensive loss</w:t>
            </w: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center"/>
              <w:ind w:left="1182"/>
              <w:spacing w:after="0"/>
              <w:rPr>
                <w:sz w:val="20"/>
                <w:szCs w:val="20"/>
                <w:color w:val="auto"/>
              </w:rPr>
            </w:pPr>
            <w:r>
              <w:rPr>
                <w:rFonts w:ascii="Times New Roman" w:cs="Times New Roman" w:eastAsia="Times New Roman" w:hAnsi="Times New Roman"/>
                <w:sz w:val="16"/>
                <w:szCs w:val="16"/>
                <w:color w:val="auto"/>
                <w:w w:val="97"/>
              </w:rPr>
              <w:t>(1.1)</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center"/>
              <w:ind w:left="1202"/>
              <w:spacing w:after="0"/>
              <w:rPr>
                <w:sz w:val="20"/>
                <w:szCs w:val="20"/>
                <w:color w:val="auto"/>
              </w:rPr>
            </w:pPr>
            <w:r>
              <w:rPr>
                <w:rFonts w:ascii="Times New Roman" w:cs="Times New Roman" w:eastAsia="Times New Roman" w:hAnsi="Times New Roman"/>
                <w:sz w:val="16"/>
                <w:szCs w:val="16"/>
                <w:color w:val="auto"/>
                <w:w w:val="99"/>
              </w:rPr>
              <w:t>8.1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250.7</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ind w:left="640" w:hanging="308"/>
        <w:spacing w:after="0" w:line="222" w:lineRule="auto"/>
        <w:tabs>
          <w:tab w:leader="none" w:pos="64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of tax provision of $2.7 and $3.1 as of September 30, 2023 and July 1, 2023.</w:t>
      </w:r>
    </w:p>
    <w:p>
      <w:pPr>
        <w:spacing w:after="0" w:line="154" w:lineRule="exact"/>
        <w:rPr>
          <w:rFonts w:ascii="Times New Roman" w:cs="Times New Roman" w:eastAsia="Times New Roman" w:hAnsi="Times New Roman"/>
          <w:sz w:val="21"/>
          <w:szCs w:val="21"/>
          <w:color w:val="auto"/>
          <w:vertAlign w:val="superscript"/>
        </w:rPr>
      </w:pPr>
    </w:p>
    <w:p>
      <w:pPr>
        <w:ind w:left="660" w:right="300" w:hanging="328"/>
        <w:spacing w:after="0" w:line="232" w:lineRule="auto"/>
        <w:tabs>
          <w:tab w:leader="none" w:pos="648"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of tax provision of $1.9 and $2.2 as of September 30, 2023 and July 1, 2023, respectively. The balances as of September 30, 2023 and July 1, 2023 include unamortized prior service credits.</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The changes in the components of AOCI, net of tax, for the nine months ended September 30, 2023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3"/>
                <w:szCs w:val="13"/>
                <w:color w:val="auto"/>
              </w:rPr>
            </w:pPr>
          </w:p>
        </w:tc>
        <w:tc>
          <w:tcPr>
            <w:tcW w:w="17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260" w:type="dxa"/>
            <w:vAlign w:val="bottom"/>
          </w:tcPr>
          <w:p>
            <w:pPr>
              <w:spacing w:after="0"/>
              <w:rPr>
                <w:sz w:val="13"/>
                <w:szCs w:val="13"/>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2"/>
                <w:szCs w:val="12"/>
                <w:color w:val="auto"/>
              </w:rPr>
            </w:pPr>
          </w:p>
        </w:tc>
        <w:tc>
          <w:tcPr>
            <w:tcW w:w="17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on Qualifying Cash</w:t>
            </w:r>
          </w:p>
        </w:tc>
        <w:tc>
          <w:tcPr>
            <w:tcW w:w="260" w:type="dxa"/>
            <w:vAlign w:val="bottom"/>
          </w:tcPr>
          <w:p>
            <w:pPr>
              <w:spacing w:after="0"/>
              <w:rPr>
                <w:sz w:val="12"/>
                <w:szCs w:val="12"/>
                <w:color w:val="auto"/>
              </w:rPr>
            </w:pPr>
          </w:p>
        </w:tc>
        <w:tc>
          <w:tcPr>
            <w:tcW w:w="16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340" w:type="dxa"/>
            <w:vAlign w:val="bottom"/>
          </w:tcPr>
          <w:p>
            <w:pPr>
              <w:spacing w:after="0"/>
              <w:rPr>
                <w:sz w:val="12"/>
                <w:szCs w:val="12"/>
                <w:color w:val="auto"/>
              </w:rPr>
            </w:pPr>
          </w:p>
        </w:tc>
        <w:tc>
          <w:tcPr>
            <w:tcW w:w="1160" w:type="dxa"/>
            <w:vAlign w:val="bottom"/>
            <w:vMerge w:val="restart"/>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2"/>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7"/>
                <w:szCs w:val="17"/>
                <w:color w:val="auto"/>
              </w:rPr>
            </w:pPr>
          </w:p>
        </w:tc>
        <w:tc>
          <w:tcPr>
            <w:tcW w:w="172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4"/>
                <w:szCs w:val="14"/>
                <w:b w:val="1"/>
                <w:bCs w:val="1"/>
                <w:color w:val="auto"/>
                <w:w w:val="97"/>
              </w:rPr>
              <w:t>Flow Hedges</w:t>
            </w:r>
            <w:r>
              <w:rPr>
                <w:rFonts w:ascii="Times New Roman" w:cs="Times New Roman" w:eastAsia="Times New Roman" w:hAnsi="Times New Roman"/>
                <w:sz w:val="18"/>
                <w:szCs w:val="18"/>
                <w:b w:val="1"/>
                <w:bCs w:val="1"/>
                <w:color w:val="auto"/>
                <w:w w:val="97"/>
                <w:vertAlign w:val="superscript"/>
              </w:rPr>
              <w:t>(1)</w:t>
            </w:r>
          </w:p>
        </w:tc>
        <w:tc>
          <w:tcPr>
            <w:tcW w:w="260" w:type="dxa"/>
            <w:vAlign w:val="bottom"/>
          </w:tcPr>
          <w:p>
            <w:pPr>
              <w:spacing w:after="0"/>
              <w:rPr>
                <w:sz w:val="17"/>
                <w:szCs w:val="17"/>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Adjustment</w:t>
            </w:r>
            <w:r>
              <w:rPr>
                <w:rFonts w:ascii="Times New Roman" w:cs="Times New Roman" w:eastAsia="Times New Roman" w:hAnsi="Times New Roman"/>
                <w:sz w:val="9"/>
                <w:szCs w:val="9"/>
                <w:b w:val="1"/>
                <w:bCs w:val="1"/>
                <w:color w:val="auto"/>
              </w:rPr>
              <w:t>(2)</w:t>
            </w:r>
          </w:p>
        </w:tc>
        <w:tc>
          <w:tcPr>
            <w:tcW w:w="3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257.5</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165"/>
        </w:trPr>
        <w:tc>
          <w:tcPr>
            <w:tcW w:w="42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Amounts reclassified from accumulated other comprehensive</w:t>
            </w:r>
          </w:p>
        </w:tc>
        <w:tc>
          <w:tcPr>
            <w:tcW w:w="2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2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Current-period other comprehensive loss</w:t>
            </w: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250.7</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ind w:left="640" w:hanging="308"/>
        <w:spacing w:after="0" w:line="222" w:lineRule="auto"/>
        <w:tabs>
          <w:tab w:leader="none" w:pos="64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of tax provision of $2.7 and $3.7 as of September 30, 2023 and December 31, 2022, respectively.</w:t>
      </w:r>
    </w:p>
    <w:p>
      <w:pPr>
        <w:spacing w:after="0" w:line="168" w:lineRule="exact"/>
        <w:rPr>
          <w:rFonts w:ascii="Times New Roman" w:cs="Times New Roman" w:eastAsia="Times New Roman" w:hAnsi="Times New Roman"/>
          <w:sz w:val="21"/>
          <w:szCs w:val="21"/>
          <w:color w:val="auto"/>
          <w:vertAlign w:val="superscript"/>
        </w:rPr>
      </w:pPr>
    </w:p>
    <w:p>
      <w:pPr>
        <w:ind w:left="660" w:right="220" w:hanging="328"/>
        <w:spacing w:after="0" w:line="225" w:lineRule="auto"/>
        <w:tabs>
          <w:tab w:leader="none" w:pos="64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of tax provision of $1.9 and $2.7 as of September 30, 2023 and December 31, 2022, respectively. The balances as of September 30, 2023 and December 31, 2022 include unamortized prior service credits.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amounts reclassified from each component of AOCI for the three months ended September 28,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Reclassified from AOCI</w:t>
            </w:r>
          </w:p>
        </w:tc>
        <w:tc>
          <w:tcPr>
            <w:tcW w:w="1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60" w:type="dxa"/>
            <w:vAlign w:val="bottom"/>
          </w:tcPr>
          <w:p>
            <w:pPr>
              <w:spacing w:after="0"/>
              <w:rPr>
                <w:sz w:val="10"/>
                <w:szCs w:val="10"/>
                <w:color w:val="auto"/>
              </w:rPr>
            </w:pPr>
          </w:p>
        </w:tc>
        <w:tc>
          <w:tcPr>
            <w:tcW w:w="14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0"/>
                <w:szCs w:val="10"/>
                <w:color w:val="auto"/>
              </w:rPr>
            </w:pPr>
          </w:p>
        </w:tc>
        <w:tc>
          <w:tcPr>
            <w:tcW w:w="38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0" w:type="dxa"/>
            <w:vAlign w:val="bottom"/>
          </w:tcPr>
          <w:p>
            <w:pPr>
              <w:spacing w:after="0"/>
              <w:rPr>
                <w:sz w:val="1"/>
                <w:szCs w:val="1"/>
                <w:color w:val="auto"/>
              </w:rPr>
            </w:pPr>
          </w:p>
        </w:tc>
      </w:tr>
      <w:tr>
        <w:trPr>
          <w:trHeight w:val="215"/>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qualifying cash flow hedges: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Swaps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center"/>
              <w:ind w:left="1042"/>
              <w:spacing w:after="0"/>
              <w:rPr>
                <w:sz w:val="20"/>
                <w:szCs w:val="20"/>
                <w:color w:val="auto"/>
              </w:rPr>
            </w:pPr>
            <w:r>
              <w:rPr>
                <w:rFonts w:ascii="Times New Roman" w:cs="Times New Roman" w:eastAsia="Times New Roman" w:hAnsi="Times New Roman"/>
                <w:sz w:val="16"/>
                <w:szCs w:val="16"/>
                <w:color w:val="auto"/>
                <w:w w:val="97"/>
              </w:rPr>
              <w:t>(2.3)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center"/>
              <w:ind w:left="1020"/>
              <w:spacing w:after="0"/>
              <w:rPr>
                <w:sz w:val="20"/>
                <w:szCs w:val="20"/>
                <w:color w:val="auto"/>
              </w:rPr>
            </w:pPr>
            <w:r>
              <w:rPr>
                <w:rFonts w:ascii="Times New Roman" w:cs="Times New Roman" w:eastAsia="Times New Roman" w:hAnsi="Times New Roman"/>
                <w:sz w:val="16"/>
                <w:szCs w:val="16"/>
                <w:color w:val="auto"/>
                <w:w w:val="97"/>
              </w:rPr>
              <w:t>(2.4)</w:t>
            </w:r>
          </w:p>
        </w:tc>
        <w:tc>
          <w:tcPr>
            <w:tcW w:w="100" w:type="dxa"/>
            <w:vAlign w:val="bottom"/>
            <w:tcBorders>
              <w:bottom w:val="single" w:sz="8" w:color="CCEEFF"/>
            </w:tcBorders>
          </w:tcPr>
          <w:p>
            <w:pPr>
              <w:spacing w:after="0"/>
              <w:rPr>
                <w:sz w:val="18"/>
                <w:szCs w:val="18"/>
                <w:color w:val="auto"/>
              </w:rPr>
            </w:pPr>
          </w:p>
        </w:tc>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Pre-tax</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1042"/>
              <w:spacing w:after="0"/>
              <w:rPr>
                <w:sz w:val="20"/>
                <w:szCs w:val="20"/>
                <w:color w:val="auto"/>
              </w:rPr>
            </w:pPr>
            <w:r>
              <w:rPr>
                <w:rFonts w:ascii="Times New Roman" w:cs="Times New Roman" w:eastAsia="Times New Roman" w:hAnsi="Times New Roman"/>
                <w:sz w:val="16"/>
                <w:szCs w:val="16"/>
                <w:color w:val="auto"/>
                <w:w w:val="97"/>
              </w:rPr>
              <w:t>(2.3)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left="1020"/>
              <w:spacing w:after="0"/>
              <w:rPr>
                <w:sz w:val="20"/>
                <w:szCs w:val="20"/>
                <w:color w:val="auto"/>
              </w:rPr>
            </w:pPr>
            <w:r>
              <w:rPr>
                <w:rFonts w:ascii="Times New Roman" w:cs="Times New Roman" w:eastAsia="Times New Roman" w:hAnsi="Times New Roman"/>
                <w:sz w:val="16"/>
                <w:szCs w:val="16"/>
                <w:color w:val="auto"/>
                <w:w w:val="97"/>
              </w:rPr>
              <w:t>(2.4)</w:t>
            </w:r>
          </w:p>
        </w:tc>
        <w:tc>
          <w:tcPr>
            <w:tcW w:w="1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taxes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left="1062"/>
              <w:spacing w:after="0"/>
              <w:rPr>
                <w:sz w:val="20"/>
                <w:szCs w:val="20"/>
                <w:color w:val="auto"/>
              </w:rPr>
            </w:pPr>
            <w:r>
              <w:rPr>
                <w:rFonts w:ascii="Times New Roman" w:cs="Times New Roman" w:eastAsia="Times New Roman" w:hAnsi="Times New Roman"/>
                <w:sz w:val="16"/>
                <w:szCs w:val="16"/>
                <w:color w:val="auto"/>
                <w:w w:val="99"/>
              </w:rPr>
              <w:t>0.6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left="1040"/>
              <w:spacing w:after="0"/>
              <w:rPr>
                <w:sz w:val="20"/>
                <w:szCs w:val="20"/>
                <w:color w:val="auto"/>
              </w:rPr>
            </w:pPr>
            <w:r>
              <w:rPr>
                <w:rFonts w:ascii="Times New Roman" w:cs="Times New Roman" w:eastAsia="Times New Roman" w:hAnsi="Times New Roman"/>
                <w:sz w:val="16"/>
                <w:szCs w:val="16"/>
                <w:color w:val="auto"/>
                <w:w w:val="99"/>
              </w:rPr>
              <w:t>0.6</w:t>
            </w:r>
          </w:p>
        </w:tc>
        <w:tc>
          <w:tcPr>
            <w:tcW w:w="100" w:type="dxa"/>
            <w:vAlign w:val="bottom"/>
            <w:tcBorders>
              <w:bottom w:val="single" w:sz="8" w:color="CCEEFF"/>
            </w:tcBorders>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center"/>
              <w:ind w:left="1042"/>
              <w:spacing w:after="0"/>
              <w:rPr>
                <w:sz w:val="20"/>
                <w:szCs w:val="20"/>
                <w:color w:val="auto"/>
              </w:rPr>
            </w:pPr>
            <w:r>
              <w:rPr>
                <w:rFonts w:ascii="Times New Roman" w:cs="Times New Roman" w:eastAsia="Times New Roman" w:hAnsi="Times New Roman"/>
                <w:sz w:val="16"/>
                <w:szCs w:val="16"/>
                <w:color w:val="auto"/>
                <w:w w:val="97"/>
              </w:rPr>
              <w:t>(1.7)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center"/>
              <w:ind w:left="1020"/>
              <w:spacing w:after="0"/>
              <w:rPr>
                <w:sz w:val="20"/>
                <w:szCs w:val="20"/>
                <w:color w:val="auto"/>
              </w:rPr>
            </w:pPr>
            <w:r>
              <w:rPr>
                <w:rFonts w:ascii="Times New Roman" w:cs="Times New Roman" w:eastAsia="Times New Roman" w:hAnsi="Times New Roman"/>
                <w:sz w:val="16"/>
                <w:szCs w:val="16"/>
                <w:color w:val="auto"/>
                <w:w w:val="97"/>
              </w:rPr>
              <w:t>(1.8)</w:t>
            </w:r>
          </w:p>
        </w:tc>
        <w:tc>
          <w:tcPr>
            <w:tcW w:w="100" w:type="dxa"/>
            <w:vAlign w:val="bottom"/>
            <w:tcBorders>
              <w:bottom w:val="single" w:sz="8" w:color="CCEEFF"/>
            </w:tcBorders>
            <w:shd w:val="clear" w:color="auto" w:fill="CCEEFF"/>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pension and postretirement items: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Amortization of unrecognized prior service credits - Pre-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vMerge w:val="restart"/>
          </w:tcPr>
          <w:p>
            <w:pPr>
              <w:jc w:val="center"/>
              <w:ind w:left="1042"/>
              <w:spacing w:after="0"/>
              <w:rPr>
                <w:sz w:val="20"/>
                <w:szCs w:val="20"/>
                <w:color w:val="auto"/>
              </w:rPr>
            </w:pPr>
            <w:r>
              <w:rPr>
                <w:rFonts w:ascii="Times New Roman" w:cs="Times New Roman" w:eastAsia="Times New Roman" w:hAnsi="Times New Roman"/>
                <w:sz w:val="16"/>
                <w:szCs w:val="16"/>
                <w:color w:val="auto"/>
                <w:w w:val="97"/>
              </w:rPr>
              <w:t>(0.8)</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vMerge w:val="restart"/>
          </w:tcPr>
          <w:p>
            <w:pPr>
              <w:jc w:val="center"/>
              <w:ind w:left="1020"/>
              <w:spacing w:after="0"/>
              <w:rPr>
                <w:sz w:val="20"/>
                <w:szCs w:val="20"/>
                <w:color w:val="auto"/>
              </w:rPr>
            </w:pPr>
            <w:r>
              <w:rPr>
                <w:rFonts w:ascii="Times New Roman" w:cs="Times New Roman" w:eastAsia="Times New Roman" w:hAnsi="Times New Roman"/>
                <w:sz w:val="16"/>
                <w:szCs w:val="16"/>
                <w:color w:val="auto"/>
                <w:w w:val="97"/>
              </w:rPr>
              <w:t>(1.0)</w:t>
            </w:r>
          </w:p>
        </w:tc>
        <w:tc>
          <w:tcPr>
            <w:tcW w:w="100" w:type="dxa"/>
            <w:vAlign w:val="bottom"/>
          </w:tcPr>
          <w:p>
            <w:pPr>
              <w:spacing w:after="0"/>
              <w:rPr>
                <w:sz w:val="14"/>
                <w:szCs w:val="14"/>
                <w:color w:val="auto"/>
              </w:rPr>
            </w:pPr>
          </w:p>
        </w:tc>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0" w:type="dxa"/>
            <w:vAlign w:val="bottom"/>
          </w:tcPr>
          <w:p>
            <w:pPr>
              <w:spacing w:after="0"/>
              <w:rPr>
                <w:sz w:val="1"/>
                <w:szCs w:val="1"/>
                <w:color w:val="auto"/>
              </w:rPr>
            </w:pPr>
          </w:p>
        </w:tc>
      </w:tr>
      <w:tr>
        <w:trPr>
          <w:trHeight w:val="213"/>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w:t>
            </w:r>
          </w:p>
        </w:tc>
        <w:tc>
          <w:tcPr>
            <w:tcW w:w="16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center"/>
              <w:ind w:left="1062"/>
              <w:spacing w:after="0"/>
              <w:rPr>
                <w:sz w:val="20"/>
                <w:szCs w:val="20"/>
                <w:color w:val="auto"/>
              </w:rPr>
            </w:pPr>
            <w:r>
              <w:rPr>
                <w:rFonts w:ascii="Times New Roman" w:cs="Times New Roman" w:eastAsia="Times New Roman" w:hAnsi="Times New Roman"/>
                <w:sz w:val="16"/>
                <w:szCs w:val="16"/>
                <w:color w:val="auto"/>
                <w:w w:val="99"/>
              </w:rPr>
              <w:t>0.2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center"/>
              <w:ind w:left="1040"/>
              <w:spacing w:after="0"/>
              <w:rPr>
                <w:sz w:val="20"/>
                <w:szCs w:val="20"/>
                <w:color w:val="auto"/>
              </w:rPr>
            </w:pPr>
            <w:r>
              <w:rPr>
                <w:rFonts w:ascii="Times New Roman" w:cs="Times New Roman" w:eastAsia="Times New Roman" w:hAnsi="Times New Roman"/>
                <w:sz w:val="16"/>
                <w:szCs w:val="16"/>
                <w:color w:val="auto"/>
                <w:w w:val="99"/>
              </w:rPr>
              <w:t>0.3</w:t>
            </w:r>
          </w:p>
        </w:tc>
        <w:tc>
          <w:tcPr>
            <w:tcW w:w="1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center"/>
              <w:ind w:left="1042"/>
              <w:spacing w:after="0"/>
              <w:rPr>
                <w:sz w:val="20"/>
                <w:szCs w:val="20"/>
                <w:color w:val="auto"/>
              </w:rPr>
            </w:pPr>
            <w:r>
              <w:rPr>
                <w:rFonts w:ascii="Times New Roman" w:cs="Times New Roman" w:eastAsia="Times New Roman" w:hAnsi="Times New Roman"/>
                <w:sz w:val="16"/>
                <w:szCs w:val="16"/>
                <w:color w:val="auto"/>
                <w:w w:val="97"/>
              </w:rPr>
              <w:t>(0.6)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center"/>
              <w:ind w:left="1020"/>
              <w:spacing w:after="0"/>
              <w:rPr>
                <w:sz w:val="20"/>
                <w:szCs w:val="20"/>
                <w:color w:val="auto"/>
              </w:rPr>
            </w:pPr>
            <w:r>
              <w:rPr>
                <w:rFonts w:ascii="Times New Roman" w:cs="Times New Roman" w:eastAsia="Times New Roman" w:hAnsi="Times New Roman"/>
                <w:sz w:val="16"/>
                <w:szCs w:val="16"/>
                <w:color w:val="auto"/>
                <w:w w:val="97"/>
              </w:rPr>
              <w:t>(0.7)</w:t>
            </w:r>
          </w:p>
        </w:tc>
        <w:tc>
          <w:tcPr>
            <w:tcW w:w="1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amounts reclassified from each component of AOCI for the nine months ended September 28, 2024 and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Reclassified from AOCI</w:t>
            </w:r>
          </w:p>
        </w:tc>
        <w:tc>
          <w:tcPr>
            <w:tcW w:w="1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60" w:type="dxa"/>
            <w:vAlign w:val="bottom"/>
          </w:tcPr>
          <w:p>
            <w:pPr>
              <w:spacing w:after="0"/>
              <w:rPr>
                <w:sz w:val="10"/>
                <w:szCs w:val="10"/>
                <w:color w:val="auto"/>
              </w:rPr>
            </w:pPr>
          </w:p>
        </w:tc>
        <w:tc>
          <w:tcPr>
            <w:tcW w:w="14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0"/>
                <w:szCs w:val="10"/>
                <w:color w:val="auto"/>
              </w:rPr>
            </w:pPr>
          </w:p>
        </w:tc>
        <w:tc>
          <w:tcPr>
            <w:tcW w:w="38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0" w:type="dxa"/>
            <w:vAlign w:val="bottom"/>
          </w:tcPr>
          <w:p>
            <w:pPr>
              <w:spacing w:after="0"/>
              <w:rPr>
                <w:sz w:val="1"/>
                <w:szCs w:val="1"/>
                <w:color w:val="auto"/>
              </w:rPr>
            </w:pPr>
          </w:p>
        </w:tc>
      </w:tr>
      <w:tr>
        <w:trPr>
          <w:trHeight w:val="214"/>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qualifying cash flow hedges: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Swaps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center"/>
              <w:ind w:left="1042"/>
              <w:spacing w:after="0"/>
              <w:rPr>
                <w:sz w:val="20"/>
                <w:szCs w:val="20"/>
                <w:color w:val="auto"/>
              </w:rPr>
            </w:pPr>
            <w:r>
              <w:rPr>
                <w:rFonts w:ascii="Times New Roman" w:cs="Times New Roman" w:eastAsia="Times New Roman" w:hAnsi="Times New Roman"/>
                <w:sz w:val="16"/>
                <w:szCs w:val="16"/>
                <w:color w:val="auto"/>
                <w:w w:val="97"/>
              </w:rPr>
              <w:t>(7.1)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center"/>
              <w:ind w:left="1020"/>
              <w:spacing w:after="0"/>
              <w:rPr>
                <w:sz w:val="20"/>
                <w:szCs w:val="20"/>
                <w:color w:val="auto"/>
              </w:rPr>
            </w:pPr>
            <w:r>
              <w:rPr>
                <w:rFonts w:ascii="Times New Roman" w:cs="Times New Roman" w:eastAsia="Times New Roman" w:hAnsi="Times New Roman"/>
                <w:sz w:val="16"/>
                <w:szCs w:val="16"/>
                <w:color w:val="auto"/>
                <w:w w:val="97"/>
              </w:rPr>
              <w:t>(6.8)</w:t>
            </w:r>
          </w:p>
        </w:tc>
        <w:tc>
          <w:tcPr>
            <w:tcW w:w="100" w:type="dxa"/>
            <w:vAlign w:val="bottom"/>
            <w:tcBorders>
              <w:bottom w:val="single" w:sz="8" w:color="CCEEFF"/>
            </w:tcBorders>
          </w:tcPr>
          <w:p>
            <w:pPr>
              <w:spacing w:after="0"/>
              <w:rPr>
                <w:sz w:val="18"/>
                <w:szCs w:val="18"/>
                <w:color w:val="auto"/>
              </w:rPr>
            </w:pPr>
          </w:p>
        </w:tc>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Pre-tax</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1042"/>
              <w:spacing w:after="0"/>
              <w:rPr>
                <w:sz w:val="20"/>
                <w:szCs w:val="20"/>
                <w:color w:val="auto"/>
              </w:rPr>
            </w:pPr>
            <w:r>
              <w:rPr>
                <w:rFonts w:ascii="Times New Roman" w:cs="Times New Roman" w:eastAsia="Times New Roman" w:hAnsi="Times New Roman"/>
                <w:sz w:val="16"/>
                <w:szCs w:val="16"/>
                <w:color w:val="auto"/>
                <w:w w:val="97"/>
              </w:rPr>
              <w:t>(7.1)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left="1020"/>
              <w:spacing w:after="0"/>
              <w:rPr>
                <w:sz w:val="20"/>
                <w:szCs w:val="20"/>
                <w:color w:val="auto"/>
              </w:rPr>
            </w:pPr>
            <w:r>
              <w:rPr>
                <w:rFonts w:ascii="Times New Roman" w:cs="Times New Roman" w:eastAsia="Times New Roman" w:hAnsi="Times New Roman"/>
                <w:sz w:val="16"/>
                <w:szCs w:val="16"/>
                <w:color w:val="auto"/>
                <w:w w:val="97"/>
              </w:rPr>
              <w:t>(6.8)</w:t>
            </w:r>
          </w:p>
        </w:tc>
        <w:tc>
          <w:tcPr>
            <w:tcW w:w="1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taxes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left="1062"/>
              <w:spacing w:after="0"/>
              <w:rPr>
                <w:sz w:val="20"/>
                <w:szCs w:val="20"/>
                <w:color w:val="auto"/>
              </w:rPr>
            </w:pPr>
            <w:r>
              <w:rPr>
                <w:rFonts w:ascii="Times New Roman" w:cs="Times New Roman" w:eastAsia="Times New Roman" w:hAnsi="Times New Roman"/>
                <w:sz w:val="16"/>
                <w:szCs w:val="16"/>
                <w:color w:val="auto"/>
                <w:w w:val="99"/>
              </w:rPr>
              <w:t>1.9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left="1040"/>
              <w:spacing w:after="0"/>
              <w:rPr>
                <w:sz w:val="20"/>
                <w:szCs w:val="20"/>
                <w:color w:val="auto"/>
              </w:rPr>
            </w:pPr>
            <w:r>
              <w:rPr>
                <w:rFonts w:ascii="Times New Roman" w:cs="Times New Roman" w:eastAsia="Times New Roman" w:hAnsi="Times New Roman"/>
                <w:sz w:val="16"/>
                <w:szCs w:val="16"/>
                <w:color w:val="auto"/>
                <w:w w:val="99"/>
              </w:rPr>
              <w:t>1.7</w:t>
            </w:r>
          </w:p>
        </w:tc>
        <w:tc>
          <w:tcPr>
            <w:tcW w:w="100" w:type="dxa"/>
            <w:vAlign w:val="bottom"/>
            <w:tcBorders>
              <w:bottom w:val="single" w:sz="8" w:color="CCEEFF"/>
            </w:tcBorders>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center"/>
              <w:ind w:left="1042"/>
              <w:spacing w:after="0"/>
              <w:rPr>
                <w:sz w:val="20"/>
                <w:szCs w:val="20"/>
                <w:color w:val="auto"/>
              </w:rPr>
            </w:pPr>
            <w:r>
              <w:rPr>
                <w:rFonts w:ascii="Times New Roman" w:cs="Times New Roman" w:eastAsia="Times New Roman" w:hAnsi="Times New Roman"/>
                <w:sz w:val="16"/>
                <w:szCs w:val="16"/>
                <w:color w:val="auto"/>
                <w:w w:val="97"/>
              </w:rPr>
              <w:t>(5.2)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center"/>
              <w:ind w:left="1020"/>
              <w:spacing w:after="0"/>
              <w:rPr>
                <w:sz w:val="20"/>
                <w:szCs w:val="20"/>
                <w:color w:val="auto"/>
              </w:rPr>
            </w:pPr>
            <w:r>
              <w:rPr>
                <w:rFonts w:ascii="Times New Roman" w:cs="Times New Roman" w:eastAsia="Times New Roman" w:hAnsi="Times New Roman"/>
                <w:sz w:val="16"/>
                <w:szCs w:val="16"/>
                <w:color w:val="auto"/>
                <w:w w:val="97"/>
              </w:rPr>
              <w:t>(5.1)</w:t>
            </w:r>
          </w:p>
        </w:tc>
        <w:tc>
          <w:tcPr>
            <w:tcW w:w="100" w:type="dxa"/>
            <w:vAlign w:val="bottom"/>
            <w:tcBorders>
              <w:bottom w:val="single" w:sz="8" w:color="CCEEFF"/>
            </w:tcBorders>
            <w:shd w:val="clear" w:color="auto" w:fill="CCEEFF"/>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pension and postretirement items: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Amortization of unrecognized prior service credits - Pre-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vMerge w:val="restart"/>
          </w:tcPr>
          <w:p>
            <w:pPr>
              <w:jc w:val="center"/>
              <w:ind w:left="1042"/>
              <w:spacing w:after="0"/>
              <w:rPr>
                <w:sz w:val="20"/>
                <w:szCs w:val="20"/>
                <w:color w:val="auto"/>
              </w:rPr>
            </w:pPr>
            <w:r>
              <w:rPr>
                <w:rFonts w:ascii="Times New Roman" w:cs="Times New Roman" w:eastAsia="Times New Roman" w:hAnsi="Times New Roman"/>
                <w:sz w:val="16"/>
                <w:szCs w:val="16"/>
                <w:color w:val="auto"/>
                <w:w w:val="97"/>
              </w:rPr>
              <w:t>(2.4)</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vMerge w:val="restart"/>
          </w:tcPr>
          <w:p>
            <w:pPr>
              <w:jc w:val="center"/>
              <w:ind w:left="1020"/>
              <w:spacing w:after="0"/>
              <w:rPr>
                <w:sz w:val="20"/>
                <w:szCs w:val="20"/>
                <w:color w:val="auto"/>
              </w:rPr>
            </w:pPr>
            <w:r>
              <w:rPr>
                <w:rFonts w:ascii="Times New Roman" w:cs="Times New Roman" w:eastAsia="Times New Roman" w:hAnsi="Times New Roman"/>
                <w:sz w:val="16"/>
                <w:szCs w:val="16"/>
                <w:color w:val="auto"/>
                <w:w w:val="97"/>
              </w:rPr>
              <w:t>(3.0)</w:t>
            </w:r>
          </w:p>
        </w:tc>
        <w:tc>
          <w:tcPr>
            <w:tcW w:w="100" w:type="dxa"/>
            <w:vAlign w:val="bottom"/>
          </w:tcPr>
          <w:p>
            <w:pPr>
              <w:spacing w:after="0"/>
              <w:rPr>
                <w:sz w:val="14"/>
                <w:szCs w:val="14"/>
                <w:color w:val="auto"/>
              </w:rPr>
            </w:pPr>
          </w:p>
        </w:tc>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0" w:type="dxa"/>
            <w:vAlign w:val="bottom"/>
          </w:tcPr>
          <w:p>
            <w:pPr>
              <w:spacing w:after="0"/>
              <w:rPr>
                <w:sz w:val="1"/>
                <w:szCs w:val="1"/>
                <w:color w:val="auto"/>
              </w:rPr>
            </w:pPr>
          </w:p>
        </w:tc>
      </w:tr>
      <w:tr>
        <w:trPr>
          <w:trHeight w:val="213"/>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w:t>
            </w:r>
          </w:p>
        </w:tc>
        <w:tc>
          <w:tcPr>
            <w:tcW w:w="16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center"/>
              <w:ind w:left="1062"/>
              <w:spacing w:after="0"/>
              <w:rPr>
                <w:sz w:val="20"/>
                <w:szCs w:val="20"/>
                <w:color w:val="auto"/>
              </w:rPr>
            </w:pPr>
            <w:r>
              <w:rPr>
                <w:rFonts w:ascii="Times New Roman" w:cs="Times New Roman" w:eastAsia="Times New Roman" w:hAnsi="Times New Roman"/>
                <w:sz w:val="16"/>
                <w:szCs w:val="16"/>
                <w:color w:val="auto"/>
                <w:w w:val="99"/>
              </w:rPr>
              <w:t>0.6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center"/>
              <w:ind w:left="1040"/>
              <w:spacing w:after="0"/>
              <w:rPr>
                <w:sz w:val="20"/>
                <w:szCs w:val="20"/>
                <w:color w:val="auto"/>
              </w:rPr>
            </w:pPr>
            <w:r>
              <w:rPr>
                <w:rFonts w:ascii="Times New Roman" w:cs="Times New Roman" w:eastAsia="Times New Roman" w:hAnsi="Times New Roman"/>
                <w:sz w:val="16"/>
                <w:szCs w:val="16"/>
                <w:color w:val="auto"/>
                <w:w w:val="99"/>
              </w:rPr>
              <w:t>0.8</w:t>
            </w:r>
          </w:p>
        </w:tc>
        <w:tc>
          <w:tcPr>
            <w:tcW w:w="1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center"/>
              <w:ind w:left="1042"/>
              <w:spacing w:after="0"/>
              <w:rPr>
                <w:sz w:val="20"/>
                <w:szCs w:val="20"/>
                <w:color w:val="auto"/>
              </w:rPr>
            </w:pPr>
            <w:r>
              <w:rPr>
                <w:rFonts w:ascii="Times New Roman" w:cs="Times New Roman" w:eastAsia="Times New Roman" w:hAnsi="Times New Roman"/>
                <w:sz w:val="16"/>
                <w:szCs w:val="16"/>
                <w:color w:val="auto"/>
                <w:w w:val="97"/>
              </w:rPr>
              <w:t>(1.8)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center"/>
              <w:ind w:left="1020"/>
              <w:spacing w:after="0"/>
              <w:rPr>
                <w:sz w:val="20"/>
                <w:szCs w:val="20"/>
                <w:color w:val="auto"/>
              </w:rPr>
            </w:pPr>
            <w:r>
              <w:rPr>
                <w:rFonts w:ascii="Times New Roman" w:cs="Times New Roman" w:eastAsia="Times New Roman" w:hAnsi="Times New Roman"/>
                <w:sz w:val="16"/>
                <w:szCs w:val="16"/>
                <w:color w:val="auto"/>
                <w:w w:val="97"/>
              </w:rPr>
              <w:t>(2.2)</w:t>
            </w:r>
          </w:p>
        </w:tc>
        <w:tc>
          <w:tcPr>
            <w:tcW w:w="1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5" w:name="page26"/>
    <w:bookmarkEnd w:id="25"/>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CONTINGENT LIABILITIES AND OTHER MATTERS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Numerous claims, complaints and proceedings arising in the ordinary course of business have been asserted or are pending against us or certain of our subsidiaries (collectively, “claims”). These claims relate to litigation matters (e.g., class actions, derivative lawsuits and contracts, intellectual property and competitive claims), environmental matters, claims for contingent consideration on prior acquisitions,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While we (and our subsidiaries) maintain property, cargo, auto, product, general liability, environmental, and directors’ and officers’ liability insurance, among other lines of coverage, and have acquired rights under similar policies in connection with acquisitions that we believe cover a significant portion of these claims, this insurance may be insufficient or unavailable (e.g., in the case of insurer insolvency) to protect us against potential loss exposures. Also, while we believe we are entitled to indemnification from third parties for some of these claims, these rights may be insufficient or unavailable to protect us against potential loss exposures.</w:t>
      </w:r>
    </w:p>
    <w:p>
      <w:pPr>
        <w:spacing w:after="0" w:line="1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recorded liabilities related to these matters, primarily associated with environmental matters, totaled $37.2 and $37.9 at September 28, 2024 and December 31, 2023, respectively. Of these amounts, $29.0 and $29.4 are included in “Other long-term liabilities” within our condensed consolidated balance sheets at September 28, 2024 and December 31, 2023, respectively, with the remainder included in “Accrued expenses.” The liabilities we record for these matters are based on a number of assumptions, including historical claims and payment experience. While we base our assumptions on facts currently known to us, they entail inherently subjective judgments and uncertainties. As a result, our current assumptions for estimating these liabilities may not prove accurate, and we may be required to adjust these liabilities in the future, which could result in charges to earnings. These variances relative to current expectations could have a material impact on our financial position and results of operations in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Large Power Projects in South Africa</w:t>
      </w:r>
    </w:p>
    <w:p>
      <w:pPr>
        <w:spacing w:after="0" w:line="18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 Since 2008, DBT had been executing on two large power projects in South Africa (Kusile and Medupi), on which it has completed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scope of work. During that time, the business environment surrounding these projects was difficult, as DBT, along with many other contractors on the projects, experienced delays, cost over-runs, and various other challenges associated with a complex set of contractual relationships among the end customer, prime contractors, various subcontractors (including DBT and its subcontractors), and various suppliers. DBT had asserted claims against the remaining prime contractor, MHI, and MHI had asserted, or issued letters of intent to claim for, alleged damages against DBT. As previously disclosed in our 2023 Annual Report on Form 10-K, and as mentioned in Note 3, on September 5, 2023, DBT and SPX entered into the Settlement Agreement to resolve all claims between the parties with respect to the two large power projects. The Settlement Agreement provides for full and final settlement and the mutual release of all claims between the parties with respect to the projects, including any claim against SPX Technologies, Inc. as guarantor of DBT’s performance on the projects. Refer to Note 3 for additional details. Prior to the Settlement Agreement, DBT had experienced success in enforcing its rights through dispute resolution processes, including a favorable arbitration ruling during the first quarter of 2023 related to awards for costs incurred in connection with delays on the Kusile project of South African Rand 126.6 (or $7.0) with such amount recorded to “Loss on disposition of discontinued operations, net of tax” during the first quarter of 2023. Additionally, in June 2023, the arbitration tribunal ruled DBT was entitled to recover $1.3 of legal costs incurred related to the arbitration. Such amount was recorded to “Loss on disposition of discontinued operations, net of tax” during the second quarter of 2023 with the cash payment received during the nine months ended September 30, 2023.</w:t>
      </w:r>
    </w:p>
    <w:p>
      <w:pPr>
        <w:spacing w:after="0" w:line="22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Additionally, in May 2023, a separate arbitration tribunal ruled DBT was entitled to recover $5.5 of legal costs incurred related to another prior arbitration. Such amount was recorded within “Loss on disposition of discontinued operations, net of tax” during the second quarter of 2023 with the cash payment received during the nine months ended September 30, 2023.</w:t>
      </w:r>
    </w:p>
    <w:p>
      <w:pPr>
        <w:spacing w:after="0" w:line="21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Claim against Surety </w:t>
      </w:r>
      <w:r>
        <w:rPr>
          <w:rFonts w:ascii="Times New Roman" w:cs="Times New Roman" w:eastAsia="Times New Roman" w:hAnsi="Times New Roman"/>
          <w:sz w:val="18"/>
          <w:szCs w:val="18"/>
          <w:color w:val="auto"/>
        </w:rPr>
        <w:t>- On February 5, 2021, DBT received payment of $6.7 on bonds issued in support of performance by one of DBT’s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subcontractors. The subcontractor, currently in liquidation, maintains a right to seek recovery of such amount and, thus, the amount received by DBT has not been reflected in our condensed consolidated statements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 for Contingent Consideration Related to ULC Acquisition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acquisition of ULC in September 2020, the seller of ULC was eligible to receive additional contingent consideration of up to $45.0 under an earn-out provision. During the third quarter of 2021, we concluded that none of the milestones for the payment of any of the contingent consideration were achieved.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20, 2024, we entered into a settlement agreement with the seller of ULC to resolve a lawsuit it commenced in August 2022 seeking contingent consideration of $15.0, prejudgment interest on that amount, and attorney's fees. The settlement agreement required a payment by us to the seller of ULC of $8.4, which was paid during the second quarter of 2024, with a corresponding charge recorded within “Other operating expense, net” within the condensed consolidated statement of operations for the nine months ended September 28, 2024. We expect this payment to be tax deductible in future periods.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Resolution of Dispute with Former Representative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18, 2024, a jury ruled that one of our businesses within the Detection and Measurement reportable segment had breached its contract and implied duties of good faith and fair dealings in connection with an agreement entered into with a former representative. On January 26, 2024, we negotiated a settlement requiring a payment, paid during the first quarter of 2024, to the former representative of $9.0 to resolve all claims related to the matter. This amount was recorded within “Accrued Liabilities” on the condensed consolidated balance sheet as of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Matters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other legal matters that arise in the normal course of business. We believe these matters are either without merit or of a kind that should not have a material effect, individually or in the aggregate, on our financial position, results of operations or cash flows; however, we cannot assure you that these proceedings or claims will not have a material effect on our financial position, results of operations or cash flows.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operations and properties are subject to federal, state, local and foreign regulatory requirements relating to environmental protection. It is our policy to comply fully with all applicable requirements. As part of our effort to comply, we have a comprehensive environmental compliance program that includes environmental audits conducted by internal and external independent professionals, as well as regular communications with our operating units regarding environmental compliance requirements and anticipated regulations. Based on current information, we believe that our operations are in substantial compliance with applicable environmental laws and regulations, and we are not aware of any violations that could have a material effect, individually or in the aggregate, on our business, financial condition, and results of operations or cash flows. We had liabilities for site investigation and/or remediation at 16 sites that we own or control, or formerly owned and controlled, as of September 28, 2024 and December 31, 2023. In addition, while we believe that we maintain adequate accruals to cover the costs of site investigation and/or remediation for compliance with existing laws and regulations of $23.6 at September 28, 2024, we cannot provide assurance that new matters, developments, laws and regulations, or stricter interpretations of existing laws and regulations will not materially affect our business or operations in the future.</w:t>
      </w:r>
    </w:p>
    <w:p>
      <w:pPr>
        <w:spacing w:after="0" w:line="1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environmental accruals cover anticipated costs, including investigation, remediation, and maintenance of clean-up sites. Our estimates are based primarily on investigations and remediation plans established by independent consultants, regulatory agencies and potentially responsible third parties. Accordingly, our estimates may change based on future developments, including new or changes in existing environmental laws or policies, differences in costs required to complete anticipated actions from estimates provided, changes in our allocation of shared remediation costs, future findings of investigation or remediation actions, or alteration to the expected remediation plans. It is our policy to revise an estimate once the revision becomes probable and the amount of change can be reasonably estimated. We generally do not discount our environmental accruals and do not reduce them by anticipated insurance recoveries. We take into account third-party indemnification from financially viable parties in determining our accruals where there is no dispute regarding the right to indemnification.</w:t>
      </w:r>
    </w:p>
    <w:p>
      <w:pPr>
        <w:spacing w:after="0" w:line="1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case of contamination at offsite, third-party disposal sites, as of September 28, 2024 and December 31, 2023, we have been notified that we are potentially responsible and have received other notices of potential liability pursuant to various environmental laws at 9 sites, at which the liability has not been settled and all of which have been active in the past few years. These laws may impose liability on certain persons that are considered jointly and severally liable for the costs of investigation and remediation of hazardous substances present at these sites, regardless of fault or legality of the original disposal. These persons include the present or former owners or operators of the site and companies that generated, disposed of or arranged for the disposal of hazardous substances at the site. We are considered a “de minimis” potentially responsible party at most of the sites. We conduct extensive environmental due diligence with respect to potential acquisitions, including environmental site assessments and such further testing as we may deem warranted. If an environmental matter is identified, we estimate the cost and either establish a liability, purchase insurance or obtain an indemnity from a financially sound seller; however, in connection with our acquisitions or dispositions, we may assume or retain significant environmental liabilities, some of which we may be unaware. The potential costs related to these environmental matters and the possible impact on future operations are uncertain due in part to the complexity of government laws and regulations and their interpretations, the varying costs and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effectiveness of various clean-up technologies, the uncertain level of insurance or other types of recovery, and the questionable level of our responsibility.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a liability when it is both probable and the amount can be reasonably estimated.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Self-insured Risk Management Matters</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self-insured for certain of our workers’ compensation, automobile, product and general liability, disability and health costs, and we believe that we maintain adequate accruals to cover our retained liability. Our accruals for risk management matters are determined by us, are based on claims filed and estimates of claims incurred but not yet reported, and generally are not discounted. We consider a number of factors, including third-party actuarial valuations, when making these determinations. We maintain third-party stop-loss insurance policies to cover certain liability costs in excess of predetermined retained amounts. This insurance may be insufficient or unavailable (e.g., because of insurer insolvency) to protect us against loss exposures.</w:t>
      </w:r>
    </w:p>
    <w:p>
      <w:pPr>
        <w:spacing w:after="0" w:line="34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INCOME AND OTHER TAXES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Benefits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28, 2024, we had gross and net unrecognized tax benefits of $2.6. All of these unrecognized tax benefits would impact our effective tax rate from continuing operations if recognized.</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classify interest and penalties related to unrecognized tax benefits as a component of our income tax provision. As of September 28, 2024, gross and net accrued interest totaled $1.3. As of September 28, 2024, we had no accrual for penalties included in our unrecognized tax benefits.</w:t>
      </w:r>
    </w:p>
    <w:p>
      <w:pPr>
        <w:spacing w:after="0" w:line="13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Based on the outcome of certain examinations or as a result of the expiration of statutes of limitations for certain jurisdictions, we do not believe that within the next 12 months our previously unrecognized tax benefits will decrease by a material amount. The previously unrecognized tax benefits relate to a variety of tax matters including transfer pricing and various state matters.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for Economic Co-operation and Development (“OECD”) Pillar Two Model Rules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2021, the OECD issued model rules for a new global minimum tax framework (“Pillar Two”), and various governments around the world have issued, or are in the process of issuing, legislation to implement these rules. The Company is within the scope of the OECD Pillar Two model rules and is assessing the impact thereof. As of September 28, 2024, we believe the implementation of these rules will not have a material impact on our financial results.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Tax Matters</w:t>
      </w:r>
    </w:p>
    <w:p>
      <w:pPr>
        <w:spacing w:after="0" w:line="17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For the three months ended September 28, 2024, we recorded an income tax provision of $15.1 on $66.0 of pre-tax income from continuing operations, resulting in an effective rate of 22.9%. This compares to an income tax provision for the three months ended September 30, 2023 of $12.4 on $48.1 of pre-tax income from continuing operations, resulting in an effective rate of 25.8%. The most significant items impacting the income tax provision for the third quarters of 2024 and 2023 were $0.7 of tax benefits in 2024 resulting from increased federal tax credits and $0.8 of foreign withholding tax in 2023.</w:t>
      </w:r>
    </w:p>
    <w:p>
      <w:pPr>
        <w:spacing w:after="0" w:line="21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For the nine months ended September 28, 2024, we recorded an income tax provision of $32.2 on $177.5 of pre-tax income from continuing operations, resulting in an effective rate of 18.1%. This compares to an income tax provision for the nine months ended September 30, 2023 of $31.5 on $144.6 of pre-tax income from continuing operations, resulting in an effective rate of 21.8%. The most significant items impacting the income tax provision during the first nine months of 2024 and 2023 were (i) $10.8 and $1.7, respectively, of excess tax benefits resulting from stock-based compensation awards that vested and/or were exercised during the periods, (ii) $0.7 of tax benefits in 2024 resulting from increased federal tax credits, and (iii) $0.5 of tax provision and $1.2 of tax benefit, respectively, related to revisions to liabilities for uncertain tax positions. In addition, the 2023 rate was favorably impacted by a tax benefit of $1.8 related to the release of valuation allowances recognized against certain deferred tax assets, as we now expect these deferred tax assets to be realized.</w:t>
      </w:r>
    </w:p>
    <w:p>
      <w:pPr>
        <w:spacing w:after="0" w:line="22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perform reviews of our income tax positions on a continuous basis and accrue for potential uncertain positions when we determine that an uncertain position meets the criteria of the Income Taxes Topic of the Codification. Accruals for these uncertain tax positions are recorded in “Income taxes payable” and “Deferred and other income taxes” in the accompanying condensed consolidated balance sheets based on the expectation as to the timing of when the matters will be resolved. As events change and resolutions occur, these accruals are adjusted, such as in the case of audit settlements with taxing authorities.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8" w:name="page29"/>
    <w:bookmarkEnd w:id="2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 Federal income tax returns are subject to examination for a period of three years after filing the return. We are not currently under examination by the Internal Revenue Service and believe any contingencies in open years are adequately provided for.</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State income tax returns generally are subject to examination for a period of three to five years after filing the respective tax returns. The impact on such tax returns of any federal changes remains subject to examination by various states for a period of up to one year after formal notification to the states. We regularly have various state income tax returns in the process of examination. We believe any uncertain tax positions related to these examinations have been adequately provided for.</w:t>
      </w:r>
    </w:p>
    <w:p>
      <w:pPr>
        <w:spacing w:after="0" w:line="15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regularly have various foreign income tax returns under examination. We believe that any uncertain tax positions related to these examinations have been adequately provided for.</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unfavorable resolution of one or more of the above matters could have a material impact on our results of operations or cash flows in the quarter and year in which an adjustment is recorded or the tax is due or paid. As audits and examinations are still in process, the timing of the ultimate resolution and any payments that may be required for the above matters cannot be determined at this time.</w:t>
      </w:r>
    </w:p>
    <w:p>
      <w:pPr>
        <w:spacing w:after="0" w:line="19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In the absence of active markets for the identical assets or liabilities, such measurements involve developing assumptions based on market observable data and, in the absence of such data, internal information consistent with what market participants would use in a hypothetical transaction that occurs at the measurement date. Observable inputs reflect market data obtained from independent sources, while unobservable inputs reflect our market assumptions. Preference is given to observable inputs. These two types of inputs create the following fair value hierarchy:</w:t>
      </w:r>
    </w:p>
    <w:p>
      <w:pPr>
        <w:spacing w:after="0" w:line="156"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84"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during the periods presented to the valuation techniques we use to measure asset and liability fair values on a recurring or nonrecurring basis. There were no transfers between the three levels of the fair value hierarchy for the periods presented.</w:t>
      </w:r>
    </w:p>
    <w:p>
      <w:pPr>
        <w:spacing w:after="0" w:line="11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for the Ingénia Acquisition </w:t>
      </w:r>
      <w:r>
        <w:rPr>
          <w:rFonts w:ascii="Times New Roman" w:cs="Times New Roman" w:eastAsia="Times New Roman" w:hAnsi="Times New Roman"/>
          <w:sz w:val="18"/>
          <w:szCs w:val="18"/>
          <w:color w:val="auto"/>
        </w:rPr>
        <w:t>— In connection with the acquisition of Ingénia, the seller is eligible for additional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of up to CAD 3.0 (or $2.2 at the time of acquisition), with payment scheduled to be made in the event certain contingent liabilities do not materialize. The estimated fair value of such contingent consideration is $0.3, which is reflected as a liability in our condensed consolidated balance sheet as of September 28, 2024.</w:t>
      </w:r>
    </w:p>
    <w:p>
      <w:pPr>
        <w:spacing w:after="0" w:line="1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Indefinite-Lived Intangible and Other Long-Lived Assets </w:t>
      </w:r>
      <w:r>
        <w:rPr>
          <w:rFonts w:ascii="Times New Roman" w:cs="Times New Roman" w:eastAsia="Times New Roman" w:hAnsi="Times New Roman"/>
          <w:sz w:val="18"/>
          <w:szCs w:val="18"/>
          <w:color w:val="auto"/>
        </w:rPr>
        <w:t>— Certain of our non-financial assets are subject to impairment analyses,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long-lived assets, indefinite-lived intangible assets and goodwill. We review the carrying amounts of such assets whenever events or changes in circumstances indicate that the carrying amounts may not be recoverable or at least annually. Any asset impairment would result in the asset being recorded at its fair value.</w:t>
      </w:r>
    </w:p>
    <w:p>
      <w:pPr>
        <w:spacing w:after="0" w:line="1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 </w:t>
      </w:r>
      <w:r>
        <w:rPr>
          <w:rFonts w:ascii="Times New Roman" w:cs="Times New Roman" w:eastAsia="Times New Roman" w:hAnsi="Times New Roman"/>
          <w:sz w:val="18"/>
          <w:szCs w:val="18"/>
          <w:color w:val="auto"/>
        </w:rPr>
        <w:t>Our financial derivative assets and liabilities include interest rate swaps and FX forward contracts,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valued using valuation models based on observable market inputs such as forward rates, interest rates, our own credit risk and the credit risk of our counterparties, which comprise investment-grade financial institutions. Based on these inputs, the derivative assets and liabilities are classified within Level 2 of the valuation hierarchy. We have not made any adjustments to the inputs obtained from the independent sources. Based on our continued ability to enter into forward contracts, we consider the markets for our fair value instruments active. We primarily use the income approach, which uses valuation techniques to convert future amounts to a single present amount.</w:t>
      </w:r>
    </w:p>
    <w:p>
      <w:pPr>
        <w:spacing w:after="0" w:line="1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28, 2024, there has been no significant impact to the fair value of our derivative liabilities due to our own credit risk, as the related instruments are collateralized under our senior credit facilities. Similarly, there has been no significant impact to the fair value of our derivative assets based on our evaluation of our counterparties’ credit risks.</w:t>
      </w:r>
    </w:p>
    <w:p>
      <w:pPr>
        <w:spacing w:after="0" w:line="13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Security </w:t>
      </w:r>
      <w:r>
        <w:rPr>
          <w:rFonts w:ascii="Times New Roman" w:cs="Times New Roman" w:eastAsia="Times New Roman" w:hAnsi="Times New Roman"/>
          <w:sz w:val="18"/>
          <w:szCs w:val="18"/>
          <w:color w:val="auto"/>
        </w:rPr>
        <w:t>— We estimate the fair value of an equity security that we hold utilizing a practical expedient under existing guidance, with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fair value based on our ownership percentage applied to the net asset value as provided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9" w:name="page30"/>
    <w:bookmarkEnd w:id="29"/>
    <w:p>
      <w:pPr>
        <w:jc w:val="both"/>
        <w:spacing w:after="0" w:line="250" w:lineRule="auto"/>
        <w:rPr>
          <w:sz w:val="20"/>
          <w:szCs w:val="20"/>
          <w:color w:val="auto"/>
        </w:rPr>
      </w:pPr>
      <w:r>
        <w:rPr>
          <w:rFonts w:ascii="Times New Roman" w:cs="Times New Roman" w:eastAsia="Times New Roman" w:hAnsi="Times New Roman"/>
          <w:sz w:val="18"/>
          <w:szCs w:val="18"/>
          <w:color w:val="auto"/>
        </w:rPr>
        <w:t>quarterly by the investee. The value is updated annually, during the first quarter, based on the investee’s most recent audited financial statements. During the three and nine months ended September 28, 2024 and September 30, 2023, we recorded gains (losses) of $0.0 and $(4.2), and $0.0 and $3.6, respectively, to “Other income (expense), net” to reflect changes in the estimated fair value of the equity security. As of September 28, 2024 and December 31, 2023, the equity security had an estimated fair value of $35.2 and $39.4, respectively.</w:t>
      </w:r>
    </w:p>
    <w:p>
      <w:pPr>
        <w:spacing w:after="0" w:line="20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Indebtedness and Other </w:t>
      </w:r>
      <w:r>
        <w:rPr>
          <w:rFonts w:ascii="Times New Roman" w:cs="Times New Roman" w:eastAsia="Times New Roman" w:hAnsi="Times New Roman"/>
          <w:sz w:val="18"/>
          <w:szCs w:val="18"/>
          <w:color w:val="auto"/>
        </w:rPr>
        <w:t>— The estimated fair value of our debt instruments as of September 28, 2024 and December 31, 2023 approximated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carrying values due primarily to the variable market-based interest rates for such instruments. See Note 12 for further details.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(in millions)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Some of the statements in this document and any documents incorporated by reference, including any statements as to operational and financial projections, constitute “forward-looking statements” within the meaning of Section 21E of the Securities Exchange Act of 1934, as amended (the “Exchange Act”). These statements relate to future events or our future financial performance and involve known and unknown risks, uncertainties and other factors that may cause our businesses’ or our industries’ actual results, levels of activity, performance or achievements to be materially different from those expressed or implied by any forward-looking statements. Such statements may address our plans, our strategies, our prospects, changes and trends in our business and the markets in which we operate under the heading “Management’s Discussion and Analysis of Financial Condition and Results of Operations” (“MD&amp;A”) or in other sections of this document. In some cases, you can identify forward-looking statements by terminology such as “may,” “could,” “would,” “should,” “expect,” “plan,” “anticipate,” “intend,” “believe,” “estimate,” “predict,” “project,” “potential” or “continue” or the negative of those terms or other comparable terminology. Particular risks and uncertainties that could cause actual results to differ from those contained in the forward-looking statements, include the following: cyclical changes and specific industry events in the Company’s markets; changes in anticipated capital investment and maintenance expenditures by customers; availability, limitations or cost increases of raw materials and/or commodities that cannot be recovered in product pricing; the impact of competition on profit margins and the Company’s ability to maintain or increase market share; inadequate performance by third-party suppliers and subcontractors for outsourced products, components and services and other supply-chain risks; the uncertainty of claims resolution with respect to environmental and other contingent liabilities; the impact of climate change and any legal or regulatory actions taken in response thereto; cyber-security risks; risks with respect to the protection of intellectual property, including with respect to the Company’s digitalization initiatives; the impact of overruns, inflation and the incurrence of delays with respect to long-term fixed-price contracts; defects or errors in current or planned products; the impact of pandemics and governmental and other actions taken in response; domestic economic, political, legal, accounting and business developments adversely affecting the Company’s business, including regulatory changes; changes in worldwide economic conditions, including as a result of geopolitical conflicts; uncertainties with respect to the Company’s ability to identify acceptable acquisition targets; uncertainties surrounding timing and successful completion of acquisition or disposition transactions, including with respect to integrating acquisitions and achieving cost savings or other benefits from acquisitions; the impact of retained liabilities of disposed businesses; potential labor disputes; and extreme weather conditions and natural and other disasters. These statements are only predictions and actual events or results may differ materially. Accordingly, forward-looking statements should not be relied upon as a prediction of actual results. In addition, management’s estimates of future operating results are based on our current complement of businesses, which is subject to change as management selects strategic markets.</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the forward-looking statements are qualified in their entirety by reference to the factors discussed under the heading “Risk Factors” in our 2023 Annual Report on Form 10-K, in any subsequent filing with the U.S. Securities and Exchange Commission, as well as in any documents incorporated by reference that describe risks, uncertainties and other factors that could cause results to differ materially from those projected in these forward-looking statements. We caution you that these risk factors may not be exhaustive. We operate in a continually changing business environment and frequently enter into new businesses and product lines. We cannot predict these new risk factors, and we cannot assess the impact, if any, of these new risk factors on our businesses or the extent to which any factor, or combination of factors, may cause actual results to differ materially from those projected in any forward-looking statements. Accordingly, you should not rely on forward-looking statements as a prediction of actual results. We disclaim any responsibility to update or publicly revise any forward-looking statements to reflect events or circumstances that arise after the date of this document.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IMPACTS OF GEOPOLITICAL CONFLICTS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Ongoing geopolitical conflicts, and governmental actions implemented in response to these conflicts, did not have a significant adverse impact on our operating results during the three and nine months ended September 28, 2024 and September 30, 2023. We are monitoring the availability of certain raw materials that are supplied by businesses in the countries impacted by these conflicts. However, at this time, we do not expect the potential impact to be material to our operating results. These conflicts have created additional demand for certain products within our communication technologies business. The longer-term impact of these global events on our business is currently unknown due to the uncertainty around their duration and broader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OTHER SIGNIFICANT MATTERS</w:t>
      </w:r>
    </w:p>
    <w:p>
      <w:pPr>
        <w:spacing w:after="0" w:line="243"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A. Morrison &amp; Co. Inc. (“TAMCO”)</w:t>
      </w:r>
    </w:p>
    <w:p>
      <w:pPr>
        <w:spacing w:after="0" w:line="27" w:lineRule="exact"/>
        <w:rPr>
          <w:rFonts w:ascii="Times New Roman" w:cs="Times New Roman" w:eastAsia="Times New Roman" w:hAnsi="Times New Roman"/>
          <w:sz w:val="18"/>
          <w:szCs w:val="18"/>
          <w:color w:val="auto"/>
        </w:rPr>
      </w:pPr>
    </w:p>
    <w:p>
      <w:pPr>
        <w:ind w:left="1960" w:hanging="332"/>
        <w:spacing w:after="0" w:line="250" w:lineRule="auto"/>
        <w:tabs>
          <w:tab w:leader="none" w:pos="1956"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on April 3, 2023 for cash consideration of $125.5, inclusive of an adjustment to the purchase price of $0.2 paid during the third quarter of 2023 related to acquired working capital, and net of cash acquired of $1.0.</w:t>
      </w:r>
    </w:p>
    <w:p>
      <w:pPr>
        <w:ind w:left="1940" w:hanging="312"/>
        <w:spacing w:after="0"/>
        <w:tabs>
          <w:tab w:leader="none" w:pos="194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Post-acquisition operating results of TAMCO are included within our HVAC reportable segment.</w:t>
      </w:r>
    </w:p>
    <w:p>
      <w:pPr>
        <w:spacing w:after="0" w:line="2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ASPEQ Heating Group (“ASPEQ”)</w:t>
      </w:r>
    </w:p>
    <w:p>
      <w:pPr>
        <w:spacing w:after="0" w:line="27" w:lineRule="exact"/>
        <w:rPr>
          <w:rFonts w:ascii="Times New Roman" w:cs="Times New Roman" w:eastAsia="Times New Roman" w:hAnsi="Times New Roman"/>
          <w:sz w:val="18"/>
          <w:szCs w:val="18"/>
          <w:color w:val="auto"/>
        </w:rPr>
      </w:pPr>
    </w:p>
    <w:p>
      <w:pPr>
        <w:ind w:left="1960" w:right="20" w:hanging="332"/>
        <w:spacing w:after="0" w:line="250" w:lineRule="auto"/>
        <w:tabs>
          <w:tab w:leader="none" w:pos="1956"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on June 2, 2023 for cash consideration of $421.5, net of (i) an adjustment to the purchase price of $0.3 received during the fourth quarter of 2023 related to acquired working capital and (ii) cash acquired of $0.9.</w:t>
      </w:r>
    </w:p>
    <w:p>
      <w:pPr>
        <w:ind w:left="1940" w:hanging="312"/>
        <w:spacing w:after="0"/>
        <w:tabs>
          <w:tab w:leader="none" w:pos="194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Post-acquisition operating results of ASPEQ are included within our HVAC reportable segment.</w:t>
      </w:r>
    </w:p>
    <w:p>
      <w:pPr>
        <w:spacing w:after="0" w:line="2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Ingénia Technologies Inc. (“Ingénia”)</w:t>
      </w:r>
    </w:p>
    <w:p>
      <w:pPr>
        <w:spacing w:after="0" w:line="27" w:lineRule="exact"/>
        <w:rPr>
          <w:rFonts w:ascii="Times New Roman" w:cs="Times New Roman" w:eastAsia="Times New Roman" w:hAnsi="Times New Roman"/>
          <w:sz w:val="18"/>
          <w:szCs w:val="18"/>
          <w:color w:val="auto"/>
        </w:rPr>
      </w:pPr>
    </w:p>
    <w:p>
      <w:pPr>
        <w:ind w:left="1960" w:hanging="332"/>
        <w:spacing w:after="0" w:line="250" w:lineRule="auto"/>
        <w:tabs>
          <w:tab w:leader="none" w:pos="1956"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on February 7, 2024 for cash consideration of Canadian Dollar (“CAD”) 393.9 (or $292.0), net of (i) an adjustment to the purchase price of $2.1 during the third quarter of 2024 related to acquired working capital and (ii) cash acquired of $1.5.</w:t>
      </w:r>
    </w:p>
    <w:p>
      <w:pPr>
        <w:jc w:val="both"/>
        <w:ind w:left="1960" w:hanging="332"/>
        <w:spacing w:after="0" w:line="250" w:lineRule="auto"/>
        <w:tabs>
          <w:tab w:leader="none" w:pos="1956"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purchase and sales agreement, the seller is eligible for additional cash consideration of up to CAD 3.0 (or $2.2 at the time of acquisition), with payment scheduled to be made in the event certain contingent liabilities do not materialize. The estimated fair value of such contingent consideration is $0.3, which is reflected as a liability in our condensed consolidated balance sheet as of September 28, 2024.</w:t>
      </w:r>
    </w:p>
    <w:p>
      <w:pPr>
        <w:spacing w:after="0" w:line="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Post-acquisition operating results of Ingénia are included within our HVAC reportable segment.</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Activities</w:t>
      </w:r>
    </w:p>
    <w:p>
      <w:pPr>
        <w:spacing w:after="0" w:line="27" w:lineRule="exact"/>
        <w:rPr>
          <w:rFonts w:ascii="Times New Roman" w:cs="Times New Roman" w:eastAsia="Times New Roman" w:hAnsi="Times New Roman"/>
          <w:sz w:val="18"/>
          <w:szCs w:val="18"/>
          <w:color w:val="auto"/>
        </w:rPr>
      </w:pPr>
    </w:p>
    <w:p>
      <w:pPr>
        <w:ind w:left="1300" w:hanging="320"/>
        <w:spacing w:after="0" w:line="250" w:lineRule="auto"/>
        <w:tabs>
          <w:tab w:leader="none" w:pos="12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 2024, we entered into an amendment to the Amended and Restated Credit Agreement governing our senior credit facilities (as amended, the “Credit Agreement”).</w:t>
      </w:r>
    </w:p>
    <w:p>
      <w:pPr>
        <w:ind w:left="1300" w:right="20" w:hanging="320"/>
        <w:spacing w:after="0" w:line="250" w:lineRule="auto"/>
        <w:tabs>
          <w:tab w:leader="none" w:pos="12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increases the aggregate revolving credit commitments under the Credit Agreement from $500.0 to $1,000.0 and makes certain conforming changes and other amendments to the Credit Agreement.</w:t>
      </w:r>
    </w:p>
    <w:p>
      <w:pPr>
        <w:ind w:left="1300" w:hanging="320"/>
        <w:spacing w:after="0" w:line="250" w:lineRule="auto"/>
        <w:tabs>
          <w:tab w:leader="none" w:pos="131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utilize the increased revolving credit capacity to finance, in part, permitted acquisitions, to pay related fees, costs and expenses and for other lawful corporate purposes.</w:t>
      </w:r>
    </w:p>
    <w:p>
      <w:pPr>
        <w:ind w:left="1300" w:hanging="320"/>
        <w:spacing w:after="0" w:line="250" w:lineRule="auto"/>
        <w:tabs>
          <w:tab w:leader="none" w:pos="1296"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third quarter of 2024, we renewed, and increased the capacity of, our trade receivables financing agreement for the next 12 months, whereby we can borrow, on a continuous basis, up to $100.0, as available.</w:t>
      </w:r>
    </w:p>
    <w:p>
      <w:pPr>
        <w:ind w:left="1300" w:hanging="320"/>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12 to our condensed consolidated financial statements for additional details.</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Estimated Fair Value of an Equity Security</w:t>
      </w:r>
    </w:p>
    <w:p>
      <w:pPr>
        <w:spacing w:after="0" w:line="27" w:lineRule="exact"/>
        <w:rPr>
          <w:rFonts w:ascii="Times New Roman" w:cs="Times New Roman" w:eastAsia="Times New Roman" w:hAnsi="Times New Roman"/>
          <w:sz w:val="18"/>
          <w:szCs w:val="18"/>
          <w:color w:val="auto"/>
        </w:rPr>
      </w:pPr>
    </w:p>
    <w:p>
      <w:pPr>
        <w:jc w:val="both"/>
        <w:ind w:left="1300" w:hanging="320"/>
        <w:spacing w:after="0" w:line="251" w:lineRule="auto"/>
        <w:tabs>
          <w:tab w:leader="none" w:pos="1289" w:val="left"/>
        </w:tabs>
        <w:numPr>
          <w:ilvl w:val="1"/>
          <w:numId w:val="26"/>
        </w:numPr>
        <w:rPr>
          <w:rFonts w:ascii="Arial" w:cs="Arial" w:eastAsia="Arial" w:hAnsi="Arial"/>
          <w:sz w:val="20"/>
          <w:szCs w:val="20"/>
          <w:color w:val="auto"/>
        </w:rPr>
      </w:pPr>
      <w:r>
        <w:rPr>
          <w:rFonts w:ascii="Times New Roman" w:cs="Times New Roman" w:eastAsia="Times New Roman" w:hAnsi="Times New Roman"/>
          <w:sz w:val="18"/>
          <w:szCs w:val="18"/>
          <w:color w:val="auto"/>
        </w:rPr>
        <w:t>We recorded no adjustments to the fair value of an equity security that we hold during the three months ended September 28, 2024 and September 30, 2023. We recorded gains (losses) of $(4.2) and $3.6 during the nine months ended September 28, 2024 and September 30, 2023, respectively.</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26"/>
        </w:numPr>
        <w:rPr>
          <w:rFonts w:ascii="Arial" w:cs="Arial" w:eastAsia="Arial" w:hAnsi="Arial"/>
          <w:sz w:val="20"/>
          <w:szCs w:val="20"/>
          <w:color w:val="auto"/>
        </w:rPr>
      </w:pPr>
      <w:r>
        <w:rPr>
          <w:rFonts w:ascii="Times New Roman" w:cs="Times New Roman" w:eastAsia="Times New Roman" w:hAnsi="Times New Roman"/>
          <w:sz w:val="18"/>
          <w:szCs w:val="18"/>
          <w:color w:val="auto"/>
        </w:rPr>
        <w:t>See Note 17 to our condensed consolidated financial statements for additional details.</w:t>
      </w:r>
    </w:p>
    <w:p>
      <w:pPr>
        <w:spacing w:after="0" w:line="224" w:lineRule="exact"/>
        <w:rPr>
          <w:rFonts w:ascii="Arial" w:cs="Arial" w:eastAsia="Arial" w:hAnsi="Arial"/>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Dispute with Seller of ULC Robotics (“ULC”)</w:t>
      </w:r>
    </w:p>
    <w:p>
      <w:pPr>
        <w:spacing w:after="0" w:line="2" w:lineRule="exact"/>
        <w:rPr>
          <w:rFonts w:ascii="Times New Roman" w:cs="Times New Roman" w:eastAsia="Times New Roman" w:hAnsi="Times New Roman"/>
          <w:sz w:val="18"/>
          <w:szCs w:val="18"/>
          <w:color w:val="auto"/>
        </w:rPr>
      </w:pPr>
    </w:p>
    <w:p>
      <w:pPr>
        <w:ind w:left="1300" w:hanging="320"/>
        <w:spacing w:after="0" w:line="234" w:lineRule="auto"/>
        <w:tabs>
          <w:tab w:leader="none" w:pos="1296" w:val="left"/>
        </w:tabs>
        <w:numPr>
          <w:ilvl w:val="1"/>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connection with our acquisition of ULC in September 2020, the seller of ULC was eligible for contingent consideration of up to $45.0 under an earn-out provision.</w:t>
      </w:r>
    </w:p>
    <w:p>
      <w:pPr>
        <w:spacing w:after="0" w:line="1" w:lineRule="exact"/>
        <w:rPr>
          <w:rFonts w:ascii="Times New Roman" w:cs="Times New Roman" w:eastAsia="Times New Roman" w:hAnsi="Times New Roman"/>
          <w:sz w:val="18"/>
          <w:szCs w:val="18"/>
          <w:b w:val="1"/>
          <w:bCs w:val="1"/>
          <w:i w:val="1"/>
          <w:iCs w:val="1"/>
          <w:color w:val="auto"/>
        </w:rPr>
      </w:pPr>
    </w:p>
    <w:p>
      <w:pPr>
        <w:ind w:left="1300" w:hanging="320"/>
        <w:spacing w:after="0" w:line="234" w:lineRule="auto"/>
        <w:tabs>
          <w:tab w:leader="none" w:pos="12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2021, we concluded that none of the milestones for the payment of any of the contingent consideration had been achieved.</w:t>
      </w:r>
    </w:p>
    <w:p>
      <w:pPr>
        <w:spacing w:after="0" w:line="1" w:lineRule="exact"/>
        <w:rPr>
          <w:rFonts w:ascii="Times New Roman" w:cs="Times New Roman" w:eastAsia="Times New Roman" w:hAnsi="Times New Roman"/>
          <w:sz w:val="18"/>
          <w:szCs w:val="18"/>
          <w:color w:val="auto"/>
        </w:rPr>
      </w:pPr>
    </w:p>
    <w:p>
      <w:pPr>
        <w:ind w:left="1300" w:hanging="320"/>
        <w:spacing w:after="0" w:line="234" w:lineRule="auto"/>
        <w:tabs>
          <w:tab w:leader="none" w:pos="131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20, 2024, we entered into a settlement agreement with the seller of ULC to resolve a lawsuit it commenced in August 2022 seeking contingent consideration of $15.0, prejudgment interest on that amount, and attorney's fees.</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39" w:lineRule="auto"/>
        <w:tabs>
          <w:tab w:leader="none" w:pos="12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agreement required a payment by us to the seller of ULC of $8.4, which was paid during the second quarter of 2024, with a corresponding charge recorded within “Other operating expense, net” within our condensed consolidated statement of operations for the nine months ended September 28, 2024. We expect this payment to be tax deductible in future periods.</w:t>
      </w:r>
    </w:p>
    <w:p>
      <w:pPr>
        <w:spacing w:after="0" w:line="2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Term Loan</w:t>
      </w:r>
    </w:p>
    <w:p>
      <w:pPr>
        <w:spacing w:after="0" w:line="27" w:lineRule="exact"/>
        <w:rPr>
          <w:rFonts w:ascii="Times New Roman" w:cs="Times New Roman" w:eastAsia="Times New Roman" w:hAnsi="Times New Roman"/>
          <w:sz w:val="18"/>
          <w:szCs w:val="18"/>
          <w:color w:val="auto"/>
        </w:rPr>
      </w:pPr>
    </w:p>
    <w:p>
      <w:pPr>
        <w:ind w:left="1300" w:hanging="320"/>
        <w:spacing w:after="0" w:line="260" w:lineRule="auto"/>
        <w:tabs>
          <w:tab w:leader="none" w:pos="12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21, 2023, the Credit Agreement was amended to provide for an additional senior secured term loan in the aggregate amount of $300.0, which was borrowed during the second quarter of 2023.</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2" w:name="page33"/>
    <w:bookmarkEnd w:id="32"/>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from the additional term loan (“Incremental Term Loan”) were used to partially fund the acquisition of ASPEQ.</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12 to our condensed consolidated financial statements for additional details.</w:t>
      </w:r>
    </w:p>
    <w:p>
      <w:pPr>
        <w:spacing w:after="0" w:line="22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Claims with Prime Contractor of South Africa Power Projects</w:t>
      </w:r>
    </w:p>
    <w:p>
      <w:pPr>
        <w:spacing w:after="0" w:line="15" w:lineRule="exact"/>
        <w:rPr>
          <w:rFonts w:ascii="Times New Roman" w:cs="Times New Roman" w:eastAsia="Times New Roman" w:hAnsi="Times New Roman"/>
          <w:sz w:val="18"/>
          <w:szCs w:val="18"/>
          <w:color w:val="auto"/>
        </w:rPr>
      </w:pPr>
    </w:p>
    <w:p>
      <w:pPr>
        <w:jc w:val="both"/>
        <w:ind w:left="1300" w:hanging="320"/>
        <w:spacing w:after="0" w:line="234" w:lineRule="auto"/>
        <w:tabs>
          <w:tab w:leader="none" w:pos="12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5, 2023, SPX Technologies and our DBT Technologies (PTY) LTD (“DBT”) business entered into an agreement with MHI to affect the negotiated resolution of all claims between the parties with respect to DBT’s involvement in two large power projects in South Africa - Kusile and Medupi (the “Settlement Agreement”).</w:t>
      </w:r>
    </w:p>
    <w:p>
      <w:pPr>
        <w:spacing w:after="0" w:line="2" w:lineRule="exact"/>
        <w:rPr>
          <w:rFonts w:ascii="Times New Roman" w:cs="Times New Roman" w:eastAsia="Times New Roman" w:hAnsi="Times New Roman"/>
          <w:sz w:val="18"/>
          <w:szCs w:val="18"/>
          <w:color w:val="auto"/>
        </w:rPr>
      </w:pPr>
    </w:p>
    <w:p>
      <w:pPr>
        <w:jc w:val="both"/>
        <w:ind w:left="1300" w:hanging="320"/>
        <w:spacing w:after="0" w:line="231" w:lineRule="auto"/>
        <w:tabs>
          <w:tab w:leader="none" w:pos="132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Settlement Agreement, the Company incurred a charge, net of tax, of $54.2 during the three months ended September 30, 2023. The charge included the write-off of $15.2 in net amounts due from MHI. Such charge is included in “Loss on disposition of discontinued operations, net of tax” for the three and nine months ended September 30, 2023. In addition, DBT made payments of $25.1 (net of $2.0 received on a related foreign currency forward agreement) and $25.3 to MHI during the third quarters of 2024 and 2023, respectively, in connection with the Settlement Agreement.</w:t>
      </w:r>
    </w:p>
    <w:p>
      <w:pPr>
        <w:spacing w:after="0" w:line="2" w:lineRule="exact"/>
        <w:rPr>
          <w:rFonts w:ascii="Times New Roman" w:cs="Times New Roman" w:eastAsia="Times New Roman" w:hAnsi="Times New Roman"/>
          <w:sz w:val="18"/>
          <w:szCs w:val="18"/>
          <w:color w:val="auto"/>
        </w:rPr>
      </w:pPr>
    </w:p>
    <w:p>
      <w:pPr>
        <w:ind w:left="1300" w:hanging="320"/>
        <w:spacing w:after="0" w:line="234"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further payment obligations to MHI under the terms of the Settlement Agreement.</w:t>
      </w: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3 and 15 to our condensed consolidated financial statements for additional details.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OPERATING RESULTS</w:t>
      </w:r>
    </w:p>
    <w:p>
      <w:pPr>
        <w:spacing w:after="0" w:line="17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Revenues for the three months ended September 28, 2024, totaled $483.7 compared to $448.7 during the respective period in 2023. The increase in revenues, compared to the respective period in 2023, was due primarily to (i) organic revenue growth within the HVAC reportable segment and (ii) inorganic revenue growth resulting from the Ingénia acquisition within the HVAC reportable segment, partially offset by an organic revenue decline within the Detection and Measurement reportable segment. The organic revenue growth within the HVAC reportable segment was due primarily to increased volume of cooling products driven by continued strength in demand and higher throughput resulting from expanded production capacity. The organic revenue decline within the Detection and Measurement reportable segment was primarily driven by lower large project volume within our communication technologies business associated with a larger-than-typical project that executed throughout 2023 and completed during the first quarter of 2024. This decline was partially offset by higher project volumes at our transportation and aids to navigation businesses, in which volume can vary from period to period based on project execution timing.</w:t>
      </w:r>
    </w:p>
    <w:p>
      <w:pPr>
        <w:spacing w:after="0" w:line="21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Revenues for the nine months ended September 28, 2024, totaled $1,450.2 compared to $1,271.8 during the respective period in 2023. The increase in revenues, compared to the respective period in 2023, was due primarily to (i) inorganic revenue growth resulting from the Ingénia, ASPEQ, and TAMCO acquisitions (each within the HVAC reportable segment) and (ii) organic revenue growth within the HVAC reportable segment, partially offset by an organic revenue decline within the Detection and Measurement reportable segment. The organic revenue growth within the HVAC reportable segment was due primarily to (i) increased volume of cooling products driven by continued strength in demand and higher throughput resulting from expanded production capacity and (ii) execution of a larger-than-typical service project. These increases were partially offset by organic revenue declines of heating products due primarily to (i) the unseasonably warm winter conditions prevalent in the relevant end markets during the first quarter of 2024 and (ii) higher volumes during the first quarter of 2023 that was supported by elevated backlog resulting from the effects of the COVID-19 pandemic. The organic revenue decline within the Detection and Measurement reportable segment was primarily driven by (i) lower large project volume within our communication technologies business associated with a larger-than-typical project that executed throughout 2023 and completed in the first quarter of 2024 and, to a lesser extent, (ii) modestly lower global demand for location and inspection products. These declines were partially offset by higher project volumes at our transportation and aids to navigation businesses, in which volume can vary from period to period based on project execution timing.</w:t>
      </w:r>
    </w:p>
    <w:p>
      <w:pPr>
        <w:spacing w:after="0" w:line="21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During the three and nine months ended September 28, 2024, we generated operating income of $78.9 and $218.1, respectively, compared to $57.7 and $158.8 for the respective periods in 2023. The increase in operating income during the three and nine months ended September 28, 2024, compared to the respective periods in 2023, was due primarily to higher income from our reportable segments of $22.2 and $80.8, respectively, lower corporate expense of $0.6 and $5.9, respectively, and, for the three month period, a decrease in integration costs of $1.5. These impacts were partially offset by increases during the three and nine months ended, compared to their respective periods in 2023, in intangible asset amortization expense of $2.0 and $15.8, respectively. The nine-month period ended September 28, 2024 also included increased integration costs of $1.3, primarily related to the Ingénia and ASPEQ acquisitions, and a charge of $8.4 related to a settlement with the seller of ULC regarding additional contingent consideration. The increase in income from our reportable segments was primarily due to (i) the revenue growth mentioned above and associated operating leverage, (ii) more favorable product mix, primarily within the Detection and Measurement reportable segment, and (iii) the impact of continuous improvement initiatives, partially offset by increases in personnel costs, within our HVAC reportable segment, due to annual merit increases and growth-related headcount additions. The increase in intangible asset amortization expense was driven by the acquisitions mentioned above.</w:t>
      </w:r>
    </w:p>
    <w:p>
      <w:pPr>
        <w:spacing w:after="0" w:line="2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flows from operating activities associated with continuing operations totaled $146.4 for the nine months ended September 28, 2024, compared to cash flows from operating activities of $120.0 during the nine months ended September 30,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3" w:name="page34"/>
    <w:bookmarkEnd w:id="33"/>
    <w:p>
      <w:pPr>
        <w:jc w:val="both"/>
        <w:spacing w:after="0" w:line="237" w:lineRule="auto"/>
        <w:rPr>
          <w:sz w:val="20"/>
          <w:szCs w:val="20"/>
          <w:color w:val="auto"/>
        </w:rPr>
      </w:pPr>
      <w:r>
        <w:rPr>
          <w:rFonts w:ascii="Times New Roman" w:cs="Times New Roman" w:eastAsia="Times New Roman" w:hAnsi="Times New Roman"/>
          <w:sz w:val="18"/>
          <w:szCs w:val="18"/>
          <w:color w:val="auto"/>
        </w:rPr>
        <w:t>2023. The increase in cash flows from operating activities was due primarily to cash inflows resulting from the increase in operating income discussed above, exclusive of the non-cash expenses (primarily intangible asset amortization and depreciation expense) incurred during the respective periods, and reductions in the level of elevated purchases of raw materials and components during the 2024 period due to stabilization of the supply chain environment. These impacts were primarily offset by (i) decreases in cash flows at certain of our project-related businesses, as cash flows for these businesses are often subject to contract milestones that can impact the timing of cash flows from period to period, (ii) additional interest payments of $16.7 due to higher average debt balances resulting from borrowings associated with the Ingénia, ASPEQ, and TAMCO acquisitions, (iii) $11.9 in additional short-term incentive compensation payments, (iv) a payment, during the first quarter of 2024, related to the resolution of a dispute with a former representative at one of our businesses within the Detection and Measurement reportable segment of $9.0, and (v) payment of $8.4 associated with a settlement for additional contingent consideration to the seller of ULC mentioned above.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CONTINUING OPERATIONS</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unaudited information included in this Quarterly Report on Form 10-Q should be read in conjunction with the consolidated financial statements contained in our 2023 Annual Report on Form 10-K. Interim results are not necessarily indicative of results for the full year. We establish actual interim closing dates using a fiscal calendar, which requires our businesses to close their books on the Saturday closest to the end of the first calendar quarter, with the second and third quarters being 91 days in length. Our fourth quarter ends on December 31. The interim closing dates for the first, second and third quarters of 2024 are March 30, June 29, and September 28, compared to the respective April 1, July 1, and September 30, 2023 dates. We had one less day in the first quarter of 2024 and will have two more days in the fourth quarter of 2024 than in the respective 2023 periods.</w:t>
      </w:r>
    </w:p>
    <w:p>
      <w:pPr>
        <w:spacing w:after="0" w:line="1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Cyclicality of End Markets, Seasonality and Competition </w:t>
      </w:r>
      <w:r>
        <w:rPr>
          <w:rFonts w:ascii="Times New Roman" w:cs="Times New Roman" w:eastAsia="Times New Roman" w:hAnsi="Times New Roman"/>
          <w:sz w:val="18"/>
          <w:szCs w:val="18"/>
          <w:color w:val="auto"/>
        </w:rPr>
        <w:t>— The financial results of our businesses closely follow changes in the industries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they operate and end markets in which they serve. In addition, certain of our businesses have seasonal fluctuations. For example, our heating businesses tend to be stronger in the third and fourth quarters, as customer buying habits are driven largely by seasonal weather patterns. In aggregate, our businesses tend to be stronger in the second half of the year.</w:t>
      </w:r>
    </w:p>
    <w:p>
      <w:pPr>
        <w:spacing w:after="0" w:line="1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our businesses operate in highly competitive markets, our competitive position cannot be determined accurately in the aggregate or by segment since none of our competitors offer all the same product lines or serve all the same markets as we do. In addition, specific reliable comparative figures are not available for many of our competitors. In most product groups, competition comes from numerous concerns, both large and small. The principal methods of competition are service, product performance, technical innovation and price. These methods vary with the type of product sold. We believe we compete effectively on the basis of each of these factors.</w:t>
      </w:r>
    </w:p>
    <w:p>
      <w:pPr>
        <w:spacing w:after="0" w:line="1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Non-GAAP Measures </w:t>
      </w:r>
      <w:r>
        <w:rPr>
          <w:rFonts w:ascii="Times New Roman" w:cs="Times New Roman" w:eastAsia="Times New Roman" w:hAnsi="Times New Roman"/>
          <w:sz w:val="18"/>
          <w:szCs w:val="18"/>
          <w:color w:val="auto"/>
        </w:rPr>
        <w:t>— Organic revenue growth (decline) presented herein is defined as revenue growth (decline) excluding the effects of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fluctuations and acquisitions/divestitures. We believe this metric is a useful financial measure for investors in evaluating our operating performance for the periods presented as, when considered in conjunction with our revenues, it presents a useful tool to evaluate our ongoing operations and provides investors with a tool they can use to evaluate our management of assets held from period to period. In addition, organic revenue growth (decline) is one of the factors we use in internal evaluations of the overall performance of our business. This metric, however, is not a measure of financial performance under accounting principles generally accepted in the United States (“GAAP”), should not be considered a substitute for net revenue growth (decline) as determined in accordance with GAAP, and may not be comparable to similarly titled measures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4" w:name="page35"/>
    <w:bookmarkEnd w:id="3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selected financial information for the three and nine months ended September 28, 2024 and September 30, 2023, including the reconciliation of organic revenue increase to the net revenue increase: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right"/>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right"/>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34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448.7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1,271.8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168.6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581.3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482.1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290.9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amortization</w:t>
            </w:r>
          </w:p>
        </w:tc>
        <w:tc>
          <w:tcPr>
            <w:tcW w:w="1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Special charges,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 net</w:t>
            </w:r>
          </w:p>
        </w:tc>
        <w:tc>
          <w:tcPr>
            <w:tcW w:w="1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Pr>
          <w:p>
            <w:pPr>
              <w:spacing w:after="0"/>
              <w:rPr>
                <w:sz w:val="18"/>
                <w:szCs w:val="18"/>
                <w:color w:val="auto"/>
              </w:rPr>
            </w:pP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Income from continuing operations before income</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177.5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60" w:type="dxa"/>
            <w:vAlign w:val="bottom"/>
          </w:tcPr>
          <w:p>
            <w:pPr>
              <w:spacing w:after="0"/>
              <w:rPr>
                <w:sz w:val="18"/>
                <w:szCs w:val="18"/>
                <w:color w:val="auto"/>
              </w:rPr>
            </w:pP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Components of revenue increase: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Organic</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increase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68" w:lineRule="exact"/>
        <w:rPr>
          <w:sz w:val="20"/>
          <w:szCs w:val="20"/>
          <w:color w:val="auto"/>
        </w:rPr>
      </w:pPr>
    </w:p>
    <w:p>
      <w:pPr>
        <w:ind w:left="340"/>
        <w:spacing w:after="0"/>
        <w:tabs>
          <w:tab w:leader="none" w:pos="560" w:val="left"/>
        </w:tabs>
        <w:rPr>
          <w:sz w:val="20"/>
          <w:szCs w:val="20"/>
          <w:color w:val="auto"/>
        </w:rPr>
      </w:pPr>
      <w:r>
        <w:rPr>
          <w:rFonts w:ascii="Times New Roman" w:cs="Times New Roman" w:eastAsia="Times New Roman" w:hAnsi="Times New Roman"/>
          <w:sz w:val="16"/>
          <w:szCs w:val="16"/>
          <w:color w:val="auto"/>
        </w:rPr>
        <w:t>*</w:t>
        <w:tab/>
        <w:t>Not meaningful for comparison purposes.</w:t>
      </w:r>
    </w:p>
    <w:p>
      <w:pPr>
        <w:spacing w:after="0" w:line="22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i w:val="1"/>
          <w:iCs w:val="1"/>
          <w:u w:val="single" w:color="auto"/>
          <w:color w:val="auto"/>
        </w:rPr>
        <w:t>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Revenues for the three months ended September 28, 2024, totaled $483.7 compared to $448.7 during the respective period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in revenues, compared to the respective period in 2023, was due primarily to (i) organic revenue growth within the HVAC reportable segment and (ii) inorganic revenue growth resulting from the Ingénia acquisition within the HVAC reportable segment, partially offset by an organic revenue decline within the Detection and Measurement reportable segment. The organic revenue growth within the HVAC reportable segment was due primarily to increased volume of cooling products driven by continued strength in demand and higher throughput resulting from expanded production capacity. The organic revenue decline within the Detection and Measurement reportable segment was primarily driven by lower large project volume within our communication technologies business associated with a larger-than-typical project that executed throughout 2023 and completed during the first quarter of 2024. This decline was partially offset by higher project volumes at our transportation and aids to navigation businesses, in which volume can vary from period to period based on project execution 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-1164590</wp:posOffset>
            </wp:positionV>
            <wp:extent cx="18034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0340" cy="12890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Revenues for the nine months ended September 28, 2024, totaled $1,450.2 compared to $1,271.8 during the respective period in 2023. The increase in revenues, compared to the respective period in 2023, was due primarily to (i) inorganic revenue growth resulting from the Ingénia, ASPEQ, and TAMCO acquisitions (each within the HVAC reportable segment) and (ii) organic revenue growth within the HVAC reportable segment, partially offset by an organic revenue decline within the Detection and Measurement reportable segment. The organic revenue growth within the HVAC reportable segment was due primarily to (i) increased volume of cooling products driven by continued strength in demand and higher throughput resulting from expanded production capacity and (ii) execution of a larger-than-typical service project. These increases were partially offset by organic revenue declines of heating products due primarily to (i) the unseasonably warm winter conditions prevalent in the relevant end markets during the first quarter of 2024 and (ii) higher volumes during the first quarter of 2023 that was supported by elevated backlog resulting from the effects of the COVID-19 pandemic. The organic revenue decline within the Detection and Measurement reportable segment was primarily driven by (i) lower large project volume within our communication technologies business associated with a larger-than-typical project that executed throughout 2023 and completed in the first quarter of 2024 and, to a lesser extent, (ii) modestly lower global demand for location and inspection products. These declines were partially offset by higher project volumes at our transportation and aids to navigation businesses, in which volume can vary from period to period based on project execution timing.</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“Results of Reportable Segments”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5" w:name="page36"/>
    <w:bookmarkEnd w:id="35"/>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Gross Profit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three and nine months ended September 28, 2024, the increase in gross profit and gross profit as a percentage of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respective periods in 2023, was due primarily to (i) the revenue growth mentioned above and associated operating leverage, (ii) a more favorable product mix, primarily within the Detection and Measurement reportable segment, and (iii) the impact of continuous improvement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-398780</wp:posOffset>
            </wp:positionV>
            <wp:extent cx="17145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(“SG&amp;A”)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three months ended September 28, 2024, the increase in SG&amp;A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respective period in 2023, was due primarily to incremental SG&amp;A resulting from the acquisition of Ingénia of $2.6 (including integration costs of $0.7) and increases in personnel costs, primarily within our HVAC reportable segment, due to annual merit increases and growth-related headcount additions.</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For the nine months ended September 28, 2024, the increase in SG&amp;A expense, compared to the respective period in 2023, was due primarily to incremental SG&amp;A resulting from the acquisitions of Ingénia, ASPEQ, and TAMCO of $17.4 (including integration costs of $3.7) and increases in personnel costs, primarily within our HVAC reportable segment, due to annual merit increases and growth-related headcount additions, partially offset by a reduction in corporate expense of $5.9.</w:t>
      </w:r>
    </w:p>
    <w:p>
      <w:pPr>
        <w:spacing w:after="0" w:line="206" w:lineRule="exact"/>
        <w:rPr>
          <w:sz w:val="20"/>
          <w:szCs w:val="20"/>
          <w:color w:val="auto"/>
        </w:rPr>
      </w:pPr>
    </w:p>
    <w:p>
      <w:pPr>
        <w:jc w:val="both"/>
        <w:ind w:right="20" w:firstLine="648"/>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Intangible Amortiz</w:t>
      </w:r>
      <w:r>
        <w:rPr>
          <w:rFonts w:ascii="Times New Roman" w:cs="Times New Roman" w:eastAsia="Times New Roman" w:hAnsi="Times New Roman"/>
          <w:sz w:val="18"/>
          <w:szCs w:val="18"/>
          <w:i w:val="1"/>
          <w:iCs w:val="1"/>
          <w:u w:val="single" w:color="auto"/>
          <w:color w:val="auto"/>
          <w:highlight w:val="white"/>
        </w:rPr>
        <w: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 For the three an</w:t>
      </w:r>
      <w:r>
        <w:rPr>
          <w:rFonts w:ascii="Times New Roman" w:cs="Times New Roman" w:eastAsia="Times New Roman" w:hAnsi="Times New Roman"/>
          <w:sz w:val="18"/>
          <w:szCs w:val="18"/>
          <w:color w:val="auto"/>
        </w:rPr>
        <w:t>d nine months ended September 28, 2024, the increase in intangible amortization,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periods in 2023, was primarily related to incremental amortization associated with (i) backlog from the Ingénia acquisition and (ii) other intangible assets associated with the acquisition of Ingénia and, for the nine-month period, the acquisitions of TAMCO and ASPEQ.</w:t>
      </w:r>
    </w:p>
    <w:p>
      <w:pPr>
        <w:spacing w:after="0" w:line="20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Special Charges,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Special charges, net, for the three and nine months ended September 28, 2024 related primarily to severance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restructuring actions at businesses within our HVAC and Detection and Measurement reportable segments. See Note 7 to our condensed consolidated financial statements for additional details.</w:t>
      </w:r>
    </w:p>
    <w:p>
      <w:pPr>
        <w:spacing w:after="0" w:line="20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i w:val="1"/>
          <w:iCs w:val="1"/>
          <w:u w:val="single" w:color="auto"/>
          <w:color w:val="auto"/>
        </w:rPr>
        <w:t>Other Operating Expense,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Other operating expense, net for the nine months ended September 28, 2024 related to a charge of $8.4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settlement with the seller of ULC regarding additional contingent consideration.</w:t>
      </w:r>
    </w:p>
    <w:p>
      <w:pPr>
        <w:spacing w:after="0" w:line="18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i w:val="1"/>
          <w:iCs w:val="1"/>
          <w:u w:val="single" w:color="auto"/>
          <w:color w:val="auto"/>
        </w:rPr>
        <w:t>Other Income (Expense),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Other expense, net, for the three months ended September 28, 2024 was composed primarily of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losses of $1.1, environmental remediation charges of $0.3, pension and postretirement expense of $0.2, and losses on fixed asset disposals of $0.2, partially offset by income of $0.5 derived from company-owned life insurance (“COLI”) policies.</w:t>
      </w: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expense, net, for the three months ended September 30, 2023 was composed primarily of environmental remediation charges of $0.3 and pension and postretirement expense of $0.2, partially offset by foreign currency transaction gains of $0.3.</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expense, net, for the nine months ended September 28, 2024 was composed primarily of a loss of $4.2 related to a change in the estimated fair value of an equity security that we hold, environmental remediation charges of $2.1, pension and postretirement expense of $1.0, foreign currency transaction losses of $0.8, and losses on fixed asset disposals of $0.2, partially offset by income of $1.4 derived from COLI policies.</w:t>
      </w:r>
    </w:p>
    <w:p>
      <w:pPr>
        <w:spacing w:after="0" w:line="19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Other income, net, for the nine months ended September 30, 2023 was composed primarily of a gain of (i) $3.6 related to a change in the estimated fair value of an equity security that we hold and (ii) $0.4 related to income derived from COLI policies, partially offset by foreign currency transaction losses of $0.4, pension and postretirement expense of $0.6, and environmental remediation charges of $0.5.</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Interest Expense, net</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Interest expense, net, includes both interest expense and interest income. The increase in interest expense, net,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nine months ended September 28, 2024, compared to the respective periods in 2023, was due primarily to higher average debt balances during the 2024 periods, primarily resulting from borrowings associated with the Ingénia, ASPEQ, and TAMCO acquisitions. Refer to Note 12 to the condensed consolidated financial statements for additional details.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Income Tax Provision</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For the three months ended September 28, 2024, we recorded an income tax provision of $15.1 on $66.0 of pre-tax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from continuing operations, resulting in an effective rate of 22.9%. This compares to an income tax provision for the three months ended September 30, 2023 of $12.4 on $48.1 of pre-tax income from continuing operations, resulting in an effective rate of 25.8%. The most significant items impacting the income tax provision for the third quarters of 2024 and 2023 were $0.7 of tax benefits in 2024 resulting from increased federal tax credits and $0.8 of foreign withholding tax in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36" w:name="page37"/>
    <w:bookmarkEnd w:id="3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28, 2024, we recorded an income tax provision of $32.2 on $177.5 of pre-tax income from continuing operations, resulting in effective rate of 18.1%. This compares to an income tax provision for the nine months ended September 30, 2023 of $31.5 on $144.6 of pre-tax income from continuing operations, resulting in an effective rate of 21.8%. The most significant items impacting the income tax provision during the first nine months of 2024 and 2023 were (i) $10.8 and $1.7, respectively, of excess tax benefits resulting from stock-based compensation awards that vested and/or were exercised during the periods, (ii) $0.7 of tax benefits in 2024 resulting from increased federal tax credits, and (iii) $0.5 of tax provision and $1.2 of tax benefit, respectively, related to revisions to liabilities for uncertain tax positions. In addition, the 2023 rate was favorably impacted by a tax benefit of $1.8 related to the release of valuation allowances recognized against certain deferred tax assets, as we now expect these deferred tax assets to be realized.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REPORTABLE SEGMENTS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our condensed consolidated financial statements and related notes. These results exclude the operating results of discontinued operations for all periods presented. See Note 6 to our condensed consolidated financial statements for a description of our reportable segments.</w:t>
      </w:r>
    </w:p>
    <w:p>
      <w:pPr>
        <w:spacing w:after="0" w:line="1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Non-GAAP Measures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Throughout the following discussion of segment results, we use “organic revenue” growth (decline) to facilitate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explanation of the operating performance of our segments. Organic revenue growth (decline) is a non-GAAP financial measure and is not a substitute for revenue growth (decline). Refer to the explanation of this measure and purpose of use by management under “Results of Continuing Operations—Non-GAAP Measures.”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HVAC Reportable Segment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8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6"/>
                <w:szCs w:val="16"/>
                <w:color w:val="auto"/>
              </w:rPr>
            </w:pPr>
          </w:p>
        </w:tc>
      </w:tr>
      <w:tr>
        <w:trPr>
          <w:trHeight w:val="23"/>
        </w:trPr>
        <w:tc>
          <w:tcPr>
            <w:tcW w:w="316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3160" w:type="dxa"/>
            <w:vAlign w:val="bottom"/>
          </w:tcPr>
          <w:p>
            <w:pPr>
              <w:spacing w:after="0"/>
              <w:rPr>
                <w:sz w:val="16"/>
                <w:szCs w:val="16"/>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46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335.3</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289.2</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994.2</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809.8</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460" w:type="dxa"/>
            <w:vAlign w:val="bottom"/>
          </w:tcPr>
          <w:p>
            <w:pPr>
              <w:spacing w:after="0"/>
              <w:rPr>
                <w:sz w:val="18"/>
                <w:szCs w:val="18"/>
                <w:color w:val="auto"/>
              </w:rPr>
            </w:pPr>
          </w:p>
        </w:tc>
        <w:tc>
          <w:tcPr>
            <w:tcW w:w="9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161.2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r>
      <w:tr>
        <w:trPr>
          <w:trHeight w:val="219"/>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Components of revenue increase:</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Organic</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3"/>
        </w:trPr>
        <w:tc>
          <w:tcPr>
            <w:tcW w:w="3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04"/>
        </w:trPr>
        <w:tc>
          <w:tcPr>
            <w:tcW w:w="3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revenue increase</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r>
    </w:tbl>
    <w:p>
      <w:pPr>
        <w:spacing w:after="0" w:line="24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i w:val="1"/>
          <w:iCs w:val="1"/>
          <w:u w:val="single" w:color="auto"/>
          <w:color w:val="auto"/>
        </w:rPr>
        <w:t>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three months ended September 28, 2024, the increase in revenues, compared to the respective period in 2023, was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to organic revenue growth as well as inorganic revenue growth resulting from the Ingénia acquisition. The organic revenue growth was due primarily to increased volume of cooling products driven by continued strength in demand and higher throughput resulting from expanded production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-525145</wp:posOffset>
            </wp:positionV>
            <wp:extent cx="1543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4305" cy="128905"/>
                    </a:xfrm>
                    <a:prstGeom prst="rect">
                      <a:avLst/>
                    </a:prstGeom>
                    <a:noFill/>
                  </pic:spPr>
                </pic:pic>
              </a:graphicData>
            </a:graphic>
          </wp:anchor>
        </w:drawing>
      </w:r>
    </w:p>
    <w:p>
      <w:pPr>
        <w:spacing w:after="0" w:line="18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For the nine months ended September 28, 2024, the increase in revenues, compared to the respective period in 2023, was due primarily to (i) inorganic revenue growth resulting from the Ingénia, ASPEQ, and TAMCO acquisitions and (ii) organic revenue growth. The organic revenue growth was due primarily to (i) increased volume of cooling products driven by continued strength in demand and higher throughput resulting from expanded production capacity and (ii) execution of a larger-than-typical service project. These increases were partially offset by organic revenue declines within heating products due primarily to (i) the unseasonably warm winter conditions prevalent in the relevant end markets during the first quarter of 2024 and (ii) higher volumes during the first quarter of 2023 that were supported by elevated backlog resulting from the effects of the COVID-19 pandemic.</w:t>
      </w:r>
    </w:p>
    <w:p>
      <w:pPr>
        <w:spacing w:after="0" w:line="21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three and nine months ended September 28, 2024, the increase in income and margin, compared to the respective periods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was due primarily to the revenue growth mentioned above and associated operating leverage, as well as the impact of continuous improvement initiatives, partially offset by increases in personnel costs due to annual merit increases and growth-related headcount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-398780</wp:posOffset>
            </wp:positionV>
            <wp:extent cx="18859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8595" cy="128905"/>
                    </a:xfrm>
                    <a:prstGeom prst="rect">
                      <a:avLst/>
                    </a:prstGeom>
                    <a:noFill/>
                  </pic:spPr>
                </pic:pic>
              </a:graphicData>
            </a:graphic>
          </wp:anchor>
        </w:drawing>
      </w:r>
    </w:p>
    <w:p>
      <w:pPr>
        <w:spacing w:after="0" w:line="19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Backlog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segment had backlog of $437.7 and $338.2 as of September 28, 2024 and September 30, 2023, respectively. Backlog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Ingénia acquisition totaled $136.4 as of September 28, 2024.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Detection and Measurement Reportable Segment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8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8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6"/>
                <w:szCs w:val="16"/>
                <w:color w:val="auto"/>
              </w:rPr>
            </w:pPr>
          </w:p>
        </w:tc>
      </w:tr>
      <w:tr>
        <w:trPr>
          <w:trHeight w:val="23"/>
        </w:trPr>
        <w:tc>
          <w:tcPr>
            <w:tcW w:w="338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3380" w:type="dxa"/>
            <w:vAlign w:val="bottom"/>
          </w:tcPr>
          <w:p>
            <w:pPr>
              <w:spacing w:after="0"/>
              <w:rPr>
                <w:sz w:val="16"/>
                <w:szCs w:val="16"/>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6"/>
                <w:szCs w:val="16"/>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46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148.4</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159.5</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456.0</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462.0</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460" w:type="dxa"/>
            <w:vAlign w:val="bottom"/>
          </w:tcPr>
          <w:p>
            <w:pPr>
              <w:spacing w:after="0"/>
              <w:rPr>
                <w:sz w:val="18"/>
                <w:szCs w:val="18"/>
                <w:color w:val="auto"/>
              </w:rPr>
            </w:pPr>
          </w:p>
        </w:tc>
        <w:tc>
          <w:tcPr>
            <w:tcW w:w="9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9"/>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Components of revenue increase (decrease):</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Organic</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revenue decrease</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bl>
    <w:p>
      <w:pPr>
        <w:spacing w:after="0" w:line="24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i w:val="1"/>
          <w:iCs w:val="1"/>
          <w:u w:val="single" w:color="auto"/>
          <w:color w:val="auto"/>
        </w:rPr>
        <w:t>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three and nine months ended September 28, 2024, the decrease in revenues, compared to the respective period in 2023,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primarily to an organic revenue decline. The organic revenue decline for the three and nine months ended was primarily driven by lower large project volume within our communication technologies business associated with a larger-than-typical project that executed throughout 2023 and completed in the first quarter of 2024. In addition, the organic revenue decline for the nine months ended was impacted by modestly lower global demand for location and inspection products. For the three and nine months ended, these declines were partially offset by higher project volumes at our transportation and aids to navigation businesses, in which volume can vary from period to period based on project execution 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-778510</wp:posOffset>
            </wp:positionV>
            <wp:extent cx="14541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5415" cy="128905"/>
                    </a:xfrm>
                    <a:prstGeom prst="rect">
                      <a:avLst/>
                    </a:prstGeom>
                    <a:noFill/>
                  </pic:spPr>
                </pic:pic>
              </a:graphicData>
            </a:graphic>
          </wp:anchor>
        </w:drawing>
      </w:r>
    </w:p>
    <w:p>
      <w:pPr>
        <w:spacing w:after="0" w:line="19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i w:val="1"/>
          <w:iCs w:val="1"/>
          <w:u w:val="single" w:color="auto"/>
          <w:color w:val="auto"/>
        </w:rPr>
        <w:t>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three and nine months ended September 28, 2024, the increase in income and margin, compared to the respective periods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was due primarily to (i) increased volume and a more favorable project mix within our transportation and aids to navigation businesses and (ii) the impact of continuous improvement initiatives. These increases were partially offset by the reduction in income associated with the volume declines from the larger-than-typical project within our communications technologies business mentioned above.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Backlog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segment had backlog of $193.5 and $233.6 as of September 28, 2024 and September 30, 2023,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 EXPENSES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8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r>
      <w:tr>
        <w:trPr>
          <w:trHeight w:val="24"/>
        </w:trPr>
        <w:tc>
          <w:tcPr>
            <w:tcW w:w="336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460" w:type="dxa"/>
            <w:vAlign w:val="bottom"/>
            <w:gridSpan w:val="3"/>
          </w:tcPr>
          <w:p>
            <w:pPr>
              <w:spacing w:after="0"/>
              <w:rPr>
                <w:sz w:val="2"/>
                <w:szCs w:val="2"/>
                <w:color w:val="auto"/>
              </w:rPr>
            </w:pPr>
          </w:p>
        </w:tc>
        <w:tc>
          <w:tcPr>
            <w:tcW w:w="10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3360" w:type="dxa"/>
            <w:vAlign w:val="bottom"/>
          </w:tcPr>
          <w:p>
            <w:pPr>
              <w:spacing w:after="0"/>
              <w:rPr>
                <w:sz w:val="16"/>
                <w:szCs w:val="16"/>
                <w:color w:val="auto"/>
              </w:rPr>
            </w:pPr>
          </w:p>
        </w:tc>
        <w:tc>
          <w:tcPr>
            <w:tcW w:w="14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4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96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6"/>
                <w:szCs w:val="16"/>
                <w:color w:val="auto"/>
              </w:rPr>
            </w:pP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consolidated revenues</w:t>
            </w:r>
          </w:p>
        </w:tc>
        <w:tc>
          <w:tcPr>
            <w:tcW w:w="440" w:type="dxa"/>
            <w:vAlign w:val="bottom"/>
            <w:tcBorders>
              <w:top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483.7</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448.7</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1,450.2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1,271.8</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rPr>
              <w:t>14.0</w:t>
            </w: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expense</w:t>
            </w:r>
          </w:p>
        </w:tc>
        <w:tc>
          <w:tcPr>
            <w:tcW w:w="440" w:type="dxa"/>
            <w:vAlign w:val="bottom"/>
          </w:tcPr>
          <w:p>
            <w:pPr>
              <w:spacing w:after="0"/>
              <w:rPr>
                <w:sz w:val="18"/>
                <w:szCs w:val="18"/>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8"/>
                <w:szCs w:val="18"/>
                <w:color w:val="auto"/>
              </w:rPr>
            </w:pPr>
          </w:p>
        </w:tc>
        <w:tc>
          <w:tcPr>
            <w:tcW w:w="1020" w:type="dxa"/>
            <w:vAlign w:val="bottom"/>
          </w:tcPr>
          <w:p>
            <w:pPr>
              <w:jc w:val="center"/>
              <w:ind w:left="501"/>
              <w:spacing w:after="0"/>
              <w:rPr>
                <w:sz w:val="20"/>
                <w:szCs w:val="20"/>
                <w:color w:val="auto"/>
              </w:rPr>
            </w:pPr>
            <w:r>
              <w:rPr>
                <w:rFonts w:ascii="Times New Roman" w:cs="Times New Roman" w:eastAsia="Times New Roman" w:hAnsi="Times New Roman"/>
                <w:sz w:val="16"/>
                <w:szCs w:val="16"/>
                <w:color w:val="auto"/>
              </w:rPr>
              <w:t>(13.3)</w:t>
            </w:r>
          </w:p>
        </w:tc>
      </w:tr>
      <w:tr>
        <w:trPr>
          <w:trHeight w:val="21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0"/>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incentive compensation expense</w:t>
            </w:r>
          </w:p>
        </w:tc>
        <w:tc>
          <w:tcPr>
            <w:tcW w:w="440" w:type="dxa"/>
            <w:vAlign w:val="bottom"/>
          </w:tcPr>
          <w:p>
            <w:pPr>
              <w:spacing w:after="0"/>
              <w:rPr>
                <w:sz w:val="18"/>
                <w:szCs w:val="18"/>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020" w:type="dxa"/>
            <w:vAlign w:val="bottom"/>
          </w:tcPr>
          <w:p>
            <w:pPr>
              <w:jc w:val="center"/>
              <w:ind w:left="521"/>
              <w:spacing w:after="0"/>
              <w:rPr>
                <w:sz w:val="20"/>
                <w:szCs w:val="20"/>
                <w:color w:val="auto"/>
              </w:rPr>
            </w:pPr>
            <w:r>
              <w:rPr>
                <w:rFonts w:ascii="Times New Roman" w:cs="Times New Roman" w:eastAsia="Times New Roman" w:hAnsi="Times New Roman"/>
                <w:sz w:val="16"/>
                <w:szCs w:val="16"/>
                <w:color w:val="auto"/>
              </w:rPr>
              <w:t>10.0</w:t>
            </w:r>
          </w:p>
        </w:tc>
      </w:tr>
    </w:tbl>
    <w:p>
      <w:pPr>
        <w:spacing w:after="0" w:line="200" w:lineRule="exact"/>
        <w:rPr>
          <w:sz w:val="20"/>
          <w:szCs w:val="20"/>
          <w:color w:val="auto"/>
        </w:rPr>
      </w:pPr>
    </w:p>
    <w:p>
      <w:pPr>
        <w:spacing w:after="0" w:line="28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i w:val="1"/>
          <w:iCs w:val="1"/>
          <w:u w:val="single" w:color="auto"/>
          <w:color w:val="auto"/>
        </w:rPr>
        <w:t>Corporate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Corporate expense generally relates to the personnel and general operating costs of our corporate headquarters based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Charlotte, North Carolina. The decrease in corporate expense during the three months ended September 28, 2024, compared to the respective period in 2023, was due primarily to a reduction in costs incurred for professional services.</w:t>
      </w:r>
    </w:p>
    <w:p>
      <w:pPr>
        <w:spacing w:after="0" w:line="21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decline in corporate expense during the nine months ended September 28, 2024, compared to the respective period in 2023, was due primarily to (i) lower expense related to various strategic and acquisition-related costs of $3.3, largely driven by the ASPEQ and TAMCO acquisitions in 2023, partially offset by expense incurred for the Ingénia acquisition in 2024, (ii) a reduction in short-term incentive compensation expense, and (iii) a reduction in costs incurred for professional services. These declines were partially offset by annual personnel merit increases.</w:t>
      </w:r>
    </w:p>
    <w:p>
      <w:pPr>
        <w:spacing w:after="0" w:line="21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Long-Term Incentive Compensation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Long-term incentive compensation expense represents our consolidated expense, which 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 for segment reporting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Listed below are the cash flows from (used in) operating, investing, and financing activities and discontinued operations, as well as the net change in cash and equivalents for the nine months ended September 28, 2024 and September 30,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4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60" w:type="dxa"/>
            <w:vAlign w:val="bottom"/>
          </w:tcPr>
          <w:p>
            <w:pPr>
              <w:spacing w:after="0"/>
              <w:rPr>
                <w:sz w:val="16"/>
                <w:szCs w:val="16"/>
                <w:color w:val="auto"/>
              </w:rPr>
            </w:pP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16"/>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Continuing operations: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w:t>
            </w: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425.1</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used in discontinued operations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 in cash and equivalents due to changes in foreign currency exchange rates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4"/>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change in cash and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i w:val="1"/>
          <w:iCs w:val="1"/>
          <w:u w:val="single" w:color="auto"/>
          <w:color w:val="auto"/>
        </w:rPr>
        <w:t>Operating Activities</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The increase in cash flows from operating activities for the nine months ended September 28, 2024, compared to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was due primarily to cash inflows resulting from the increase in operating income discussed previously, exclusive of the non-cash expenses (primarily intangible asset amortization and depreciation expense) incurred during the respective periods, and reductions in the level of elevated purchases of raw materials and components during the 2024 period due to stabilization of the supply chain environment. These impacts were primarily offset by (i) decreases in cash flows at certain of our project-related businesses, as cash flows for these businesses are often subject to contract milestones that can impact the timing of cash flows from period to period, (ii) additional interest payments of $16.7 due to higher average debt balances resulting from borrowings associated with the Ingénia, ASPEQ, and TAMCO acquisitions, (iii) $11.9 in additional short-term incentive compensation payments, (iv) a payment, during the first quarter of 2024, related to the resolution of a dispute with a former representative at one of our businesses within the Detection and Measurement reportable segment of $9.0, and (v) payment of $8.4 associated with a settlement for additional contingent consideration to the seller of ULC mentioned above.</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Investing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Cash flows used in investing activities of continuing operations for the nine months ended September 28, 2024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comprised of net cash utilized in the acquisition of Ingénia of $292.0 and capital expenditures of $28.2, partially offset by net proceeds from COLI policies of $42.9, inclusive of borrowings of $41.2 against the cash surrender value of these COLI policies. See Note 12 to the condensed consolidated financial statements for additional details. Cash flows used in investing activities of continuing operations for the nine months ended September 30, 2023 were comprised of net cash utilized in the acquisitions of TAMCO and ASPEQ of $547.3 and capital expenditures of $16.5, partially offset by proceeds from COLI policies of $2.6.</w:t>
      </w: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Financing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Cash flows from financing activities of continuing operations for the nine months ended September 28, 2024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comprised of (i) net borrowings under the Credit Agreement and trade receivables financing arrangement of $148.2 and $31.0, respectively, primarily in connection with the Ingénia acquisition, (ii) fees paid in connection with the August 30, 2024 amendment of our Credit Agreement, and (iii) net repayments under our other various debt instruments of $0.8. These net borrowings were partially offset by minimum tax withholdings paid on behalf of employees related to long-term incentive awards, net of proceeds from options exercised, of $1.1.</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flows from financing activities of continuing operations for the nine months ended September 30, 2023 were comprised of net borrowings under the Credit Agreement and trade receivables financing arrangement of $396.3 and $32.0, respectively, primarily in connection with the TAMCO and ASPEQ acquisitions. These borrowings were partially offset by minimum withholdings paid on behalf of employees on long-term incentive awards, net of proceeds from options exercised, of $1.5, and fees paid in connection with the Incremental Term Loan of $1.3. Net repayments under our other various debt instruments totaled $0.4.</w:t>
      </w:r>
    </w:p>
    <w:p>
      <w:pPr>
        <w:spacing w:after="0" w:line="20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Discontinued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Cash flows used in discontinued operations for the nine months ended September 28, 2024 relate primarily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final payment under the Settlement Agreement of $25.1 (net of the cash received upon maturation of the related foreign currency forward contracts of $2.0) to MHI and disbursements for liabilities retained in connection with previous dispositions.</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flows used in discontinued operations for the nine months ended September 30, 2023 relate primarily to (i) cash payments of $25.3 made by DBT to MHI during the three months ended September 30, 2023 in connection with the Settlement Agreement, (ii) disbursements of $14.5 for professional fees and support costs incurred principally in connection with the claims resolved by the Settlement Agreement, and (iii) local taxes of $3.8 paid in South Africa, which we subsequently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9" w:name="page40"/>
    <w:bookmarkEnd w:id="39"/>
    <w:p>
      <w:pPr>
        <w:ind w:right="20"/>
        <w:spacing w:after="0" w:line="282" w:lineRule="auto"/>
        <w:rPr>
          <w:sz w:val="20"/>
          <w:szCs w:val="20"/>
          <w:color w:val="auto"/>
        </w:rPr>
      </w:pPr>
      <w:r>
        <w:rPr>
          <w:rFonts w:ascii="Times New Roman" w:cs="Times New Roman" w:eastAsia="Times New Roman" w:hAnsi="Times New Roman"/>
          <w:sz w:val="18"/>
          <w:szCs w:val="18"/>
          <w:color w:val="auto"/>
        </w:rPr>
        <w:t>recovered during the fourth quarter of 2023, partially offset by the recovery of legal costs we were awarded in arbitration proceedings between DBT and MHI of $6.8. Refer to Notes 3 and 15 to the condensed consolidated financial statements for additional details related to the Settlement Agreement.</w:t>
      </w:r>
    </w:p>
    <w:p>
      <w:pPr>
        <w:spacing w:after="0" w:line="18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Change in Cash and Equivalents due to Changes in Foreign Currency Exchange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Changes in foreign currency exchange rates did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 significant impact on our cash and equivalents during the first nine months of 2024 and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 and Availability</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u w:val="single" w:color="auto"/>
          <w:color w:val="auto"/>
        </w:rPr>
        <w:t>Borrowings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following summarizes our debt activity (both current and non-current) for the nine months ended September 28, 2024: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6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Revolving loans</w:t>
            </w:r>
            <w:r>
              <w:rPr>
                <w:rFonts w:ascii="Times New Roman" w:cs="Times New Roman" w:eastAsia="Times New Roman" w:hAnsi="Times New Roman"/>
                <w:sz w:val="21"/>
                <w:szCs w:val="21"/>
                <w:color w:val="auto"/>
                <w:vertAlign w:val="superscript"/>
              </w:rPr>
              <w:t>(1)</w:t>
            </w:r>
          </w:p>
        </w:tc>
        <w:tc>
          <w:tcPr>
            <w:tcW w:w="740" w:type="dxa"/>
            <w:vAlign w:val="bottom"/>
            <w:tcBorders>
              <w:top w:val="single" w:sz="8" w:color="auto"/>
            </w:tcBorders>
            <w:shd w:val="clear" w:color="auto" w:fill="CCEEFF"/>
          </w:tcPr>
          <w:p>
            <w:pPr>
              <w:jc w:val="right"/>
              <w:ind w:right="5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(455.2)</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155.0</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Term loans</w:t>
            </w:r>
            <w:r>
              <w:rPr>
                <w:rFonts w:ascii="Times New Roman" w:cs="Times New Roman" w:eastAsia="Times New Roman" w:hAnsi="Times New Roman"/>
                <w:sz w:val="21"/>
                <w:szCs w:val="21"/>
                <w:color w:val="auto"/>
                <w:vertAlign w:val="superscript"/>
              </w:rPr>
              <w:t>(2)</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539.9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533.5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Trade receivables financing arrangement</w:t>
            </w:r>
            <w:r>
              <w:rPr>
                <w:rFonts w:ascii="Times New Roman" w:cs="Times New Roman" w:eastAsia="Times New Roman" w:hAnsi="Times New Roman"/>
                <w:sz w:val="21"/>
                <w:szCs w:val="21"/>
                <w:color w:val="auto"/>
                <w:vertAlign w:val="superscript"/>
              </w:rPr>
              <w:t>(3)</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indebtedness</w:t>
            </w:r>
            <w:r>
              <w:rPr>
                <w:rFonts w:ascii="Times New Roman" w:cs="Times New Roman" w:eastAsia="Times New Roman" w:hAnsi="Times New Roman"/>
                <w:sz w:val="21"/>
                <w:szCs w:val="21"/>
                <w:color w:val="auto"/>
                <w:vertAlign w:val="superscript"/>
              </w:rPr>
              <w:t>(4)</w:t>
            </w: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8"/>
        </w:trPr>
        <w:tc>
          <w:tcPr>
            <w:tcW w:w="4860" w:type="dxa"/>
            <w:vAlign w:val="bottom"/>
            <w:tcBorders>
              <w:bottom w:val="single" w:sz="8" w:color="CCEEFF"/>
            </w:tcBorders>
            <w:shd w:val="clear" w:color="auto" w:fill="CCEEFF"/>
          </w:tcPr>
          <w:p>
            <w:pPr>
              <w:ind w:left="140"/>
              <w:spacing w:after="0" w:line="183" w:lineRule="exact"/>
              <w:rPr>
                <w:sz w:val="20"/>
                <w:szCs w:val="20"/>
                <w:color w:val="auto"/>
              </w:rPr>
            </w:pPr>
            <w:r>
              <w:rPr>
                <w:rFonts w:ascii="Times New Roman" w:cs="Times New Roman" w:eastAsia="Times New Roman" w:hAnsi="Times New Roman"/>
                <w:sz w:val="16"/>
                <w:szCs w:val="16"/>
                <w:color w:val="auto"/>
              </w:rPr>
              <w:t>Total debt</w:t>
            </w:r>
          </w:p>
        </w:tc>
        <w:tc>
          <w:tcPr>
            <w:tcW w:w="7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558.3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827.3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(648.9)</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42"/>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1.1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rPr>
              <w:t>737.8</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Less: short-term debt</w:t>
            </w:r>
          </w:p>
        </w:tc>
        <w:tc>
          <w:tcPr>
            <w:tcW w:w="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line="20" w:lineRule="exact"/>
              <w:rPr>
                <w:sz w:val="1"/>
                <w:szCs w:val="1"/>
                <w:color w:val="auto"/>
              </w:rPr>
            </w:pPr>
          </w:p>
        </w:tc>
      </w:tr>
      <w:tr>
        <w:trPr>
          <w:trHeight w:val="160"/>
        </w:trPr>
        <w:tc>
          <w:tcPr>
            <w:tcW w:w="486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09"/>
        </w:trPr>
        <w:tc>
          <w:tcPr>
            <w:tcW w:w="4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long-term debt, net</w:t>
            </w:r>
          </w:p>
        </w:tc>
        <w:tc>
          <w:tcPr>
            <w:tcW w:w="74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523.1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665.2</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4" w:lineRule="exact"/>
        <w:rPr>
          <w:sz w:val="20"/>
          <w:szCs w:val="20"/>
          <w:color w:val="auto"/>
        </w:rPr>
      </w:pPr>
    </w:p>
    <w:p>
      <w:pPr>
        <w:ind w:left="660" w:right="20" w:hanging="328"/>
        <w:spacing w:after="0" w:line="225" w:lineRule="auto"/>
        <w:tabs>
          <w:tab w:leader="none" w:pos="64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revolving credit facility extends through August 2027 under the terms of the Credit Agreement and is primarily used to provide liquidity for funding acquisitions, including related fees and expenses, and was utilized as the primary funding mechanism for the Ingénia acquisition.</w:t>
      </w:r>
    </w:p>
    <w:p>
      <w:pPr>
        <w:spacing w:after="0" w:line="154" w:lineRule="exact"/>
        <w:rPr>
          <w:rFonts w:ascii="Times New Roman" w:cs="Times New Roman" w:eastAsia="Times New Roman" w:hAnsi="Times New Roman"/>
          <w:sz w:val="21"/>
          <w:szCs w:val="21"/>
          <w:color w:val="auto"/>
          <w:vertAlign w:val="superscript"/>
        </w:rPr>
      </w:pPr>
    </w:p>
    <w:p>
      <w:pPr>
        <w:jc w:val="both"/>
        <w:ind w:left="660" w:hanging="328"/>
        <w:spacing w:after="0" w:line="231" w:lineRule="auto"/>
        <w:tabs>
          <w:tab w:leader="none" w:pos="64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term loans are repayable in quarterly installments equal to 0.625% of the initial balances of $545.0, in each of the first three quarters of 2024, and 1.25% during the fourth quarter of 2024, all quarters of 2025 and 2026, and the first two quarters of 2027. The remaining balances are payable in full on August 12, 2027. Balances are net of unamortized debt issuance costs of $1.3 and $1.7 at September 28, 2024 and December 31, 2023, respectively.</w:t>
      </w:r>
    </w:p>
    <w:p>
      <w:pPr>
        <w:spacing w:after="0" w:line="155" w:lineRule="exact"/>
        <w:rPr>
          <w:rFonts w:ascii="Times New Roman" w:cs="Times New Roman" w:eastAsia="Times New Roman" w:hAnsi="Times New Roman"/>
          <w:sz w:val="21"/>
          <w:szCs w:val="21"/>
          <w:color w:val="auto"/>
          <w:vertAlign w:val="superscript"/>
        </w:rPr>
      </w:pPr>
    </w:p>
    <w:p>
      <w:pPr>
        <w:jc w:val="both"/>
        <w:ind w:left="660" w:hanging="328"/>
        <w:spacing w:after="0" w:line="231" w:lineRule="auto"/>
        <w:tabs>
          <w:tab w:leader="none" w:pos="64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Under this arrangement, we can borrow, on a continuous basis, up to $100.0, as available. Borrowings under this arrangement are collateralized by eligible trade receivables of certain of our businesses. At September 28, 2024, we had $17.5 of available borrowing capacity under this facility after giving effect to outstanding borrowings of $47.0.</w:t>
      </w:r>
    </w:p>
    <w:p>
      <w:pPr>
        <w:spacing w:after="0" w:line="169" w:lineRule="exact"/>
        <w:rPr>
          <w:rFonts w:ascii="Times New Roman" w:cs="Times New Roman" w:eastAsia="Times New Roman" w:hAnsi="Times New Roman"/>
          <w:sz w:val="21"/>
          <w:szCs w:val="21"/>
          <w:color w:val="auto"/>
          <w:vertAlign w:val="superscript"/>
        </w:rPr>
      </w:pPr>
    </w:p>
    <w:p>
      <w:pPr>
        <w:jc w:val="both"/>
        <w:ind w:left="660" w:hanging="328"/>
        <w:spacing w:after="0" w:line="239" w:lineRule="auto"/>
        <w:tabs>
          <w:tab w:leader="none" w:pos="64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balances under a purchase card program of $1.4 and $1.9 and finance lease obligations of $0.9 and $0.5 at September 28, 2024 and December 31, 2023,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w:t>
      </w:r>
    </w:p>
    <w:p>
      <w:pPr>
        <w:spacing w:after="0" w:line="137"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the amortization of debt issuance costs associated with the term loans.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Credit Facilities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detailed description of our senior credit facilities is included in our 2023 Annual Report on Form 10-K.</w:t>
      </w:r>
    </w:p>
    <w:p>
      <w:pPr>
        <w:spacing w:after="0" w:line="17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August 30, 2024, we entered into a Second Amendment to the Amended and Restated Credit Agreement and Incremental Facility Activation Notice (the “Second Amendment”) with Bank of America, N.A., as administrative agent (the “Administrative Agent”), the lenders party thereto, and certain domestic subsidiaries of the Company, as guarantors, which amends the Amended and Restated Credit Agreement, dated as of August 12, 2022 (as amended, the “Credit Agreement”) with the lenders party thereto, Deutsche Bank AG, as foreign trade facility agent, and the Administrative Agent.</w:t>
      </w:r>
    </w:p>
    <w:p>
      <w:pPr>
        <w:spacing w:after="0" w:line="1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Second Amendment increases the aggregate revolving credit commitments under the Credit Agreement from $500.0 to $1,000.0 and makes certain conforming changes and other amendments to the Credit Agreement. We expect to utilize the increased revolving credit capacity to finance, in part, permitted acquisitions, to pay related fees, costs and expenses and for other lawful corporate purposes. In connection with the Second Amendment, we recorded $2.6 of debt issuance costs classified within “Other assets” on the condensed consolidated balance sheet as of September 28, 2024.</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September 28, 2024, we were in compliance with all covenants of the Credit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Availability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At September 28, 2024, we had $834.0 of available borrowing capacity under our revolving credit facilities, after giving effect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under the domestic revolving loan facilities of $155.0 and $11.0 reserved for outstanding letters of credit. In addition, at September 28, 2024, we had $8.9 of available issuance capacity under our foreign credit instrument facilities after giving effect to $16.1 reserved for outstanding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-558165</wp:posOffset>
            </wp:positionV>
            <wp:extent cx="154305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43050" cy="12890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0" w:name="page41"/>
    <w:bookmarkEnd w:id="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Financing instruments may be used from time to time including, but not limited to, public and private debt and equity offerings, operating leases, finance leases and securitizations. We expect that we will continue to access these markets as appropriate to maintain liquidity and to provide sources of funds for general corporate purposes, acquisitions or to refinance existing debt.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Borrowings and Financing Activities</w:t>
      </w:r>
    </w:p>
    <w:p>
      <w:pPr>
        <w:spacing w:after="0" w:line="20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During the third quarter of 2024, we renewed, and increased the capacity of, our trade receivables financing agreement for the next 12 months, whereby we can borrow, on a continuous basis, up to $100.0, as available.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Company-owned Life Insurance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investments in COLI policies, which are recorded at their cash surrender value at each balance sheet date. Changes in the cash surrender value during the period are recorded as a gain or loss within “Other income (expense), net” within our condensed consolidated statements of operations. The Company has the ability to borrow against a portion of its investment in the COLI policies as an additional source of liquidity. During the first nine months of 2024, the Company borrowed $41.2 against the cash surrender value of these COLI policies. Such borrowings were used primarily to pay down amounts payable under the revolving credit facility. The amounts borrowed incur interest at a rate of 5.3%. The cash surrender value of the Company’s investments in COLI assets, net of the aforementioned borrowing, was $34.0 and $76.7 at September 28, 2024 and December 31, 2023, respectively, recorded in “Other assets” on the condensed consolidated balance sheets. See Note 12 to the condensed consolidated financial statements for additional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of cash and equivalents, trade accounts receivable, COLI policies, and interest rate swap and foreign currency forward contracts. These financial instruments, other than trade accounts receivable, are placed with high-quality financial institutions. We periodically evaluate the credit standing of these financial institutions.</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maintain cash levels in bank accounts that, at times, may exceed federally-insured limits. We have not experienced, and believe we are not exposed to, significant risk of loss in these accounts.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credit loss exposure in the event of nonperformance by counterparties to the above financial instruments, but have no other off-balance-sheet credit risk of accounting loss. We anticipate, however, that counterparties will be able to fully satisfy their obligations under the contracts. We do not obtain collateral or other security to support financial instruments subject to credit risk, but we do monitor the credit standing of counterparties.</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Concentrations of credit risk arising from trade accounts receivable are due to selling to customers in a particular industry. Credit risks are mitigated by performing ongoing credit evaluations of our customers’ financial conditions and obtaining collateral, advance payments, or other security when appropriate. No one customer, or group of customers that to our knowledge are under common control, accounted for more than 10% of our revenues for any period presented.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Contractual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Other than items discussed in the borrowings and availability section above, and new operating leases referenced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condensed consolidated financial statements, there have been no material changes in the amounts of our contractual obligations from those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disclosed in our 2023 Annual Report on Form 10-K. Our total net liabilities for unrecognized tax benefits including interest were $4.0 as of September 28, 2024. Based on the outcome of certain examinations or as a result of the expiration of statutes of limitations for certain jurisdictions, we do not believe that within the next 12 months our previously unrecognized tax benefits will decrease by a material amount.</w:t>
      </w:r>
    </w:p>
    <w:p>
      <w:pPr>
        <w:spacing w:after="0" w:line="1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Contingencies and Other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Numerous claims, complaints and proceedings arising in the ordinary course of business have been asserted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are pending against us or certain of our subsidiaries (collectively, “claims”). These claims relate to litigation matters (e.g., contracts, intellectual property, and competitive claims), environmental matters, claims for contingent consideration on prior acquisitions,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We accrue for these contingencies when we believe a liability is probable and can be reasonably estimated. As events change and resolutions occur, these accruals may be adjusted and could differ materially from amounts originally estimated. See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to the condensed consolidated financial statements for a further discussion of contingencies and other matters.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1" w:name="page42"/>
    <w:bookmarkEnd w:id="4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we shall indemnify our officers and directors to the fullest extent permitted by the Delaware General Corporation Law for any personal liability in connection with their employment or service with us. While we maintain insurance for this type of liability, the liability could exceed the amount of the insurance coverage.</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you should read “Management’s Discussion and Analysis of Financial Condition and Results of Operations — Other Matters” herein, and “Risk Factors” in our 2023 Annual Report on Form 10-K, as well as similar sections in any future filings for an understanding of the risks, uncertainties, and trends facing our businesses.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89" w:lineRule="exact"/>
        <w:rPr>
          <w:sz w:val="20"/>
          <w:szCs w:val="20"/>
          <w:color w:val="auto"/>
        </w:rPr>
      </w:pPr>
    </w:p>
    <w:p>
      <w:pPr>
        <w:jc w:val="both"/>
        <w:ind w:firstLine="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preparation of financial statements in accordance with GAAP requires us to make estimates and assumptions that affect the reported amounts of assets, liabilities, revenues and expenses, and disclosure of contingent assets and liabilities. The accounting policies that we believe are most critical to the portrayal of our financial condition and results of operations, and that require our most difficult, subjective or complex judgments in estimating the effect of inherent uncertainties are discussed in our </w:t>
      </w:r>
      <w:hyperlink r:id="rId80">
        <w:r>
          <w:rPr>
            <w:rFonts w:ascii="Times New Roman" w:cs="Times New Roman" w:eastAsia="Times New Roman" w:hAnsi="Times New Roman"/>
            <w:sz w:val="18"/>
            <w:szCs w:val="18"/>
            <w:u w:val="single" w:color="auto"/>
            <w:color w:val="0000FF"/>
          </w:rPr>
          <w:t>2023 Annual Report on Form 10-K</w:t>
        </w:r>
      </w:hyperlink>
      <w:r>
        <w:rPr>
          <w:rFonts w:ascii="Times New Roman" w:cs="Times New Roman" w:eastAsia="Times New Roman" w:hAnsi="Times New Roman"/>
          <w:sz w:val="18"/>
          <w:szCs w:val="18"/>
          <w:color w:val="auto"/>
        </w:rPr>
        <w:t>, the discussion within which is incorporated herein by reference. We have affected no material change in either our critical accounting policies or use of estimates since the filing of our 2023 Annual Report on Form 10-K.</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Management does not believe our exposure to market risk has significantly changed since December 31, 2023 and does not believe that such risks will result in significant adverse impacts to our financial condition,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SPX management, including the Chief Executive Officer and Chief Financial Officer, conducted an evaluation of the effectiveness of disclosure controls and procedures, pursuant to Exchange Act Rule 13a-15(b), as of September 28, 2024. Based on that evaluation, the Chief Executive Officer and Chief Financial Officer concluded that our disclosure controls and procedures were effective as of September 28,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the evaluation by SPX management, including the Chief Executive Officer and the Chief Financial Officer, of our internal control over financial reporting, pursuant to Exchange Act Rule 13a-15(d), no changes during the quarter ended September 28, 2024 were identified that have materially affected, or are reasonably likely to materially affect, our internal control over financial reporting.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required by this Item is incorporated by reference from the footnotes to the condensed consolidated financial statements, specifically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included under Part I of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other information set forth in this report, you should carefully consider the factors discussed in Part I, “Item 1A. Risk Factors” in our </w:t>
      </w:r>
      <w:hyperlink r:id="rId80">
        <w:r>
          <w:rPr>
            <w:rFonts w:ascii="Times New Roman" w:cs="Times New Roman" w:eastAsia="Times New Roman" w:hAnsi="Times New Roman"/>
            <w:sz w:val="18"/>
            <w:szCs w:val="18"/>
            <w:u w:val="single" w:color="auto"/>
            <w:color w:val="0000FF"/>
          </w:rPr>
          <w:t>2023 Annual Report on Form 10-K</w:t>
        </w:r>
      </w:hyperlink>
      <w:r>
        <w:rPr>
          <w:rFonts w:ascii="Times New Roman" w:cs="Times New Roman" w:eastAsia="Times New Roman" w:hAnsi="Times New Roman"/>
          <w:sz w:val="18"/>
          <w:szCs w:val="18"/>
          <w:color w:val="auto"/>
        </w:rPr>
        <w:t>, which could materially affect our business, financial condition or future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No director or officer of the Company adopted, modified, or terminated a “Rule 10b5-1 trading arrangement” or adopted, modified, or terminated a “non-Rule 10b5-1 trading arrangement” (as such terms are defined in Item 408 of Regulation S-K) during the three months ended September 28,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40" w:type="dxa"/>
            <w:vAlign w:val="bottom"/>
            <w:gridSpan w:val="8"/>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Second Amendment to Amended and Restated Credit Agreement and Incremental Facility Activation Notice dated as of August 30, 2024</w:t>
              </w:r>
            </w:hyperlink>
          </w:p>
        </w:tc>
      </w:tr>
      <w:tr>
        <w:trPr>
          <w:trHeight w:val="156"/>
        </w:trPr>
        <w:tc>
          <w:tcPr>
            <w:tcW w:w="1300" w:type="dxa"/>
            <w:vAlign w:val="bottom"/>
          </w:tcPr>
          <w:p>
            <w:pPr>
              <w:spacing w:after="0"/>
              <w:rPr>
                <w:sz w:val="13"/>
                <w:szCs w:val="13"/>
                <w:color w:val="auto"/>
              </w:rPr>
            </w:pPr>
          </w:p>
        </w:tc>
        <w:tc>
          <w:tcPr>
            <w:tcW w:w="99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among SPX Enterprises, LLC, as the U.S. Borrower, SPX Technologies, Inc., the other Guarantors party thereto, Bank of America, N.A.,</w:t>
              </w:r>
            </w:hyperlink>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98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as the Administrative Agent, and the Lenders party thereto, incorporated by reference to Exhibit 10.1 to our Current Report on Form 8-K</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300" w:type="dxa"/>
            <w:vAlign w:val="bottom"/>
          </w:tcPr>
          <w:p>
            <w:pPr>
              <w:spacing w:after="0"/>
              <w:rPr>
                <w:sz w:val="13"/>
                <w:szCs w:val="13"/>
                <w:color w:val="auto"/>
              </w:rPr>
            </w:pPr>
          </w:p>
        </w:tc>
        <w:tc>
          <w:tcPr>
            <w:tcW w:w="328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filed on September 3, 2024 (File no. 1-6948).</w:t>
              </w:r>
            </w:hyperlink>
          </w:p>
        </w:tc>
        <w:tc>
          <w:tcPr>
            <w:tcW w:w="66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6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720" w:type="dxa"/>
            <w:vAlign w:val="bottom"/>
            <w:gridSpan w:val="5"/>
          </w:tcPr>
          <w:p>
            <w:pPr>
              <w:spacing w:after="0"/>
              <w:rPr>
                <w:sz w:val="22"/>
                <w:szCs w:val="22"/>
                <w:color w:val="auto"/>
              </w:rPr>
            </w:pPr>
          </w:p>
        </w:tc>
      </w:tr>
      <w:tr>
        <w:trPr>
          <w:trHeight w:val="26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and Chief Financial Officer pursuant to Section 906 of the Sarbanes-Oxley Act of 2002.</w:t>
            </w:r>
          </w:p>
        </w:tc>
        <w:tc>
          <w:tcPr>
            <w:tcW w:w="680" w:type="dxa"/>
            <w:vAlign w:val="bottom"/>
            <w:gridSpan w:val="4"/>
          </w:tcPr>
          <w:p>
            <w:pPr>
              <w:spacing w:after="0"/>
              <w:rPr>
                <w:sz w:val="22"/>
                <w:szCs w:val="22"/>
                <w:color w:val="auto"/>
              </w:rPr>
            </w:pPr>
          </w:p>
        </w:tc>
      </w:tr>
      <w:tr>
        <w:trPr>
          <w:trHeight w:val="27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1300" w:type="dxa"/>
            <w:vAlign w:val="bottom"/>
          </w:tcPr>
          <w:p>
            <w:pPr>
              <w:spacing w:after="0"/>
              <w:rPr>
                <w:sz w:val="20"/>
                <w:szCs w:val="20"/>
                <w:color w:val="auto"/>
              </w:rPr>
            </w:pP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w:t>
            </w:r>
          </w:p>
        </w:tc>
      </w:tr>
      <w:tr>
        <w:trPr>
          <w:trHeight w:val="25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Definitions Linkbase Document</w:t>
            </w:r>
          </w:p>
        </w:tc>
      </w:tr>
      <w:tr>
        <w:trPr>
          <w:trHeight w:val="25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2" w:lineRule="exact"/>
        <w:rPr>
          <w:sz w:val="20"/>
          <w:szCs w:val="20"/>
          <w:color w:val="auto"/>
        </w:rPr>
      </w:pPr>
    </w:p>
    <w:p>
      <w:pPr>
        <w:ind w:left="1320" w:hanging="129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the Interactive Data Files submitted as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4" w:name="page45"/>
    <w:bookmarkEnd w:id="44"/>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SPX TECHNOLOGIES, INC.</w:t>
      </w:r>
    </w:p>
    <w:p>
      <w:pPr>
        <w:spacing w:after="0" w:line="3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(Registrant)</w:t>
      </w:r>
    </w:p>
    <w:p>
      <w:pPr>
        <w:spacing w:after="0" w:line="243" w:lineRule="exact"/>
        <w:rPr>
          <w:sz w:val="20"/>
          <w:szCs w:val="20"/>
          <w:color w:val="auto"/>
        </w:rPr>
      </w:pPr>
    </w:p>
    <w:p>
      <w:pPr>
        <w:ind w:left="20"/>
        <w:spacing w:after="0"/>
        <w:tabs>
          <w:tab w:leader="none" w:pos="5020" w:val="left"/>
          <w:tab w:leader="none" w:pos="590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/s/ Eugene J. Lowe,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19685</wp:posOffset>
            </wp:positionV>
            <wp:extent cx="33947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5020" w:val="left"/>
          <w:tab w:leader="none" w:pos="590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/s/ Mark A.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19685</wp:posOffset>
            </wp:positionV>
            <wp:extent cx="33947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320" w:top="603" w:right="5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Eugene J. Lowe, III, certify that:</w:t>
      </w:r>
    </w:p>
    <w:p>
      <w:pPr>
        <w:spacing w:after="0" w:line="158" w:lineRule="exact"/>
        <w:rPr>
          <w:sz w:val="20"/>
          <w:szCs w:val="20"/>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SPX Technologies, Inc.;</w:t>
      </w:r>
    </w:p>
    <w:p>
      <w:pPr>
        <w:spacing w:after="0" w:line="157"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300" w:hanging="644"/>
        <w:spacing w:after="0" w:line="266" w:lineRule="auto"/>
        <w:tabs>
          <w:tab w:leader="none" w:pos="97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300" w:hanging="644"/>
        <w:spacing w:after="0" w:line="266" w:lineRule="auto"/>
        <w:tabs>
          <w:tab w:leader="none" w:pos="104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300" w:hanging="644"/>
        <w:spacing w:after="0" w:line="282" w:lineRule="auto"/>
        <w:tabs>
          <w:tab w:leader="none" w:pos="106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300" w:hanging="644"/>
        <w:spacing w:after="0" w:line="266"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360" w:hanging="652"/>
        <w:spacing w:after="0" w:line="282" w:lineRule="auto"/>
        <w:tabs>
          <w:tab w:leader="none" w:pos="3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hanging="644"/>
        <w:spacing w:after="0" w:line="282" w:lineRule="auto"/>
        <w:tabs>
          <w:tab w:leader="none" w:pos="95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300" w:hanging="644"/>
        <w:spacing w:after="0" w:line="282" w:lineRule="auto"/>
        <w:tabs>
          <w:tab w:leader="none" w:pos="104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60"/>
        <w:spacing w:after="0"/>
        <w:tabs>
          <w:tab w:leader="none" w:pos="708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26"/>
          <w:szCs w:val="26"/>
          <w:color w:val="auto"/>
          <w:vertAlign w:val="subscript"/>
        </w:rPr>
        <w:t>/s/ EUGENE J. LOWE,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111760</wp:posOffset>
            </wp:positionV>
            <wp:extent cx="34118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94"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color w:val="auto"/>
        </w:rPr>
        <w:t>Eugene J. Lowe, III</w:t>
      </w:r>
    </w:p>
    <w:p>
      <w:pPr>
        <w:jc w:val="center"/>
        <w:ind w:left="4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7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Carano, certify that:</w:t>
      </w:r>
    </w:p>
    <w:p>
      <w:pPr>
        <w:spacing w:after="0" w:line="158"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SPX Technologies, Inc.;</w:t>
      </w:r>
    </w:p>
    <w:p>
      <w:pPr>
        <w:spacing w:after="0" w:line="157"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300" w:hanging="644"/>
        <w:spacing w:after="0" w:line="266" w:lineRule="auto"/>
        <w:tabs>
          <w:tab w:leader="none" w:pos="97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300" w:hanging="644"/>
        <w:spacing w:after="0" w:line="266" w:lineRule="auto"/>
        <w:tabs>
          <w:tab w:leader="none" w:pos="105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300" w:hanging="644"/>
        <w:spacing w:after="0" w:line="282" w:lineRule="auto"/>
        <w:tabs>
          <w:tab w:leader="none" w:pos="107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300" w:hanging="644"/>
        <w:spacing w:after="0" w:line="266" w:lineRule="auto"/>
        <w:tabs>
          <w:tab w:leader="none" w:pos="98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360" w:hanging="652"/>
        <w:spacing w:after="0" w:line="282" w:lineRule="auto"/>
        <w:tabs>
          <w:tab w:leader="none" w:pos="3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hanging="644"/>
        <w:spacing w:after="0" w:line="282" w:lineRule="auto"/>
        <w:tabs>
          <w:tab w:leader="none" w:pos="95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300" w:hanging="644"/>
        <w:spacing w:after="0" w:line="282" w:lineRule="auto"/>
        <w:tabs>
          <w:tab w:leader="none" w:pos="105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60"/>
        <w:spacing w:after="0"/>
        <w:tabs>
          <w:tab w:leader="none" w:pos="716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26"/>
          <w:szCs w:val="26"/>
          <w:color w:val="auto"/>
          <w:vertAlign w:val="subscript"/>
        </w:rPr>
        <w:t>/s/ MARK A.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111760</wp:posOffset>
            </wp:positionV>
            <wp:extent cx="34118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65"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color w:val="auto"/>
        </w:rPr>
        <w:t>Mark A. Carano</w:t>
      </w:r>
    </w:p>
    <w:p>
      <w:pPr>
        <w:spacing w:after="0" w:line="2"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ectPr>
          <w:pgSz w:w="11900" w:h="16838" w:orient="portrait"/>
          <w:cols w:equalWidth="0" w:num="1">
            <w:col w:w="11240"/>
          </w:cols>
          <w:pgMar w:left="320" w:top="17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97" w:lineRule="exact"/>
        <w:rPr>
          <w:sz w:val="20"/>
          <w:szCs w:val="20"/>
          <w:color w:val="auto"/>
        </w:rPr>
      </w:pPr>
    </w:p>
    <w:p>
      <w:pPr>
        <w:jc w:val="both"/>
        <w:ind w:firstLine="203"/>
        <w:spacing w:after="0" w:line="321" w:lineRule="auto"/>
        <w:rPr>
          <w:sz w:val="20"/>
          <w:szCs w:val="20"/>
          <w:color w:val="auto"/>
        </w:rPr>
      </w:pPr>
      <w:r>
        <w:rPr>
          <w:rFonts w:ascii="Times New Roman" w:cs="Times New Roman" w:eastAsia="Times New Roman" w:hAnsi="Times New Roman"/>
          <w:sz w:val="18"/>
          <w:szCs w:val="18"/>
          <w:color w:val="auto"/>
        </w:rPr>
        <w:t>In connection with the Quarterly Report of SPX Technologies, Inc. on Form 10-Q for the period ended September 28, 2024, as filed with the Securities and Exchange Commission on the date hereof (the “Report”), we certify, pursuant to 18 U.S.C. Section 1350, as adopted pursuant to Section 906 of the Sarbanes-Oxley Act of 2002, that, to the best of our knowledge:</w:t>
      </w:r>
    </w:p>
    <w:p>
      <w:pPr>
        <w:spacing w:after="0" w:line="195"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49" w:lineRule="exact"/>
        <w:rPr>
          <w:rFonts w:ascii="Times New Roman" w:cs="Times New Roman" w:eastAsia="Times New Roman" w:hAnsi="Times New Roman"/>
          <w:sz w:val="18"/>
          <w:szCs w:val="18"/>
          <w:color w:val="auto"/>
        </w:rPr>
      </w:pPr>
    </w:p>
    <w:p>
      <w:pPr>
        <w:ind w:left="660" w:right="880" w:hanging="328"/>
        <w:spacing w:after="0" w:line="329"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SPX Technologies,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2024</w:t>
      </w:r>
    </w:p>
    <w:p>
      <w:pPr>
        <w:spacing w:after="0" w:line="90" w:lineRule="exact"/>
        <w:rPr>
          <w:sz w:val="20"/>
          <w:szCs w:val="20"/>
          <w:color w:val="auto"/>
        </w:rPr>
      </w:pPr>
    </w:p>
    <w:tbl>
      <w:tblPr>
        <w:tblLayout w:type="fixed"/>
        <w:tblInd w:w="960" w:type="dxa"/>
        <w:tblCellMar>
          <w:top w:w="0" w:type="dxa"/>
          <w:left w:w="0" w:type="dxa"/>
          <w:bottom w:w="0" w:type="dxa"/>
          <w:right w:w="0" w:type="dxa"/>
        </w:tblCellMar>
      </w:tblPr>
      <w:tr>
        <w:trPr>
          <w:trHeight w:val="248"/>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EUGENE J. LOWE, III</w:t>
            </w:r>
          </w:p>
        </w:tc>
        <w:tc>
          <w:tcPr>
            <w:tcW w:w="600" w:type="dxa"/>
            <w:vAlign w:val="bottom"/>
          </w:tcPr>
          <w:p>
            <w:pPr>
              <w:spacing w:after="0"/>
              <w:rPr>
                <w:sz w:val="21"/>
                <w:szCs w:val="21"/>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A. CARANO</w:t>
            </w:r>
          </w:p>
        </w:tc>
      </w:tr>
      <w:tr>
        <w:trPr>
          <w:trHeight w:val="205"/>
        </w:trPr>
        <w:tc>
          <w:tcPr>
            <w:tcW w:w="4980" w:type="dxa"/>
            <w:vAlign w:val="bottom"/>
            <w:gridSpan w:val="2"/>
          </w:tcPr>
          <w:p>
            <w:pPr>
              <w:jc w:val="center"/>
              <w:ind w:right="600"/>
              <w:spacing w:after="0" w:line="205" w:lineRule="exact"/>
              <w:rPr>
                <w:sz w:val="20"/>
                <w:szCs w:val="20"/>
                <w:color w:val="auto"/>
              </w:rPr>
            </w:pPr>
            <w:r>
              <w:rPr>
                <w:rFonts w:ascii="Times New Roman" w:cs="Times New Roman" w:eastAsia="Times New Roman" w:hAnsi="Times New Roman"/>
                <w:sz w:val="18"/>
                <w:szCs w:val="18"/>
                <w:color w:val="auto"/>
                <w:w w:val="99"/>
              </w:rPr>
              <w:t>Eugene J. Lowe, III</w:t>
            </w:r>
          </w:p>
        </w:tc>
        <w:tc>
          <w:tcPr>
            <w:tcW w:w="43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Mark A. Carano</w:t>
            </w:r>
          </w:p>
        </w:tc>
      </w:tr>
      <w:tr>
        <w:trPr>
          <w:trHeight w:val="234"/>
        </w:trPr>
        <w:tc>
          <w:tcPr>
            <w:tcW w:w="49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Chief Financial Officer and Treasurer</w:t>
            </w:r>
          </w:p>
        </w:tc>
      </w:tr>
    </w:tbl>
    <w:p>
      <w:pPr>
        <w:spacing w:after="0" w:line="169" w:lineRule="exact"/>
        <w:rPr>
          <w:sz w:val="20"/>
          <w:szCs w:val="20"/>
          <w:color w:val="auto"/>
        </w:rPr>
      </w:pPr>
    </w:p>
    <w:p>
      <w:pPr>
        <w:ind w:right="120"/>
        <w:spacing w:after="0" w:line="331"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SPX Technologies, Inc. and will be retained by SPX Technologies, Inc. and furnished to the Securities and Exchange Commission or its staff upon request.</w:t>
      </w:r>
    </w:p>
    <w:sectPr>
      <w:pgSz w:w="11900" w:h="16838" w:orient="portrait"/>
      <w:cols w:equalWidth="0" w:num="1">
        <w:col w:w="11240"/>
      </w:cols>
      <w:pgMar w:left="320" w:top="1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3"/>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4"/>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5"/>
    </w:lvl>
  </w:abstractNum>
  <w:abstractNum w:abstractNumId="12">
    <w:nsid w:val="2443A858"/>
    <w:multiLevelType w:val="hybridMultilevel"/>
    <w:lvl w:ilvl="0">
      <w:lvlJc w:val="left"/>
      <w:lvlText w:val="(%1)"/>
      <w:numFmt w:val="decimal"/>
      <w:start w:val="6"/>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7"/>
    </w:lvl>
  </w:abstractNum>
  <w:abstractNum w:abstractNumId="15">
    <w:nsid w:val="75A2A8D4"/>
    <w:multiLevelType w:val="hybridMultilevel"/>
    <w:lvl w:ilvl="0">
      <w:lvlJc w:val="left"/>
      <w:lvlText w:val="(%1)"/>
      <w:numFmt w:val="decimal"/>
      <w:start w:val="8"/>
    </w:lvl>
  </w:abstractNum>
  <w:abstractNum w:abstractNumId="16">
    <w:nsid w:val="8EDBDAB"/>
    <w:multiLevelType w:val="hybridMultilevel"/>
    <w:lvl w:ilvl="0">
      <w:lvlJc w:val="left"/>
      <w:lvlText w:val="(%1)"/>
      <w:numFmt w:val="decimal"/>
      <w:start w:val="9"/>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6">
    <w:nsid w:val="3A95F874"/>
    <w:multiLevelType w:val="hybridMultilevel"/>
    <w:lvl w:ilvl="0">
      <w:lvlJc w:val="left"/>
      <w:lvlText w:val="•"/>
      <w:numFmt w:val="bullet"/>
      <w:start w:val="1"/>
    </w:lvl>
    <w:lvl w:ilvl="1">
      <w:lvlJc w:val="left"/>
      <w:lvlText w:val="◦"/>
      <w:numFmt w:val="bullet"/>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04"/>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0" Type="http://schemas.openxmlformats.org/officeDocument/2006/relationships/hyperlink" Target="https://www.sec.gov/ix?doc=/Archives/edgar/data/0000088205/000008820524000008/spxc-20231231.htm" TargetMode="External"/><Relationship Id="rId83" Type="http://schemas.openxmlformats.org/officeDocument/2006/relationships/hyperlink" Target="https://www.sec.gov/Archives/edgar/data/88205/000110465924096375/tm2423191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2024-10-31T05:13:38Z</dcterms:created>
  <dcterms:modified xsi:type="dcterms:W3CDTF">2024-10-31T05:13:38Z</dcterms:modified>
</cp:coreProperties>
</file>