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257175</wp:posOffset>
            </wp:positionH>
            <wp:positionV relativeFrom="page">
              <wp:posOffset>717550</wp:posOffset>
            </wp:positionV>
            <wp:extent cx="703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page">
              <wp:posOffset>257175</wp:posOffset>
            </wp:positionH>
            <wp:positionV relativeFrom="page">
              <wp:posOffset>675640</wp:posOffset>
            </wp:positionV>
            <wp:extent cx="70345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4530" cy="1651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54" w:lineRule="exact"/>
        <w:rPr>
          <w:sz w:val="24"/>
          <w:szCs w:val="24"/>
          <w:color w:val="auto"/>
        </w:rPr>
      </w:pPr>
    </w:p>
    <w:p>
      <w:pPr>
        <w:ind w:left="1720" w:right="520" w:hanging="955"/>
        <w:spacing w:after="0" w:line="248" w:lineRule="auto"/>
        <w:tabs>
          <w:tab w:leader="none" w:pos="1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4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4" w:lineRule="exact"/>
        <w:rPr>
          <w:sz w:val="24"/>
          <w:szCs w:val="24"/>
          <w:color w:val="auto"/>
        </w:rPr>
      </w:pPr>
    </w:p>
    <w:p>
      <w:pPr>
        <w:ind w:left="1800" w:right="1280" w:hanging="963"/>
        <w:spacing w:after="0" w:line="244" w:lineRule="auto"/>
        <w:tabs>
          <w:tab w:leader="none" w:pos="18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ectPr>
          <w:pgSz w:w="11900" w:h="16838" w:orient="portrait"/>
          <w:cols w:equalWidth="0" w:num="1">
            <w:col w:w="11240"/>
          </w:cols>
          <w:pgMar w:left="320" w:top="1439" w:right="339" w:bottom="0" w:gutter="0" w:footer="0" w:header="0"/>
        </w:sectPr>
      </w:pPr>
    </w:p>
    <w:p>
      <w:pPr>
        <w:spacing w:after="0" w:line="5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183" w:lineRule="exact"/>
        <w:rPr>
          <w:sz w:val="24"/>
          <w:szCs w:val="24"/>
          <w:color w:val="auto"/>
        </w:rPr>
      </w:pPr>
    </w:p>
    <w:p>
      <w:pPr>
        <w:sectPr>
          <w:pgSz w:w="11900" w:h="16838" w:orient="portrait"/>
          <w:cols w:equalWidth="0" w:num="3">
            <w:col w:w="3700" w:space="540"/>
            <w:col w:w="140" w:space="180"/>
            <w:col w:w="6680"/>
          </w:cols>
          <w:pgMar w:left="320" w:top="1439"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1-6948</w:t>
      </w:r>
    </w:p>
    <w:p>
      <w:pPr>
        <w:sectPr>
          <w:pgSz w:w="11900" w:h="16838" w:orient="portrait"/>
          <w:cols w:equalWidth="0" w:num="1">
            <w:col w:w="11240"/>
          </w:cols>
          <w:pgMar w:left="320" w:top="1439" w:right="339" w:bottom="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6"/>
              </w:rPr>
              <w:t>88-3567996</w:t>
            </w:r>
          </w:p>
        </w:tc>
        <w:tc>
          <w:tcPr>
            <w:tcW w:w="1020" w:type="dxa"/>
            <w:vAlign w:val="bottom"/>
          </w:tcPr>
          <w:p>
            <w:pPr>
              <w:spacing w:after="0"/>
              <w:rPr>
                <w:sz w:val="20"/>
                <w:szCs w:val="20"/>
                <w:color w:val="auto"/>
              </w:rPr>
            </w:pPr>
          </w:p>
        </w:tc>
      </w:tr>
      <w:tr>
        <w:trPr>
          <w:trHeight w:val="344"/>
        </w:trPr>
        <w:tc>
          <w:tcPr>
            <w:tcW w:w="148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7"/>
              </w:rPr>
              <w:t>(I.R.S. Employer</w:t>
            </w:r>
          </w:p>
        </w:tc>
        <w:tc>
          <w:tcPr>
            <w:tcW w:w="1020" w:type="dxa"/>
            <w:vAlign w:val="bottom"/>
          </w:tcPr>
          <w:p>
            <w:pPr>
              <w:spacing w:after="0"/>
              <w:rPr>
                <w:sz w:val="24"/>
                <w:szCs w:val="24"/>
                <w:color w:val="auto"/>
              </w:rPr>
            </w:pPr>
          </w:p>
        </w:tc>
      </w:tr>
      <w:tr>
        <w:trPr>
          <w:trHeight w:val="229"/>
        </w:trPr>
        <w:tc>
          <w:tcPr>
            <w:tcW w:w="1480" w:type="dxa"/>
            <w:vAlign w:val="bottom"/>
          </w:tcPr>
          <w:p>
            <w:pPr>
              <w:spacing w:after="0"/>
              <w:rPr>
                <w:sz w:val="19"/>
                <w:szCs w:val="19"/>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1020" w:type="dxa"/>
            <w:vAlign w:val="bottom"/>
          </w:tcPr>
          <w:p>
            <w:pPr>
              <w:spacing w:after="0"/>
              <w:rPr>
                <w:sz w:val="19"/>
                <w:szCs w:val="19"/>
                <w:color w:val="auto"/>
              </w:rPr>
            </w:pPr>
          </w:p>
        </w:tc>
      </w:tr>
      <w:tr>
        <w:trPr>
          <w:trHeight w:val="292"/>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6325 Ardrey Kell Road Suite 400,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3"/>
        </w:trPr>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Charlotte, NC 28277</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80" w:type="dxa"/>
            <w:vAlign w:val="bottom"/>
            <w:gridSpan w:val="4"/>
          </w:tcPr>
          <w:p>
            <w:pPr>
              <w:jc w:val="center"/>
              <w:ind w:left="109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3"/>
        </w:trPr>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474-3700</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32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r>
      <w:tr>
        <w:trPr>
          <w:trHeight w:val="256"/>
        </w:trPr>
        <w:tc>
          <w:tcPr>
            <w:tcW w:w="4220" w:type="dxa"/>
            <w:vAlign w:val="bottom"/>
            <w:gridSpan w:val="3"/>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6"/>
              </w:rPr>
              <w:t>Common Stock, Par Value $0.01</w:t>
            </w:r>
          </w:p>
        </w:tc>
        <w:tc>
          <w:tcPr>
            <w:tcW w:w="820" w:type="dxa"/>
            <w:vAlign w:val="bottom"/>
          </w:tcPr>
          <w:p>
            <w:pPr>
              <w:spacing w:after="0"/>
              <w:rPr>
                <w:sz w:val="22"/>
                <w:szCs w:val="22"/>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7"/>
              </w:rPr>
              <w:t>SPXC</w:t>
            </w:r>
          </w:p>
        </w:tc>
        <w:tc>
          <w:tcPr>
            <w:tcW w:w="320" w:type="dxa"/>
            <w:vAlign w:val="bottom"/>
          </w:tcPr>
          <w:p>
            <w:pPr>
              <w:spacing w:after="0"/>
              <w:rPr>
                <w:sz w:val="22"/>
                <w:szCs w:val="22"/>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r>
        <w:trPr>
          <w:trHeight w:val="43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4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7"/>
              </w:rPr>
              <w:t>(Title of class)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71"/>
        </w:trPr>
        <w:tc>
          <w:tcPr>
            <w:tcW w:w="9380" w:type="dxa"/>
            <w:vAlign w:val="bottom"/>
            <w:gridSpan w:val="8"/>
          </w:tcPr>
          <w:p>
            <w:pPr>
              <w:ind w:left="440"/>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9"/>
              </w:rPr>
              <w:t>☒</w:t>
            </w:r>
          </w:p>
        </w:tc>
        <w:tc>
          <w:tcPr>
            <w:tcW w:w="10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57"/>
        </w:trPr>
        <w:tc>
          <w:tcPr>
            <w:tcW w:w="9380" w:type="dxa"/>
            <w:vAlign w:val="bottom"/>
            <w:gridSpan w:val="8"/>
          </w:tcPr>
          <w:p>
            <w:pPr>
              <w:ind w:left="440"/>
              <w:spacing w:after="0" w:line="207" w:lineRule="exact"/>
              <w:rPr>
                <w:sz w:val="20"/>
                <w:szCs w:val="20"/>
                <w:color w:val="auto"/>
              </w:rPr>
            </w:pPr>
            <w:r>
              <w:rPr>
                <w:rFonts w:ascii="Times New Roman" w:cs="Times New Roman" w:eastAsia="Times New Roman" w:hAnsi="Times New Roman"/>
                <w:sz w:val="18"/>
                <w:szCs w:val="18"/>
                <w:color w:val="auto"/>
                <w:w w:val="97"/>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7"/>
              </w:rPr>
              <w:t>☐</w:t>
            </w:r>
          </w:p>
        </w:tc>
        <w:tc>
          <w:tcPr>
            <w:tcW w:w="10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00" w:lineRule="exact"/>
        <w:rPr>
          <w:sz w:val="24"/>
          <w:szCs w:val="24"/>
          <w:color w:val="auto"/>
        </w:rPr>
      </w:pPr>
    </w:p>
    <w:p>
      <w:pPr>
        <w:jc w:val="both"/>
        <w:ind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4" w:lineRule="exact"/>
        <w:rPr>
          <w:sz w:val="24"/>
          <w:szCs w:val="24"/>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640" w:type="dxa"/>
        <w:tblCellMar>
          <w:top w:w="0" w:type="dxa"/>
          <w:left w:w="0" w:type="dxa"/>
          <w:bottom w:w="0" w:type="dxa"/>
          <w:right w:w="0" w:type="dxa"/>
        </w:tblCellMar>
      </w:tblPr>
      <w:tr>
        <w:trPr>
          <w:trHeight w:val="295"/>
        </w:trPr>
        <w:tc>
          <w:tcPr>
            <w:tcW w:w="2280" w:type="dxa"/>
            <w:vAlign w:val="bottom"/>
            <w:vMerge w:val="restart"/>
          </w:tcPr>
          <w:p>
            <w:pPr>
              <w:jc w:val="center"/>
              <w:ind w:right="632"/>
              <w:spacing w:after="0"/>
              <w:rPr>
                <w:sz w:val="20"/>
                <w:szCs w:val="20"/>
                <w:color w:val="auto"/>
              </w:rPr>
            </w:pPr>
            <w:r>
              <w:rPr>
                <w:rFonts w:ascii="Times New Roman" w:cs="Times New Roman" w:eastAsia="Times New Roman" w:hAnsi="Times New Roman"/>
                <w:sz w:val="18"/>
                <w:szCs w:val="18"/>
                <w:color w:val="auto"/>
                <w:w w:val="96"/>
              </w:rPr>
              <w:t>Large accelerated filer</w:t>
            </w:r>
          </w:p>
        </w:tc>
        <w:tc>
          <w:tcPr>
            <w:tcW w:w="20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1000" w:type="dxa"/>
            <w:vAlign w:val="bottom"/>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05"/>
        </w:trPr>
        <w:tc>
          <w:tcPr>
            <w:tcW w:w="2280" w:type="dxa"/>
            <w:vAlign w:val="bottom"/>
            <w:vMerge w:val="continue"/>
          </w:tcPr>
          <w:p>
            <w:pPr>
              <w:spacing w:after="0"/>
              <w:rPr>
                <w:sz w:val="17"/>
                <w:szCs w:val="17"/>
                <w:color w:val="auto"/>
              </w:rPr>
            </w:pPr>
          </w:p>
        </w:tc>
        <w:tc>
          <w:tcPr>
            <w:tcW w:w="2020" w:type="dxa"/>
            <w:vAlign w:val="bottom"/>
            <w:vMerge w:val="restart"/>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spacing w:after="0"/>
              <w:rPr>
                <w:sz w:val="17"/>
                <w:szCs w:val="17"/>
                <w:color w:val="auto"/>
              </w:rPr>
            </w:pPr>
          </w:p>
        </w:tc>
        <w:tc>
          <w:tcPr>
            <w:tcW w:w="1000" w:type="dxa"/>
            <w:vAlign w:val="bottom"/>
            <w:vMerge w:val="restart"/>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86"/>
        </w:trPr>
        <w:tc>
          <w:tcPr>
            <w:tcW w:w="2280" w:type="dxa"/>
            <w:vAlign w:val="bottom"/>
          </w:tcPr>
          <w:p>
            <w:pPr>
              <w:jc w:val="center"/>
              <w:ind w:right="632"/>
              <w:spacing w:after="0" w:line="186" w:lineRule="exact"/>
              <w:rPr>
                <w:sz w:val="20"/>
                <w:szCs w:val="20"/>
                <w:color w:val="auto"/>
              </w:rPr>
            </w:pPr>
            <w:r>
              <w:rPr>
                <w:rFonts w:ascii="Times New Roman" w:cs="Times New Roman" w:eastAsia="Times New Roman" w:hAnsi="Times New Roman"/>
                <w:sz w:val="18"/>
                <w:szCs w:val="18"/>
                <w:color w:val="auto"/>
                <w:w w:val="97"/>
              </w:rPr>
              <w:t>Non-accelerated filer</w:t>
            </w:r>
          </w:p>
        </w:tc>
        <w:tc>
          <w:tcPr>
            <w:tcW w:w="2020" w:type="dxa"/>
            <w:vAlign w:val="bottom"/>
            <w:vMerge w:val="continue"/>
          </w:tcPr>
          <w:p>
            <w:pPr>
              <w:spacing w:after="0"/>
              <w:rPr>
                <w:sz w:val="16"/>
                <w:szCs w:val="16"/>
                <w:color w:val="auto"/>
              </w:rPr>
            </w:pPr>
          </w:p>
        </w:tc>
        <w:tc>
          <w:tcPr>
            <w:tcW w:w="3900" w:type="dxa"/>
            <w:vAlign w:val="bottom"/>
          </w:tcPr>
          <w:p>
            <w:pPr>
              <w:jc w:val="center"/>
              <w:ind w:left="192"/>
              <w:spacing w:after="0" w:line="186" w:lineRule="exact"/>
              <w:rPr>
                <w:sz w:val="20"/>
                <w:szCs w:val="20"/>
                <w:color w:val="auto"/>
              </w:rPr>
            </w:pPr>
            <w:r>
              <w:rPr>
                <w:rFonts w:ascii="Times New Roman" w:cs="Times New Roman" w:eastAsia="Times New Roman" w:hAnsi="Times New Roman"/>
                <w:sz w:val="18"/>
                <w:szCs w:val="18"/>
                <w:color w:val="auto"/>
                <w:w w:val="98"/>
              </w:rPr>
              <w:t>Smaller reporting company</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Emerging growth company</w:t>
            </w:r>
          </w:p>
        </w:tc>
        <w:tc>
          <w:tcPr>
            <w:tcW w:w="1000" w:type="dxa"/>
            <w:vAlign w:val="bottom"/>
          </w:tcPr>
          <w:p>
            <w:pPr>
              <w:ind w:left="8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both"/>
        <w:ind w:firstLine="436"/>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7" w:lineRule="exact"/>
        <w:rPr>
          <w:sz w:val="24"/>
          <w:szCs w:val="24"/>
          <w:color w:val="auto"/>
        </w:rPr>
      </w:pPr>
    </w:p>
    <w:p>
      <w:pPr>
        <w:jc w:val="both"/>
        <w:ind w:firstLine="436"/>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7" w:lineRule="exact"/>
        <w:rPr>
          <w:sz w:val="24"/>
          <w:szCs w:val="24"/>
          <w:color w:val="auto"/>
        </w:rPr>
      </w:pPr>
    </w:p>
    <w:p>
      <w:pPr>
        <w:ind w:right="120" w:firstLine="436"/>
        <w:spacing w:after="0" w:line="22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1439" w:right="339" w:bottom="0" w:gutter="0" w:footer="0" w:header="0"/>
          <w:type w:val="continuous"/>
        </w:sectPr>
      </w:pPr>
    </w:p>
    <w:bookmarkStart w:id="1" w:name="page2"/>
    <w:bookmarkEnd w:id="1"/>
    <w:p>
      <w:pPr>
        <w:ind w:right="560" w:firstLine="436"/>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3" w:lineRule="exact"/>
        <w:rPr>
          <w:sz w:val="20"/>
          <w:szCs w:val="20"/>
          <w:color w:val="auto"/>
        </w:rPr>
      </w:pPr>
    </w:p>
    <w:p>
      <w:pPr>
        <w:ind w:left="440"/>
        <w:spacing w:after="0" w:line="207" w:lineRule="exact"/>
        <w:tabs>
          <w:tab w:leader="none" w:pos="83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7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29, 2024 was $6,463,938,483. The determination of affiliate status for purposes of the foregoing calculation is not necessarily a conclusive determination for other purposes.</w:t>
      </w:r>
    </w:p>
    <w:p>
      <w:pPr>
        <w:spacing w:after="0" w:line="9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February 21, 2025 was 46,382,546.</w:t>
      </w:r>
    </w:p>
    <w:p>
      <w:pPr>
        <w:spacing w:after="0" w:line="14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47"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Documents incorporated by reference: Portions of the Registrant’s proxy statement for its Annual Meeting to be held on May 13,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1086485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151765</wp:posOffset>
            </wp:positionV>
            <wp:extent cx="70345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453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127000</wp:posOffset>
            </wp:positionV>
            <wp:extent cx="703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4530"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80" w:type="dxa"/>
            <w:vAlign w:val="bottom"/>
            <w:gridSpan w:val="17"/>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7"/>
              </w:rPr>
              <w:t>SPX TECHNOLOGIES, INC. AND SUBSIDIARIES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7"/>
              </w:rPr>
              <w:t>FORM 10-K 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10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Part I</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4"/>
              </w:rPr>
              <w:t>Item 1 – Business</w:t>
            </w:r>
          </w:p>
        </w:tc>
        <w:tc>
          <w:tcPr>
            <w:tcW w:w="9420" w:type="dxa"/>
            <w:vAlign w:val="bottom"/>
            <w:gridSpan w:val="28"/>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1A – Risk Factors</w:t>
            </w:r>
          </w:p>
        </w:tc>
        <w:tc>
          <w:tcPr>
            <w:tcW w:w="9040" w:type="dxa"/>
            <w:vAlign w:val="bottom"/>
            <w:gridSpan w:val="25"/>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1B – Unresolved Staff Comments</w:t>
            </w:r>
          </w:p>
        </w:tc>
        <w:tc>
          <w:tcPr>
            <w:tcW w:w="2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17</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Item 1C – Cybersecurity</w:t>
            </w:r>
          </w:p>
        </w:tc>
        <w:tc>
          <w:tcPr>
            <w:tcW w:w="820" w:type="dxa"/>
            <w:vAlign w:val="bottom"/>
            <w:tcBorders>
              <w:top w:val="single" w:sz="8" w:color="0000FF"/>
            </w:tcBorders>
            <w:gridSpan w:val="5"/>
          </w:tcPr>
          <w:p>
            <w:pPr>
              <w:spacing w:after="0"/>
              <w:rPr>
                <w:sz w:val="17"/>
                <w:szCs w:val="17"/>
                <w:color w:val="auto"/>
              </w:rPr>
            </w:pPr>
          </w:p>
        </w:tc>
        <w:tc>
          <w:tcPr>
            <w:tcW w:w="794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18</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2 – Properties</w:t>
            </w:r>
          </w:p>
        </w:tc>
        <w:tc>
          <w:tcPr>
            <w:tcW w:w="9280" w:type="dxa"/>
            <w:vAlign w:val="bottom"/>
            <w:gridSpan w:val="2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19</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3 – Legal Proceedings</w:t>
            </w:r>
          </w:p>
        </w:tc>
        <w:tc>
          <w:tcPr>
            <w:tcW w:w="2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19</w:t>
            </w: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6"/>
              </w:rPr>
              <w:t>Item 4 – Mine Safety Disclosures</w:t>
            </w:r>
          </w:p>
        </w:tc>
        <w:tc>
          <w:tcPr>
            <w:tcW w:w="8320" w:type="dxa"/>
            <w:vAlign w:val="bottom"/>
            <w:gridSpan w:val="2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19</w:t>
            </w:r>
          </w:p>
        </w:tc>
        <w:tc>
          <w:tcPr>
            <w:tcW w:w="80" w:type="dxa"/>
            <w:vAlign w:val="bottom"/>
          </w:tcPr>
          <w:p>
            <w:pPr>
              <w:spacing w:after="0"/>
              <w:rPr>
                <w:sz w:val="17"/>
                <w:szCs w:val="17"/>
                <w:color w:val="auto"/>
              </w:rPr>
            </w:pPr>
          </w:p>
        </w:tc>
      </w:tr>
      <w:tr>
        <w:trPr>
          <w:trHeight w:val="469"/>
        </w:trPr>
        <w:tc>
          <w:tcPr>
            <w:tcW w:w="80" w:type="dxa"/>
            <w:vAlign w:val="bottom"/>
          </w:tcPr>
          <w:p>
            <w:pPr>
              <w:spacing w:after="0"/>
              <w:rPr>
                <w:sz w:val="24"/>
                <w:szCs w:val="24"/>
                <w:color w:val="auto"/>
              </w:rPr>
            </w:pPr>
          </w:p>
        </w:tc>
        <w:tc>
          <w:tcPr>
            <w:tcW w:w="10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Part II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540" w:type="dxa"/>
            <w:vAlign w:val="bottom"/>
            <w:tcBorders>
              <w:bottom w:val="single" w:sz="8" w:color="0000FF"/>
            </w:tcBorders>
            <w:gridSpan w:val="3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5 – Market For Registrant's Common Equity, Related Stockholder Matters and Issuer Purchases of Equity Securities</w:t>
            </w:r>
          </w:p>
        </w:tc>
        <w:tc>
          <w:tcPr>
            <w:tcW w:w="21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8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Borders>
              <w:bottom w:val="single" w:sz="8" w:color="0000FF"/>
            </w:tcBorders>
            <w:gridSpan w:val="9"/>
          </w:tcPr>
          <w:p>
            <w:pPr>
              <w:spacing w:after="0" w:line="191" w:lineRule="exact"/>
              <w:rPr>
                <w:sz w:val="20"/>
                <w:szCs w:val="20"/>
                <w:color w:val="auto"/>
              </w:rPr>
            </w:pPr>
            <w:r>
              <w:rPr>
                <w:rFonts w:ascii="Times New Roman" w:cs="Times New Roman" w:eastAsia="Times New Roman" w:hAnsi="Times New Roman"/>
                <w:sz w:val="18"/>
                <w:szCs w:val="18"/>
                <w:color w:val="0000FF"/>
                <w:w w:val="96"/>
              </w:rPr>
              <w:t>Item 6 – [Reserved]</w:t>
            </w:r>
          </w:p>
        </w:tc>
        <w:tc>
          <w:tcPr>
            <w:tcW w:w="9280" w:type="dxa"/>
            <w:vAlign w:val="bottom"/>
            <w:gridSpan w:val="26"/>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0000FF"/>
                <w:w w:val="88"/>
              </w:rPr>
              <w:t>22</w:t>
            </w:r>
          </w:p>
        </w:tc>
        <w:tc>
          <w:tcPr>
            <w:tcW w:w="80" w:type="dxa"/>
            <w:vAlign w:val="bottom"/>
          </w:tcPr>
          <w:p>
            <w:pPr>
              <w:spacing w:after="0"/>
              <w:rPr>
                <w:sz w:val="16"/>
                <w:szCs w:val="16"/>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tcBorders>
              <w:bottom w:val="single" w:sz="8" w:color="0000FF"/>
            </w:tcBorders>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 – Management’s Discussion and Analysis of Financial Condition and Results of Operations</w:t>
            </w:r>
          </w:p>
        </w:tc>
        <w:tc>
          <w:tcPr>
            <w:tcW w:w="37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23</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40" w:type="dxa"/>
            <w:vAlign w:val="bottom"/>
            <w:tcBorders>
              <w:bottom w:val="single" w:sz="8" w:color="0000FF"/>
            </w:tcBorders>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7A – Quantitative and Qualitative Disclosures About Market Risk</w:t>
            </w:r>
          </w:p>
        </w:tc>
        <w:tc>
          <w:tcPr>
            <w:tcW w:w="514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49</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Item 8 – Financial Statements and Supplementary Data</w:t>
            </w:r>
          </w:p>
        </w:tc>
        <w:tc>
          <w:tcPr>
            <w:tcW w:w="642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50</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00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51</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60" w:type="dxa"/>
            <w:vAlign w:val="bottom"/>
            <w:tcBorders>
              <w:bottom w:val="single" w:sz="8" w:color="0000FF"/>
            </w:tcBorders>
            <w:gridSpan w:val="2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2024, 2023 and 2022</w:t>
            </w:r>
          </w:p>
        </w:tc>
        <w:tc>
          <w:tcPr>
            <w:tcW w:w="380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53</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Borders>
              <w:bottom w:val="single" w:sz="8" w:color="0000FF"/>
            </w:tcBorders>
            <w:gridSpan w:val="3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 (Loss) for the Years Ended December 31, 2024, 2023 and 2022</w:t>
            </w:r>
          </w:p>
        </w:tc>
        <w:tc>
          <w:tcPr>
            <w:tcW w:w="24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54</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2024 and 2023</w:t>
            </w:r>
          </w:p>
        </w:tc>
        <w:tc>
          <w:tcPr>
            <w:tcW w:w="600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55</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6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2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56</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2024, 2023 and 2022</w:t>
            </w:r>
          </w:p>
        </w:tc>
        <w:tc>
          <w:tcPr>
            <w:tcW w:w="600" w:type="dxa"/>
            <w:vAlign w:val="bottom"/>
            <w:tcBorders>
              <w:top w:val="single" w:sz="8" w:color="0000FF"/>
            </w:tcBorders>
          </w:tcPr>
          <w:p>
            <w:pPr>
              <w:spacing w:after="0"/>
              <w:rPr>
                <w:sz w:val="17"/>
                <w:szCs w:val="17"/>
                <w:color w:val="auto"/>
              </w:rPr>
            </w:pPr>
          </w:p>
        </w:tc>
        <w:tc>
          <w:tcPr>
            <w:tcW w:w="31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57</w:t>
            </w:r>
          </w:p>
        </w:tc>
        <w:tc>
          <w:tcPr>
            <w:tcW w:w="80" w:type="dxa"/>
            <w:vAlign w:val="bottom"/>
          </w:tcPr>
          <w:p>
            <w:pPr>
              <w:spacing w:after="0"/>
              <w:rPr>
                <w:sz w:val="17"/>
                <w:szCs w:val="17"/>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560" w:type="dxa"/>
            <w:vAlign w:val="bottom"/>
            <w:gridSpan w:val="34"/>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59</w:t>
            </w: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9 – Changes In and Disagreements with Accountants on Accounting and Financial Disclosure</w:t>
            </w: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110</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5"/>
              </w:rPr>
              <w:t>Item 9A – Controls and Procedures</w:t>
            </w:r>
          </w:p>
        </w:tc>
        <w:tc>
          <w:tcPr>
            <w:tcW w:w="4480" w:type="dxa"/>
            <w:vAlign w:val="bottom"/>
            <w:gridSpan w:val="14"/>
          </w:tcPr>
          <w:p>
            <w:pPr>
              <w:spacing w:after="0"/>
              <w:rPr>
                <w:sz w:val="17"/>
                <w:szCs w:val="17"/>
                <w:color w:val="auto"/>
              </w:rPr>
            </w:pPr>
          </w:p>
        </w:tc>
        <w:tc>
          <w:tcPr>
            <w:tcW w:w="3720" w:type="dxa"/>
            <w:vAlign w:val="bottom"/>
            <w:gridSpan w:val="5"/>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110</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Item 9B – Other Information</w:t>
            </w:r>
          </w:p>
        </w:tc>
        <w:tc>
          <w:tcPr>
            <w:tcW w:w="8200" w:type="dxa"/>
            <w:vAlign w:val="bottom"/>
            <w:gridSpan w:val="19"/>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112</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9C – Disclosure Regarding Foreign Jurisdictions that Prevent Inspections</w:t>
            </w:r>
          </w:p>
        </w:tc>
        <w:tc>
          <w:tcPr>
            <w:tcW w:w="5140" w:type="dxa"/>
            <w:vAlign w:val="bottom"/>
            <w:gridSpan w:val="9"/>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112</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80" w:type="dxa"/>
            <w:vAlign w:val="bottom"/>
          </w:tcPr>
          <w:p>
            <w:pPr>
              <w:spacing w:after="0"/>
              <w:rPr>
                <w:sz w:val="24"/>
                <w:szCs w:val="24"/>
                <w:color w:val="auto"/>
              </w:rPr>
            </w:pPr>
          </w:p>
        </w:tc>
        <w:tc>
          <w:tcPr>
            <w:tcW w:w="108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Part III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10 – Directors, Executive Officers and Corporate Governance</w:t>
            </w:r>
          </w:p>
        </w:tc>
        <w:tc>
          <w:tcPr>
            <w:tcW w:w="5960" w:type="dxa"/>
            <w:vAlign w:val="bottom"/>
            <w:gridSpan w:val="11"/>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113</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11 – Executive Compensation</w:t>
            </w:r>
          </w:p>
        </w:tc>
        <w:tc>
          <w:tcPr>
            <w:tcW w:w="2240" w:type="dxa"/>
            <w:vAlign w:val="bottom"/>
            <w:gridSpan w:val="8"/>
          </w:tcPr>
          <w:p>
            <w:pPr>
              <w:spacing w:after="0"/>
              <w:rPr>
                <w:sz w:val="17"/>
                <w:szCs w:val="17"/>
                <w:color w:val="auto"/>
              </w:rPr>
            </w:pPr>
          </w:p>
        </w:tc>
        <w:tc>
          <w:tcPr>
            <w:tcW w:w="5960" w:type="dxa"/>
            <w:vAlign w:val="bottom"/>
            <w:gridSpan w:val="11"/>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115</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40" w:type="dxa"/>
            <w:vAlign w:val="bottom"/>
            <w:tcBorders>
              <w:bottom w:val="single" w:sz="8" w:color="0000FF"/>
            </w:tcBorders>
            <w:gridSpan w:val="3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12 – Security Ownership of Certain Beneficial Owners and Management and Related Stockholder Matters</w:t>
            </w:r>
          </w:p>
        </w:tc>
        <w:tc>
          <w:tcPr>
            <w:tcW w:w="2840" w:type="dxa"/>
            <w:vAlign w:val="bottom"/>
            <w:gridSpan w:val="3"/>
          </w:tcPr>
          <w:p>
            <w:pPr>
              <w:spacing w:after="0"/>
              <w:rPr>
                <w:sz w:val="18"/>
                <w:szCs w:val="18"/>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FF"/>
                <w:w w:val="88"/>
              </w:rPr>
              <w:t>115</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80" w:type="dxa"/>
            <w:vAlign w:val="bottom"/>
            <w:gridSpan w:val="35"/>
          </w:tcPr>
          <w:p>
            <w:pPr>
              <w:spacing w:after="0" w:line="191" w:lineRule="exact"/>
              <w:rPr>
                <w:sz w:val="20"/>
                <w:szCs w:val="20"/>
                <w:color w:val="auto"/>
              </w:rPr>
            </w:pPr>
            <w:r>
              <w:rPr>
                <w:rFonts w:ascii="Times New Roman" w:cs="Times New Roman" w:eastAsia="Times New Roman" w:hAnsi="Times New Roman"/>
                <w:sz w:val="18"/>
                <w:szCs w:val="18"/>
                <w:color w:val="0000FF"/>
              </w:rPr>
              <w:t>Item 13 – Certain Relationships and Related Transactions, and Director Independence</w:t>
            </w:r>
          </w:p>
        </w:tc>
        <w:tc>
          <w:tcPr>
            <w:tcW w:w="340" w:type="dxa"/>
            <w:vAlign w:val="bottom"/>
            <w:gridSpan w:val="4"/>
          </w:tcPr>
          <w:p>
            <w:pPr>
              <w:jc w:val="right"/>
              <w:ind w:right="80"/>
              <w:spacing w:after="0" w:line="191" w:lineRule="exact"/>
              <w:rPr>
                <w:sz w:val="20"/>
                <w:szCs w:val="20"/>
                <w:color w:val="auto"/>
              </w:rPr>
            </w:pPr>
            <w:r>
              <w:rPr>
                <w:rFonts w:ascii="Times New Roman" w:cs="Times New Roman" w:eastAsia="Times New Roman" w:hAnsi="Times New Roman"/>
                <w:sz w:val="18"/>
                <w:szCs w:val="18"/>
                <w:color w:val="0000FF"/>
                <w:w w:val="88"/>
              </w:rPr>
              <w:t>115</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4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Item 14 – Principal Accountant Fees and Services</w:t>
            </w:r>
          </w:p>
        </w:tc>
        <w:tc>
          <w:tcPr>
            <w:tcW w:w="4640" w:type="dxa"/>
            <w:vAlign w:val="bottom"/>
            <w:gridSpan w:val="8"/>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115</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80" w:type="dxa"/>
            <w:vAlign w:val="bottom"/>
            <w:gridSpan w:val="1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80" w:type="dxa"/>
            <w:vAlign w:val="bottom"/>
          </w:tcPr>
          <w:p>
            <w:pPr>
              <w:spacing w:after="0"/>
              <w:rPr>
                <w:sz w:val="24"/>
                <w:szCs w:val="24"/>
                <w:color w:val="auto"/>
              </w:rPr>
            </w:pPr>
          </w:p>
        </w:tc>
        <w:tc>
          <w:tcPr>
            <w:tcW w:w="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5"/>
              </w:rPr>
              <w:t>Part IV</w:t>
            </w:r>
          </w:p>
        </w:tc>
        <w:tc>
          <w:tcPr>
            <w:tcW w:w="10300" w:type="dxa"/>
            <w:vAlign w:val="bottom"/>
            <w:gridSpan w:val="3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Item 15 – Exhibits and Financial Statement Schedules</w:t>
            </w: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880" w:type="dxa"/>
            <w:vAlign w:val="bottom"/>
            <w:gridSpan w:val="1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16 – Form 10-K Summary</w:t>
            </w:r>
          </w:p>
        </w:tc>
        <w:tc>
          <w:tcPr>
            <w:tcW w:w="6880" w:type="dxa"/>
            <w:vAlign w:val="bottom"/>
            <w:gridSpan w:val="15"/>
          </w:tcPr>
          <w:p>
            <w:pPr>
              <w:spacing w:after="0"/>
              <w:rPr>
                <w:sz w:val="17"/>
                <w:szCs w:val="17"/>
                <w:color w:val="auto"/>
              </w:rPr>
            </w:pP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117</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8460" w:type="dxa"/>
            <w:vAlign w:val="bottom"/>
            <w:gridSpan w:val="21"/>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9"/>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1480" w:type="dxa"/>
            <w:vAlign w:val="bottom"/>
            <w:gridSpan w:val="8"/>
          </w:tcPr>
          <w:p>
            <w:pPr>
              <w:spacing w:after="0"/>
              <w:rPr>
                <w:sz w:val="24"/>
                <w:szCs w:val="24"/>
                <w:color w:val="auto"/>
              </w:rPr>
            </w:pPr>
          </w:p>
        </w:tc>
        <w:tc>
          <w:tcPr>
            <w:tcW w:w="8460" w:type="dxa"/>
            <w:vAlign w:val="bottom"/>
            <w:gridSpan w:val="21"/>
          </w:tcPr>
          <w:p>
            <w:pPr>
              <w:spacing w:after="0"/>
              <w:rPr>
                <w:sz w:val="24"/>
                <w:szCs w:val="24"/>
                <w:color w:val="auto"/>
              </w:rPr>
            </w:pPr>
          </w:p>
        </w:tc>
        <w:tc>
          <w:tcPr>
            <w:tcW w:w="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0000FF"/>
                <w:w w:val="88"/>
              </w:rPr>
              <w:t>118</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20" w:type="dxa"/>
            <w:vAlign w:val="bottom"/>
            <w:gridSpan w:val="28"/>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8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0000FF"/>
              </w:rPr>
              <w:t>Index to Exhibits</w:t>
            </w:r>
          </w:p>
        </w:tc>
        <w:tc>
          <w:tcPr>
            <w:tcW w:w="340" w:type="dxa"/>
            <w:vAlign w:val="bottom"/>
            <w:gridSpan w:val="4"/>
          </w:tcPr>
          <w:p>
            <w:pPr>
              <w:jc w:val="right"/>
              <w:ind w:right="80"/>
              <w:spacing w:after="0" w:line="205" w:lineRule="exact"/>
              <w:rPr>
                <w:sz w:val="20"/>
                <w:szCs w:val="20"/>
                <w:color w:val="auto"/>
              </w:rPr>
            </w:pPr>
            <w:r>
              <w:rPr>
                <w:rFonts w:ascii="Times New Roman" w:cs="Times New Roman" w:eastAsia="Times New Roman" w:hAnsi="Times New Roman"/>
                <w:sz w:val="18"/>
                <w:szCs w:val="18"/>
                <w:color w:val="0000FF"/>
                <w:w w:val="88"/>
              </w:rPr>
              <w:t>119</w:t>
            </w:r>
          </w:p>
        </w:tc>
      </w:tr>
      <w:tr>
        <w:trPr>
          <w:trHeight w:val="1452"/>
        </w:trPr>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 w:name="page4"/>
    <w:bookmarkEnd w:id="3"/>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P A R T</w:t>
        <w:tab/>
        <w:t>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currency and share amounts are in millions)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1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7"/>
          <w:szCs w:val="17"/>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including as a result of new or increased tariffs,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timing and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200" w:lineRule="exact"/>
        <w:rPr>
          <w:sz w:val="20"/>
          <w:szCs w:val="20"/>
          <w:color w:val="auto"/>
        </w:rPr>
      </w:pPr>
    </w:p>
    <w:p>
      <w:pPr>
        <w:spacing w:after="0" w:line="21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All the forward-looking statements are qualified in their entirety by reference to the risks and uncertainties discussed in this filing, including under the heading “Risk Factors,” and any subsequent filing with the U.S. Securities and Exchange Commission (“SEC”), as well as in any documents incorporated by reference that describe risks, uncertainties, and other factors that could cause results to differ materially from those projected in these forward-looking statements. We caution you that these discussions of risks and uncertainties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except to the extent we are legally required, to update or publicly revise any forward-looking statements to reflect events or circumstances that arise after the date of this document.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25"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color w:val="auto"/>
        </w:rPr>
        <w:t>SPX Technologies, Inc. (“SPX”, “our”, “the Company”, or “we”)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7"/>
          <w:szCs w:val="17"/>
          <w:color w:val="auto"/>
        </w:rPr>
        <w:t>common stock being converted. Accordingly, upon consummation of the Holding Company Reorganization, Legacy SPX stockholders became stockholders of the Company. Legacy SPX was founded in Muskegon, Michigan in 1912 as the Piston Ring Company and adopted the name SPX Corporation in 1988. Its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stock had been listed on the New York Stock Exchange since 1972. The terms “SPX,” “we” and “our” include Legacy SPX for periods prior to the consummation of the Holding Company Reorganization as the context requires.</w:t>
      </w:r>
    </w:p>
    <w:p>
      <w:pPr>
        <w:spacing w:after="0" w:line="196"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On September 26, 2015, we completed the spin-off to our stockholders (the “Spin-Off”) of all the outstanding shares of SPX FLOW, Inc. (“SPX FLOW”), a wholly-owned subsidiary of SPX prior to the Spin-Off, which at the time of the Spin-Off held the businesses comprising our Flow Technology reportable segment, our Hydraulic Technologies business, and certain of our corporate subsidiaries.</w:t>
      </w:r>
    </w:p>
    <w:p>
      <w:pPr>
        <w:spacing w:after="0" w:line="206"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color w:val="auto"/>
        </w:rPr>
        <w:t>Based on a review of our portfolio of businesses, and the belief that a recovery within the power generation markets was unlikely in the foreseeable future, we decided in 2015 that our strategic focus would be on our (i) scalable growth businesses that serve the heating, ventilation and cooling (“HVAC”) and detection and measurement markets and (ii) power transformers and process cooling systems businesses. As a result, we subsequently significantly reduced our exposure to the power generation markets. This reduction included the wind-down of the SPX Heat Transfer Business (“Heat Transfer”), completed during the fourth quarter of 2020, and the wind-down of our South African subsidiary, DBT Technologies (PTY) LTD (“DBT”) in 2021 when we substantially ceased all operations. In addition, we completed the sale of our Transformer Solutions business (“Transformer Solutions”) during 2021. As a result, we are reporting Heat Transfer, DBT, and Transformer Solutions as discontinued operations in the accompanying consolidated financial statements. See Note 4 for additional details regarding discontinued operations and Notes 4 and 15 for additional details of DBT’s dispute resolution matters.</w:t>
      </w:r>
    </w:p>
    <w:p>
      <w:pPr>
        <w:spacing w:after="0" w:line="2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March 31, 2022, we completed the acquisition of International Tower Lighting, LLC (“ITL”), a leader in the design and manufacture of highly-engineered aids to navigation systems, including obstruction lighting for telecommunications towers, wind turbines and numerous other terrestrial obstructions. The post-acquisition operating results of ITL are reflected within our Detection and Measurement reportable segment.</w:t>
      </w:r>
    </w:p>
    <w:p>
      <w:pPr>
        <w:spacing w:after="0" w:line="201"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On November 1, 2022, SPX divested three wholly-owned subsidiaries that hold asbestos liabilities and certain assets, including related insurance assets, to Canvas Holdco LLC, an entity formed by a joint venture of Global Risk Capital LLC and an affiliate of Premia Holdings Ltd (the “Asbestos Portfolio Sale”). The divested subsidiaries have agreed to indemnify us and our affiliates for their asbestos-related liabilities, which encompassed all of our consolidated asbestos-related liabilities and contingent liabilities immediately prior to the divestiture. These indemnification obligations are not subject to any cap or time limitation. The board of managers of each of the divested subsidiaries received a solvency opinion from an independent advisory firm that the divested subsidiaries were solvent after giving effect to the Asbestos Portfolio Sale.</w:t>
      </w:r>
    </w:p>
    <w:p>
      <w:pPr>
        <w:spacing w:after="0" w:line="21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April 3, 2023, we completed the acquisition of T.A. Morrison &amp; Co. Inc. (“TAMCO”), a market leader in motorized and non-motorized dampers that control airflow in large-scale specialty applications in commercial, industrial, and institutional markets. The post-acquisition operating results of TAMCO are reflected within our HVAC reportable segment.</w:t>
      </w:r>
    </w:p>
    <w:p>
      <w:pPr>
        <w:spacing w:after="0" w:line="201"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On June 2, 2023, we completed the acquisition of ASPEQ Heating Group (“ASPEQ”), a leading provider of electrical heating solutions to customers in industrial and commercial markets. The post-acquisition operating results of ASPEQ are reflected within our HVAC reportable segment.</w:t>
      </w:r>
    </w:p>
    <w:p>
      <w:pPr>
        <w:spacing w:after="0" w:line="18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The post-acquisition operating results of Ingénia are reflected within our HVAC reportable segment.</w:t>
      </w:r>
    </w:p>
    <w:p>
      <w:pPr>
        <w:spacing w:after="0" w:line="20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On January 27, 2025, we completed the acquisition of Kranze Technology Solutions, Inc. (“KTS”), which specializes in digital interoperability and tactical networking solutions, primarily for the defense industry. The post-acquisition operating results of KTS will be reflected within our Detection and Measurement reportable segment.</w:t>
      </w:r>
    </w:p>
    <w:p>
      <w:pPr>
        <w:spacing w:after="0" w:line="188" w:lineRule="exact"/>
        <w:rPr>
          <w:sz w:val="20"/>
          <w:szCs w:val="20"/>
          <w:color w:val="auto"/>
        </w:rPr>
      </w:pPr>
    </w:p>
    <w:p>
      <w:pPr>
        <w:jc w:val="both"/>
        <w:ind w:firstLine="396"/>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the description of our business provided in Part I pertains to continuing operations only (see Notes 1 and 4 to our consolidated financial statements for information on discontinued operations). A description of the general development of our business, including with respect to developments occurring prior to those discussed above, is included in Item 1 of our </w:t>
      </w:r>
      <w:hyperlink r:id="rId16">
        <w:r>
          <w:rPr>
            <w:rFonts w:ascii="Times New Roman" w:cs="Times New Roman" w:eastAsia="Times New Roman" w:hAnsi="Times New Roman"/>
            <w:sz w:val="18"/>
            <w:szCs w:val="18"/>
            <w:u w:val="single" w:color="auto"/>
            <w:color w:val="0000FF"/>
          </w:rPr>
          <w:t>Annual Report on Form 10-K for the year ended December 31, 2023</w:t>
        </w:r>
      </w:hyperlink>
      <w:r>
        <w:rPr>
          <w:rFonts w:ascii="Times New Roman" w:cs="Times New Roman" w:eastAsia="Times New Roman" w:hAnsi="Times New Roman"/>
          <w:sz w:val="18"/>
          <w:szCs w:val="18"/>
          <w:color w:val="auto"/>
        </w:rPr>
        <w:t>, which description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diversified, global supplier of infrastructure equipment serving the HVAC and detection and measurement markets. With operations in over 15 countries and approximately 4,300 employees, we offer a wide array of highly engineered infrastructure products with strong brands.</w:t>
      </w:r>
    </w:p>
    <w:p>
      <w:pPr>
        <w:spacing w:after="0" w:line="8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HVAC solutions offered by our businesses include package and process cooling equipment, engineered air movement and handling solutions, residential and commercial boilers, electrical heating, and ventilation products. Our market leading brands, coupled with our commitment to continuous innovation and focus on our customers’ needs, enables our HVAC cooling and heating businesses to serve an expanding number of industrial, commercial, data center, and residential customers. Growth for our HVAC businesses will be driven by innovation, increased scalability, and our ability to meet the needs of broader markets.</w:t>
      </w:r>
    </w:p>
    <w:p>
      <w:pPr>
        <w:spacing w:after="0" w:line="21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detection and measurement product lines encompass underground pipe and cable locators, inspection and rehabilitation equipment, robotic systems, transportation systems, communication technologies, and aids to navigation. Our detection and measurement solutions enable utilities, telecommunication providers and regulators, and municipalities and transit authorities to build, monitor and maintain vital infrastructure. Our technology and decades of experience have afforded us a strong position in specific detection and measurement markets. We intend to expand our portfolio of specialized products through new, innovative hardware and software solutions in an attempt to (i) further capitalize on the detection and measurement markets we currently serve and (ii) expand the number of markets that we serve.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5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7"/>
          <w:szCs w:val="17"/>
          <w:color w:val="auto"/>
        </w:rPr>
        <w:t>Our operating segments are aggregated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Financial Accounting Standards Board Codification (“Codification”). Operating income for our reportable segments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This is consistent with the way our Chief Operating Decision Maker (“CODM”), the President and Chief Executive Officer, evaluates the results of each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5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HVAC reportable segment had revenues of $1,364.7, $1,122.3, and $913.8 in 2024, 2023 and 2022, respectively, and backlog of $436.8 and $306.1 as of December 31, 2024 and 2023, respectively. Approximately 88% of the segment’s backlog as of December 31, 2024 is expected to be recognized as revenue during 2025. The segment engineers, designs, manufactures, installs and services cooling products and engineered air movement and handling solutions for the HVAC industrial, commercial, data center, and power generation markets, as well as heating and ventilation products for the residential, industrial, and commercial markets. The primary distribution channels for the segment’s products are direct to customers, independent manufacturing representatives, third-party distributors, and retailers. The segment serves a customer base in North America, Europe, and Asia. Core brands for our cooling products include Marley, Recold, SGS, Cincinnati Fan, TAMCO, and Ingénia, while our heating products are sold under the Berko, Qmark, Fahrenheat, Leading Edge, Patterson-Kelley, Weil-McLain, Williamson-Thermoflo, INDEECO, Heatrex, AccuTherm, Brasch, Spectrum, BannerDay PipeHeating, and Solar Products brands.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3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Detection and Measurement reportable segment had revenues of $619.2, $618.9, and $547.1 in 2024, 2023 and 2022, respectively, and backlog of $220.9 and $244.5 as of December 31, 2024 and 2023, respectively. Approximately 58% of the segment’s backlog as of December 31, 2024 is expected to be recognized as revenue during 2025. The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Core brands for our underground pipe and cable locators and inspection and rehabilitation equipment are Radiodetection, Pearpoint, Schonstedt, Dielectric, Cues, ULC Robotics, and Sensors &amp; Software. Our transportation systems are sold under the Genfare brand, our communication technologies products are sold under the TCI, ECS, and KTS brands, and our aids to navigation products are sold under the Flash Technology, ITL, Sabik Marine, Sealite, and Avlite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10-K. We regularly review and negotiate potential acquisitions in the ordinary course of business, some of which are or may be material.</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previously indicated, we acquired KTS in January 2025, Ingénia in 2024, TAMCO and ASPEQ in 2023, and ITL in 2022.</w:t>
      </w:r>
    </w:p>
    <w:p>
      <w:pPr>
        <w:spacing w:after="0" w:line="1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38"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We regularly review and negotiate potential divestitures in the ordinary course of business, some of which are or may be material. As previously indicated, the divestiture of three wholly-owned subsidiaries that hold asbestos liabilities and certain assets, including related insurance assets, was completed in 2022 and the divestiture of Transformer Solutions was completed in 2021. As previously indicated, we completed the wind-down of our DBT and Heat Transfer businesses in the fourth quarters of 2021 and 2020,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multinational corporation with operations in over 15 countries. Sales outside the United States were $343.1, $287.1 and $237.4 in 2024, 2023 and 2022, respectively.</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 for more information on our international operations.</w:t>
      </w:r>
    </w:p>
    <w:p>
      <w:pPr>
        <w:spacing w:after="0" w:line="14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actively engaged in research and development programs designed to improve existing products and manufacturing methods and develop new products to better serve our current and future customers. These efforts encompass certain of our products with divisional engineering teams coordinating their resources. We place particular emphasis on the development of new products that are compatible with, and build upon, our manufacturing and marketing capabilities.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Patents/Trademarks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own 227 domestic and 402 foreign patents (comprising 159 patent “families”) (foreign patents include patents in individual countries in the European Union (“EU”), as well as EU-level patents), including 24 patents that were issued in 2024, covering a variety of our products and manufacturing methods. We also own a number of registered trademarks. Although in the aggregate our patents and trademarks are of considerable importance in the operation of our business, we do not consider any single patent or trademark to be of such importance that its absence would adversely affect our ability to conduct business as presently constituted. We are both a licensor and licensee of patents. For more information, please refer to “Risk Factors.”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Outsourcing and Raw Materials</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manufacture many of the components used in our products; however, our strategy includes outsourcing certain components and sub-assemblies to other companies where strategically and economically beneficial. In instances where we depend on third-party suppliers for outsourced products or components, we are subject to the risk of customer dissatisfaction with the quality or performance of the products we sell due to supplier failure. In addition, business difficulties experienced by a third-party supplier can lead to the interruption of our ability to obtain the outsourced product or component and ultimately to our inability to supply certain products to our customers on a timely basis or at all. We believe that we generally will be able to continue to obtain adequate supplies of key products, components or appropriate substitutes at reasonable costs.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increases in the prices, including from the impact of tariffs, of many of our key raw materials, including petroleum-based products and steel. In recent years, we have generally been able to offset increases in raw material costs through corresponding product pricing actions. Occasionally, we are subject to long-term supplier contracts, which may increase our exposure to pricing fluctuations.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Due to our diverse products and services, as well as the wide geographic dispersion of our production facilities, we use numerous sources for the raw materials needed in our operations. We are not significantly dependent on any one or a limited number of suppliers, and we have been able to obtain suitable quantities of raw materials at competitive prices.</w:t>
      </w:r>
    </w:p>
    <w:p>
      <w:pPr>
        <w:spacing w:after="0" w:line="1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For information regarding supply chain disruptions and labor shortages refer to “MD&amp;A - Supply Chain Disruptions, Labor Shortages, and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competitive position cannot be determined accurately in the aggregate or by reportable or operating segment since we and our competitors do not offer all the same product lines or serve all the same markets.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 as they apply to the various products and services offered.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u w:val="single" w:color="auto"/>
          <w:color w:val="0000FF"/>
        </w:rPr>
        <w:t>Risk Factors - Risks Related to Contingent Liabilities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0000FF"/>
        </w:rPr>
        <w:t>MD&amp;A — Critical Accounting Estimates — Contingent Liabilities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15</w:t>
      </w:r>
      <w:r>
        <w:rPr>
          <w:rFonts w:ascii="Times New Roman" w:cs="Times New Roman" w:eastAsia="Times New Roman" w:hAnsi="Times New Roman"/>
          <w:sz w:val="17"/>
          <w:szCs w:val="17"/>
          <w:color w:val="auto"/>
        </w:rPr>
        <w:t xml:space="preserve"> to our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for information regarding environmental matters.</w:t>
      </w:r>
    </w:p>
    <w:p>
      <w:pPr>
        <w:spacing w:after="0" w:line="1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2"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At December 31, 2024, we had approximately 4,300 employees, with approximately 3,300 employed in the United States. We also leverage temporary workers to provide flexibility for our business and manufacturing needs. Six domestic collective bargaining agreements cover approximately 460 of our employees. In addition, we have various collective labor arrangements covering certain of our non-U.S. employee groups. While we generally have experienced satisfactory labor relations, we are subject to potential union campaigns, work stoppages, union negotiations and other potential labor disputes.</w:t>
      </w:r>
    </w:p>
    <w:p>
      <w:pPr>
        <w:spacing w:after="0" w:line="19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is impacted by our continued ability to attract and retain highly skilled employees. As such, we strive to provide an environment where employees are developed and provided challenging career growth opportunities. We offer a “Total Rewards” program that provides comprehensive compensation and benefits packages that are designed to reward employees and assist them in managing their well-being. We have focused many of our policies and programs to provide increased flexibility and work-life balance to our team members.</w:t>
      </w:r>
    </w:p>
    <w:p>
      <w:pPr>
        <w:spacing w:after="0" w:line="197"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As part of our focus on building and sustaining a highly capable, engaged and motivated workforce that has the ability to deliver on the current and future requirements of the Company, we continue to advance our talent management framework, known as RiSE, which helps us Reach, Identify, Strengthen, and Engage our workforce. In 2024, we introduced our Building Strength program, adding development opportunities for all employees in leadership, communication, team development, and collaboration directly aligned to our Leadership Model. We continued to expand participation in our leadership development programs and have now trained 275 leaders through our “Frontline Leaders Program” and 92 leaders have completed our midlevel leader program, “Amplified Leadership.” We are looking forward to launching our fourth cohort of our Executive Leadership Program in 2025 adding to our growing class of more than 100 leaders who have completed this advanced development program.</w:t>
      </w:r>
    </w:p>
    <w:p>
      <w:pPr>
        <w:spacing w:after="0" w:line="210"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7"/>
          <w:szCs w:val="17"/>
          <w:color w:val="auto"/>
        </w:rPr>
        <w:t>At the beginning of 2024, we launched our updated Global Employee Survey with over 90% employee participation, the results of which informed discussions about what is most important to our employees and helped us develop action plans to focus on those priorities. During 2024, we continued our focus on enhancing our programs aimed at ensuring that we provide an inclusive environment where all employees feel valued and respected. We believe through these efforts we can unlock greater potential, provide new opportunities for our employees, and benefit from varying backgrounds and points of view.</w:t>
      </w:r>
    </w:p>
    <w:p>
      <w:pPr>
        <w:spacing w:after="0" w:line="1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No customer or group of customers that, to our knowledge, are under common control accounted for more than 10% of our consolidated revenues for any period presented.</w:t>
      </w:r>
    </w:p>
    <w:p>
      <w:pPr>
        <w:spacing w:after="0" w:line="10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businesses maintain sufficient levels of working capital to support customer requirements, particularly inventory. We believe our businesses’ sales and payment terms are generally similar to those of our competitors.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Many of our businesses closely follow changes in the industries and end markets they serve. In addition, certain businesses have seasonal fluctuations.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businesses generally tend to be stronger in the second half of the year.</w:t>
      </w:r>
    </w:p>
    <w:p>
      <w:pPr>
        <w:spacing w:after="0" w:line="119"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Our website address is www.spx.com. Information on our website is not incorporated by reference herein. We file reports with the SEC, including annual reports on Form 10-K, quarterly reports on Form 10-Q and current reports on Form 8-K, and certain amendments to these reports. Copies of these reports are available free of charge on our website as soon as reasonably practicable after we file the reports with the SEC. The SEC also maintains a website at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currency and share amounts are in millions)</w:t>
      </w:r>
    </w:p>
    <w:p>
      <w:pPr>
        <w:spacing w:after="0" w:line="18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You should consider the risks described below and elsewhere in our documents filed with the SEC before investing in any of our securities. We may amend, supplement or add to the risk factors described below from time to time in future reports filed with the SEC.</w:t>
      </w:r>
    </w:p>
    <w:p>
      <w:pPr>
        <w:spacing w:after="0" w:line="1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Risks Related to our Markets and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markets in which we operate are cyclical or are subject to industry events, and our results have been and could be affected as a result.</w:t>
      </w:r>
    </w:p>
    <w:p>
      <w:pPr>
        <w:spacing w:after="0" w:line="19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Many of the markets in which we operate are subject to general economic cycles or industry events. In addition, certain of our businesses are subject to market-specific cycles.</w:t>
      </w:r>
    </w:p>
    <w:p>
      <w:pPr>
        <w:spacing w:after="0" w:line="12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Furthermore, contract timing on projects, including those relating to communication technologies, transportation systems, aids to navigation products, and process cooling systems and towers may cause significant fluctuations in revenues and profits from period to period.</w:t>
      </w:r>
    </w:p>
    <w:p>
      <w:pPr>
        <w:spacing w:after="0" w:line="12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businesses of many of our customers are to varying degrees cyclical and have experienced, and may continue to experience, periodic downturns. Cyclical changes and specific industry events could also affect sales of products in our businesses. Downturns in the business cycles of our different operations may occur at the same time, which could exacerbate any adverse effects on our business. In addition, certain of our businesses have seasonal and weather-related fluctuations, particularly within certain of our heating products businesses within our HVAC reportable segment. Historically, many of our key businesses generally have tended to have stronger performance in the second half of the year. See “MD&amp;A - Results of Continuing Operations and Results of Reportable Segments.”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capital investment and maintenance expenditures by our customers.</w:t>
      </w:r>
    </w:p>
    <w:p>
      <w:pPr>
        <w:spacing w:after="0" w:line="18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Demand for most of our products and services depends on the level of new capital investment and planned maintenance expenditures by our customers. The level of capital expenditures by our customers fluctuates based on planned expansions, new builds and repairs, commodity prices, general economic conditions, availability of credit, and expectations of future market behavior. Although no one customer accounted for more than 10% of our consolidated revenues, many of our businesses derive revenues from large projects or key customer relationships and any of the aforementioned factors, whether individually or in the aggregate, could have a material adverse effect on our customers and, in turn, our business, financial condition,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have been and could be impacted by commodity availability and prices.</w:t>
      </w:r>
    </w:p>
    <w:p>
      <w:pPr>
        <w:spacing w:after="0" w:line="19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number of factors outside our control, including fluctuating commodity prices, impact the demand for our products. Increased commodity prices, including as a result of new or increased tariffs or the impact of new trade laws, may increase our customers’ cost of doing business, thus causing them to delay or cancel large capital projects.</w:t>
      </w:r>
    </w:p>
    <w:p>
      <w:pPr>
        <w:spacing w:after="0" w:line="14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the other hand, declining commodity prices may cause our customers to delay or cancel projects relating to the production of such commodities. Reduced demand for, or increased costs of, our products and services could result in the delay or cancellation of existing or future orders, or lead to excess manufacturing capacity, which unfavorably impacts our absorption of fixed manufacturing costs. Reduced demand may also erode average selling prices in the relevant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Our failure to compete effectively could harm our business.</w:t>
      </w:r>
    </w:p>
    <w:p>
      <w:pPr>
        <w:spacing w:after="0" w:line="193"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sell our products in highly competitive markets, which could result in pressure on our profit margins and limit our ability to maintain or increase the market share of our products. We compete on a number of fronts, including on the basis of service, product performance, technical innovation and price. We have a number of competitors with substantial technological and financial resources, brand recognition and established relationships with global service providers. Some of our competitors have lower cost structures, support from local governments, or both. In addition, new competitors may enter the markets in which we participate. Competitors may be able to offer lower prices, additional products or services or a more attractive mix of products or services, or services or other incentives that we cannot or will not match. These competitors may be in a stronger position to respond quickly to new or emerging technologies and may be able to undertake more extensive marketing campaigns and make more attractive offers to potential customers, employees and strategic partners. In addition, competitive environments in slow-growth markets, to which some of our businesses have exposure, have been inherently more influenced by pricing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 w:name="page10"/>
    <w:bookmarkEnd w:id="9"/>
    <w:p>
      <w:pPr>
        <w:jc w:val="both"/>
        <w:spacing w:after="0" w:line="250" w:lineRule="auto"/>
        <w:rPr>
          <w:sz w:val="20"/>
          <w:szCs w:val="20"/>
          <w:color w:val="auto"/>
        </w:rPr>
      </w:pPr>
      <w:r>
        <w:rPr>
          <w:rFonts w:ascii="Times New Roman" w:cs="Times New Roman" w:eastAsia="Times New Roman" w:hAnsi="Times New Roman"/>
          <w:sz w:val="18"/>
          <w:szCs w:val="18"/>
          <w:color w:val="auto"/>
        </w:rPr>
        <w:t>domestic and global economic conditions. To remain competitive, we need to invest in manufacturing, marketing, customer service and support, and our distribution networks. No assurances can be made that we will have sufficient resources to continue to make the investment required to maintain or increase our market share or that our investments will be successful. If we do not compete successfully, our business, financial condition, results of operations and cash flows could be materially adversely affected.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various governments is subject to government contracting risks.</w:t>
      </w:r>
    </w:p>
    <w:p>
      <w:pPr>
        <w:spacing w:after="0" w:line="145"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Our business with government agencies, including sales to prime contractors that supply these agencies, is subject to government contracting risks. U.S. and other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In addition, if we or one of our divisions were charged with wrongdoing with respect to a U.S. government contract, the U.S. government could suspend us from bidding on or receiving awards of new government contracts pending the completion of legal proceedings. If convicted or found liable, the U.S. government could subject us to fines, penalties, repayments and treble and other damages, and/or bar us from bidding on or receiving new awards of U.S. government contracts and void any contracts found to be tainted by fraud. The U.S. government also reserves the right to debar a contractor from receiving new government contracts for fraudulent, criminal or other seriously improper conduct.</w:t>
      </w:r>
    </w:p>
    <w:p>
      <w:pPr>
        <w:spacing w:after="0" w:line="2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Related to our Suppliers and Vendors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availability of raw materials and components has and may adversely affect our business.</w:t>
      </w:r>
    </w:p>
    <w:p>
      <w:pPr>
        <w:spacing w:after="0" w:line="18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are exposed to a variety of risks relating to the price and availability of raw materials and components. In recent years, we have faced volatility in the prices of many key raw materials (e.g., steel and oil) and key components (e.g., circuit boards), including price increases in response to trade laws and tariffs and shortages related to supply chain disruptions, including as a result of public health crises, geopolitical events or other factors. Increases in the prices of raw materials and components, including as a result of new or increased tariffs or the impact of new trade laws, or shortages or allocations of materials and components may have a material adverse effect on our financial position, results of operations or cash flows, as there may be delays in our ability, or we may not be able, to pass cost increases on to our customers, or our sales may be reduced. We are subject to, or may enter into, long-term supplier contracts that may increase our exposure to pricing fluctuations.</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fact that we outsource various elements of the products and services we sell subjects us to the business risks of our suppliers and subcontractors, which could have a material adverse impact on our operations.</w:t>
      </w:r>
    </w:p>
    <w:p>
      <w:pPr>
        <w:spacing w:after="0" w:line="12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areas where we depend on third-party suppliers and subcontractors for outsourced products, components or services, we are subject to the risk of customer dissatisfaction with the quality or performance of the products or services we sell due to supplier or subcontractor failure. In addition, business difficulties experienced by a third-party supplier or subcontractor can lead to the interruption of our ability to obtain outsourced products or services and ultimately our inability to supply products or services to our customers. Third-party supplier and subcontractor business interruptions can include, but are not limited to, work stoppages, union negotiations and other labor disputes. Prevailing economic conditions could also impact the ability of suppliers and subcontractors to access credit and, thus, impair their ability to provide us quality products or services in a timely manner, or at all.</w:t>
      </w:r>
    </w:p>
    <w:p>
      <w:pPr>
        <w:spacing w:after="0" w:line="1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and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overruns, inflation, delays and other risks could significantly impact our results, particularly with respect to fixed-price contracts.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 portion of our revenues and earnings is generated through fixed-price contracts. We recognize revenues for certain of these contracts over time whereby revenues and expenses, and thereby profit, in a given period are determined based on our estimates as to the project status and the costs remaining to complete a particular project.</w:t>
      </w:r>
    </w:p>
    <w:p>
      <w:pPr>
        <w:spacing w:after="0" w:line="14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Estimates of total revenues and cost at completion are subject to many variables, including the length of time to complete a contract. In addition, contract delays may negatively impact these estimates and our revenues and earnings results for affected periods.</w:t>
      </w:r>
    </w:p>
    <w:p>
      <w:pPr>
        <w:spacing w:after="0" w:line="14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To the extent that we underestimate the remaining cost to complete a project, we may overstate the revenues and profit in a particular period. Further, certain of these contracts provide for penalties or liquidated damages for failure to timely perform our obligations under the contract, or require that we, at our expense, correct and remedy certain defects to the satisfaction of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 w:name="page11"/>
    <w:bookmarkEnd w:id="10"/>
    <w:p>
      <w:pPr>
        <w:jc w:val="both"/>
        <w:spacing w:after="0" w:line="270" w:lineRule="auto"/>
        <w:rPr>
          <w:sz w:val="20"/>
          <w:szCs w:val="20"/>
          <w:color w:val="auto"/>
        </w:rPr>
      </w:pPr>
      <w:r>
        <w:rPr>
          <w:rFonts w:ascii="Times New Roman" w:cs="Times New Roman" w:eastAsia="Times New Roman" w:hAnsi="Times New Roman"/>
          <w:sz w:val="18"/>
          <w:szCs w:val="18"/>
          <w:color w:val="auto"/>
        </w:rPr>
        <w:t>other party. Because some of our contracts are at a fixed price, we face the risk that cost overruns or inflation may exceed, erode or eliminate our expected profit margin, or cause us to record a loss on our projects.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at risk of damage, destruction or disruption by natural disasters and other unexpected events.</w:t>
      </w:r>
    </w:p>
    <w:p>
      <w:pPr>
        <w:spacing w:after="0" w:line="19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loss of, or substantial damage to, one or more of our facilities, our information system infrastructure or the facilities of our suppliers could make it difficult to manufacture our products and fulfill customer orders. Severe weather events (such as flooding, tornadoes or hurricanes), earthquakes, tsunamis, fires, explosions, acts of war, terrorism, civil unrest, or outbreaks, epidemics or pandemics of infectious diseases (such as the recent COVID-19 pandemic) could adversely impact our operations.</w:t>
      </w:r>
    </w:p>
    <w:p>
      <w:pPr>
        <w:spacing w:after="0" w:line="1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Dispositions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involve a number of risks and present financial, managerial and operational challenges.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recent and future acquisitions involve a number of risks and may present financial, managerial and operational challenges, including:</w:t>
      </w:r>
    </w:p>
    <w:p>
      <w:pPr>
        <w:spacing w:after="0" w:line="22" w:lineRule="exact"/>
        <w:rPr>
          <w:sz w:val="20"/>
          <w:szCs w:val="20"/>
          <w:color w:val="auto"/>
        </w:rPr>
      </w:pPr>
    </w:p>
    <w:p>
      <w:pPr>
        <w:ind w:left="640" w:hanging="317"/>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reported operating results due to charges to earnings, including potential impairment charges associated with goodwill and other intangible assets;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core business operations;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technology, operations, personnel and financial and other systems;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4"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foreign operations, often with unique issues relating to corporate culture, compliance with legal and regulatory requirements and other challenges;</w:t>
      </w:r>
    </w:p>
    <w:p>
      <w:pPr>
        <w:spacing w:after="0" w:line="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known and unknown liabilities and exposure to litigation;</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debt or dilution to existing stockholders;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sellers of acquired businesses; and</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as acquired systems may not possess the appropriate security measures.</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conduct operational, financial, tax, systems, and legal due diligence on all acquisitions; however, we cannot assure that all potential risks or liabilities are adequately discovered, disclosed, or understood in each instance.</w:t>
      </w:r>
    </w:p>
    <w:p>
      <w:pPr>
        <w:spacing w:after="0" w:line="142"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In addition, internal controls over financial reporting of acquired companies may not be compliant with required standards. Issues may exist that could rise to the level of significant deficiencies or, in some cases, material weaknesses, particularly with respect to foreign companies or non-public U.S. companies.</w:t>
      </w:r>
    </w:p>
    <w:p>
      <w:pPr>
        <w:spacing w:after="0" w:line="10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integration activities may place substantial demands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complete acquisitions could negatively affect us.</w:t>
      </w:r>
    </w:p>
    <w:p>
      <w:pPr>
        <w:spacing w:after="0" w:line="19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may not be able to consummate desired acquisitions, which could materially impact our growth rate, results of operations, future cash flows and stock price. Our ability to achieve our goals depends upon, among other things, our ability to identify and successfully acquire companies, businesses and product lines, to effectively integrate them and to achieve cost savings. We may also be unable to raise additional funds necessary to consummate these acquisitions. In addition, decreases in our stock price may adversely affect our ability to consummate acquisitions. Competition for acquisitions in our business areas may be significant and result in higher prices for businesses, including businesses that we may target, which may also affect our acquisition rate or benefits achieved from our acquisitions.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expected cost savings and other benefits of our acquisitions.</w:t>
      </w:r>
    </w:p>
    <w:p>
      <w:pPr>
        <w:spacing w:after="0" w:line="180"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We strive for and expect to achieve cost savings in connection with our acquisitions, including: (i) manufacturing process and supply chain rationalization, (ii) streamlining redundant administrative overhead and support activities, (iii) restructuring and repositioning sales and marketing organizations to eliminate redundancies, and (iv) achieving anticipated revenue synergies. Cost savings expectations are estimates that are inherently difficult to predict and are necessarily speculative in nature, and we cannot assure you that we will achieve expected, or any, cost savings in connection with an acquisition. In addition, we cannot assure you that unforeseen factors will not offset the estimated cost savings or other benefits from our acquisitions. As a result, anticipated benefits could be delayed, differ significantly from our estimates and the other information contained in this report, or not be realized.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 or liabilities retained in connection with dispositions could negatively affect us.</w:t>
      </w:r>
    </w:p>
    <w:p>
      <w:pPr>
        <w:spacing w:after="0" w:line="18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dispositions involve a number of risks and present financial, managerial and operational challenges, including diversion of management attention from running our core businesses, increased expense associated with the dispositions, potential disputes with the customers or suppliers of the disposed businesses, potential disputes with the acquirers of the disposed businesses and a potential dilutive effect on our earnings per share.</w:t>
      </w:r>
    </w:p>
    <w:p>
      <w:pPr>
        <w:spacing w:after="0" w:line="15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If dispositions are not completed in a timely manner, there may be a negative effect on our cash flows and/or our ability to execute our strategy. In addition, we may not realize some or all of the anticipated benefits of our dispositions. See “Business,” “MD&amp;A - Results of Discontinued Operations,” and Note 4 to our consolidated financial statements for the status of our divestitures.</w:t>
      </w:r>
    </w:p>
    <w:p>
      <w:pPr>
        <w:spacing w:after="0" w:line="127"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color w:val="auto"/>
        </w:rPr>
        <w:t>We have divested a number of businesses, including the Spin-Off in 2015. With respect to some of these former businesses, we have contractually agreed to indemnify the counterparties against, or otherwise retain, certain liabilities, including certain lawsuits, tax liabilities, product liability claims, and environmental matters. Even without ongoing contractual indemnification obligations, we could be exposed to liabilities arising out of the businesses for certain activities prior to the divestitures. In addition, certain of the counterparties to those divestitures and/or the divested businesses have agreed to indemnify us or assume certain liabilities relating to those divestitures. However, there can be no assurance that the indemnity or assumption of liability by the counterparties or divested businesses will be sufficient to protect us against the full amount of these liabilities, or that a counterparty or divested business will be able to fully satisfy its obligations. Third parties also could seek to hold us responsible for any of the liabilities that a counterparty or divested business agreed to assume. Even if we ultimately succeed in recovering any amounts for which we were initially held liable, we may be temporarily required to bear these losses ourselves.</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Risks Related to Macro-Economic, Domestic and World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laws and regulations could negatively affect our business.</w:t>
      </w:r>
    </w:p>
    <w:p>
      <w:pPr>
        <w:spacing w:after="0" w:line="180"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Changes in laws and regulations to which we are or may become subject could have a significant negative impact on our business. In addition, we could face material costs and risks if it is determined that we have failed to comply with relevant laws and regulations. We are subject to U.S. Customs and Export Regulations, including U.S. International Traffic and Arms Regulations and similar laws, which collectively control import, export and sale of technologies by companies and various other aspects of the operation of our business; the Foreign Corrupt Practices Act and similar anti-bribery laws, which prohibit companies from making improper payments to government officials for the purposes of obtaining or retaining business; the California Transparency in Supply Chain Act and similar laws and regulations, which relate to human trafficking and anti-slavery and impose new compliance requirements on our businesses and their suppliers; and the California Consumer Privacy Act of 2018 and the European General Data Protection Regulation, which establish data management requirements for the protection of personal information of individuals. While our policies and procedures mandate compliance with such laws and regulations, there can be no assurance that our employees and agents will always act in strict compliance. Failure to comply with such laws and regulations may result in civil and criminal enforcement, including monetary fines and possible injunctions against shipment of product or other of our activities, which could have a material adverse impact on our results of operations and financial condition.</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Several of our businesses are reliant on or may be directly impacted by government regulations. Changes to these regulations may have a significant negative impact on these businesses. For example, (i) a reduction of Federal Aviation Administration regulations mandating lighting of towers and buildings at height; (ii) increases in Department of Energy regulations on energy efficiency requirements for heating, and (iii) a reduction in regulations requiring 811 calls to be made before the commencement of a digging project, could have a significant negative impact on these businesses. While we monitor these regulations and our businesses’ plan for potential changes, there can be no assurance that we will be able to adapt in each circumstance. Failure to adapt if regulations change could have a material adverse impact on our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presented by domestic economic, political, legal, accounting and business factors could negatively affect our business.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In 2024, approximately 83% of our revenues were generated inside the United States. Our reliance on U.S. revenues and U.S. manufacturing bases exposes us to a number of risks, including:</w:t>
      </w:r>
    </w:p>
    <w:p>
      <w:pPr>
        <w:jc w:val="both"/>
        <w:ind w:left="720" w:hanging="318"/>
        <w:spacing w:after="0" w:line="246" w:lineRule="auto"/>
        <w:tabs>
          <w:tab w:leader="none" w:pos="7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embargoes or foreign trade restrictions such as antidumping duties, as well as the imposition of trade sanctions by the United States against a class of products imported from or sold and exported to, or the loss of “normal trade relations” status with, countries in which we conduct business, could significantly increase our cost of products imported into or exported from the United States or reduce our sales and harm our business and the relaxation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2" w:name="page13"/>
    <w:bookmarkEnd w:id="12"/>
    <w:p>
      <w:pPr>
        <w:ind w:left="720"/>
        <w:spacing w:after="0"/>
        <w:rPr>
          <w:sz w:val="20"/>
          <w:szCs w:val="20"/>
          <w:color w:val="auto"/>
        </w:rPr>
      </w:pPr>
      <w:r>
        <w:rPr>
          <w:rFonts w:ascii="Times New Roman" w:cs="Times New Roman" w:eastAsia="Times New Roman" w:hAnsi="Times New Roman"/>
          <w:sz w:val="18"/>
          <w:szCs w:val="18"/>
          <w:color w:val="auto"/>
        </w:rPr>
        <w:t>embargoes and foreign trade restrictions by the United States could adversely affect the market for our products in the United States;</w:t>
      </w:r>
    </w:p>
    <w:p>
      <w:pPr>
        <w:spacing w:after="0" w:line="22" w:lineRule="exact"/>
        <w:rPr>
          <w:sz w:val="20"/>
          <w:szCs w:val="20"/>
          <w:color w:val="auto"/>
        </w:rPr>
      </w:pPr>
    </w:p>
    <w:p>
      <w:pPr>
        <w:jc w:val="both"/>
        <w:ind w:left="720" w:hanging="318"/>
        <w:spacing w:after="0" w:line="244" w:lineRule="auto"/>
        <w:tabs>
          <w:tab w:leader="none" w:pos="7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and tariffs may make it difficult or impossible for us to move our products or assets across borders in a cost-effective manner, may increase the price of our products which may lead to lost business, and may increase the cost of our raw materials, including raw materials sourced domestically;</w:t>
      </w:r>
    </w:p>
    <w:p>
      <w:pPr>
        <w:spacing w:after="0" w:line="2"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shipping expenses may add additional cost to our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related to shipping, including delays due to weather, labor action, or customs, may impact our profit margins or lead to lost business;</w:t>
      </w:r>
    </w:p>
    <w:p>
      <w:pPr>
        <w:spacing w:after="0" w:line="15" w:lineRule="exact"/>
        <w:rPr>
          <w:rFonts w:ascii="Times New Roman" w:cs="Times New Roman" w:eastAsia="Times New Roman" w:hAnsi="Times New Roman"/>
          <w:sz w:val="17"/>
          <w:szCs w:val="17"/>
          <w:color w:val="auto"/>
        </w:rPr>
      </w:pPr>
    </w:p>
    <w:p>
      <w:pPr>
        <w:ind w:left="720" w:hanging="3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other laws and regulations could increase our costs or limit our ability to run our business; and</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supplies from foreign vendors and ship products internationally may be impaired during times of crisis or otherwise.</w:t>
      </w:r>
    </w:p>
    <w:p>
      <w:pPr>
        <w:spacing w:after="0" w:line="22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Any of the above factors or other factors affecting the movement of people and products into and from various countries to North America could have a significant negative effect on our operations. In addition, our concentration on U.S. business may make it difficult to enter new markets, making it more difficult for our businesses to grow.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economic conditions could negatively impact our businesses.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Many of our customers historically have tended to delay capital projects, including expensive maintenance and upgrades, during economic downturns.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Poor macroeconomic conditions could negatively impact our businesses by adversely affecting, among other things, our:</w:t>
      </w:r>
    </w:p>
    <w:p>
      <w:pPr>
        <w:spacing w:after="0" w:line="4" w:lineRule="exact"/>
        <w:rPr>
          <w:sz w:val="20"/>
          <w:szCs w:val="20"/>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orders, including order cancellation activity or delays on existing orders;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access credit;</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pay amounts due to us; and</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and distributors’ ability to perform and the availability and costs of materials and subcontracted services.</w:t>
      </w:r>
    </w:p>
    <w:p>
      <w:pPr>
        <w:spacing w:after="0" w:line="26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Downturns in global economies could negatively impact our results of operations and prospects. In addition, economic instabilities resulting from geopolitical activities, including instabilities associated with armed conflicts, and the imposition of governmental sanctions in response thereto, and any conflict or threat of conflict that may affect Taiwan or any other nations, could negatively impact our results of operations and prospects.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non-U.S. revenues and operations expose us to numerous risks that may negatively impact our business.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To the extent we generate revenues outside of the United States, non-U.S. revenues and non-U.S. manufacturing bases expose us to a number of risks, including:</w:t>
      </w:r>
    </w:p>
    <w:p>
      <w:pPr>
        <w:jc w:val="both"/>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tariffs and trade restrictions may make it difficult or impossible for us to move our products or assets across borders in a cost-effective manner, may increase the price of our products which may lead to lost business, and may increase the cost of our raw materials, including raw materials sourced domestically;</w:t>
      </w:r>
    </w:p>
    <w:p>
      <w:pPr>
        <w:spacing w:after="0" w:line="2"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could come from local or long-term participants in non-U.S. markets who may have significantly greater market knowledge and substantially greater resources than we do;</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customers may have a preference for locally-produced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or financial condition of local customers and distributors could affect our ability to market our products or collect receivables;</w:t>
      </w:r>
    </w:p>
    <w:p>
      <w:pPr>
        <w:spacing w:after="0" w:line="4"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systems or barriers may make it difficult or impossible to enter or remain in new markets. In addition, these barriers may impact our existing businesses, including making it more difficult for them to grow;</w:t>
      </w:r>
    </w:p>
    <w:p>
      <w:pPr>
        <w:spacing w:after="0" w:line="1" w:lineRule="exact"/>
        <w:rPr>
          <w:rFonts w:ascii="Times New Roman" w:cs="Times New Roman" w:eastAsia="Times New Roman" w:hAnsi="Times New Roman"/>
          <w:sz w:val="18"/>
          <w:szCs w:val="18"/>
          <w:color w:val="auto"/>
        </w:rPr>
      </w:pPr>
    </w:p>
    <w:p>
      <w:pPr>
        <w:ind w:left="720" w:hanging="318"/>
        <w:spacing w:after="0" w:line="244"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economic and social conditions, including the possibility of hyperinflationary conditions, political instability, and nationalization of private enterprises;</w:t>
      </w:r>
    </w:p>
    <w:p>
      <w:pPr>
        <w:spacing w:after="0" w:line="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relating to currency exchange rates could adversely impact our operations, revenues, operating profit and cash flows;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shipping expenses may add additional cost to our products;</w:t>
      </w:r>
    </w:p>
    <w:p>
      <w:pPr>
        <w:spacing w:after="0" w:line="4"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Complications related to shipping, including delays due to weather, labor action, or customs, may impact our profit margins or lead to lost business;</w:t>
      </w:r>
    </w:p>
    <w:p>
      <w:pPr>
        <w:spacing w:after="0" w:line="15" w:lineRule="exact"/>
        <w:rPr>
          <w:rFonts w:ascii="Times New Roman" w:cs="Times New Roman" w:eastAsia="Times New Roman" w:hAnsi="Times New Roman"/>
          <w:sz w:val="17"/>
          <w:szCs w:val="17"/>
          <w:color w:val="auto"/>
        </w:rPr>
      </w:pPr>
    </w:p>
    <w:p>
      <w:pPr>
        <w:ind w:left="720" w:hanging="318"/>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regional or worldwide hostilities, including armed conflicts, could impact our operations;</w:t>
      </w:r>
    </w:p>
    <w:p>
      <w:pPr>
        <w:spacing w:after="0" w:line="4" w:lineRule="exact"/>
        <w:rPr>
          <w:rFonts w:ascii="Times New Roman" w:cs="Times New Roman" w:eastAsia="Times New Roman" w:hAnsi="Times New Roman"/>
          <w:sz w:val="18"/>
          <w:szCs w:val="18"/>
          <w:color w:val="auto"/>
        </w:rPr>
      </w:pPr>
    </w:p>
    <w:p>
      <w:pPr>
        <w:ind w:left="720" w:hanging="318"/>
        <w:spacing w:after="0" w:line="249" w:lineRule="auto"/>
        <w:tabs>
          <w:tab w:leader="none" w:pos="7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Distance and language and cultural differences may make it more difficult to manage our business and employees and to effectively market our products and services;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3" w:name="page14"/>
    <w:bookmarkEnd w:id="13"/>
    <w:p>
      <w:pPr>
        <w:ind w:left="720" w:hanging="31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including the outbreak of a pandemic or other contagious disease.</w:t>
      </w:r>
    </w:p>
    <w:p>
      <w:pPr>
        <w:spacing w:after="0" w:line="24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Any of the above factors or other factors affecting social and economic activity in the United Kingdom, Canada, and China or affecting the movement of people and products into and from these countries to our major markets, could have a significant negative effect on our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legal or regulatory responses thereto may have an adverse impact on our business and results of operations.</w:t>
      </w:r>
    </w:p>
    <w:p>
      <w:pPr>
        <w:spacing w:after="0" w:line="193"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There is growing concern that increases in global average temperatures as a result of increased concentration of carbon dioxide and other greenhouse gases in the atmosphere will cause significant adverse long-term climate changes, as well as more near-term changes in weather patterns that could adversely impact our operations. Moreover, growing concern over climate change may result in additional legal or regulatory requirements to disclose levels of carbon dioxide and other greenhouse gas emissions or that are designed to reduce or mitigate the effects of carbon dioxide and other greenhouse gas emissions on the environment. Many of our manufacturing plants and the products we manufacture, particularly in the HVAC reportable segment, use significant amounts of electricity generated by burning fossil fuels, which releases carbon dioxide. Additionally, many of the products we manufacture in the HVAC reportable segment use natural gas or oil as a fuel source and may be subject to increasing regulatory restrictions aimed at “de-carbonization” or the elimination of such fuel sources. Increased energy or compliance costs and expenses as a result of increased legal or regulatory requirements may cause disruptions in, or an increase in the costs associated with, the manufacturing and distribution of our products and we may be required to develop product improvements to satisfy developing energy-efficiency targets in order to remain competitive. The impacts of climate change and legal or regulatory initiatives to address climate change could have a long-term adverse impact on our business and results of operations. If we fail to achieve or improperly report on our progress on environmental and sustainability programs and initiatives or fail to develop product improvements to satisfy developing energy-efficiency targets, the results could have an adverse impact on our business, results of operations and financial condition.</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under recently implemented governmental requirements, we will incur additional costs in complying with climate-related reporting mandates.</w:t>
      </w:r>
    </w:p>
    <w:p>
      <w:pPr>
        <w:spacing w:after="0" w:line="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Under laws enacted in California, we, and other companies doing business in California that exceed requisite financial thresholds, will be subject to extensive climate-related reporting. The reporting requirements of the California laws and related regulations will result in increased compliance costs and could result in regulatory reporting risks. Failure to comply with laws and regulations can have adverse consequences, including civil, administrative, and criminal penalties as well as a negative impact on the Company’s reputation, business, results of operations and cash flows.</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Failure to meet evolving expectations for other reporting on sustainability and social responsibility matters could adversely affect our sales and results of operations.</w:t>
      </w:r>
    </w:p>
    <w:p>
      <w:pPr>
        <w:spacing w:after="0" w:line="138"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8"/>
          <w:szCs w:val="18"/>
          <w:color w:val="auto"/>
        </w:rPr>
        <w:t>Expectations from investors, customers, team members, certain government agencies and other third parties for reporting on sustainability and social responsibility matters have increased, and our ability to meet those expectations is dependent on a variety of factors, including cooperation from sourcing vendors and other third parties and having access to consistent and reliable data. Negative customer perceptions regarding the safety and sourcing of the products we sell and the sufficiency and transparency of our reporting on such matters and events that give rise to actual, potential, or perceived sustainability, social responsibility and similar concerns could hurt our reputation, result in lost sales, cause our customers to seek alternative sources for their needs and make it difficult and costly for us to regain the confidence of our customers.</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information systems and networks against data corruption, cyber-based attacks or network security breaches, our operations could be disrupted.</w:t>
      </w:r>
    </w:p>
    <w:p>
      <w:pPr>
        <w:spacing w:after="0" w:line="191"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7"/>
          <w:szCs w:val="17"/>
          <w:color w:val="auto"/>
        </w:rPr>
        <w:t>We are increasingly dependent on cloud-based and other information technology (“IT”) systems and networks, some of which are managed by third parties, to process, transmit, and store electronic information. We depend on such IT infrastructure for electronic communications among our locations around the world and between our personnel and suppliers and customers. In addition, we rely on these IT systems to record, process, summarize, transmit, and store electronic information, and to manage or support a variety of business processes and activities, including, among other things, our accounting and financial reporting processes; our manufacturing and supply chain processes; our sales and marketing efforts; and the data related to our research and development efforts. The failure of our IT systems or those of our business partners or third-party service providers to perform properly, or difficulties encountered in the development of new systems or the upgrade of existing systems, could disrupt our business and harm our reputation, which may result in decreased sales, increased costs, excess or obsolete inventory, and product shortages, causing our business, reputation, financial condition, and operating results to suffer. Upon expiration or termination of any of our agreements with third-party vendors, we may not be able to replace the services provided to us in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4" w:name="page15"/>
    <w:bookmarkEnd w:id="14"/>
    <w:p>
      <w:pPr>
        <w:jc w:val="both"/>
        <w:spacing w:after="0" w:line="270" w:lineRule="auto"/>
        <w:rPr>
          <w:sz w:val="20"/>
          <w:szCs w:val="20"/>
          <w:color w:val="auto"/>
        </w:rPr>
      </w:pPr>
      <w:r>
        <w:rPr>
          <w:rFonts w:ascii="Times New Roman" w:cs="Times New Roman" w:eastAsia="Times New Roman" w:hAnsi="Times New Roman"/>
          <w:sz w:val="18"/>
          <w:szCs w:val="18"/>
          <w:color w:val="auto"/>
        </w:rPr>
        <w:t>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28"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IT security threats are increasing in frequency and sophistication. We have experienced, and expect to continue to experience, cyber-attacks on our IT systems and networks. Cyber-attacks may be random, coordinated, or targeted, including sophisticated computer crime threats. These threats pose a risk to the security of our systems and networks, and those of our business partners and third-party service providers, and to the confidentiality, availability, and integrity of our data. Despite our implementation of security measures, cybersecurity threats, such as malicious software, ransomware, phishing attacks, computer viruses, and attempts to gain unauthorized access, cannot be completely mitigated and may become more virulent due to further development through the application of artificial intelligence. Our business, reputation, operating results, and financial condition could be materially adversely affected if, as a result of a significant cyber event or otherwise, our operations or industrial processes are disrupted or shutdown; our confidential, proprietary information is stolen or disclosed; the performance or security of our cloud-based product offerings is impacted; our intranet and internet sites are compromised; data is manipulated or destroyed;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15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newer generations of certain of our products include IT systems, including systems that are cloud-based and/or interconnect through the internet. These systems are subject to the same cybersecurity threats described above and the failure of these systems, including by cyber-attack, could disrupt our customers’ business, leading to potential exposure for us.</w:t>
      </w:r>
    </w:p>
    <w:p>
      <w:pPr>
        <w:spacing w:after="0" w:line="1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Operation on multiple Enterprise Resource Planning (“ERP”) information systems and other applications may negatively impact our operations and internal control environment.</w:t>
      </w:r>
    </w:p>
    <w:p>
      <w:pPr>
        <w:spacing w:after="0" w:line="126"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are highly dependent on our information systems infrastructure to prepare customer quotes, process orders, purchase materials, track inventory, ship products in a timely manner, prepare invoices to our customers, maintain internal controls, produce financial data, and otherwise carry on our businesses in the ordinary course. From time to time we also undertake projects to implement new, or update existing, ERP systems and other applications. While we believe we have the experience, skill and management abilities, as well as access to the necessary experts and consultants, to plan and execute these projects without significant disruption to our businesses, ERP and other application implementations and updates are complex and inherently subject to risks and uncertainty. There is no assurance that the projects will succeed or that failures in the design, programming, software or implementation of these projects will not cause significant disruption to our businesses. Such a disruption could cause project cost overruns, which may be significant, losses in revenue, increases in operating costs, and reduced customer satisfaction, all of which would lead to a decline in profitability over the short term and possibly the long term. In addition, as the Company continues to pursue inorganic growth opportunities through acquisitions, our inability to properly assess the acquired ERP systems and other applications and, where necessary, implement upgrades or replacements, may prevent us from maximizing the value and realizing the synergies of those newly acquired businesses and ensuring the operating effectiveness of our internal control processes.</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technology is important to our success, and failure to develop new products or make the appropriate investment in technology advancements may result in the loss of any sustainable competitive advantage in products, services and processes.</w:t>
      </w:r>
    </w:p>
    <w:p>
      <w:pPr>
        <w:spacing w:after="0" w:line="126"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We believe the development of our intellectual property rights is critical to the success of our business. In order to maintain our market positions and margins, we need to regularly develop and introduce high-quality, technologically advanced and cost-effective products on a timely basis, in many cases in multiple jurisdictions around the world. Information technology systems, platforms and products are critical to our operating environment, product offerings and competitive position. Certain digitalization initiatives important to our long-term success may require capital investment, have significant risks associated with their execution, and could take several years to implement. If we do not accurately predict, prepare and respond to new technology innovations, market developments and changing customer needs, our revenues, profitability and long-term competitiveness could be materially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unauthorized use of our intellectual property may harm our business.</w:t>
      </w:r>
    </w:p>
    <w:p>
      <w:pPr>
        <w:spacing w:after="0" w:line="19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or competitors may copy or otherwise obtain and use our products or technology. The steps we have taken may not prevent unauthorized use of our technology or knowledge, particularly in foreign countries where the laws may not protect our proprietary rights to the same extent as in the United States. Costs incurred to defend our rights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5" w:name="page16"/>
    <w:bookmarkEnd w:id="15"/>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Risks Related to Contingent Liabilities</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current and planned products may contain defects or errors that are detected only after delivery to customers. If that occurs, our reputation may be harmed and we may face additional costs.</w:t>
      </w:r>
    </w:p>
    <w:p>
      <w:pPr>
        <w:spacing w:after="0" w:line="11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cannot assure you that our product development, manufacturing and integration testing will be adequate to detect all defects, errors, failures and quality issues that could impact customer satisfaction or result in claims against us with regard to our products. As a result, we may have, and from time to time have had, to replace certain components and/or provide remediation in response to the discovery of defects in products that are shipped. The occurrence of any defects, errors, failures or quality issues could result in cancellation of orders, product returns, diversion of our resources, legal actions by our customers or our customers’ end users and other losses to us or to any of our customers or end users, and could also result in the loss of or delay in market acceptance of our products and loss of sales, which would harm our business and adversely affect our revenues, profitability and cash flows.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liability relating to claims, complaints and proceedings, including those relating environmental, product liability and other matters.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subject to various laws, ordinances, regulations and other requirements of government authorities in the United States and other nations.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changes in laws, ordinances, regulations, or other governmental policies may significantly increase our expenses and liabilities.</w:t>
      </w:r>
    </w:p>
    <w:p>
      <w:pPr>
        <w:spacing w:after="0" w:line="158"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Certain claims, complaints, and proceedings arising in the ordinary course of business have been asserted or are pending against us or certain of our subsidiaries (collectively, “claims”). These claims relate to litigation matters, environmental matters, product liability matters, and other risk management matters (e.g., general liability, automobile, and workers’ compensation claims). Periodically, claims, complaints and proceedings arising other than in the ordinary course of business have been asserted or are pending against us or certain of our subsidiaries (e.g. patent infringement), including claims with respect to businesses that we have acquired for matters arising before the relevant date of the acquisition. From time to time, we face actions by governmental authorities, both in and outside the United States. Additionally, we may become subject to other claims of which we are currently unaware, which may be significant, or the claims of which we are aware may result in our incurring significantly greater loss than we anticipate. Our insurance may be insufficient or unavailable (e.g., because of insurer insolvency) to protect us against potential loss exposures.</w:t>
      </w:r>
    </w:p>
    <w:p>
      <w:pPr>
        <w:spacing w:after="0" w:line="164"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face environmental exposures including, for example, those relating to discharges from and materials handled as part of our operations, the remediation of soil and groundwater contaminated by petroleum products or hazardous substances or wastes, and the health and safety of our employees. We may be liable for the costs of investigation, removal, or remediation of hazardous substances or petroleum products on, under, or in our current or formerly owned or leased properties, or from third-party disposal facilities that we may have used, without regard to whether we knew of, or caused, the presence of the contaminants. The presence of, or failure to properly remediate, these substances may have adverse effects, including, for example, substantial investigative or remedial obligations and limitations on the ability to sell or rent affected property or to borrow funds using affected property as collateral. New or existing environmental matters or changes in environmental laws or policies could lead to material costs for environmental compliance or cleanup. In addition, environmentally related product regulations are growing globally in number and complexity and could contribute to increased costs with respect to disclosure requirements, product sales and distribution related costs, and post-sale recycling and disposal costs. There can be no assurance that these liabilities and costs will not have a material adverse effect on our financial position, results of operations, or cash flows.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“MD&amp;A - Critical Accounting Estimates - Contingent Liabilities” and Note 15 to our consolidated financial statements for further discussion.</w:t>
      </w:r>
    </w:p>
    <w:p>
      <w:pPr>
        <w:spacing w:after="0" w:line="1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Human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and an inability to attract and retain qualified employees could have a material adverse effect on our operations.</w:t>
      </w:r>
    </w:p>
    <w:p>
      <w:pPr>
        <w:spacing w:after="0" w:line="18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dependent on the continued services of our leadership teams. The loss of these personnel without adequate replacement could have a material adverse effect on our operations. Additionally, we need qualified managers and skilled employees with technical and manufacturing industry experience in many locations in order to operate our business successfully. From time to time, there may be a shortage of qualified managers or skilled labor, which may make it more difficult and expensive for us to attract and retain qualified employees. If we were unable to attract and retain sufficient numbers of qualified individuals or our costs to do so were to increase significantly, our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work stoppages, union negotiations, labor disputes and other matters associated with our labor force, which may adversely impact our operations and cause us to incur incremental costs.</w:t>
      </w:r>
    </w:p>
    <w:p>
      <w:pPr>
        <w:spacing w:after="0" w:line="12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December 31, 2024, we had six domestic collective bargaining agreements covering approximately 460 of our approximately 4,300 employees. None of these collective bargaining agreements will expire in 2025 or are scheduled for negotiation and renewal. We also have various collective labor arrangements covering certain non-U.S. employee groups. We are subject to potential union campaigns, work stoppages, union negotiations and other potential labor disputes. Further, we may be subject to work stoppages, which are beyond our control, at our suppliers or customers.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finance future needs or adapt our business plan to react to changes in economic or business conditions because of restrictions placed on us by our senior credit facilities and any existing or future instruments governing our other indebtedness.</w:t>
      </w:r>
    </w:p>
    <w:p>
      <w:pPr>
        <w:spacing w:after="0" w:line="86"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senior credit facilities and agreements governing our other indebtedness contain, or future or revised instruments may contain, various restrictions and covenants that limit our ability to incur additional indebtedness, grant liens, and make investments unless certain financial tests or other criteria are satisfied. We also must comply with certain specified financial ratios and tests. Our subsidiaries may also be subject to restrictions on their ability to make distributions to us. In addition, our senior credit facilities and agreements governing our other indebtedness contain or may contain additional affirmative and negative covenants. Material existing restrictions are described more fully in the “MD&amp;A - Liquidity and Financial Condition - Senior Credit Facilities” and Note 13 to our consolidated financial statements. Each of these restrictions could affect our ability to operate our business and may limit our ability to take advantage of potential business opportunities, such as acquisitions.</w:t>
      </w:r>
    </w:p>
    <w:p>
      <w:pPr>
        <w:spacing w:after="0" w:line="147"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If we do not comply with the covenants and restrictions contained in our senior credit facilities and agreements governing our other indebtedness, we could default under those agreements, and the debt, together with accrued interest, could be declared due and payable. If we default under our senior credit facilities, the lenders could cause all our outstanding debt obligations under our senior credit facilities to become due and payable or require us to repay the indebtedness under these facilities. If our debt is accelerated, we may not be able to repay or refinance our debt. In addition, any default under our senior credit facilities or agreements governing our other indebtedness could lead to an acceleration of debt under other debt instruments that contain cross-acceleration or cross-default provisions. If the indebtedness under our senior credit facilities is accelerated, we may not have sufficient assets to repay amounts due under our senior credit facilities or other debt securities then outstanding. Our ability to comply with these provisions of our senior credit facilities and agreements governing our other indebtedness will be affected by changes in the economic or business conditions or other events beyond our control. Complying with our covenants may also cause us to take actions that are not favorable to us and may make it more difficult for us to successfully execute our business strategy and compete, including against companies that are not subject to such restrictions.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debt accrues interest at variable rates and increases in applicable benchmark interest rates could adversely affect our results of operations and cash flows.</w:t>
      </w:r>
    </w:p>
    <w:p>
      <w:pPr>
        <w:spacing w:after="0" w:line="139"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profitability and cash flows may be adversely affected during any periods of unexpected or rapid increases in interest rates. We maintain a credit agreement with both term loan facilities and a revolving credit facility. Borrowings under these facilities accrue interest at either an alternate base rate or Term Secured Overnight Financing Rate (“SOFR”) plus, in each case, an applicable margin based on our consolidated leverage ratio as defined in the credit agreement. A significant increase in Term SOFR or the other benchmark rates used in determining the alternative base rate would significantly increase our cost of borrowings. Further, any changes in regulatory standards or industry practices, such as the discontinuation of the use of Term SOFR and/or the transition to alternative benchmark rates may result in the usage of higher interest rates under the credit agreement, and our current or future indebtedness may be adversely affected. We are also exposed to risks if the U.S. Federal Reserve raises its benchmark interest rate, which may reduce the availability of, and increase the cost of, obtaining new debt and refinancing existing indebtedness.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additional information related to this risk, see Item 7A “Quantitative and Qualitative Disclosures About Market Risk.”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 risk could have a material impact on our reported results of business operations.</w:t>
      </w:r>
    </w:p>
    <w:p>
      <w:pPr>
        <w:spacing w:after="0" w:line="180"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Our operating results are presented in U.S. dollars for reporting purposes. The strengthening or weakening of the U.S. dollar against other currencies in which we conduct business could result in unfavorable translation effects as the results of transactions in foreign countries are translated into U.S. dollars.</w:t>
      </w:r>
    </w:p>
    <w:p>
      <w:pPr>
        <w:spacing w:after="0" w:line="105"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Increased strength of the U.S. dollar will increase the effective price of our products sold in U.S. dollars into other countries, which may have a material adverse effect on sales or require us to lower our prices, and also decrease our reported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7" w:name="page18"/>
    <w:bookmarkEnd w:id="17"/>
    <w:p>
      <w:pPr>
        <w:jc w:val="both"/>
        <w:spacing w:after="0" w:line="279" w:lineRule="auto"/>
        <w:rPr>
          <w:sz w:val="20"/>
          <w:szCs w:val="20"/>
          <w:color w:val="auto"/>
        </w:rPr>
      </w:pPr>
      <w:r>
        <w:rPr>
          <w:rFonts w:ascii="Times New Roman" w:cs="Times New Roman" w:eastAsia="Times New Roman" w:hAnsi="Times New Roman"/>
          <w:sz w:val="17"/>
          <w:szCs w:val="17"/>
          <w:color w:val="auto"/>
        </w:rPr>
        <w:t>revenues or margins related to sales conducted in foreign currencies to the extent we are unable or determine not to increase local currency prices. Likewise, the increased strength of the U.S. dollar could allow competitors with foreign-based manufacturing costs to sell their products in the U.S. at lower prices. Alternatively, decreased strength of the U.S. dollar could have a material adverse effect on the cost of materials and products purchased overseas.</w:t>
      </w:r>
    </w:p>
    <w:p>
      <w:pPr>
        <w:spacing w:after="0" w:line="12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Similarly, increased or decreased strength of the currencies of non-U.S. countries in which we manufacture will have a comparable effect against the currencies of other jurisdictions in which we sell. For example, our Radiodetection business manufactures a number of detection instruments in the United Kingdom and sells to customers in other countries, therefore increased strength of the British pound sterling will increase the effective price of these products sold in British pound sterling into other countries; and decreased strength of British pound sterling could have a material adverse effect on the cost of materials and products purchased outside of the United Kingdom.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counterparty risks could harm our business.</w:t>
      </w:r>
    </w:p>
    <w:p>
      <w:pPr>
        <w:spacing w:after="0" w:line="180"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financial condition of our customers and distributors could affect our ability to market our products or collect receivables. In addition, financial difficulties faced by our customers may lead to cancellations or delays of orders.</w:t>
      </w:r>
    </w:p>
    <w:p>
      <w:pPr>
        <w:spacing w:after="0" w:line="12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customers may suffer financial difficulties that make them unable to pay for a project when completed, or they may decide not, or be unable, to pay us, either as a matter of corporate decision-making or in response to changes in local laws and regulations. We cannot assure you that expenses or losses for uncollectible amounts will not have a material adverse effect on our earnings and cash flows.</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Currency and interest rate hedging activities may adversely impact our financial performance as a result of changes in relevant interest rates and currency rates.</w:t>
      </w:r>
    </w:p>
    <w:p>
      <w:pPr>
        <w:spacing w:after="0" w:line="17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7"/>
          <w:szCs w:val="17"/>
          <w:color w:val="auto"/>
        </w:rPr>
        <w:t>We use derivative financial instruments in order to reduce the substantial effects of currency and interest rate exposure on our cash flow and financial condition. These instruments may include foreign currency, currency swap agreements and currency option contracts, as well as interest rate swap agreements. We have entered into, and may continue to enter into, these or other hedging arrangements. By utilizing hedging instruments, we may forgo benefits that might result from fluctuations in currency exchange and interest rates. We are also exposed to the risk that counterparties to hedging contracts will default on their obligations. A default by such counterparties in performing their obligations under these hedging instruments could have an adverse effect on us.</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other factors could cause our income tax obligations to increase, potentially reducing our net income and adversely affecting our cash flows.</w:t>
      </w:r>
    </w:p>
    <w:p>
      <w:pPr>
        <w:spacing w:after="0" w:line="13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taxation in various jurisdictions around the world. In preparing our financial statements, we provide for income taxes based on current tax laws and regulations and the estimated taxable income within each of these jurisdictions. Our income tax obligations, however, may be higher due to numerous factors, including changes in tax laws or regulations and the outcome of audits and examinations of our tax returns.</w:t>
      </w:r>
    </w:p>
    <w:p>
      <w:pPr>
        <w:spacing w:after="0" w:line="14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Officials in some of the jurisdictions in which we do business have proposed, or announced that they are reviewing, tax changes that could potentially increase taxes, and other revenue-raising laws and regulations, including those that may be enacted as a result of various OECD projects. Changes in applicable U.S. or foreign tax laws and regulations, or their interpretation and application, could have a material impact on our financial position, results of operations, and cash flows.</w:t>
      </w:r>
    </w:p>
    <w:p>
      <w:pPr>
        <w:spacing w:after="0" w:line="14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indicated in Note 12 to our consolidated financial statements, we regularly have various income tax returns under examination or audit. In connection with these and any future examinations or audits, there is a risk that we could be challenged by tax authorities on certain of the tax positions we have taken, or will take, on our tax returns. Although we believe that current tax laws and regulations support our positions, there can be no assurance that tax authorities will agree with our positions. In the event tax authorities were to challenge one or more of our tax positions, an unfavorable outcome could have a material adverse impact on our financial position, results of operations, and cash flows.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the fair value of any of our reporting units is insufficient to recover the carrying value of the goodwill and other intangible assets of the respective reporting unit, a material non-cash charge to earnings could result.</w:t>
      </w:r>
    </w:p>
    <w:p>
      <w:pPr>
        <w:spacing w:after="0" w:line="12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At December 31, 2024, we had goodwill and other intangible assets, net, of $1,537.5. We conduct annual impairment testing to determine if we will be able to recover all or a portion of the carrying value of goodwill and indefinite-lived intangible assets. In addition, we review goodwill and indefinite-lived intangible assets for impairment more frequently if impairment indicators arise. If the fair value is insufficient to recover the carrying value of our goodwill and indefinite-lived intangible assets, we may be required to record a material non-cash charge to earnings.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8" w:name="page19"/>
    <w:bookmarkEnd w:id="18"/>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fair values of our reporting units generally are based on discounted cash flow projections that are believed to be reasonable under current and forecasted circumstances, the results of which form the basis for making judgments about carrying values of the reported net assets of our reporting units. Other considerations are also incorporated, including comparable price multiples. Many of our businesses closely follow changes in the industries and end markets that they serve. Accordingly, we consider estimates and judgments that affect the future cash flow projections, including principal methods of competition such as volume, price, service, product performance and technical innovations and estimates associated with cost reduction initiatives, capacity utilization, and assumptions for inflation and foreign currency changes. We monitor impairment indicators across all of our businesses. Significant changes in market conditions and estimates or judgments used to determine expected future cash flows that indicate a reduction in carrying value may give, and have given, rise to impairments in the period that the change becomes known.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actions may affect our business.</w:t>
      </w:r>
    </w:p>
    <w:p>
      <w:pPr>
        <w:spacing w:after="0" w:line="180"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Cost reduction actions often result in charges against earnings. These charges can vary significantly from period to period and, as a result, we may experience fluctuations in our reported net income and earnings per share due to the timing of cost reduction actions.</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Changes in key estimates and assumptions related to our defined benefit pension and postretirement plans, such as discount rates, assumed long-term return on assets, assumed long-term trends of future cost, and accounting and legislative changes, as well as actual investment returns on our pension plan assets and other actuarial factors, could affect our results of operations and cash flows.</w:t>
      </w:r>
    </w:p>
    <w:p>
      <w:pPr>
        <w:spacing w:after="0" w:line="15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have defined benefit pension and postretirement plans, including both qualified and non-qualified plans, which cover a portion of our salaried and hourly employees and retirees, including a portion of our employees and retirees in foreign countries. As of December 31, 2024, our net liability to these plans was $96.8. The determination of funding requirements and pension expense or income associated with these plans involves significant judgment, particularly with respect to discount rates, long-term trends of future costs and other actuarial assumptions. If our assumptions change significantly due to changes in economic, legislative and/or demographic experience or circumstances, our pension and other benefit plans’ expense, funded status and our required cash contributions to such plans could be negatively impacted. In addition, returns on plan assets could have a material impact on our pension plans’ expense, funded status and our required contributions to the plans. Changes in regulations or law could also significantly impact our obligations. For example, see “MD&amp;A - Critical Accounting Estimates” for the impact that changes in certain assumptions used in the calculation of our costs and obligations associated with these plans could have on our results of operations and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incurrence of additional indebtedness may affect our business and may restrict our operating flexibility.</w:t>
      </w:r>
    </w:p>
    <w:p>
      <w:pPr>
        <w:spacing w:after="0" w:line="18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At December 31, 2024, we had $614.7 in total indebtedness. On that same date, we had $909.0 of available borrowing capacity under our revolving credit facilities, after giving effect to borrowings under the domestic revolving loan facilities of $80.0 and $11.0 reserved for outstanding letters of credit. In addition, at December 31, 2024, we had $8.0 of available issuance capacity under our foreign credit instrument facilities after giving effect to $17.0 reserved for outstanding letters of credit. At December 31, 2024, our cash and equivalents balance was $161.4. See “MD&amp;A - Liquidity and Financial Condition - Borrowings” and Note 13 to our consolidated financial statements for further discussion. We may incur additional indebtedness in the future, including indebtedness incurred to finance, or assumed in connection with, acquisitions. We may renegotiate or refinance our senior credit facilities or other debt facilities, or enter into additional agreements that have different or more stringent terms. Increases in the level of our indebtedness relative to our cash balances could:</w:t>
      </w:r>
    </w:p>
    <w:p>
      <w:pPr>
        <w:spacing w:after="0" w:line="217" w:lineRule="exact"/>
        <w:rPr>
          <w:sz w:val="20"/>
          <w:szCs w:val="20"/>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obtain new, or refinance existing, indebtedness, on favorable terms or at all;</w:t>
      </w:r>
    </w:p>
    <w:p>
      <w:pPr>
        <w:spacing w:after="0" w:line="21"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or obtain on favorable terms, additional debt financing for working capital, capital expenditures or acquisitions;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reacting to competitive and other changes in the industry and economic conditions;</w:t>
      </w:r>
    </w:p>
    <w:p>
      <w:pPr>
        <w:spacing w:after="0" w:line="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on our common stock in the future;</w:t>
      </w:r>
    </w:p>
    <w:p>
      <w:pPr>
        <w:spacing w:after="0" w:line="4" w:lineRule="exact"/>
        <w:rPr>
          <w:rFonts w:ascii="Times New Roman" w:cs="Times New Roman" w:eastAsia="Times New Roman" w:hAnsi="Times New Roman"/>
          <w:sz w:val="18"/>
          <w:szCs w:val="18"/>
          <w:color w:val="auto"/>
        </w:rPr>
      </w:pPr>
    </w:p>
    <w:p>
      <w:pPr>
        <w:ind w:left="640" w:hanging="317"/>
        <w:spacing w:after="0" w:line="24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Coupled with a substantial decrease in net operating cash flows due to economic developments or adverse developments in our business, make it difficult to meet debt service requirements; and</w:t>
      </w:r>
    </w:p>
    <w:p>
      <w:pPr>
        <w:spacing w:after="0" w:line="1" w:lineRule="exact"/>
        <w:rPr>
          <w:rFonts w:ascii="Times New Roman" w:cs="Times New Roman" w:eastAsia="Times New Roman" w:hAnsi="Times New Roman"/>
          <w:sz w:val="18"/>
          <w:szCs w:val="18"/>
          <w:color w:val="auto"/>
        </w:rPr>
      </w:pPr>
    </w:p>
    <w:p>
      <w:pPr>
        <w:ind w:left="640" w:hanging="317"/>
        <w:spacing w:after="0" w:line="24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to the extent existing borrowings are, and any new borrowings may be, at variable rates of interest, which could result in higher interest expense and interest payments in the event of increases in interest rates.</w:t>
      </w:r>
    </w:p>
    <w:p>
      <w:pPr>
        <w:spacing w:after="0" w:line="213"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ability to make scheduled payments of principal or pay interest on, or to refinance, our indebtedness and to satisfy our other debt obligations will depend upon our future operating performance, which may be affected by general economic, financial, competitive, legislative, regulatory, business and other factors beyond our control. In addition, we cannot assure you</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9" w:name="page20"/>
    <w:bookmarkEnd w:id="19"/>
    <w:p>
      <w:pPr>
        <w:jc w:val="both"/>
        <w:spacing w:after="0" w:line="250" w:lineRule="auto"/>
        <w:rPr>
          <w:sz w:val="20"/>
          <w:szCs w:val="20"/>
          <w:color w:val="auto"/>
        </w:rPr>
      </w:pPr>
      <w:r>
        <w:rPr>
          <w:rFonts w:ascii="Times New Roman" w:cs="Times New Roman" w:eastAsia="Times New Roman" w:hAnsi="Times New Roman"/>
          <w:sz w:val="18"/>
          <w:szCs w:val="18"/>
          <w:color w:val="auto"/>
        </w:rPr>
        <w:t>that future borrowings or equity financing will be available for the payment or refinancing of our indebtedness. If we are unable to service our indebtedness, whether in the ordinary course of business or upon an acceleration of such indebtedness, we may pursue one or more alternative strategies, such as restructuring or refinancing our indebtedness, selling assets, reducing or delaying capital expenditures, revising implementation of or delaying strategic plans or seeking additional equity capital. Any of these actions could have a material adverse effect on our business, financial condition, results of operations and stock price. In addition, we cannot assure that we would be able to take any of these actions, that these actions would enable us to continue to satisfy our capital requirements, or that these actions would be permitted under the terms of our various debt agreements.</w:t>
      </w:r>
    </w:p>
    <w:p>
      <w:pPr>
        <w:spacing w:after="0" w:line="14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Numerous banks in many countries are syndicate members in our credit facility. Failure of one or more of our larger lenders, or several of our smaller lenders, could significantly reduce availability of our credit, which could harm our liquidity.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internal control over financial reporting could adversely affect our business and financial results.</w:t>
      </w:r>
    </w:p>
    <w:p>
      <w:pPr>
        <w:spacing w:after="0" w:line="23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documents and Delaware law may delay or prevent a change in control of our company, and accordingly, we may not consummate a transaction that our stockholders consider favorable.</w:t>
      </w:r>
    </w:p>
    <w:p>
      <w:pPr>
        <w:spacing w:after="0" w:line="138"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inhibit changes in control of our company not approved by our Board. These provisions include, for example: a classified board of directors with directors serving staggered three-year terms; a prohibition on stockholder action by written consent; a requirement that special stockholder meetings be called only by our Chairman, President or Board; advance notice requirements for stockholder proposals and nominations; limitations on stockholders’ ability to amend, alter or repeal the By-laws; enhanced voting requirements for certain business combinations involving substantial stockholders; the authority of our Board to issue, without stockholder approval, preferred stock with terms determined in its discretion; and limitations on stockholders’ ability to remove directors. In addition, we are afforded the protections of Section 203 of the Delaware General Corporation Law, which could have similar effects. In general, Section 203 prohibits us from engaging in a “business combination” with an “interested stockholder” (each as defined in Section 203) for at least three years after the time the person became an interested stockholder unless certain conditions are met. These protective provisions could result in our not consummating a transaction that our stockholders consider favorable or discourage entities from attempting to acquire us, potentially at a significant premium to our then-existing stock price.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number of shares of our outstanding common stock could adversely affect our common stock price or dilute our earnings per share.</w:t>
      </w:r>
    </w:p>
    <w:p>
      <w:pPr>
        <w:spacing w:after="0" w:line="18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common stock into the public market, or the perception that these sales could occur, could have a material adverse effect on our stock price. As of December 31, 2024, we had the ability to issue up to an additional 3.409 shares as restricted stock units, performance stock units, or stock options under our 2019 Stock Compensation Plan. We also may issue a significant number of additional shares, in connection with acquisitions, through a registration statement, or otherwise. Additional shares issued would have a dilutive effect on our earnings per share.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5"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7"/>
          <w:szCs w:val="17"/>
          <w:color w:val="auto"/>
        </w:rPr>
        <w:t>All companies utilizing technology are subject to threats of breaches of their cybersecurity programs. We understand the importance of securing our data and information technology systems and networks, as well as the data customers and other stakeholders entrust to us. We have established policies, processes and practices for assessing, identifying, and managing material risks from cybersecurity threats which are integrated into our overall risk management program and based on frameworks established by the National Institute of Standards and Technology (“NIST”), the International Organization for Standardization (“ISO”) and other applicable industry standards. Despite this, there can be no guarantee that our policies and procedures will be effective. Refer to “</w:t>
      </w:r>
      <w:r>
        <w:rPr>
          <w:rFonts w:ascii="Times New Roman" w:cs="Times New Roman" w:eastAsia="Times New Roman" w:hAnsi="Times New Roman"/>
          <w:sz w:val="17"/>
          <w:szCs w:val="17"/>
          <w:u w:val="single" w:color="auto"/>
          <w:color w:val="0000FF"/>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Factors</w:t>
      </w:r>
      <w:r>
        <w:rPr>
          <w:rFonts w:ascii="Times New Roman" w:cs="Times New Roman" w:eastAsia="Times New Roman" w:hAnsi="Times New Roman"/>
          <w:sz w:val="17"/>
          <w:szCs w:val="17"/>
          <w:color w:val="000000"/>
        </w:rPr>
        <w:t>” for additional detail about the material cybersecurity risks we face. Our cybersecurity program includes the following: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Education, Incident Response and Recovery Planning</w:t>
      </w:r>
    </w:p>
    <w:p>
      <w:pPr>
        <w:spacing w:after="0" w:line="231" w:lineRule="exact"/>
        <w:rPr>
          <w:sz w:val="20"/>
          <w:szCs w:val="20"/>
          <w:color w:val="auto"/>
        </w:rPr>
      </w:pPr>
    </w:p>
    <w:p>
      <w:pPr>
        <w:jc w:val="both"/>
        <w:ind w:firstLine="396"/>
        <w:spacing w:after="0" w:line="228" w:lineRule="auto"/>
        <w:rPr>
          <w:sz w:val="20"/>
          <w:szCs w:val="20"/>
          <w:color w:val="auto"/>
        </w:rPr>
      </w:pPr>
      <w:r>
        <w:rPr>
          <w:rFonts w:ascii="Times New Roman" w:cs="Times New Roman" w:eastAsia="Times New Roman" w:hAnsi="Times New Roman"/>
          <w:sz w:val="18"/>
          <w:szCs w:val="18"/>
          <w:color w:val="auto"/>
        </w:rPr>
        <w:t>Our key security, risk, and compliance personnel meet regularly and, together with our cybersecurity consultants, develop strategies for preserving the confidentiality, integrity and availability of data and our information technology systems and networks. We have established incident response and recovery plans to address potential cybersecurity incidents, including assessing the severity of a cyber incident, which are regularly evaluated for their effectiveness. Management maintains controls and procedures and periodically conducts tabletop exercises that are designed to ensure prompt escalation of material cybersecurity incidents so that decisions regarding public disclosure and reporting of such incidents can be made by management and the Board of Directors (our “Board”) in a timely manner. In addition, we regularly educate employees on the importance of maintaining the security of our information technology systems and networks and over handling and protecting customer and employee data, including through regular phishing awareness campaigns, security awareness communications, and recurring privacy and security training.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and Technical Safeguards</w:t>
      </w:r>
    </w:p>
    <w:p>
      <w:pPr>
        <w:spacing w:after="0" w:line="231"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On an ongoing basis, we assess cybersecurity risk, including the review of our policies, standards, processes and practices. These assessments include a variety of activities including third party security penetration testing and independent reviews of our information security control environment and operating effectiveness. The results of these assessment activities are presented to our Board, Audit Committee, and members of management. We regularly assess and deploy technical safeguards based on vulnerability assessments, cybersecurity threat intelligence and incident response experience. In addition, our third-party technology service providers are contractually obligated to maintain cybersecurity controls and complete our security questionnaires at the time of onboarding. On a recurring basis, our third-party service providers are required to update their responses to our security questionnaires and, where available, additional information such as System and Organization Controls (“SOC”) SOC 1 or SOC 2 reports are provided.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and Management Oversight</w:t>
      </w:r>
    </w:p>
    <w:p>
      <w:pPr>
        <w:spacing w:after="0" w:line="231"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7"/>
          <w:szCs w:val="17"/>
          <w:color w:val="auto"/>
        </w:rPr>
        <w:t>Our chief information officer (“CIO”) and chief information security officer (“CISO”) have primary responsibility for assessing and managing material cybersecurity risks. Quarterly cybersecurity updates are provided to executive leadership to review security key performance indicators, identify security risks, and assess the status of approved security enhancements, and risk mitigation strategies. Our CIO has served in various roles in information technology and information security for over 30 years, including serving as the CIO of three other companies. Our CIO holds an undergraduate degree in computer science. Our CISO holds 11 industry security, risk, and/or privacy certifications and has served in various roles in information technology and information security for 25 years, including serving as the Director, Global Security, Privacy &amp; Data Governance for one of the world's largest privately held transport corporations. Our Board, in coordination with the Audit Committee, oversees our management of cybersecurity risk. The Audit Committee receives regular cybersecurity risk reports from management and, at least annually, our Board receives reports from management, including our CIO and CISO about the prevention, detection, mitigation, and remediation of cybersecurity incidents, including material security risks and information security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1" w:name="page22"/>
    <w:bookmarkEnd w:id="21"/>
    <w:p>
      <w:pPr>
        <w:ind w:left="490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our principal properties as of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HVAC reportable segment</w:t>
            </w:r>
          </w:p>
        </w:tc>
        <w:tc>
          <w:tcPr>
            <w:tcW w:w="3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U.S. states and 3 foreign countries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states and 5 foreign countries</w:t>
            </w:r>
          </w:p>
        </w:tc>
        <w:tc>
          <w:tcPr>
            <w:tcW w:w="8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7"/>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addition to manufacturing plants, we own and lease various sales, service and other locations throughout the world. We consider these properties, as well as the related machinery and equipment, to be well maintained and suitable and adequate for their intended purposes.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FF"/>
        </w:rPr>
        <w:t>MD&amp;A — Critical Accounting Estimates — Contingent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our consolidated financial statements for a discussion of legal proceedings.</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also subject to legal proceedings and claims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2" w:name="page23"/>
    <w:bookmarkEnd w:id="22"/>
    <w:p>
      <w:pPr>
        <w:ind w:left="5140"/>
        <w:spacing w:after="0"/>
        <w:tabs>
          <w:tab w:leader="none" w:pos="590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I</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“SPXC.”</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discontinued dividend payments in September 2015 in connection with the Spin-off and, thus, there have been no dividends declared since such time.</w:t>
      </w:r>
    </w:p>
    <w:p>
      <w:pPr>
        <w:spacing w:after="0" w:line="14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May 14, 2024, May 9, 2023, and May 10, 2022, our Board of Directors re-authorized management, in its sole discretion, to repurchase our capital stock in any fiscal year. Under the authorization, we may repurchase shares through open market purchases, privately negotiated transactions or otherwise, and at prices and times and in amounts as we determine, subject to applicable restrictions under our senior credit agreement. Our senior credit agreement permits an unlimited amount of share repurchases if our consolidated leverage ratio (as calculated under the senior credit agreement) is less than 2.75 to 1.00. Otherwise, the senior credit agreement restricts our repurchase of shares if the amount of repurchases in any fiscal year exceeds $100.0 million plus a basket amount based on our cumulative consolidated net income from a specified date.</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Pursuant to the 2022 re-authorization, we repurchased 706,827 of our common stock for an aggregate purchase price of $33.7 million during the year ended December 31, 2022.</w:t>
      </w:r>
    </w:p>
    <w:p>
      <w:pPr>
        <w:spacing w:after="0" w:line="10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2024, the maximum approximate dollar value of our common stock that may be purchased under this authorization during the current fiscal year is $100.0 million. The number of stockholders of record of our common stock as of February 21, 2025 was 2,038.</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23" w:name="page24"/>
    <w:bookmarkEnd w:id="23"/>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Company Performance</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graph shows a five-year comparison of cumulative total returns for SPX, the S&amp;P 500 Index, the S&amp;P 1500 Industrials Index, and the S&amp;P 600 Index. The graph assumes an initial investment of $100 on December 31, 2019 and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76200</wp:posOffset>
            </wp:positionV>
            <wp:extent cx="5139690" cy="402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139690" cy="402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90" w:type="dxa"/>
        <w:tblCellMar>
          <w:top w:w="0" w:type="dxa"/>
          <w:left w:w="0" w:type="dxa"/>
          <w:bottom w:w="0" w:type="dxa"/>
          <w:right w:w="0" w:type="dxa"/>
        </w:tblCellMar>
      </w:tblPr>
      <w:tr>
        <w:trPr>
          <w:trHeight w:val="205"/>
        </w:trPr>
        <w:tc>
          <w:tcPr>
            <w:tcW w:w="196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right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right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right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right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SPX Technologies, Inc.</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107.19</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117.30</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129.03</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198.53</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286.01</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118.40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152.39</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124.79</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157.59</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197.02</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1500 Industrials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111.69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136.47</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127.69</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153.71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179.75</w:t>
            </w:r>
          </w:p>
        </w:tc>
      </w:tr>
      <w:tr>
        <w:trPr>
          <w:trHeight w:val="218"/>
        </w:trPr>
        <w:tc>
          <w:tcPr>
            <w:tcW w:w="1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S&amp;P 600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109.57</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137.26</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113.35</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2"/>
              </w:rPr>
              <w:t>129.09</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137.90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ITEM 6. [Reserved]</w:t>
      </w:r>
    </w:p>
    <w:p>
      <w:pPr>
        <w:sectPr>
          <w:pgSz w:w="11900" w:h="16838" w:orient="portrait"/>
          <w:cols w:equalWidth="0" w:num="1">
            <w:col w:w="9019"/>
          </w:cols>
          <w:pgMar w:left="1440" w:top="10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019"/>
          </w:cols>
          <w:pgMar w:left="1440" w:top="1017" w:right="1440"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13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the related notes thereto. Unless otherwise indicated, amounts provided in Item 7 pertain to continuing operations only.</w:t>
      </w:r>
    </w:p>
    <w:p>
      <w:pPr>
        <w:spacing w:after="0" w:line="10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Potential Impacts of Geopolitical Conflicts</w:t>
      </w:r>
    </w:p>
    <w:p>
      <w:pPr>
        <w:spacing w:after="0" w:line="138"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Ongoing geopolitical conflicts, and governmental actions implemented in response to these conflicts, did not have a significant adverse impact on our operating results during the periods presented. We are monitoring the availability of certain raw materials that are supplied by businesses in the countries impacted by these conflicts. However, at this time, we do not expect the potential impact to be material to our operating results. These conflicts have created additional demand for certain products within our communication technologies business. The longer-term impact of these global events on our business is currently unknown due to the uncertainty around their duration and broader impact.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Supply Chain Disruptions, Labor Shortages, and Cost Increases</w:t>
      </w:r>
    </w:p>
    <w:p>
      <w:pPr>
        <w:spacing w:after="0" w:line="152"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The impact of the COVID-19 pandemic on our operating results throughout 2024 and 2023 was minimal. However, during January 2022, there was an increase in pandemic cases at certain of our manufacturing facilities, which resulted in a high-level of absenteeism at such facilities during the month. In addition, since the second half of 2021, certain of our businesses experienced supply chain disruptions, as well as labor shortages, while all of our businesses experienced increases in raw material, component, and transportation costs. The combination of these matters negatively impacted our operating results during the first half of 2022, as we experienced lower absorption of manufacturing costs and, in some cases, the negative impact of cost increases on fixed-price customer contracts. Throughout 2024 and 2023, we experienced more stable labor and supply chain environments and continue to actively manage these matters.</w:t>
      </w:r>
    </w:p>
    <w:p>
      <w:pPr>
        <w:spacing w:after="0" w:line="1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5"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7"/>
          <w:szCs w:val="17"/>
          <w:color w:val="auto"/>
        </w:rPr>
        <w:t>Revenues for 2024 totaled $1,983.9, compared to $1,741.2 in 2023 (and $1,460.9 in 2022). The increase in revenues during 2024, compared to 2023, was due primarily to (i) inorganic revenue growth resulting from the Ingénia, ASPEQ, and TAMCO acquisitions (each within the HVAC reportable segment) and</w:t>
      </w:r>
    </w:p>
    <w:p>
      <w:pPr>
        <w:jc w:val="both"/>
        <w:ind w:firstLine="6"/>
        <w:spacing w:after="0" w:line="234" w:lineRule="auto"/>
        <w:tabs>
          <w:tab w:leader="none" w:pos="27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organic revenue growth within the HVAC reportable segment. Revenues for 2024, compared to 2023, within our Detection and Measurement reportable segment increased slightly, with foreign currency translation benefits offset by a minor organic revenue decline. The organic revenue growth within the HVAC reportable segment was due primarily to (i) increased volume of cooling products driven by continued strength in demand and higher throughput resulting from expanded production capacity and (ii) execution of a larger-than-typical service project within our cooling business. These increases were partially offset by modest organic revenue declines of heating products due primarily to the unseasonably warm winter conditions prevalent in relevant end markets mainly during the first quarter of 2024. The minor organic revenue decline within the Detection and Measurement reportable segment was primarily driven by lower project volumes within our communication technologies business associated with a larger-than-typical project that executed throughout 2023 and completed in the first quarter of 2024, partially offset by higher project volumes at our aids to navigation business. Project volumes within our Detection and Measurement reportable segment can vary from period to period based on execution timing. The increase in revenues during 2023, compared to 2022, was due primarily to the impact 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volume and price increases. Organic revenue growth within the Detection and Measurement reportable segment was due primarily to higher volumes of large projects within the communication technologies, transportation and aids to navigation businesses.</w:t>
      </w:r>
    </w:p>
    <w:p>
      <w:pPr>
        <w:spacing w:after="0" w:line="196"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color w:val="auto"/>
        </w:rPr>
        <w:t>For 2024, operating income totaled $308.3, compared to $221.9 in 2023 (and $51.0 in 2022). The increase in operating income in 2024, compared to 2023, was due primarily to (i) higher income from our reportable segments of $107.4, (ii) a charge incurred in 2023 of $9.0 related to the resolution of a dispute with a former representative at one of our businesses within the Detection and Measurement reportable segment, and (iii) lower corporate expense of $4.8. These impacts were partially offset by (i) increases during the period, compared to 2023, in intangible asset amortization expense of $20.6, (ii) a charge of $8.4 related to a settlement with the seller of ULC Robotics (“ULC”) regarding additional contingent consideration, and (iii) an increase of $2.8 in special charges related to restructuring actions (see Note 8 to our consolidated financial statements for additional details regarding these actions). The increase in income from our reportable segments was primarily due to (i) the revenue growth mentioned above and associated operating leverage, (ii) more favorable project execution and product mix, primarily within the Detection and Measurement reportable segment, and (iii) the impact of continuous improvement initiatives, partially offset by increases in personnel costs, primarily within our HVAC reportable segment, due to annual merit increases and growth-related headcount additions. The increase in intangible asset amortization expense was driven by the acquisitions mentioned above. The increase in operating income in 2023, compared to 2022, was due primarily to (i) higher income for both our HVAC and Detection and Measurement reportable segments of $103.6, (ii) the loss on the Asbestos Portfolio Sale of $73.9 incurred in 2022, and (iii) lower corporate expense of $10.2 primarily related to higher costs incurred on strategic and transformational initiatives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6" w:name="page27"/>
    <w:bookmarkEnd w:id="26"/>
    <w:p>
      <w:pPr>
        <w:jc w:val="both"/>
        <w:spacing w:after="0" w:line="232" w:lineRule="auto"/>
        <w:rPr>
          <w:sz w:val="20"/>
          <w:szCs w:val="20"/>
          <w:color w:val="auto"/>
        </w:rPr>
      </w:pPr>
      <w:r>
        <w:rPr>
          <w:rFonts w:ascii="Times New Roman" w:cs="Times New Roman" w:eastAsia="Times New Roman" w:hAnsi="Times New Roman"/>
          <w:sz w:val="18"/>
          <w:szCs w:val="18"/>
          <w:color w:val="auto"/>
        </w:rPr>
        <w:t>executed during 2022, primarily related to the Asbestos Portfolio Sale, as well as expenses incurred in connection with asbestos-related matters during 2022, prior to the Asbestos Portfolio Sale. The impact of these factors was partially offset by increases in (i) employee compensation, including increases in short-term incentive compensation expense, (ii) intangible asset amortization expense of $15.4, (iii) acquisition-related and other integration costs resulting from the acquisitions of TAMCO and ASPEQ, and (iv) a charge of $9.0 related to the resolution of a dispute with a former representative at one of our businesses within the Detection and Measurement reportable segment. The increase in income for our HVAC reportable segment was primarily due to the organic revenue growth mentioned above and greater absorption of manufacturing costs resulting from higher volumes and more stable labor and supply chain environments, as well as the income associated with the TAMCO and ASPEQ acquisitions. The increase in income for our Detection and Measurement reportable segment was due primarily to the organic revenue growth mentioned above.</w:t>
      </w:r>
    </w:p>
    <w:p>
      <w:pPr>
        <w:spacing w:after="0" w:line="208" w:lineRule="exact"/>
        <w:rPr>
          <w:sz w:val="20"/>
          <w:szCs w:val="20"/>
          <w:color w:val="auto"/>
        </w:rPr>
      </w:pPr>
    </w:p>
    <w:p>
      <w:pPr>
        <w:jc w:val="both"/>
        <w:ind w:firstLine="396"/>
        <w:spacing w:after="0" w:line="244" w:lineRule="auto"/>
        <w:rPr>
          <w:sz w:val="20"/>
          <w:szCs w:val="20"/>
          <w:color w:val="auto"/>
        </w:rPr>
      </w:pPr>
      <w:r>
        <w:rPr>
          <w:rFonts w:ascii="Times New Roman" w:cs="Times New Roman" w:eastAsia="Times New Roman" w:hAnsi="Times New Roman"/>
          <w:sz w:val="17"/>
          <w:szCs w:val="17"/>
          <w:color w:val="auto"/>
        </w:rPr>
        <w:t>Operating cash flows from continuing operations totaled $313.1 in 2024, compared to operating cash flows from continuing operations of $243.8 in 2023 (and operating cash flows used in continuing operations of $115.2 in 2022). The increase in cash flows from operating activities in 2024, compared to 2023, was due primarily to (i) cash inflows resulting from the increase in operating income discussed above, exclusive of non-cash expenses (primarily intangible asset amortization and depreciation expense) incurred during the respective periods, (ii) lower income tax payments of $14.9, primarily resulting from the acceleration of certain acquired tax attributes, and (iii) reductions in the level of raw material and component purchases during the 2024 period due to stabilization of the supply chain environment. These impacts were partially offset by (i) additional interest payments of $17.8 due to higher average debt balances resulting from borrowings associated with the Ingénia, ASPEQ, and TAMCO acquisitions, (ii) $11.9 in additional short-term incentive compensation payments, (iii) a payment, during the first quarter of 2024, related to the resolution of a dispute with a former representative at one of our businesses within the Detection and Measurement reportable segment of $9.0, and (iv) a payment of $8.4 associated with a settlement for additional contingent consideration to the seller of ULC mentioned above. The increase in cash flows from operating activities in 2023, compared to 2022, was due primarily to (i) the increase in income during the period discussed above, (ii) cash contributed during 2022 to the divested subsidiaries of $138.8 in connection with the Asbestos Portfolio Sale, (iii) a reduction in the level of elevated purchases of raw materials and components during 2023, primarily within our HVAC reportable segment, due to a more stable supply chain environment, (iv) working capital improvements at certain of our project-related businesses, as cash flows for these businesses are often subject to contract milestones that can impact the timing of cash flows from period to period, (v) net payments for asbestos-related matters made prior to the Asbestos Portfolio Sale in 2022, of $15.3, and (vi) a cash payment of $10.0 during the first half of 2022 in connection with the transfer of our postretirement life insurance benefit obligation to an insurance carrier (see Note 11 to our consolidated financial statements for additional details).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 details on certain matters noted above as well as significant items impacting the financial results for 2024, 2023, and 2022 are as follows: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4" w:lineRule="exact"/>
        <w:rPr>
          <w:sz w:val="20"/>
          <w:szCs w:val="20"/>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2024, we completed the acquisition of Ingénia</w:t>
      </w:r>
    </w:p>
    <w:p>
      <w:pPr>
        <w:spacing w:after="0" w:line="26" w:lineRule="exact"/>
        <w:rPr>
          <w:rFonts w:ascii="Times New Roman" w:cs="Times New Roman" w:eastAsia="Times New Roman" w:hAnsi="Times New Roman"/>
          <w:sz w:val="18"/>
          <w:szCs w:val="18"/>
          <w:color w:val="auto"/>
        </w:rPr>
      </w:pPr>
    </w:p>
    <w:p>
      <w:pPr>
        <w:ind w:left="1280" w:hanging="324"/>
        <w:spacing w:after="0" w:line="26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Ingénia was Canadian Dollar (“CAD”) 393.9 (or $292.0 at the time of purchase), net of (i) an adjustment to the purchase price of $2.1 received during 2024 related to acquired working capital and (ii) cash acquired of $1.5.</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Ingénia are included within our HVAC reportable segment.</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w:t>
      </w:r>
    </w:p>
    <w:p>
      <w:pPr>
        <w:spacing w:after="0" w:line="21" w:lineRule="exact"/>
        <w:rPr>
          <w:rFonts w:ascii="Times New Roman" w:cs="Times New Roman" w:eastAsia="Times New Roman" w:hAnsi="Times New Roman"/>
          <w:sz w:val="18"/>
          <w:szCs w:val="18"/>
          <w:color w:val="auto"/>
        </w:rPr>
      </w:pPr>
    </w:p>
    <w:p>
      <w:pPr>
        <w:ind w:left="1280" w:hanging="324"/>
        <w:spacing w:after="0" w:line="244" w:lineRule="auto"/>
        <w:tabs>
          <w:tab w:leader="none" w:pos="12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2024, we entered into an amendment to the Amended and Restated Credit Agreement governing our senior credit facilities (as amended, the “Credit Agreement”).</w:t>
      </w:r>
    </w:p>
    <w:p>
      <w:pPr>
        <w:spacing w:after="0" w:line="1" w:lineRule="exact"/>
        <w:rPr>
          <w:rFonts w:ascii="Times New Roman" w:cs="Times New Roman" w:eastAsia="Times New Roman" w:hAnsi="Times New Roman"/>
          <w:sz w:val="18"/>
          <w:szCs w:val="18"/>
          <w:color w:val="auto"/>
        </w:rPr>
      </w:pPr>
    </w:p>
    <w:p>
      <w:pPr>
        <w:ind w:left="1280" w:hanging="324"/>
        <w:spacing w:after="0" w:line="244"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increases the aggregate revolving credit commitments under the Credit Agreement from $500.0 to $1,000.0 and makes certain conforming changes and other amendments to the Credit Agreement.</w:t>
      </w:r>
    </w:p>
    <w:p>
      <w:pPr>
        <w:spacing w:after="0" w:line="1" w:lineRule="exact"/>
        <w:rPr>
          <w:rFonts w:ascii="Times New Roman" w:cs="Times New Roman" w:eastAsia="Times New Roman" w:hAnsi="Times New Roman"/>
          <w:sz w:val="18"/>
          <w:szCs w:val="18"/>
          <w:color w:val="auto"/>
        </w:rPr>
      </w:pPr>
    </w:p>
    <w:p>
      <w:pPr>
        <w:ind w:left="1280" w:hanging="324"/>
        <w:spacing w:after="0" w:line="244" w:lineRule="auto"/>
        <w:tabs>
          <w:tab w:leader="none" w:pos="127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utilize the increased revolving credit capacity to finance, in part, permitted acquisitions, to pay related fees, costs and expenses and for other lawful corporate purposes.</w:t>
      </w:r>
    </w:p>
    <w:p>
      <w:pPr>
        <w:spacing w:after="0" w:line="1" w:lineRule="exact"/>
        <w:rPr>
          <w:rFonts w:ascii="Times New Roman" w:cs="Times New Roman" w:eastAsia="Times New Roman" w:hAnsi="Times New Roman"/>
          <w:sz w:val="18"/>
          <w:szCs w:val="18"/>
          <w:color w:val="auto"/>
        </w:rPr>
      </w:pPr>
    </w:p>
    <w:p>
      <w:pPr>
        <w:ind w:left="1280" w:hanging="324"/>
        <w:spacing w:after="0" w:line="244"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2024, we renewed, and increased the capacity of, our trade receivables financing agreement for a period of 12 months, whereby we can borrow, on a continuous basis, up to $100.0, as available.</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of an Equity Security</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loss of $4.2 within “Other expense, net” related to decreases in the estimated fair value of an equity security that we hold.</w:t>
      </w:r>
    </w:p>
    <w:p>
      <w:pPr>
        <w:spacing w:after="0" w:line="4"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to our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7" w:name="page28"/>
    <w:bookmarkEnd w:id="27"/>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Losses on Pension and Postretirement Plans</w:t>
      </w:r>
    </w:p>
    <w:p>
      <w:pPr>
        <w:spacing w:after="0" w:line="21" w:lineRule="exact"/>
        <w:rPr>
          <w:rFonts w:ascii="Times New Roman" w:cs="Times New Roman" w:eastAsia="Times New Roman" w:hAnsi="Times New Roman"/>
          <w:sz w:val="18"/>
          <w:szCs w:val="18"/>
          <w:color w:val="auto"/>
        </w:rPr>
      </w:pPr>
    </w:p>
    <w:p>
      <w:pPr>
        <w:jc w:val="both"/>
        <w:ind w:left="1280" w:hanging="324"/>
        <w:spacing w:after="0" w:line="265"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recorded actuarial losses of $2.6 in the fourth quarter in connection with the annual remeasurement of our pension and postretirement plans with such losses resulting primarily from lower than expected returns on plan assets, partially offset by increases in discount rates.</w:t>
      </w: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Seller of ULC</w:t>
      </w:r>
    </w:p>
    <w:p>
      <w:pPr>
        <w:spacing w:after="0" w:line="11" w:lineRule="exact"/>
        <w:rPr>
          <w:rFonts w:ascii="Times New Roman" w:cs="Times New Roman" w:eastAsia="Times New Roman" w:hAnsi="Times New Roman"/>
          <w:sz w:val="18"/>
          <w:szCs w:val="18"/>
          <w:color w:val="auto"/>
        </w:rPr>
      </w:pPr>
    </w:p>
    <w:p>
      <w:pPr>
        <w:ind w:left="1280" w:hanging="324"/>
        <w:spacing w:after="0" w:line="229" w:lineRule="auto"/>
        <w:tabs>
          <w:tab w:leader="none" w:pos="1290" w:val="left"/>
        </w:tabs>
        <w:numPr>
          <w:ilvl w:val="1"/>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our acquisition of ULC in September 2020, the seller of ULC was eligible for contingent consideration of up to $45.0 under an earn-out provision.</w:t>
      </w:r>
    </w:p>
    <w:p>
      <w:pPr>
        <w:spacing w:after="0" w:line="1" w:lineRule="exact"/>
        <w:rPr>
          <w:rFonts w:ascii="Times New Roman" w:cs="Times New Roman" w:eastAsia="Times New Roman" w:hAnsi="Times New Roman"/>
          <w:sz w:val="18"/>
          <w:szCs w:val="18"/>
          <w:b w:val="1"/>
          <w:bCs w:val="1"/>
          <w:i w:val="1"/>
          <w:iCs w:val="1"/>
          <w:color w:val="auto"/>
        </w:rPr>
      </w:pPr>
    </w:p>
    <w:p>
      <w:pPr>
        <w:ind w:left="1280" w:hanging="324"/>
        <w:spacing w:after="0" w:line="229"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2021, we concluded that none of the milestones for the payment of any of the contingent consideration had been achieved.</w:t>
      </w:r>
    </w:p>
    <w:p>
      <w:pPr>
        <w:spacing w:after="0" w:line="1" w:lineRule="exact"/>
        <w:rPr>
          <w:rFonts w:ascii="Times New Roman" w:cs="Times New Roman" w:eastAsia="Times New Roman" w:hAnsi="Times New Roman"/>
          <w:sz w:val="18"/>
          <w:szCs w:val="18"/>
          <w:color w:val="auto"/>
        </w:rPr>
      </w:pPr>
    </w:p>
    <w:p>
      <w:pPr>
        <w:ind w:left="1280" w:hanging="324"/>
        <w:spacing w:after="0" w:line="229"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2024, we entered into a settlement agreement with the seller of ULC to resolve a lawsuit it commenced in August 2022 seeking contingent consideration of $15.0, prejudgment interest on that amount, and attorney’s fees.</w:t>
      </w:r>
    </w:p>
    <w:p>
      <w:pPr>
        <w:spacing w:after="0" w:line="1" w:lineRule="exact"/>
        <w:rPr>
          <w:rFonts w:ascii="Times New Roman" w:cs="Times New Roman" w:eastAsia="Times New Roman" w:hAnsi="Times New Roman"/>
          <w:sz w:val="18"/>
          <w:szCs w:val="18"/>
          <w:color w:val="auto"/>
        </w:rPr>
      </w:pPr>
    </w:p>
    <w:p>
      <w:pPr>
        <w:jc w:val="both"/>
        <w:ind w:left="1280" w:hanging="324"/>
        <w:spacing w:after="0" w:line="233"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agreement required a payment by us to the seller of ULC of $8.4, which was paid during the second quarter of 2024, with a corresponding charge recorded within “Other operating expense, net” within our consolidated statement of operations. We expect this payment to be tax deductible in future periods.</w:t>
      </w:r>
    </w:p>
    <w:p>
      <w:pPr>
        <w:spacing w:after="0" w:line="23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claims with Prime Contractor of the South Africa Power Projects</w:t>
      </w:r>
    </w:p>
    <w:p>
      <w:pPr>
        <w:spacing w:after="0" w:line="21" w:lineRule="exact"/>
        <w:rPr>
          <w:rFonts w:ascii="Times New Roman" w:cs="Times New Roman" w:eastAsia="Times New Roman" w:hAnsi="Times New Roman"/>
          <w:sz w:val="18"/>
          <w:szCs w:val="18"/>
          <w:color w:val="auto"/>
        </w:rPr>
      </w:pPr>
    </w:p>
    <w:p>
      <w:pPr>
        <w:jc w:val="both"/>
        <w:ind w:left="1280" w:hanging="324"/>
        <w:spacing w:after="0" w:line="261" w:lineRule="auto"/>
        <w:tabs>
          <w:tab w:leader="none" w:pos="12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2023, SPX and DBT entered into an agreement with Mitsubishi Heavy Industries Power — ZAF (f.k.a. Mitsubishi-Hitachi Power Systems Africa (PTY) LTD) (“MHI”) to affect the negotiated resolution of all claims between the parties with respect to DBT’s involvement in two large power projects in South Africa - Kusile and Medupi (the “Settlement Agreement”).</w:t>
      </w:r>
    </w:p>
    <w:p>
      <w:pPr>
        <w:ind w:left="1280" w:hanging="324"/>
        <w:spacing w:after="0" w:line="235"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Settlement Agreement, DBT made a payment of $25.1 (net of $2.0 received on a related foreign currency forward agreement) during the year ended December 31, 2024.</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4 and 15 to our consolidated financial statements for additional details.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4" w:lineRule="exact"/>
        <w:rPr>
          <w:sz w:val="20"/>
          <w:szCs w:val="20"/>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2023, we completed the acquisition of TAMCO</w:t>
      </w:r>
    </w:p>
    <w:p>
      <w:pPr>
        <w:spacing w:after="0" w:line="17" w:lineRule="exact"/>
        <w:rPr>
          <w:rFonts w:ascii="Times New Roman" w:cs="Times New Roman" w:eastAsia="Times New Roman" w:hAnsi="Times New Roman"/>
          <w:sz w:val="18"/>
          <w:szCs w:val="18"/>
          <w:color w:val="auto"/>
        </w:rPr>
      </w:pPr>
    </w:p>
    <w:p>
      <w:pPr>
        <w:ind w:left="1280" w:hanging="324"/>
        <w:spacing w:after="0" w:line="267"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TAMCO was $125.5, inclusive of an adjustment of $0.2 paid during 2023 related to acquired working capital, and net of cash acquired of $1.0.</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TAMCO are included within our HVAC reportable segment.</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2023, we completed the acquisition of ASPEQ</w:t>
      </w:r>
    </w:p>
    <w:p>
      <w:pPr>
        <w:spacing w:after="0" w:line="30"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ASPEQ was $421.5, net of (i) an adjustment to the purchase price of $0.3 received during 2023 related to acquired working capital and (ii) cash acquired of $0.9.</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ASPEQ are included within our HVAC reportable segment.</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Term Loan</w:t>
      </w:r>
    </w:p>
    <w:p>
      <w:pPr>
        <w:spacing w:after="0" w:line="21" w:lineRule="exact"/>
        <w:rPr>
          <w:rFonts w:ascii="Times New Roman" w:cs="Times New Roman" w:eastAsia="Times New Roman" w:hAnsi="Times New Roman"/>
          <w:sz w:val="18"/>
          <w:szCs w:val="18"/>
          <w:color w:val="auto"/>
        </w:rPr>
      </w:pPr>
    </w:p>
    <w:p>
      <w:pPr>
        <w:ind w:left="1280" w:hanging="324"/>
        <w:spacing w:after="0" w:line="265"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2023, the prior iteration of the Credit Agreement was amended to provide for an additional senior secured term loan in the aggregate amount of $300.0, which was borrowed during the second quarter of 2023.</w:t>
      </w: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from the additional term loan (“Incremental Term Loan”) were used to partially fund the acquisition of ASPEQ.</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Claims with Prime Contractor of South Africa Power Projects</w:t>
      </w:r>
    </w:p>
    <w:p>
      <w:pPr>
        <w:spacing w:after="0" w:line="30" w:lineRule="exact"/>
        <w:rPr>
          <w:rFonts w:ascii="Times New Roman" w:cs="Times New Roman" w:eastAsia="Times New Roman" w:hAnsi="Times New Roman"/>
          <w:sz w:val="18"/>
          <w:szCs w:val="18"/>
          <w:color w:val="auto"/>
        </w:rPr>
      </w:pPr>
    </w:p>
    <w:p>
      <w:pPr>
        <w:jc w:val="both"/>
        <w:ind w:left="1280" w:hanging="324"/>
        <w:spacing w:after="0" w:line="265"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Settlement Agreement, the Company incurred a charge, net of tax, of $54.2 during the third quarter of 2023. The charge included the write-off of $15.2 in net amounts due from MHI. Such charge is included in “Loss on disposition of discontinued operations, net of tax” for the year ended December 31, 2023. In addition, DBT made a payment of $25.3 to MHI during the year ended December 31, 2023, in connection to the Settlement Agreement.</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4 and 15 to our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8" w:name="page29"/>
    <w:bookmarkEnd w:id="28"/>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Losses on Pension and Postretirement Plans</w:t>
      </w:r>
    </w:p>
    <w:p>
      <w:pPr>
        <w:spacing w:after="0" w:line="21" w:lineRule="exact"/>
        <w:rPr>
          <w:rFonts w:ascii="Times New Roman" w:cs="Times New Roman" w:eastAsia="Times New Roman" w:hAnsi="Times New Roman"/>
          <w:sz w:val="18"/>
          <w:szCs w:val="18"/>
          <w:color w:val="auto"/>
        </w:rPr>
      </w:pPr>
    </w:p>
    <w:p>
      <w:pPr>
        <w:ind w:left="1280" w:hanging="324"/>
        <w:spacing w:after="0" w:line="267"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we recorded actuarial losses of $11.3 in the fourth quarter in connection with the annual remeasurement of our pension and postretirement plans with such losses resulting primarily from decreases in discount rates.</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Former Representative</w:t>
      </w:r>
    </w:p>
    <w:p>
      <w:pPr>
        <w:spacing w:after="0" w:line="30"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2023, we recorded a charge within “Other operating expense, net” of $9.0 related to the resolution of a dispute with a former representative at one of our businesses within the Detection and Measurement reportable segment.</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to our consolidated financial statements for additional details.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4" w:lineRule="exact"/>
        <w:rPr>
          <w:sz w:val="20"/>
          <w:szCs w:val="20"/>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Postretirement Life Insurance Benefit Obligation</w:t>
      </w:r>
    </w:p>
    <w:p>
      <w:pPr>
        <w:spacing w:after="0" w:line="17" w:lineRule="exact"/>
        <w:rPr>
          <w:rFonts w:ascii="Times New Roman" w:cs="Times New Roman" w:eastAsia="Times New Roman" w:hAnsi="Times New Roman"/>
          <w:sz w:val="18"/>
          <w:szCs w:val="18"/>
          <w:color w:val="auto"/>
        </w:rPr>
      </w:pPr>
    </w:p>
    <w:p>
      <w:pPr>
        <w:ind w:left="1280" w:hanging="324"/>
        <w:spacing w:after="0" w:line="265"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2022, we transferred a portion of our obligation for life insurance benefits under our postretirement benefit plans to an insurance carrier for cash consideration paid of $10.0.</w:t>
      </w: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we recorded a net charge of $0.3 to “Other expense, net.”</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to our consolidated financial statements for additional details.</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2022, we completed the acquisition of ITL</w:t>
      </w:r>
    </w:p>
    <w:p>
      <w:pPr>
        <w:spacing w:after="0" w:line="30" w:lineRule="exact"/>
        <w:rPr>
          <w:rFonts w:ascii="Times New Roman" w:cs="Times New Roman" w:eastAsia="Times New Roman" w:hAnsi="Times New Roman"/>
          <w:sz w:val="18"/>
          <w:szCs w:val="18"/>
          <w:color w:val="auto"/>
        </w:rPr>
      </w:pPr>
    </w:p>
    <w:p>
      <w:pPr>
        <w:ind w:left="1280" w:hanging="324"/>
        <w:spacing w:after="0" w:line="262" w:lineRule="auto"/>
        <w:tabs>
          <w:tab w:leader="none" w:pos="1276" w:val="left"/>
        </w:tabs>
        <w:numPr>
          <w:ilvl w:val="1"/>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purchase price for ITL was $40.4, net of (i) an adjustment to the purchase price received during 2022 of $1.4 related to acquired working capital and (ii) cash acquired of $1.1.</w:t>
      </w:r>
    </w:p>
    <w:p>
      <w:pPr>
        <w:spacing w:after="0" w:line="1" w:lineRule="exact"/>
        <w:rPr>
          <w:rFonts w:ascii="Times New Roman" w:cs="Times New Roman" w:eastAsia="Times New Roman" w:hAnsi="Times New Roman"/>
          <w:sz w:val="18"/>
          <w:szCs w:val="18"/>
          <w:i w:val="1"/>
          <w:iCs w:val="1"/>
          <w:color w:val="auto"/>
        </w:rPr>
      </w:pP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post-acquisition operating results of ITL are included within our Detection and Measurement reportable segment.</w:t>
      </w:r>
    </w:p>
    <w:p>
      <w:pPr>
        <w:spacing w:after="0" w:line="26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Senior Credit Agreement</w:t>
      </w:r>
    </w:p>
    <w:p>
      <w:pPr>
        <w:spacing w:after="0" w:line="2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2022, we amended and restated our then-existing credit agreement.</w:t>
      </w:r>
    </w:p>
    <w:p>
      <w:pPr>
        <w:spacing w:after="0" w:line="17" w:lineRule="exact"/>
        <w:rPr>
          <w:rFonts w:ascii="Times New Roman" w:cs="Times New Roman" w:eastAsia="Times New Roman" w:hAnsi="Times New Roman"/>
          <w:sz w:val="18"/>
          <w:szCs w:val="18"/>
          <w:color w:val="auto"/>
        </w:rPr>
      </w:pPr>
    </w:p>
    <w:p>
      <w:pPr>
        <w:ind w:left="1280" w:hanging="324"/>
        <w:spacing w:after="0" w:line="267" w:lineRule="auto"/>
        <w:tabs>
          <w:tab w:leader="none" w:pos="13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then-existing credit agreement provided for committed senior secured financing with an aggregate amount of $770.0, with a final maturity of August 12, 2027.</w:t>
      </w:r>
    </w:p>
    <w:p>
      <w:pPr>
        <w:spacing w:after="0" w:line="1" w:lineRule="exact"/>
        <w:rPr>
          <w:rFonts w:ascii="Times New Roman" w:cs="Times New Roman" w:eastAsia="Times New Roman" w:hAnsi="Times New Roman"/>
          <w:sz w:val="18"/>
          <w:szCs w:val="18"/>
          <w:color w:val="auto"/>
        </w:rPr>
      </w:pP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13 to our consolidated financial statements for additional details.</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and Actuarial Gains and Losses - Pension and Postretirement Plans</w:t>
      </w:r>
    </w:p>
    <w:p>
      <w:pPr>
        <w:spacing w:after="0" w:line="30" w:lineRule="exact"/>
        <w:rPr>
          <w:rFonts w:ascii="Times New Roman" w:cs="Times New Roman" w:eastAsia="Times New Roman" w:hAnsi="Times New Roman"/>
          <w:sz w:val="18"/>
          <w:szCs w:val="18"/>
          <w:color w:val="auto"/>
        </w:rPr>
      </w:pPr>
    </w:p>
    <w:p>
      <w:pPr>
        <w:ind w:left="1280" w:right="20" w:hanging="324"/>
        <w:spacing w:after="0" w:line="262"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Transformer Solutions, a significant number of participants of the U.S. Pension Plan (“U.S. Plan”) who were employees of Transformer Solutions elected to receive lump-sum payments from the U.S. Plan.</w:t>
      </w:r>
    </w:p>
    <w:p>
      <w:pPr>
        <w:spacing w:after="0" w:line="1" w:lineRule="exact"/>
        <w:rPr>
          <w:rFonts w:ascii="Times New Roman" w:cs="Times New Roman" w:eastAsia="Times New Roman" w:hAnsi="Times New Roman"/>
          <w:sz w:val="18"/>
          <w:szCs w:val="18"/>
          <w:color w:val="auto"/>
        </w:rPr>
      </w:pPr>
    </w:p>
    <w:p>
      <w:pPr>
        <w:ind w:left="1280" w:hanging="324"/>
        <w:spacing w:after="0" w:line="267"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these lump-sum payments, combined with other lump-sum payments that were made by the U.S. Plan during the first nine months of 2022, required us to record settlement and actuarial losses of $6.2 during this period.</w:t>
      </w:r>
    </w:p>
    <w:p>
      <w:pPr>
        <w:spacing w:after="0" w:line="1" w:lineRule="exact"/>
        <w:rPr>
          <w:rFonts w:ascii="Times New Roman" w:cs="Times New Roman" w:eastAsia="Times New Roman" w:hAnsi="Times New Roman"/>
          <w:sz w:val="18"/>
          <w:szCs w:val="18"/>
          <w:color w:val="auto"/>
        </w:rPr>
      </w:pPr>
    </w:p>
    <w:p>
      <w:pPr>
        <w:jc w:val="both"/>
        <w:ind w:left="1280" w:hanging="324"/>
        <w:spacing w:after="0" w:line="265"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recorded settlement and actuarial gains of $8.0 in the fourth quarter of 2022 in connection with the annual remeasurement of our pension and postretirement plans, with such gains resulting primarily from the impact of increases in discount rates, partially offset by lower than expected returns on plan assets.</w:t>
      </w:r>
    </w:p>
    <w:p>
      <w:pPr>
        <w:ind w:left="1260" w:hanging="304"/>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11 to our consolidated financial statements for additional details.</w:t>
      </w:r>
    </w:p>
    <w:p>
      <w:pPr>
        <w:spacing w:after="0" w:line="25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 During the second quarter of 2022, we repurchased 706,827 shares of our common stock for $33.7.</w:t>
      </w:r>
    </w:p>
    <w:p>
      <w:pPr>
        <w:spacing w:after="0" w:line="268"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of an Equity Security</w:t>
      </w:r>
    </w:p>
    <w:p>
      <w:pPr>
        <w:spacing w:after="0" w:line="11" w:lineRule="exact"/>
        <w:rPr>
          <w:rFonts w:ascii="Times New Roman" w:cs="Times New Roman" w:eastAsia="Times New Roman" w:hAnsi="Times New Roman"/>
          <w:sz w:val="18"/>
          <w:szCs w:val="18"/>
          <w:color w:val="auto"/>
        </w:rPr>
      </w:pPr>
    </w:p>
    <w:p>
      <w:pPr>
        <w:ind w:left="1260" w:hanging="304"/>
        <w:spacing w:after="0" w:line="229" w:lineRule="auto"/>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losses of $3.0 within “Other expense, net” related to decreases in the estimated fair value of an equity security that we hold.</w:t>
      </w:r>
    </w:p>
    <w:p>
      <w:pPr>
        <w:ind w:left="1260" w:hanging="304"/>
        <w:spacing w:after="0" w:line="229" w:lineRule="auto"/>
        <w:tabs>
          <w:tab w:leader="none" w:pos="1260" w:val="left"/>
        </w:tabs>
        <w:numPr>
          <w:ilvl w:val="1"/>
          <w:numId w:val="15"/>
        </w:numPr>
        <w:rPr>
          <w:rFonts w:ascii="Arial" w:cs="Arial" w:eastAsia="Arial" w:hAnsi="Arial"/>
          <w:sz w:val="19"/>
          <w:szCs w:val="19"/>
          <w:color w:val="auto"/>
        </w:rPr>
      </w:pPr>
      <w:r>
        <w:rPr>
          <w:rFonts w:ascii="Times New Roman" w:cs="Times New Roman" w:eastAsia="Times New Roman" w:hAnsi="Times New Roman"/>
          <w:sz w:val="18"/>
          <w:szCs w:val="18"/>
          <w:color w:val="auto"/>
        </w:rPr>
        <w:t>See Note 17 to our consolidated financial statements for additional details.</w:t>
      </w:r>
    </w:p>
    <w:p>
      <w:pPr>
        <w:spacing w:after="0" w:line="233" w:lineRule="exact"/>
        <w:rPr>
          <w:rFonts w:ascii="Arial" w:cs="Arial" w:eastAsia="Arial" w:hAnsi="Arial"/>
          <w:sz w:val="19"/>
          <w:szCs w:val="19"/>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Asbestos-Related Matters</w:t>
      </w:r>
    </w:p>
    <w:p>
      <w:pPr>
        <w:spacing w:after="0" w:line="21" w:lineRule="exact"/>
        <w:rPr>
          <w:rFonts w:ascii="Times New Roman" w:cs="Times New Roman" w:eastAsia="Times New Roman" w:hAnsi="Times New Roman"/>
          <w:sz w:val="18"/>
          <w:szCs w:val="18"/>
          <w:color w:val="auto"/>
        </w:rPr>
      </w:pPr>
    </w:p>
    <w:p>
      <w:pPr>
        <w:jc w:val="both"/>
        <w:ind w:left="1280" w:hanging="324"/>
        <w:spacing w:after="0" w:line="247"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2022, we received a ruling from a North Carolina trial court that certain excess insurance carriers associated with our then-existing asbestos product liability matters are not required to cover the costs of defending suits that are dismissed without an indemnity payment.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ind w:left="1280" w:hanging="324"/>
        <w:spacing w:after="0" w:line="255" w:lineRule="auto"/>
        <w:tabs>
          <w:tab w:leader="none" w:pos="12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this ruling, we recorded charges of $21.7 during the third quarter, with $16.5 reflected in “Income from continuing operations before income taxes” and the remainder in “Loss on disposition of discontinued operations, net of tax.”</w:t>
      </w:r>
    </w:p>
    <w:p>
      <w:pPr>
        <w:ind w:left="1280" w:hanging="324"/>
        <w:spacing w:after="0" w:line="249" w:lineRule="auto"/>
        <w:tabs>
          <w:tab w:leader="none" w:pos="13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2022, we completed the Asbestos Portfolio Sale. In connection with the sale, we contributed $138.8 to the divested subsidiaries and recorded a loss on sale of $73.9. See Notes 1 and 4 to our consolidated financial statements for additional detail.</w:t>
      </w:r>
    </w:p>
    <w:p>
      <w:pPr>
        <w:spacing w:after="0" w:line="22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and Indefinite-Lived Intangible Assets</w:t>
      </w:r>
    </w:p>
    <w:p>
      <w:pPr>
        <w:spacing w:after="0" w:line="11" w:lineRule="exact"/>
        <w:rPr>
          <w:rFonts w:ascii="Times New Roman" w:cs="Times New Roman" w:eastAsia="Times New Roman" w:hAnsi="Times New Roman"/>
          <w:sz w:val="18"/>
          <w:szCs w:val="18"/>
          <w:color w:val="auto"/>
        </w:rPr>
      </w:pPr>
    </w:p>
    <w:p>
      <w:pPr>
        <w:ind w:left="1280" w:hanging="324"/>
        <w:spacing w:after="0" w:line="222" w:lineRule="auto"/>
        <w:tabs>
          <w:tab w:leader="none" w:pos="12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2022, we performed our annual impairment analyses of our goodwill and indefinite-lived intangible assets. As a result of such analyses, we recorded impairment charges of $13.4, with $12.0 related to goodwill and the remainder to trademarks.</w:t>
      </w:r>
    </w:p>
    <w:p>
      <w:pPr>
        <w:ind w:left="1260" w:hanging="304"/>
        <w:spacing w:after="0"/>
        <w:tabs>
          <w:tab w:leader="none" w:pos="12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1 and 10 to our consolidated financial statements for additional details.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36"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Cyclicality of End Markets, Seasonality and Competition — </w:t>
      </w:r>
      <w:r>
        <w:rPr>
          <w:rFonts w:ascii="Times New Roman" w:cs="Times New Roman" w:eastAsia="Times New Roman" w:hAnsi="Times New Roman"/>
          <w:sz w:val="18"/>
          <w:szCs w:val="18"/>
          <w:color w:val="auto"/>
        </w:rPr>
        <w:t>The financial results of our businesses closely follow changes in the industries in which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and end markets in which they serve. In addition, certain of our businesses have seasonal fluctuations. For example, certain of our heating products businesses tend to be stronger in the third and fourth quarters, as customer buying habits are driven largely by seasonal weather patterns. In aggregate, our businesses generally tend to be stronger in the second half of the year.</w:t>
      </w:r>
    </w:p>
    <w:p>
      <w:pPr>
        <w:spacing w:after="0" w:line="15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14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 Organic revenue growth (decline) presented herein is defined as revenue growth (decline) excluding the effects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fluctuations and acquisitions/divestitures. We believe this metric is a useful financial measure for investors in evaluating our operating performance for the periods presented, as, when read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GAAP, should not be considered a substitute for net revenue growth (decline) as determined in accordance with GAAP, and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0" w:name="page31"/>
    <w:bookmarkEnd w:id="30"/>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provides selected financial information for the years ended December 31, 2024, 2023, and 2022, including the reconciliation of organic revenue increase to net revenue increase: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2024 vs</w:t>
            </w:r>
          </w:p>
        </w:tc>
        <w:tc>
          <w:tcPr>
            <w:tcW w:w="136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 vs</w:t>
            </w:r>
          </w:p>
        </w:tc>
      </w:tr>
      <w:tr>
        <w:trPr>
          <w:trHeight w:val="208"/>
        </w:trPr>
        <w:tc>
          <w:tcPr>
            <w:tcW w:w="4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2023 %</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2022 %</w:t>
            </w: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1,741.2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27.9</w:t>
            </w: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355.7</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54.0</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235.5</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amendment/refinancing of senior credit agreement</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587.5</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469.9</w:t>
            </w: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630.8</w:t>
            </w:r>
          </w:p>
        </w:tc>
      </w:tr>
      <w:tr>
        <w:trPr>
          <w:trHeight w:val="209"/>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consolidated revenue increase: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12.2</w:t>
            </w:r>
          </w:p>
        </w:tc>
      </w:tr>
      <w:tr>
        <w:trPr>
          <w:trHeight w:val="209"/>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w:t>
            </w:r>
          </w:p>
        </w:tc>
      </w:tr>
      <w:tr>
        <w:trPr>
          <w:trHeight w:val="200"/>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1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19.2</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Not meaningful for comparison purposes</w:t>
      </w:r>
      <w:r>
        <w:rPr>
          <w:rFonts w:ascii="Times New Roman" w:cs="Times New Roman" w:eastAsia="Times New Roman" w:hAnsi="Times New Roman"/>
          <w:sz w:val="17"/>
          <w:szCs w:val="17"/>
          <w:color w:val="auto"/>
        </w:rPr>
        <w:t>.</w:t>
      </w:r>
    </w:p>
    <w:p>
      <w:pPr>
        <w:spacing w:after="0" w:line="383"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2024, the increase in revenues, compared to 2023, was due primarily to (i) inorganic revenue growth resulting from the Ingénia,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ASPEQ, and TAMCO acquisitions (each within the HVAC reportable segment) and (ii) organic revenue growth within the HVAC reportable segment. Revenues for 2024, compared to 2023, within the Detection and Measurement reportable segment increased slightly, with foreign currency translation benefits offset by a minor organic revenue decline. The organic revenue growth within the HVAC reportable segment was due primarily to (i) increased volume of cooling products driven by continued strength in demand and higher throughput resulting from expanded production capacity and (ii) execution of a larger-than-typical service project within our cooling business. These increases were partially offset by modest organic revenue declines of heating products due primarily to the unseasonably warm winter conditions prevalent in relevant end markets mainly during the first quarter of 2024. The minor organic revenue decline within the Detection and Measurement reportable segment was primarily driven by lower project volumes within our communication technologies business associated with a larger-than-typical project that executed throughout 2023 and completed in the first quarter of 2024, partially offset by higher project volumes at our aids to navigation business. Project volumes within our Detection and Measurement reportable segment can vary from period to period based on execution timing.</w:t>
      </w:r>
    </w:p>
    <w:p>
      <w:pPr>
        <w:spacing w:after="0" w:line="214"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For 2023, the increase in revenues, compared to 2022, was due to the impact of organic revenue growth within the HVAC and Detection and Measurement reportable segments and, to a lesser extent, the impact of the TAMCO and ASPEQ acquisitions. The organic revenue growth within the HVAC reportable segment was due primarily to increased sales of cooling products associated with both volume and price increases. Organic revenue growth within the Detection and Measurement reportable segment was due primarily to higher volumes of large projects within the communication technologies, transportation and aids to navigation businesses.</w:t>
      </w:r>
    </w:p>
    <w:p>
      <w:pPr>
        <w:spacing w:after="0" w:line="208"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 For 2024, the increase in gross profit and gross profit as a percentage of revenues, compared to 2023, was due primarily to (i) the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mentioned above and associated operating leverage, (ii) more favorable project execution and product mix, primarily within the Detection and Measurement reportable segment, and (iii) the impact of continuous improvement initiatives, partially offset by increases in personnel costs, primarily within our HVAC reportable segment, due to annual merit increases and growth-related headcount additions.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1" w:name="page32"/>
    <w:bookmarkEnd w:id="31"/>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For 2023, the increase in gross profit and gross profit as a percentage of revenues, compared to 2022, was due primarily to the increase in revenues noted above and greater absorption of manufacturing costs as a result of higher volumes. The higher volumes were aided by improved operational execution resulting from investments in plant automation and more stable labor and supply chain environments, particularly within our HVAC reportable segment. The resulting favorable impact on gross profit as a percentage of revenue was partially offset by less favorable sales mix within our Detection and Measurement reportable segment.</w:t>
      </w:r>
    </w:p>
    <w:p>
      <w:pPr>
        <w:spacing w:after="0" w:line="208"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 </w:t>
      </w:r>
      <w:r>
        <w:rPr>
          <w:rFonts w:ascii="Times New Roman" w:cs="Times New Roman" w:eastAsia="Times New Roman" w:hAnsi="Times New Roman"/>
          <w:sz w:val="18"/>
          <w:szCs w:val="18"/>
          <w:color w:val="auto"/>
        </w:rPr>
        <w:t>— For 2024, the increase in SG&amp;A expense, compared to 2023, was due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incremental SG&amp;A resulting from (i) the acquisitions of Ingénia, ASPEQ, and TAMCO of $20.7 (including integration costs of $3.3), (ii) increases in personnel costs, primarily within our HVAC reportable segment, due to annual merit increases and growth-related headcount additions, and (iii) $1.6 of additional long-term incentive compensation, partially offset by a reduction in corporate expense of $4.8.</w:t>
      </w:r>
    </w:p>
    <w:p>
      <w:pPr>
        <w:spacing w:after="0" w:line="208" w:lineRule="exact"/>
        <w:rPr>
          <w:sz w:val="20"/>
          <w:szCs w:val="20"/>
          <w:color w:val="auto"/>
        </w:rPr>
      </w:pPr>
    </w:p>
    <w:p>
      <w:pPr>
        <w:jc w:val="both"/>
        <w:ind w:firstLine="396"/>
        <w:spacing w:after="0" w:line="235" w:lineRule="auto"/>
        <w:rPr>
          <w:sz w:val="20"/>
          <w:szCs w:val="20"/>
          <w:color w:val="auto"/>
        </w:rPr>
      </w:pPr>
      <w:r>
        <w:rPr>
          <w:rFonts w:ascii="Times New Roman" w:cs="Times New Roman" w:eastAsia="Times New Roman" w:hAnsi="Times New Roman"/>
          <w:sz w:val="18"/>
          <w:szCs w:val="18"/>
          <w:color w:val="auto"/>
        </w:rPr>
        <w:t>For 2023, the increase in SG&amp;A expense, compared to 2022, was due primarily to (i) higher employee compensation, inclusive of increases in short-term incentive compensation expense, (ii) increases in sales incentive plan expense driven by the higher revenues mentioned above, (iii) acquisition-related costs and incremental SG&amp;A expenses associated with the acquired TAMCO and ASPEQ businesses, and (iv) higher travel expense. These increases were partially offset by (i) lower costs related to various strategic and transformational initiatives during 2023, as 2022 included significant costs on strategic and transformational initiatives related to the Asbestos Portfolio Sale, and (ii) expenses in connection with asbestos-related matters incurred during 2022 prior to the Asbestos Portfolio Sale.</w:t>
      </w:r>
    </w:p>
    <w:p>
      <w:pPr>
        <w:spacing w:after="0" w:line="221"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Intangible Amortization </w:t>
      </w:r>
      <w:r>
        <w:rPr>
          <w:rFonts w:ascii="Times New Roman" w:cs="Times New Roman" w:eastAsia="Times New Roman" w:hAnsi="Times New Roman"/>
          <w:sz w:val="18"/>
          <w:szCs w:val="18"/>
          <w:color w:val="auto"/>
        </w:rPr>
        <w:t>— For 2024, the increase in intangible amortization, compared to 2023, was primarily related to incremental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(i) backlog from the Ingénia acquisition and (ii) other intangible assets associated with the acquisition of Ingénia and a full year of amortization for the TAMCO and ASPEQ acquisitions.</w:t>
      </w:r>
    </w:p>
    <w:p>
      <w:pPr>
        <w:spacing w:after="0" w:line="2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2023, the increase in intangible amortization, compared to 2022, was primarily due to incremental intangible amortization related to backlog and other intangible assets associated with the TAMCO and ASPEQ acquisitions. In addition, 2023 included a full year of amortization related to the ITL acquisition, compared to nine months in the 2022 period.</w:t>
      </w:r>
    </w:p>
    <w:p>
      <w:pPr>
        <w:spacing w:after="0" w:line="19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and Intangible Assets </w:t>
      </w:r>
      <w:r>
        <w:rPr>
          <w:rFonts w:ascii="Times New Roman" w:cs="Times New Roman" w:eastAsia="Times New Roman" w:hAnsi="Times New Roman"/>
          <w:sz w:val="18"/>
          <w:szCs w:val="18"/>
          <w:color w:val="auto"/>
        </w:rPr>
        <w:t>— During 2022, we recorded impairment charges of $12.9 related to the goodwill and trademarks of ULC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$0.5 related to certain other trademarks. See Note 10 to our consolidated financial statements for additional details.</w:t>
      </w:r>
    </w:p>
    <w:p>
      <w:pPr>
        <w:spacing w:after="0" w:line="33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Special Charges, Net </w:t>
      </w:r>
      <w:r>
        <w:rPr>
          <w:rFonts w:ascii="Times New Roman" w:cs="Times New Roman" w:eastAsia="Times New Roman" w:hAnsi="Times New Roman"/>
          <w:sz w:val="18"/>
          <w:szCs w:val="18"/>
          <w:color w:val="auto"/>
        </w:rPr>
        <w:t>— Special charges, net, relate primarily to restructuring initiatives to consolidate manufacturing, distribution,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facilities, reduce workforce, and rationalize certain product lines. See Note 8 to our consolidated financial statements for the details of actions taken in 2024, 2023, and 2022. The components of special charges, net,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7100" w:type="dxa"/>
            <w:vAlign w:val="bottom"/>
          </w:tcPr>
          <w:p>
            <w:pPr>
              <w:spacing w:after="0"/>
              <w:rPr>
                <w:sz w:val="15"/>
                <w:szCs w:val="15"/>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Facility consolidation costs</w:t>
            </w: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asset write-downs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4"/>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Net </w:t>
      </w:r>
      <w:r>
        <w:rPr>
          <w:rFonts w:ascii="Times New Roman" w:cs="Times New Roman" w:eastAsia="Times New Roman" w:hAnsi="Times New Roman"/>
          <w:sz w:val="18"/>
          <w:szCs w:val="18"/>
          <w:color w:val="auto"/>
        </w:rPr>
        <w:t>— During 2024, we recorded a charge of $8.4 related to a settlement with the seller of ULC regarding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See Note 15 to the consolidated financial statements for additional details.</w:t>
      </w:r>
    </w:p>
    <w:p>
      <w:pPr>
        <w:spacing w:after="0" w:line="179"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During 2023, we recorded a charge of $9.0 related to the resolution of a dispute with a former representative at one of our businesses within the Detection and Measurement reportable segment. See Note 15 to the consolidated financial statements for additional details.</w:t>
      </w:r>
    </w:p>
    <w:p>
      <w:pPr>
        <w:spacing w:after="0" w:line="195"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During 2022, and in connection with the Asbestos Portfolio Sale, we recorded a loss of $73.9. Additionally, prior to the Asbestos Portfolio Sale, we recorded charges of $2.3 for asbestos product liability matters, partially offset by a reduction in the fair value/liability associated with the contingent consideration related to the acquisition of Enterprise Control Systems Ltd (“ECS”), which was completed in 2021, of $1.3.</w:t>
      </w:r>
    </w:p>
    <w:p>
      <w:pPr>
        <w:spacing w:after="0" w:line="193"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 Other expense, net, for 2024 was composed primarily of (i) environmental remediation charges of $6.7, (ii) a loss of $4.2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change in the estimated fair value of an equity security that we hold, and (iii) pension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2" w:name="page33"/>
    <w:bookmarkEnd w:id="32"/>
    <w:p>
      <w:pPr>
        <w:jc w:val="both"/>
        <w:spacing w:after="0" w:line="239" w:lineRule="auto"/>
        <w:rPr>
          <w:sz w:val="20"/>
          <w:szCs w:val="20"/>
          <w:color w:val="auto"/>
        </w:rPr>
      </w:pPr>
      <w:r>
        <w:rPr>
          <w:rFonts w:ascii="Times New Roman" w:cs="Times New Roman" w:eastAsia="Times New Roman" w:hAnsi="Times New Roman"/>
          <w:sz w:val="18"/>
          <w:szCs w:val="18"/>
          <w:color w:val="auto"/>
        </w:rPr>
        <w:t>postretirement expense of $4.5 (including actuarial losses of $2.6), partially offset by gains on disposal of property, plant and equipment of $3.2, income derived from company-owned life insurance (“COLI”) policies of $2.3, and foreign currency transaction gains of $0.8.</w:t>
      </w:r>
    </w:p>
    <w:p>
      <w:pPr>
        <w:spacing w:after="0" w:line="208" w:lineRule="exact"/>
        <w:rPr>
          <w:sz w:val="20"/>
          <w:szCs w:val="20"/>
          <w:color w:val="auto"/>
        </w:rPr>
      </w:pPr>
    </w:p>
    <w:p>
      <w:pPr>
        <w:jc w:val="both"/>
        <w:ind w:firstLine="396"/>
        <w:spacing w:after="0" w:line="231" w:lineRule="auto"/>
        <w:rPr>
          <w:sz w:val="20"/>
          <w:szCs w:val="20"/>
          <w:color w:val="auto"/>
        </w:rPr>
      </w:pPr>
      <w:r>
        <w:rPr>
          <w:rFonts w:ascii="Times New Roman" w:cs="Times New Roman" w:eastAsia="Times New Roman" w:hAnsi="Times New Roman"/>
          <w:sz w:val="18"/>
          <w:szCs w:val="18"/>
          <w:color w:val="auto"/>
        </w:rPr>
        <w:t>Other expense, net, for 2023 was composed primarily of (i) pension and postretirement expense of $12.2 (including actuarial losses of $11.3), (ii) foreign currency transaction losses of $0.9, and (iii) environmental remediation charges of $0.9, partially offset by gains of (i) $3.6 related to a change in the estimated fair value of an equity security that we hold and (ii) $0.4 related to income derived from COLI policies.</w:t>
      </w:r>
    </w:p>
    <w:p>
      <w:pPr>
        <w:spacing w:after="0" w:line="195"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18"/>
          <w:szCs w:val="18"/>
          <w:color w:val="auto"/>
        </w:rPr>
        <w:t>Other expense, net, for 2022 was composed primarily of $16.5 of asbestos-related charges incurred prior to the Asbestos Portfolio Sale, a loss of $3.0 related to a change in the estimated fair value of an equity security that we hold, environmental remediation charges of $2.9, and foreign currency transaction losses of $1.1, partially offset by pension and postretirement income (inclusive of net settlement and actuarial gains of $1.5) of $4.4, income of $2.0 derived from COLI policies, and $3.0 of income associated with transition services agreements.</w:t>
      </w:r>
    </w:p>
    <w:p>
      <w:pPr>
        <w:spacing w:after="0" w:line="20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 Interest expense, net, includes both interest expense and interest income. The increase in interest expense, net, during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2023, was due primarily to higher average debt balances during the 2024 periods, primarily resulting from borrowings associated with the Ingénia, ASPEQ, and TAMCO acquisitions. Refer to Note 13 to the consolidated financial statements for additional details.</w:t>
      </w:r>
    </w:p>
    <w:p>
      <w:pPr>
        <w:spacing w:after="0" w:line="206" w:lineRule="exact"/>
        <w:rPr>
          <w:sz w:val="20"/>
          <w:szCs w:val="20"/>
          <w:color w:val="auto"/>
        </w:rPr>
      </w:pPr>
    </w:p>
    <w:p>
      <w:pPr>
        <w:jc w:val="both"/>
        <w:ind w:firstLine="396"/>
        <w:spacing w:after="0" w:line="300" w:lineRule="auto"/>
        <w:rPr>
          <w:sz w:val="20"/>
          <w:szCs w:val="20"/>
          <w:color w:val="auto"/>
        </w:rPr>
      </w:pPr>
      <w:r>
        <w:rPr>
          <w:rFonts w:ascii="Times New Roman" w:cs="Times New Roman" w:eastAsia="Times New Roman" w:hAnsi="Times New Roman"/>
          <w:sz w:val="17"/>
          <w:szCs w:val="17"/>
          <w:color w:val="auto"/>
        </w:rPr>
        <w:t>The increase in interest expense, net, during 2023, compared to 2022, was the result of higher average debt balances and a higher average effective interest rate during 2023, with the higher average debt balances primarily resulting from borrowings in connection with the TAMCO and ASPEQ acquisitions.</w:t>
      </w:r>
    </w:p>
    <w:p>
      <w:pPr>
        <w:spacing w:after="0" w:line="17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on Amendment/Refinancing of Senior Credit Agreement </w:t>
      </w:r>
      <w:r>
        <w:rPr>
          <w:rFonts w:ascii="Times New Roman" w:cs="Times New Roman" w:eastAsia="Times New Roman" w:hAnsi="Times New Roman"/>
          <w:sz w:val="18"/>
          <w:szCs w:val="18"/>
          <w:color w:val="auto"/>
        </w:rPr>
        <w:t>— During 2022, we amended our senior credit agreement.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we recorded a charge of $1.1, which consisted of the write-off of a portion of the unamortized deferred financing costs related to our senior credit facilities ($0.7) and certain expenses incurred in connection with the amendment ($0.4).</w:t>
      </w:r>
    </w:p>
    <w:p>
      <w:pPr>
        <w:spacing w:after="0" w:line="7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During 2024, we recorded an income tax provision of $53.6 on $255.4 of pre-tax income from continuing operations, resulting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rate of 21.0%. The most significant items impacting the income tax provision for 2024 were (i) $11.0 of excess tax benefits associated with stock-based compensation awards that vested and/or were exercised during the period and (ii) $0.7 of tax benefits related to changes in our estimate of valuation allowances recognized against certain deferred tax assets, as we now expect to realize these deferred tax assets.</w:t>
      </w:r>
    </w:p>
    <w:p>
      <w:pPr>
        <w:spacing w:after="0" w:line="20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During 2023, we recorded an income tax provision of $41.6 on $186.3 of pre-tax income from continuing operations, resulting in an effective rate of 22.3%. The most significant items impacting the income tax provision for 2023 were (i) $2.3 of tax benefits related to changes in our estimate of valuation allowances recognized against certain deferred tax assets, as we now expect to realize these deferred tax assets, (ii) $1.8 of excess tax benefits associated with stock-based compensation awards that vested and/or were exercised during the period, and (iii) $1.1 of tax benefits related to revisions to liabilities for uncertain tax positions.</w:t>
      </w:r>
    </w:p>
    <w:p>
      <w:pPr>
        <w:spacing w:after="0" w:line="21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During 2022, we recorded an income tax provision of $7.3 on $27.1 of pre-tax income from continuing operations, resulting in an effective rate of 26.9%. The most significant item impacting the effective tax rate for 2022 was the $73.9 loss on the Asbestos Portfolio Sale, which generated a tax benefit of only $1.1. In addition, the 2022 effective income tax rate was also impacted by (i) a $4.7 tax benefit related to the release of valuation allowances recognized against certain deferred tax assets, as we now expect to realize these deferred tax assets, primarily due to the Holding Company Reorganization completed in 2022, (ii) $3.0 of tax benefits related to statute expirations and other revisions to liabilities for uncertain tax positions, and (iii) $1.7 of excess tax benefits associated with stock-based compensation awards that vested and/or were exercised during the year.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Discontinued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the Heat Transfer Business</w:t>
      </w:r>
    </w:p>
    <w:p>
      <w:pPr>
        <w:spacing w:after="0" w:line="16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Following the Spin-Off, we initiated a strategic shift away from the power generation markets. As part of this strategic shift, we sold the dry cooling and Balcke Dürr businesses in 2016 and commenced efforts to sell the Heat Transfer business. After an unsuccessful attempt to sell the Heat Transfer business, we implemented a wind-down plan for the business in 2018. During the fourth quarter of 2020, we completed the wind-down plan, which included providing all products and services on the business’s remaining contracts with customers. As a result, we are reporting Heat Transfer as a discontinued operation for all periods presented.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Sale of Transformer Solutions Business</w:t>
      </w:r>
    </w:p>
    <w:p>
      <w:pPr>
        <w:spacing w:after="0" w:line="152"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On October 1, 2021, we completed the sale of Transformer Solutions pursuant to the terms of the Stock Purchase Agreement dated June 8, 2021. We transferred all of the outstanding common stock of Transformer Solutions to GE-Prolec Transformers, Inc. (the “Purchaser”) and Prolec GE Internacional, S. de R.L. de C.V. for an aggregate cash purchase price of $645.0 (the “Transaction”). The purchase price was subject to potential adjustment based on Transformer Solutions’ cash, debt and working capital on the date the Transaction was consummated, as well as for specified transaction expenses and other specified items. During 2022, we agreed to the final adjustment of the purchase price which resulted in a payment to the Purchaser of $13.9. We have classified the business as a discontinued operation in our consolidated financial statements for all periods presented. See Notes 1 and 4 to our consolidated financial statements for additional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DBT Business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the culmination of our strategic shift away from power generation markets, we completed the wind-down of our DBT business during the fourth quarter of 2021. As a result, we are reporting DBT as a discontinued operation in our consolidated financial statements for all periods presented.</w:t>
      </w:r>
    </w:p>
    <w:p>
      <w:pPr>
        <w:spacing w:after="0" w:line="142"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As previously disclosed, DBT had asserted claims against the remaining prime contractor on two large projects, MHI, of approximately South African Rand 1,000.0 (or $53.2) and MHI had asserted, or issued letters of intent to claim for, alleged damages against DBT. Although it was reasonably possible that some loss may have been incurred in connection with these claims (which totaled approximately South African Rand 2,815.2 or $149.7),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had occurred or may have occurred in connection with these claims. Although we had experienced success in enforcing and defending our rights through the dispute resolution process over the past few years (including the matters mentioned below), we had invested, and would have continued to invest, significant management and financial resources to defend and pursue these matters.</w:t>
      </w:r>
    </w:p>
    <w:p>
      <w:pPr>
        <w:spacing w:after="0" w:line="220"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On September 5, 2023, DBT and SPX entered into the Settlement Agreement with MHI to resolve all claims between the parties with respect to the two large power projects in South Africa.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third quarter of 2023. The charge included the write-off of $15.2 in net amounts due from MHI. Such charge is included in “Loss on disposition of discontinued operations, net of tax” for the year ended December 31, 2023.</w:t>
      </w:r>
    </w:p>
    <w:p>
      <w:pPr>
        <w:spacing w:after="0" w:line="221"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$7.0) was recorded as income during the first quarter of 2023, with such amount recorded within “Loss on disposition of discontinued operations, net of tax.” Additionally, in June 2023, the arbitration tribunal ruled DBT was entitled to recover $1.3 of legal costs incurred related to the arbitration. Such amount received from MHI was recorded to “Loss on disposition of discontinued operations, net of tax” during the year ended December 31, 2023. Additionally, in May 2023, a separate arbitration tribunal ruled DBT was entitled to recover $5.5 of legal costs incurred related to another prior arbitration. Such amount received from MHI was recorded to “Loss on disposition of discontinued operations, net of tax”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7"/>
          <w:szCs w:val="17"/>
          <w:color w:val="auto"/>
        </w:rPr>
        <w:t>For the years ended December 31, 2024, 2023 and 2022, results of operations from our businesses reported as discontinued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Transformer Solutions</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1"/>
        </w:trPr>
        <w:tc>
          <w:tcPr>
            <w:tcW w:w="67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Loss from discontinued operations </w:t>
            </w:r>
            <w:r>
              <w:rPr>
                <w:rFonts w:ascii="Times New Roman" w:cs="Times New Roman" w:eastAsia="Times New Roman" w:hAnsi="Times New Roman"/>
                <w:sz w:val="20"/>
                <w:szCs w:val="20"/>
                <w:color w:val="auto"/>
                <w:vertAlign w:val="superscript"/>
              </w:rPr>
              <w:t>(1)</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w:t>
            </w:r>
          </w:p>
        </w:tc>
        <w:tc>
          <w:tcPr>
            <w:tcW w:w="9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193"/>
        </w:trPr>
        <w:tc>
          <w:tcPr>
            <w:tcW w:w="6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DBT</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67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Loss from discontinued operations</w:t>
            </w:r>
            <w:r>
              <w:rPr>
                <w:rFonts w:ascii="Times New Roman" w:cs="Times New Roman" w:eastAsia="Times New Roman" w:hAnsi="Times New Roman"/>
                <w:sz w:val="20"/>
                <w:szCs w:val="20"/>
                <w:color w:val="auto"/>
                <w:vertAlign w:val="superscript"/>
              </w:rPr>
              <w:t>(2)</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193"/>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1"/>
        </w:trPr>
        <w:tc>
          <w:tcPr>
            <w:tcW w:w="67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0"/>
                <w:szCs w:val="20"/>
                <w:b w:val="1"/>
                <w:bCs w:val="1"/>
                <w:color w:val="auto"/>
                <w:vertAlign w:val="superscript"/>
              </w:rPr>
              <w:t>(3)</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93"/>
        </w:trPr>
        <w:tc>
          <w:tcPr>
            <w:tcW w:w="6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3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342" w:lineRule="exact"/>
        <w:rPr>
          <w:sz w:val="20"/>
          <w:szCs w:val="20"/>
          <w:color w:val="auto"/>
        </w:rPr>
      </w:pPr>
    </w:p>
    <w:p>
      <w:pPr>
        <w:ind w:left="560" w:hanging="158"/>
        <w:spacing w:after="0"/>
        <w:tabs>
          <w:tab w:leader="none" w:pos="56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 ended December 31, 2022 resulted primarily from revisions to liabilities retained in connection with the disposition.</w:t>
      </w:r>
    </w:p>
    <w:p>
      <w:pPr>
        <w:spacing w:after="0" w:line="202" w:lineRule="exact"/>
        <w:rPr>
          <w:rFonts w:ascii="Times New Roman" w:cs="Times New Roman" w:eastAsia="Times New Roman" w:hAnsi="Times New Roman"/>
          <w:sz w:val="20"/>
          <w:szCs w:val="20"/>
          <w:color w:val="auto"/>
          <w:vertAlign w:val="superscript"/>
        </w:rPr>
      </w:pPr>
    </w:p>
    <w:p>
      <w:pPr>
        <w:jc w:val="both"/>
        <w:ind w:left="400" w:firstLine="2"/>
        <w:spacing w:after="0" w:line="260" w:lineRule="auto"/>
        <w:tabs>
          <w:tab w:leader="none" w:pos="546"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Loss for the year ended December 31, 2023 resulted primarily from the charge, and related income tax impacts, recorded in connection with the Settlement Agreement referred to above and legal costs incurred in connection with the various dispute resolution matters. This loss for the year ended December 31, 2023 was partially offset by arbitration awards received, which are discussed above. Loss for the year ended December 31, 2022 resulted primarily from legal costs incurred in connection with various dispute resolution matters prior to the Settlement Agreement.</w:t>
      </w:r>
    </w:p>
    <w:p>
      <w:pPr>
        <w:spacing w:after="0" w:line="176" w:lineRule="exact"/>
        <w:rPr>
          <w:rFonts w:ascii="Times New Roman" w:cs="Times New Roman" w:eastAsia="Times New Roman" w:hAnsi="Times New Roman"/>
          <w:sz w:val="17"/>
          <w:szCs w:val="17"/>
          <w:color w:val="auto"/>
          <w:vertAlign w:val="superscript"/>
        </w:rPr>
      </w:pPr>
    </w:p>
    <w:p>
      <w:pPr>
        <w:ind w:left="400" w:firstLine="2"/>
        <w:spacing w:after="0" w:line="273" w:lineRule="auto"/>
        <w:tabs>
          <w:tab w:leader="none" w:pos="546"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Loss for the years ended December 31, 2024, 2023, and 2022 resulted primarily from revisions to liabilities, including income tax liabilities, retained in connection with prior dispositions and, for the year ended December 31, 2022, asbestos-related charges for businesses previously disposed of.</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Reportable Segments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consolidated financial statements and related notes. These results exclude the operating results of discontinued operations for all periods presented. See Note 7 to our consolidated financial statements for a description of each of our reportable segments.</w:t>
      </w:r>
    </w:p>
    <w:p>
      <w:pPr>
        <w:spacing w:after="0" w:line="11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 Throughout the following discussion of reportable segments, we use “organic revenue” growth (decline) to facilitate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explanation of the operating performance of our segments. Organic revenue growth (decline) is a non-GAAP financial measure, and is not a substitute for net revenue growth (decline). Refer to the explanation of this measure and purpose of use by management under “Results of Continuing Operations — Non-GAAP Measures.”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HVAC Reportable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2024 vs.</w:t>
            </w: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2023 vs.</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2023 %</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2022 %</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1,364.7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9"/>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7"/>
              </w:rPr>
              <w:t>(0.2)</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0"/>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2024, the increase in revenues, compared to 2023, was due primarily to (i) inorganic revenue growth resulting from the Ingénia,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ASPEQ, and TAMCO acquisitions and (ii) organic revenue growth. The organic revenue growth was due primarily to (i) increased volume of cooling products driven by continued strength in demand and higher throughput resulting from expanded production capacity and (ii) execution of a larger-than-typical service project within our cooling business. These increases were partially offset by modest organic revenue declines of heating products due primarily to the unseasonably warm winter conditions prevalent in relevant end markets mainly during the first quarter of 2024.</w:t>
      </w:r>
    </w:p>
    <w:p>
      <w:pPr>
        <w:spacing w:after="0" w:line="2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2023, the increase in revenues, compared to 2022, was due primarily to (i) organic revenue growth driven primarily by increased sales of cooling products and (ii) the impact of the TAMCO and ASPEQ acquisitions. The increase in organic revenue was associated with volume increases, primarily of cooling products, resulting from greater plant throughput and more stable labor and supply chain environments, and price increases.</w:t>
      </w:r>
    </w:p>
    <w:p>
      <w:pPr>
        <w:spacing w:after="0" w:line="20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w:t>
      </w:r>
      <w:r>
        <w:rPr>
          <w:rFonts w:ascii="Times New Roman" w:cs="Times New Roman" w:eastAsia="Times New Roman" w:hAnsi="Times New Roman"/>
          <w:sz w:val="18"/>
          <w:szCs w:val="18"/>
          <w:color w:val="auto"/>
        </w:rPr>
        <w:t>— For 2024, the increase in income, compared to 2023, was due primarily to the revenue growth mentioned above and associated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as well as the impact of continuous improvement initiatives, partially offset by increases in personnel costs due to annual merit increases and growth-related headcount additions.</w:t>
      </w:r>
    </w:p>
    <w:p>
      <w:pPr>
        <w:spacing w:after="0" w:line="20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For 2023, the increase in income, compared to 2022, was due primarily to the impact of the revenue growth mentioned above. For 2023, the increase in margin, compared to 2022, was due primarily to price increases and greater absorption of manufacturing costs as a result of higher volumes, as well as favorable sales mix primarily associated with acquisitions. The higher volumes were aided by improved operational execution across our heating and cooling businesses resulting from more stable labor and supply chain environments and facility-related investments.</w:t>
      </w:r>
    </w:p>
    <w:p>
      <w:pPr>
        <w:spacing w:after="0" w:line="10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The segment had backlog of $436.8 and $306.1 as of December 31, 2024 and 2023, respectively. Backlog associated with the Ingénia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totaled $152.8 as of December 31, 2024. Approximately 88% of the segment’s backlog as of December 31, 2024 is expected to be recognized as revenue during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Detection and Measurement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2024 vs.</w:t>
            </w:r>
          </w:p>
        </w:tc>
        <w:tc>
          <w:tcPr>
            <w:tcW w:w="126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 vs.</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416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2023 %</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2022 %</w:t>
            </w: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4"/>
              </w:rPr>
              <w:t>619.2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547.1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4"/>
              </w:rPr>
              <w:t>136.7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0"/>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For 2024, the increase in revenues, compared to 2023, was due primarily to foreign currency translation benefits offset by a minor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decline. The minor organic revenue decline was primarily driven by lower project volume within our communication technologies business associated with a larger-than-typical project that executed throughout 2023 and completed in the first quarter of 2024, partially offset by higher project volumes at our aids to navigation business. Project volumes within our Detection and Measurement reportable segment can vary from period to period based on execution timing.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6" w:name="page37"/>
    <w:bookmarkEnd w:id="36"/>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2023, the increase in revenues, compared to 2022, was due primarily to organic revenue growth and, to a lesser extent, the full year impact of the ITL acquisition. The organic revenue growth was driven primarily by higher volumes of large projects within the communication technologies, transportation, and aids to navigation businesses.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Income </w:t>
      </w:r>
      <w:r>
        <w:rPr>
          <w:rFonts w:ascii="Times New Roman" w:cs="Times New Roman" w:eastAsia="Times New Roman" w:hAnsi="Times New Roman"/>
          <w:sz w:val="17"/>
          <w:szCs w:val="17"/>
          <w:color w:val="auto"/>
        </w:rPr>
        <w:t>— For 2024, the increase in income and margin, compared to 2023, was due primarily to (i) increased volume at our aids to navigation business,</w:t>
      </w:r>
    </w:p>
    <w:p>
      <w:pPr>
        <w:spacing w:after="0" w:line="25" w:lineRule="exact"/>
        <w:rPr>
          <w:sz w:val="20"/>
          <w:szCs w:val="20"/>
          <w:color w:val="auto"/>
        </w:rPr>
      </w:pPr>
    </w:p>
    <w:p>
      <w:pPr>
        <w:jc w:val="both"/>
        <w:ind w:firstLine="6"/>
        <w:spacing w:after="0" w:line="233" w:lineRule="auto"/>
        <w:tabs>
          <w:tab w:leader="none" w:pos="2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favorable project execution and product mix within our communications technologies, aids to navigation, and transportation businesses, and (iii) the impact of continuous improvement initiatives. These impacts were partially offset by the reduction in income associated with volume declines from the larger-than-typical project within our communications technologies business mentioned above.</w:t>
      </w:r>
    </w:p>
    <w:p>
      <w:pPr>
        <w:spacing w:after="0" w:line="22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For 2023, the increase in income, compared to 2022, was due primarily to the revenue growth mentioned above. For 2023, the decrease in margin, compared to 2022, was due primarily to a less favorable sales mix associated with our short-cycled businesses and certain of the large projects mentioned above, primarily within our communication technologies business.</w:t>
      </w:r>
    </w:p>
    <w:p>
      <w:pPr>
        <w:spacing w:after="0" w:line="99"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Backlog </w:t>
      </w:r>
      <w:r>
        <w:rPr>
          <w:rFonts w:ascii="Times New Roman" w:cs="Times New Roman" w:eastAsia="Times New Roman" w:hAnsi="Times New Roman"/>
          <w:sz w:val="18"/>
          <w:szCs w:val="18"/>
          <w:color w:val="auto"/>
        </w:rPr>
        <w:t>— The segment had backlog of $220.9 and $244.5 as of December 31, 2024 and 2023, respectively. Approximately 58% of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as of December 31, 2024 is expected to be recognized as revenue during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 and Other Expense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2024 vs.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2023 vs.</w:t>
            </w: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2022 %</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1,983.9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1,741.2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1,460.9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784"/>
              <w:spacing w:after="0"/>
              <w:rPr>
                <w:sz w:val="20"/>
                <w:szCs w:val="20"/>
                <w:color w:val="auto"/>
              </w:rPr>
            </w:pPr>
            <w:r>
              <w:rPr>
                <w:rFonts w:ascii="Times New Roman" w:cs="Times New Roman" w:eastAsia="Times New Roman" w:hAnsi="Times New Roman"/>
                <w:sz w:val="16"/>
                <w:szCs w:val="16"/>
                <w:color w:val="auto"/>
                <w:w w:val="99"/>
              </w:rPr>
              <w:t>19.2</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7"/>
              </w:rPr>
              <w:t>(8.2)</w:t>
            </w:r>
          </w:p>
        </w:tc>
        <w:tc>
          <w:tcPr>
            <w:tcW w:w="100" w:type="dxa"/>
            <w:vAlign w:val="bottom"/>
          </w:tcPr>
          <w:p>
            <w:pPr>
              <w:spacing w:after="0"/>
              <w:rPr>
                <w:sz w:val="18"/>
                <w:szCs w:val="18"/>
                <w:color w:val="auto"/>
              </w:rPr>
            </w:pPr>
          </w:p>
        </w:tc>
        <w:tc>
          <w:tcPr>
            <w:tcW w:w="1260" w:type="dxa"/>
            <w:vAlign w:val="bottom"/>
          </w:tcPr>
          <w:p>
            <w:pPr>
              <w:jc w:val="center"/>
              <w:ind w:left="764"/>
              <w:spacing w:after="0"/>
              <w:rPr>
                <w:sz w:val="20"/>
                <w:szCs w:val="20"/>
                <w:color w:val="auto"/>
              </w:rPr>
            </w:pPr>
            <w:r>
              <w:rPr>
                <w:rFonts w:ascii="Times New Roman" w:cs="Times New Roman" w:eastAsia="Times New Roman" w:hAnsi="Times New Roman"/>
                <w:sz w:val="16"/>
                <w:szCs w:val="16"/>
                <w:color w:val="auto"/>
                <w:w w:val="98"/>
              </w:rPr>
              <w:t>(14.9)</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260" w:type="dxa"/>
            <w:vAlign w:val="bottom"/>
          </w:tcPr>
          <w:p>
            <w:pPr>
              <w:jc w:val="center"/>
              <w:ind w:left="784"/>
              <w:spacing w:after="0"/>
              <w:rPr>
                <w:sz w:val="20"/>
                <w:szCs w:val="20"/>
                <w:color w:val="auto"/>
              </w:rPr>
            </w:pPr>
            <w:r>
              <w:rPr>
                <w:rFonts w:ascii="Times New Roman" w:cs="Times New Roman" w:eastAsia="Times New Roman" w:hAnsi="Times New Roman"/>
                <w:sz w:val="16"/>
                <w:szCs w:val="16"/>
                <w:color w:val="auto"/>
                <w:w w:val="99"/>
              </w:rPr>
              <w:t>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Corporate Expense </w:t>
      </w:r>
      <w:r>
        <w:rPr>
          <w:rFonts w:ascii="Times New Roman" w:cs="Times New Roman" w:eastAsia="Times New Roman" w:hAnsi="Times New Roman"/>
          <w:sz w:val="17"/>
          <w:szCs w:val="17"/>
          <w:color w:val="auto"/>
        </w:rPr>
        <w:t>— Corporate expense generally relates to the personnel and general operating costs of our corporate headquarters in Charlotte, North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Carolina. The decrease in corporate expense during 2024, compared to 2023, was due primarily to (i) a reduction of $2.8 in various strategic and acquisition-related costs, largely associated with the acquisitions of ASPEQ and TAMCO acquired in 2023, partially offset by expense incurred for the Ingénia acquisition in 2024 and (ii) a reduction in short-term incentive compensation expense. These declines were partially offset by annual personnel merit increases.</w:t>
      </w:r>
    </w:p>
    <w:p>
      <w:pPr>
        <w:spacing w:after="0" w:line="195"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decrease in corporate expense during 2023, compared to 2022, was due primarily to (i) higher costs related to various strategic and transformational initiatives, including the Asbestos Portfolio Sale, during 2022 and (ii) expenses in connection with asbestos-related matters incurred during 2022 prior to the Asbestos Portfolio Sale, partially offset by higher short-term incentive compensation and higher acquisition-related and other integration costs primarily associated with the TAMCO and ASPEQ acquisitions.</w:t>
      </w:r>
    </w:p>
    <w:p>
      <w:pPr>
        <w:spacing w:after="0" w:line="208"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Long-Term Incentive Compensation Expense </w:t>
      </w:r>
      <w:r>
        <w:rPr>
          <w:rFonts w:ascii="Times New Roman" w:cs="Times New Roman" w:eastAsia="Times New Roman" w:hAnsi="Times New Roman"/>
          <w:sz w:val="18"/>
          <w:szCs w:val="18"/>
          <w:color w:val="auto"/>
        </w:rPr>
        <w:t>— Long-term incentive compensation expense represents our consolidated expense, which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for segment reporting purposes. The increase in long-term incentive compensation expense in 2024, compared to 2023, was due primarily to an increase in the fair value of performance based share awards resulting from plan design changes in 2024, which increased the maximum potential payout range from 150% to 200% of target, and the accumulation of awards related to recent changes in certain key management positions.</w:t>
      </w:r>
    </w:p>
    <w:p>
      <w:pPr>
        <w:spacing w:after="0" w:line="20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increase in long-term incentive compensation expense in 2023, compared to 2022, was due primarily to the impact of forfeitures resulting from various participant resignations during 2022.</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16 to our consolidated financial statements for further details on our long-term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Listed below are the cash flows from (used in) operating, investing and financing activities, and discontinued operations, as well as the net change in cash and equivalents for the years ended December 31, 2024,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6"/>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7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4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(284.5)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discontinued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9"/>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2"/>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229"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The increase in cash flows from operating activities of continuing operations during the year ended December 31,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2023, was due primarily to (i) cash inflows resulting from the increase in operating income discussed previously, exclusive of non-cash expenses (primarily intangible asset amortization and depreciation expense) incurred during the respective periods, (ii) lower income tax payments of $14.9, primarily resulting from the acceleration of certain acquired tax attributes, and (iii) reductions in the level of raw material and component purchases during the 2024 period due to stabilization of the supply chain environment. These impacts were partially offset by (i) additional interest payments of $17.8 due to higher average debt balances resulting from borrowings associated with the Ingénia, ASPEQ, and TAMCO acquisitions, (ii) $11.9 in additional short-term incentive compensation payments, (iii) a payment, during the first quarter of 2024, related to the resolution of a dispute with a former representative at one of our businesses within the Detection and Measurement reportable segment of $9.0, and (iv) a payment of $8.4 associated with a settlement for additional contingent consideration to the seller of ULC mentioned previously.</w:t>
      </w:r>
    </w:p>
    <w:p>
      <w:pPr>
        <w:spacing w:after="0" w:line="206" w:lineRule="exact"/>
        <w:rPr>
          <w:sz w:val="20"/>
          <w:szCs w:val="20"/>
          <w:color w:val="auto"/>
        </w:rPr>
      </w:pPr>
    </w:p>
    <w:p>
      <w:pPr>
        <w:jc w:val="both"/>
        <w:ind w:firstLine="396"/>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Cash flows used in investing activities of continuing operations for the year ended December 31, 2024 were comprised of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utilized in the acquisition of Ingénia of $292.0 and capital expenditures of $38.0, partially offset by net proceeds from COLI policies of $41.9, inclusive of borrowings of $41.2 against the cash surrender value of these COLI policies (see Note 13 to the consolidated financial statements for additional details) and proceeds of $3.6 received for the sale of property, plant and equipment. Cash flows used in investing activities of continuing operations for the year ended December 31, 2023, were comprised of net cash utilized in the acquisitions of TAMCO and ASPEQ of $547.0 and capital expenditures of $23.9, partially offset by net proceeds from COLI policies of $0.7.</w:t>
      </w:r>
    </w:p>
    <w:p>
      <w:pPr>
        <w:spacing w:after="0" w:line="196" w:lineRule="exact"/>
        <w:rPr>
          <w:sz w:val="20"/>
          <w:szCs w:val="20"/>
          <w:color w:val="auto"/>
        </w:rPr>
      </w:pPr>
    </w:p>
    <w:p>
      <w:pPr>
        <w:jc w:val="both"/>
        <w:ind w:firstLine="396"/>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Cash flows from financing activities of continuing operations for the year ended December 31, 2024 were comprised of (i)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Credit Agreement of $63.0, primarily in connection with the Ingénia acquisition, (ii) net repayments under our trade receivables financing arrangement of $7.0 and other various debt instruments of $1.2, and (iii) fees paid in connection with the August 30, 2024 amendment of our Credit Agreement of $2.6. These net borrowings were partially offset by proceeds from options exercised, net of minimum tax withholdings paid on behalf of employees related to long-term incentive awards, of $0.9. Cash flows from financing activities of continuing operations for the year ended December 31, 2023 were comprised of net borrowings under the Credit Agreement and trade receivables financing arrangement of $296.6 and $16.0, respectively, primarily in connection with the TAMCO and ASPEQ acquisitions. These borrowings were partially offset by minimum tax withholdings paid on behalf of employees on long-term incentive awards, net of proceeds from options exercised, of $1.3, and fees paid in connection with the Incremental Term Loan of $1.3. Net repayments under our other various debt instruments totaled $0.4.</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Discontinued Operations </w:t>
      </w:r>
      <w:r>
        <w:rPr>
          <w:rFonts w:ascii="Calibri" w:cs="Calibri" w:eastAsia="Calibri" w:hAnsi="Calibri"/>
          <w:sz w:val="18"/>
          <w:szCs w:val="18"/>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flows used in discontinued operations for the year ended December 31, 2024 relate primarily to the final payment under</w:t>
      </w:r>
    </w:p>
    <w:p>
      <w:pPr>
        <w:spacing w:after="0" w:line="1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the Settlement Agreement of $25.1 (net of the cash received upon maturation of the related foreign currency forward contracts of $2.0) to MHI and disbursements for liabilities retained in connection with previous dispositions. Cash flows used in discontinued operations for the year ended December 31, 2023 relate primarily to (i) cash payments of $25.3 made by DBT to MHI during the third quarter of 2023 in connection with the Settlement Agreement, and</w:t>
      </w:r>
    </w:p>
    <w:p>
      <w:pPr>
        <w:spacing w:after="0" w:line="2" w:lineRule="exact"/>
        <w:rPr>
          <w:sz w:val="20"/>
          <w:szCs w:val="20"/>
          <w:color w:val="auto"/>
        </w:rPr>
      </w:pPr>
    </w:p>
    <w:p>
      <w:pPr>
        <w:jc w:val="both"/>
        <w:ind w:firstLine="6"/>
        <w:spacing w:after="0" w:line="228"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of $14.7 for professional fees and support costs incurred principally in connection with the various dispute resolution matters resolved by the Settlement Agreement, partially offset by the recovery of legal costs we were awarded in arbitration proceedings between DBT and MHI of $6.8. Refer to Notes 4 and 15 to the consolidated financial statements for additional details related to the Settlement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8" w:name="page39"/>
    <w:bookmarkEnd w:id="38"/>
    <w:p>
      <w:pPr>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Change in Cash and Equivalents Due to Changes in Foreign Currency Exchange Rates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our cash and equivalents during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16" w:lineRule="exact"/>
        <w:rPr>
          <w:sz w:val="20"/>
          <w:szCs w:val="20"/>
          <w:color w:val="auto"/>
        </w:rPr>
      </w:pPr>
    </w:p>
    <w:p>
      <w:pPr>
        <w:jc w:val="both"/>
        <w:ind w:firstLine="396"/>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The increase in cash flows from operating activities of continuing operations during the year ended December 31,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2022, was due primarily to (i) the increase in income during the period discussed previously, (ii) cash contributed during 2022 to the divested subsidiaries of $138.8 in connection with the Asbestos Portfolio Sale, (iii) a reduction in the level of elevated purchases of raw materials and components, primarily within our HVAC reportable segment, during 2023, due to a more stable supply chain environment, (iv) working capital improvements at certain of our project-related businesses, as cash flows for these businesses are often subject to contract milestones that can impact the timing of cash flows from period to period, (v) net payments for asbestos-related matters made prior to the Asbestos Portfolio Sale in 2022, of $15.3, and (vi) a cash payment of $10.0 during the first half of 2022 in connection with the transfer of a portion of our postretirement life insurance benefit obligation to an insurance carrier (see Note 11 to our consolidated financial statements for additional details).</w:t>
      </w:r>
    </w:p>
    <w:p>
      <w:pPr>
        <w:spacing w:after="0" w:line="197"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 Cash flows used in investing activities of continuing operations for the year ended December 31, 2023 were comprised of net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utilized in the acquisitions of TAMCO and ASPEQ of $547.0 and capital expenditures of $23.9, partially offset by net proceeds from COLI policies of $0.7. Cash flows used in investing activities of continuing operations for the year ended December 31, 2022 were comprised of cash utilized in the acquisition of ITL of $41.8 and capital expenditures of $15.9, partially offset by net proceeds from COLI policies of $3.7 and $1.8 received upon agreement with the sellers on acquired working capital balances associated with the acquisitions of Cincinnati Fan &amp; Ventilator Co., Inc. acquired in 2021 and ITL acquired in 2022.</w:t>
      </w:r>
    </w:p>
    <w:p>
      <w:pPr>
        <w:spacing w:after="0" w:line="207" w:lineRule="exact"/>
        <w:rPr>
          <w:sz w:val="20"/>
          <w:szCs w:val="20"/>
          <w:color w:val="auto"/>
        </w:rPr>
      </w:pPr>
    </w:p>
    <w:p>
      <w:pPr>
        <w:jc w:val="both"/>
        <w:ind w:firstLine="396"/>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 Cash flows from financing activities of continuing operations for the year ended December 31, 2023 were comprised of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borrowings under the Credit Agreement and trade receivables financing arrangement of $296.6 and $16.0, respectively, primarily in connection with the TAMCO and ASPEQ acquisitions. These borrowings were partially offset by minimum tax withholdings paid on behalf of employees on long-term incentive awards, net of proceeds from options exercised, of $1.3, and fees paid in connection with the Incremental Term Loan of $1.3. Net repayments under our other various debt instruments totaled $0.4. Cash flows used in financing activities of continuing operations for the year ended December 31, 2022 were comprised primarily of repurchases of common stock of $33.7, minimum tax withholdings paid on behalf of employees on net-share settlements of long-term incentive awards, net of proceeds from options exercised, of $3.5, and contingent consideration of $1.3 paid in relation to the acquisition of Sensors &amp; Software, Inc. (“Sensors &amp; Software”), which was acquired in 2020. Additionally, prior to the August 12, 2022 amendment of our Credit Agreement, we made scheduled repayments under our then-existing term loan of $6.3 and in connection with entering the Credit Agreement, we received $245.0 under our new term loan and</w:t>
      </w:r>
    </w:p>
    <w:p>
      <w:pPr>
        <w:spacing w:after="0" w:line="4" w:lineRule="exact"/>
        <w:rPr>
          <w:sz w:val="20"/>
          <w:szCs w:val="20"/>
          <w:color w:val="auto"/>
        </w:rPr>
      </w:pPr>
    </w:p>
    <w:p>
      <w:pPr>
        <w:ind w:firstLine="6"/>
        <w:spacing w:after="0" w:line="228" w:lineRule="auto"/>
        <w:tabs>
          <w:tab w:leader="none" w:pos="2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the remaining balance under the then-existing term loan of $237.4 and (ii) paid fees in connection with the refinancing of $1.9. Net repayments under our various other debt instruments totaled $0.8.</w:t>
      </w:r>
    </w:p>
    <w:p>
      <w:pPr>
        <w:spacing w:after="0" w:line="201" w:lineRule="exact"/>
        <w:rPr>
          <w:sz w:val="20"/>
          <w:szCs w:val="20"/>
          <w:color w:val="auto"/>
        </w:rPr>
      </w:pPr>
    </w:p>
    <w:p>
      <w:pPr>
        <w:jc w:val="both"/>
        <w:ind w:firstLine="396"/>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used in discontinued operations for the year ended December 31, 2023 relate primarily to (i) cash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$25.3 made by DBT to MHI during the third quarter of 2023 in connection with the Settlement Agreement, and (ii) disbursements of $14.7 for professional fees and support costs incurred principally in connection with the various dispute resolution matters resolved by the Settlement Agreement, partially offset by the recovery of legal costs we were awarded in arbitration proceedings between DBT and MHI of $6.8. Refer to Notes 4 and 15 to the consolidated financial statements for additional details related to the Settlement Agreement. Cash flows used in discontinued operations for the year ended December 31, 2022 related primarily to (i) disbursements for professional fees incurred in connection with the claims activities related to the large power projects in South Africa (see Note 15 to the consolidated financial statements for additional details), (ii) disbursements related to asbestos product liability matters made prior to the Asbestos Portfolio Sale,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 These disbursements were partially offset by proceeds from stock options exercised of $1.0.</w:t>
      </w:r>
    </w:p>
    <w:p>
      <w:pPr>
        <w:spacing w:after="0" w:line="201" w:lineRule="exact"/>
        <w:rPr>
          <w:sz w:val="20"/>
          <w:szCs w:val="20"/>
          <w:color w:val="auto"/>
        </w:rPr>
      </w:pPr>
    </w:p>
    <w:p>
      <w:pPr>
        <w:ind w:firstLine="39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Change in Cash and Equivalents Due to Changes in Foreign Currency Exchange Rates </w:t>
      </w:r>
      <w:r>
        <w:rPr>
          <w:rFonts w:ascii="Calibri" w:cs="Calibri" w:eastAsia="Calibri" w:hAnsi="Calibri"/>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did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our cash and equivalents during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year ended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(5)</w:t>
            </w:r>
          </w:p>
        </w:tc>
        <w:tc>
          <w:tcPr>
            <w:tcW w:w="180" w:type="dxa"/>
            <w:vAlign w:val="bottom"/>
          </w:tcPr>
          <w:p>
            <w:pPr>
              <w:spacing w:after="0"/>
              <w:rPr>
                <w:sz w:val="13"/>
                <w:szCs w:val="13"/>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49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Revolving loans </w:t>
            </w:r>
            <w:r>
              <w:rPr>
                <w:rFonts w:ascii="Times New Roman" w:cs="Times New Roman" w:eastAsia="Times New Roman" w:hAnsi="Times New Roman"/>
                <w:sz w:val="20"/>
                <w:szCs w:val="20"/>
                <w:color w:val="auto"/>
                <w:vertAlign w:val="superscript"/>
              </w:rPr>
              <w:t>(1)</w:t>
            </w:r>
          </w:p>
        </w:tc>
        <w:tc>
          <w:tcPr>
            <w:tcW w:w="84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20"/>
                <w:szCs w:val="20"/>
                <w:color w:val="auto"/>
                <w:vertAlign w:val="superscript"/>
              </w:rPr>
              <w:t>(2)</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Trade receivables financing arrangement </w:t>
            </w:r>
            <w:r>
              <w:rPr>
                <w:rFonts w:ascii="Times New Roman" w:cs="Times New Roman" w:eastAsia="Times New Roman" w:hAnsi="Times New Roman"/>
                <w:sz w:val="20"/>
                <w:szCs w:val="20"/>
                <w:color w:val="auto"/>
                <w:vertAlign w:val="superscript"/>
              </w:rPr>
              <w:t>(3)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1"/>
        </w:trPr>
        <w:tc>
          <w:tcPr>
            <w:tcW w:w="49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indebtedness </w:t>
            </w:r>
            <w:r>
              <w:rPr>
                <w:rFonts w:ascii="Times New Roman" w:cs="Times New Roman" w:eastAsia="Times New Roman" w:hAnsi="Times New Roman"/>
                <w:sz w:val="20"/>
                <w:szCs w:val="20"/>
                <w:color w:val="auto"/>
                <w:vertAlign w:val="superscript"/>
              </w:rPr>
              <w:t>(4)</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line="20" w:lineRule="exact"/>
              <w:rPr>
                <w:sz w:val="1"/>
                <w:szCs w:val="1"/>
                <w:color w:val="auto"/>
              </w:rPr>
            </w:pPr>
          </w:p>
        </w:tc>
      </w:tr>
      <w:tr>
        <w:trPr>
          <w:trHeight w:val="156"/>
        </w:trPr>
        <w:tc>
          <w:tcPr>
            <w:tcW w:w="49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7"/>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57" w:lineRule="exact"/>
        <w:rPr>
          <w:sz w:val="20"/>
          <w:szCs w:val="20"/>
          <w:color w:val="auto"/>
        </w:rPr>
      </w:pPr>
    </w:p>
    <w:p>
      <w:pPr>
        <w:ind w:left="640" w:hanging="317"/>
        <w:spacing w:after="0" w:line="221"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loan facility extends through August 2027 under the terms of the Credit Agreement and is primarily used to provide liquidity for funding acquisitions, including related fees and expenses, and was utilized as the primary funding mechanism for the Ingénia acquisition.</w:t>
      </w:r>
    </w:p>
    <w:p>
      <w:pPr>
        <w:spacing w:after="0" w:line="228"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loans are repayable in quarterly installments equal to 1.25% of the initial term loan balances of $545.0, in all quarters of 2025 and 2026, and the first two quarters of 2027. The remaining balances are payable in full on August 12, 2027. Balances are net of unamortized debt issuance costs of $1.2 and $1.7 at December 31, 2024 and December 31, 2023, respectively.</w:t>
      </w:r>
    </w:p>
    <w:p>
      <w:pPr>
        <w:spacing w:after="0" w:line="216"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December 31, 2024, we had $61.7 of available borrowing capacity under this facility after giving effect to outstanding borrowings of $9.0.</w:t>
      </w:r>
    </w:p>
    <w:p>
      <w:pPr>
        <w:spacing w:after="0" w:line="84" w:lineRule="exact"/>
        <w:rPr>
          <w:rFonts w:ascii="Times New Roman" w:cs="Times New Roman" w:eastAsia="Times New Roman" w:hAnsi="Times New Roman"/>
          <w:sz w:val="21"/>
          <w:szCs w:val="21"/>
          <w:color w:val="auto"/>
          <w:vertAlign w:val="superscript"/>
        </w:rPr>
      </w:pPr>
    </w:p>
    <w:p>
      <w:pPr>
        <w:jc w:val="both"/>
        <w:ind w:left="640" w:hanging="317"/>
        <w:spacing w:after="0" w:line="234" w:lineRule="auto"/>
        <w:tabs>
          <w:tab w:leader="none" w:pos="62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$1.1 and $1.9 and finance lease obligations of $1.2 and $0.5 at December 31,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63"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impact of amortization of debt issuance costs associated with the term loans.</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Maturities of long-term debt payable during each of the five years subsequent to December 31, 2024 are $27.6, $27.7, $550.3, $0.2, and $0.1,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Facilities</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August 30, 2024, we entered into the Credit Agreement pursuant to the Second Amendment to the Amended and Restated Credit Agreement and Incremental Facility Activation Notice (the “Second Amendment”) with Bank of America, N.A., as administrative agent (the “Administrative Agent”), the lenders party thereto, and certain domestic subsidiaries of the Company, as guarantors, which amended our prior Amended and Restated Credit Agreement, dated as of August 12, 2022 with the lenders party thereto, Deutsche Bank AG, as foreign trade facility agent, and the Administrative Agent.</w:t>
      </w:r>
    </w:p>
    <w:p>
      <w:pPr>
        <w:spacing w:after="0" w:line="21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Second Amendment increases the aggregate revolving credit commitments under the Credit Agreement from $500.0 to $1,000.0 and makes certain conforming changes and other amendments to the Credit Agreement. We expect to utilize the increased revolving credit capacity to finance, in part, permitted acquisitions, to pay related fees, costs and expenses and for other lawful corporate purposes. In connection with the Second Amendment, we capitalized $2.6 of debt issuance costs within “Other assets” on the consolidated balance sheet as of December 31, 2024.</w:t>
      </w:r>
    </w:p>
    <w:p>
      <w:pPr>
        <w:spacing w:after="0" w:line="21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April 21, 2023, we entered into an Incremental Facility Activation Notice with Bank of America, N.A., as administrative agent, and the lenders party thereto, which amended the Amended and Restated Credit Agreement, dated as of August 12, 2022, among the Company, the lenders party thereto, Deutsche Bank AG, as foreign trade facility agent, and the Administrative Agent (“Incremental Amendment”).</w:t>
      </w:r>
    </w:p>
    <w:p>
      <w:pPr>
        <w:spacing w:after="0" w:line="20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Incremental Amendment provides for an Incremental Term Loan in the aggregate amount of $300.0, which was available in up to three drawings (subject to customary conditions) from the Incremental Amendment Effective Date to October 18, 2023.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40" w:name="page41"/>
    <w:bookmarkEnd w:id="40"/>
    <w:p>
      <w:pPr>
        <w:ind w:firstLine="396"/>
        <w:spacing w:after="0" w:line="270" w:lineRule="auto"/>
        <w:rPr>
          <w:sz w:val="20"/>
          <w:szCs w:val="20"/>
          <w:color w:val="auto"/>
        </w:rPr>
      </w:pPr>
      <w:r>
        <w:rPr>
          <w:rFonts w:ascii="Times New Roman" w:cs="Times New Roman" w:eastAsia="Times New Roman" w:hAnsi="Times New Roman"/>
          <w:sz w:val="18"/>
          <w:szCs w:val="18"/>
          <w:color w:val="auto"/>
        </w:rPr>
        <w:t>The credit facilities (the “Senior Credit Facilities”) under the Credit Agreement consist of the following at December 31, 2024 (each with a final maturity of August 12, 2027):</w:t>
      </w:r>
    </w:p>
    <w:p>
      <w:pPr>
        <w:spacing w:after="0" w:line="194" w:lineRule="exact"/>
        <w:rPr>
          <w:sz w:val="20"/>
          <w:szCs w:val="20"/>
          <w:color w:val="auto"/>
        </w:rPr>
      </w:pPr>
    </w:p>
    <w:p>
      <w:pPr>
        <w:ind w:left="640" w:hanging="317"/>
        <w:spacing w:after="0" w:line="270"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facilities with original aggregate principal amounts of $545.0 ($245.0 and $300.0 related to our original term loan and the Incremental Term Loan, respectively);</w:t>
      </w:r>
    </w:p>
    <w:p>
      <w:pPr>
        <w:spacing w:after="0" w:line="194" w:lineRule="exact"/>
        <w:rPr>
          <w:rFonts w:ascii="Times New Roman" w:cs="Times New Roman" w:eastAsia="Times New Roman" w:hAnsi="Times New Roman"/>
          <w:sz w:val="18"/>
          <w:szCs w:val="18"/>
          <w:color w:val="auto"/>
        </w:rPr>
      </w:pPr>
    </w:p>
    <w:p>
      <w:pPr>
        <w:jc w:val="both"/>
        <w:ind w:left="640" w:hanging="317"/>
        <w:spacing w:after="0" w:line="25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available for loans and letters of credit in Dollars, Euro, Sterling and other currencies, in an aggregate principal amount up to the equivalent of $1,000.0 (with sub-limits equal to the equivalents of $200.0 for financial letters of credit, $50.0 for non-financial letters of credit, and $150.0 for non-U.S. exposure);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available for performance letters of credit and bank undertakings, in an aggregate principal amount in various currencies up to the equivalent of $25.0.</w:t>
      </w:r>
    </w:p>
    <w:p>
      <w:pPr>
        <w:spacing w:after="0" w:line="102"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At December 31, 2024, we had $909.0 of available borrowing capacity under our revolving credit facilities, after giving effect to borrowings under the domestic revolving loan facilities of $80.0 and $11.0 reserved for outstanding letters of credit. In addition, at December 31, 2024, we had $8.0 of available issuance capacity under our foreign credit instrument facilities after giving effect to $17.0 reserved for outstanding letters of credit.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December 31, 2024, we were in compliance with all covenants of our Credit Agreement.</w:t>
      </w:r>
    </w:p>
    <w:p>
      <w:pPr>
        <w:spacing w:after="0" w:line="15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Refer to Note 13 to the consolidated financial statements for additional details of the Credit Agreement, including details of covenants, applicable interest rate margins and fees.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of our businesses purchase goods and services under a purchase card program allowing for payment beyond their normal payment terms. As of December 31, 2024 and 2023, the participating businesses had $1.1 and $1.9, respectively, outstanding under this arrangement.</w:t>
      </w:r>
    </w:p>
    <w:p>
      <w:pPr>
        <w:spacing w:after="0" w:line="12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are party to a trade receivables financing agreement, which is renewed annually for twelve months during the third quarter, whereby we can borrow, on a continuous basis, up to $100.0. Availability of funds may fluctuate over time given, among other things, changes in eligible receivable balances, but will not exceed the $100.0 program limit. The facility contains representations, warranties, covenants and indemnities customary for facilities of this type. The facility does not contain any covenants that we view as materially constraining to the activities of our business.</w:t>
      </w:r>
    </w:p>
    <w:p>
      <w:pPr>
        <w:spacing w:after="0" w:line="15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we maintain an uncommitted line of credit facility in China which is available to fund operations in this region, when necessary, at the discretion of the lender. At December 31, 2024, the aggregate amount of borrowing capacity under this facility was $10.0, while there were no borrowings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Company has investments in COLI policies, which are recorded at their cash surrender value at each balance sheet date. Changes to the cash surrender value at each balance sheet date are recorded as a gain or loss within “Other expense, net” within the consolidated statements of operations. The Company has the ability to borrow against a portion of its investments in the COLI policies as an additional source of liquidity. During 2024, the Company borrowed $41.2 against the cash surrender value of these COLI policies, after which minimal capacity to borrow against the policies remains. Such borrowings were primarily used to pay down amounts payable under the revolving credit facility. The amounts borrowed incur interest at a weighted-average rate of 5.3%. See Note 1 to the consolidated financial statements for additional details of the COLI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measure our financial assets and liabilities on a recurring basis, and nonfinancial assets and liabilities on a non-recurring basis, at fair value. Fair value is the price that would be received to sell an asset or paid to transfer a liability in an orderly transaction between market participants at the measurement date. We utilize market data or assumptions that we believe market participants would use in pricing the asset or liability, including assumptions about risk and the risks inherent in the inputs to the valuation technique. These inputs can be readily observable quoted prices in active markets for identical assets or liabilities (Level 1), significant other observable inputs (Level 2) or significant unobservable inputs (Level 3).</w:t>
      </w:r>
    </w:p>
    <w:p>
      <w:pPr>
        <w:spacing w:after="0" w:line="21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derivative financial assets and liabilities include interest rate swap agreements and forward contracts to manage exposure on contracts with forecasted transactions denominated in non-functional currencies which manage the risk of transaction gains and losses associated with assets/liabilities denominated in currencies other than the functional currency 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color w:val="auto"/>
        </w:rPr>
        <w:t>certain subsidiaries (“FX forward contracts”)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enter into FX forward contracts and interest rate swap agreements, we consider the markets for our fair value instruments active.</w:t>
      </w:r>
    </w:p>
    <w:p>
      <w:pPr>
        <w:spacing w:after="0" w:line="21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there was no significant impact to the fair value of our derivative liabilities due to our own credit risk as the related instruments are collateralized under our Senior Credit Facilities. Similarly, there was no significant impact to the fair value of our derivative assets based on our evaluation of our counterparties’ credit risk.</w:t>
      </w:r>
    </w:p>
    <w:p>
      <w:pPr>
        <w:spacing w:after="0" w:line="20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primarily use the income approach, which uses valuation techniques to convert future amounts to a single present amount. Assets and liabilities measured at fair value on a recurring basis are further discussed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2020, we entered into interest swap agreements (“Initial Swaps”) that covered the period through November 2024, and effectively converted borrowings under our senior credit facilities to a fixed rate of 1.077%, plus the applicable margin. In September 2024, commensurate with the Second Amendment, we entered into additional interest rate swap agreements (“Additional Swaps”). The Additional Swaps have a notional amount of $524.6, cover the period from December 2024 to June 2026, and effectively convert this portion of the borrowings under our senior credit facilities to a fixed rate of 3.58%, plus the applicable margin. We have designated, and are accounting for, our Additional Swaps (and, prior to their maturity, accounted for the Initial Swaps) as cash flow hedges.</w:t>
      </w:r>
    </w:p>
    <w:p>
      <w:pPr>
        <w:spacing w:after="0" w:line="11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2024 and 2023, the unrealized gain, net of tax, recorded in accumulated other comprehensive income (“AOCI”) was $2.6 and $5.7, respectively. In addition, as of December 31, 2024 and 2023, the fair value of our interest rate swap agreements was $3.4 (with $2.7 recorded as a current asset and $0.7 as a non-current asset) and $7.5 recorded as a current asset, respectively. Changes in fair value of our interest rate swap agreements are reclassified into earnings as a component of interest expense when the forecasted transaction impacts earnings.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Forward Contracts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Canadian Dollar, and Euro.</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From time to time, we enter into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the cumulative change in the derivatives’ fair value is recorded into earnings in the period in which the transaction is no longer considered probable of occurring.</w:t>
      </w:r>
    </w:p>
    <w:p>
      <w:pPr>
        <w:spacing w:after="0" w:line="210" w:lineRule="exact"/>
        <w:rPr>
          <w:sz w:val="20"/>
          <w:szCs w:val="20"/>
          <w:color w:val="auto"/>
        </w:rPr>
      </w:pPr>
    </w:p>
    <w:p>
      <w:pPr>
        <w:jc w:val="both"/>
        <w:ind w:firstLine="396"/>
        <w:spacing w:after="0" w:line="279" w:lineRule="auto"/>
        <w:rPr>
          <w:sz w:val="20"/>
          <w:szCs w:val="20"/>
          <w:color w:val="auto"/>
        </w:rPr>
      </w:pPr>
      <w:r>
        <w:rPr>
          <w:rFonts w:ascii="Times New Roman" w:cs="Times New Roman" w:eastAsia="Times New Roman" w:hAnsi="Times New Roman"/>
          <w:sz w:val="17"/>
          <w:szCs w:val="17"/>
          <w:color w:val="auto"/>
        </w:rPr>
        <w:t>We had FX forward contracts with an aggregate notional amount of $22.9 and $9.4 outstanding as of December 31, 2024 and 2023, respectively, with all of the $22.9 scheduled to mature within one year. There were no unrealized gains/losses recorded in AOCI related to the FX forward contracts designated as cash flow hedges as of December 31, 2024 and 2023. The fair value of our FX forward contracts was less than $0.1 at December 31, 2024 and 2023.</w:t>
      </w:r>
    </w:p>
    <w:p>
      <w:pPr>
        <w:spacing w:after="0" w:line="97" w:lineRule="exact"/>
        <w:rPr>
          <w:sz w:val="20"/>
          <w:szCs w:val="20"/>
          <w:color w:val="auto"/>
        </w:rPr>
      </w:pPr>
    </w:p>
    <w:p>
      <w:pPr>
        <w:jc w:val="both"/>
        <w:ind w:firstLine="396"/>
        <w:spacing w:after="0"/>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and a fair value of $1.3, which was included within “Assets of DBT and Heat Transfer” on the consolidated balance sheet as of December 31, 2023. We designated and accounted for these FX forward contracts as fair value hedges. These FX forward contracts matured during the third quarter of 2024 commensurate with the final payment under the Settlement Agreement, resulting in cash received of $2.0 presented within “Net cash used in discontinued operations” within the consolidated statement of cash flows for the year ended December 31, 2024. Refer to Note 4 to the consolidated financial statements for additional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COLI policies, interest rate swaps, and FX forward contracts. These financial instruments, other than trade accounts receivable, are placed with high-quality financial institutions throughout the world. We periodically evaluate the credit standing of these financial institutions.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2" w:name="page43"/>
    <w:bookmarkEnd w:id="42"/>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significant loss, and believe we are not exposed to significant risk of loss, in these accounts.</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Other Commitments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Balances under the Credit Agreement are payable in full on August 12, 2027. Our term loans are repayable in quarterly installments equal to 1.25% of the initial term loan balances of $545.0, in all quarters of 2025 and 2026, and the first two quarters of 2027. The remaining balance is payable in full on August 12, 2027.</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use operating leases to finance certain equipment, vehicles and properties. At December 31, 2024, we had $62.9 of future minimum rental payments under operating leases with remaining non-cancelable terms in excess of one year.</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Capital expenditures for 2024 totaled $38.0, compared to $23.9 and $15.9 in 2023 and 2022, respectively. Capital expenditures in 2024 related primarily to upgrades to existing, and expansion into new, manufacturing facilities, including replacement of equipment. We expect 2025 capital expenditures to approximate $35.0 to $50.0, with a significant portion related to upgrades to existing, and expansion into new, manufacturing facilities.</w:t>
      </w:r>
    </w:p>
    <w:p>
      <w:pPr>
        <w:spacing w:after="0" w:line="10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2024, we made contributions and direct benefit payments of $11.1 to our defined benefit pension and postretirement benefit plans. We expect to make $11.6 of minimum required funding contributions and direct benefit payments in 2025. Our pension plans have not experienced any liquidity difficulties or counterparty defaults due to the volatility in the credit markets. Our pension fund assets had returns of approximately 0.0% in 2024. See Note 11 to our consolidated financial statements for further disclosure of expected future contributions and benefit payments.</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a net basis, both from continuing and discontinued operations, net income tax payments totaled $43.5, $58.4, and $59.6 in 2024, 2023, and 2022, respectively. In 2024, we made payments of $47.0 associated with the actual and estimated tax liability for federal, state and foreign tax obligations and received refunds of $3.5. The amount of income taxes that we receive or pay annually is dependent on various factors, including the timing of certain deductions. Deductions and the amount of income taxes can and do vary from year-to-year.</w:t>
      </w:r>
    </w:p>
    <w:p>
      <w:pPr>
        <w:spacing w:after="0" w:line="11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Certificate of Incorporation provides that we indemnify our officers and directors to the fullest extent permitted by the Delaware General Corporation Law for any personal liability in connection with their employment or service with us, subject to limited exceptions. While we maintain insurance for this type of liability, the liability could exceed the amount of the insurance coverage.</w:t>
      </w:r>
    </w:p>
    <w:p>
      <w:pPr>
        <w:spacing w:after="0" w:line="10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continually review each of our businesses in order to determine their long-term strategic fit. These reviews could result in selected acquisitions to expand an existing business or result in the disposition of an existing business. In addition, you should read “Risk Factors,” “Results for Reportable Segments” included in this MD&amp;A, and “Business” for an understanding of the risks, uncertainties and trends facing our businesses.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2"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As of December 31, 2024, except as discussed in the contractual obligations table below, we did not have any material guarantees, off-balance sheet arrangements or purchase commitments other than the following: (i) $18.1 of certain standby letters of credit outstanding, all of which relate to self-insurance or environmental matters and $11.0 of which reduce the available borrowing capacity on our domestic revolving credit facility, (ii) $17.0 of letters of credit outstanding, all of which reduce the available borrowing capacity on our foreign trade facilities, and (iii) $79.6 of surety bonds.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our primary contractual obligations as of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Due in</w:t>
            </w: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Due in</w:t>
            </w:r>
          </w:p>
        </w:tc>
        <w:tc>
          <w:tcPr>
            <w:tcW w:w="220" w:type="dxa"/>
            <w:vAlign w:val="bottom"/>
          </w:tcPr>
          <w:p>
            <w:pPr>
              <w:spacing w:after="0"/>
              <w:rPr>
                <w:sz w:val="13"/>
                <w:szCs w:val="13"/>
                <w:color w:val="auto"/>
              </w:rPr>
            </w:pPr>
          </w:p>
        </w:tc>
        <w:tc>
          <w:tcPr>
            <w:tcW w:w="10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4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20" w:type="dxa"/>
            <w:vAlign w:val="bottom"/>
          </w:tcPr>
          <w:p>
            <w:pPr>
              <w:spacing w:after="0"/>
              <w:rPr>
                <w:sz w:val="16"/>
                <w:szCs w:val="16"/>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Pension and postretirement benefit plan contributions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80" w:type="dxa"/>
            <w:vAlign w:val="bottom"/>
          </w:tcPr>
          <w:p>
            <w:pPr>
              <w:ind w:left="20"/>
              <w:spacing w:after="0" w:line="238"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Purchase and other contractual obligations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2"/>
                <w:szCs w:val="22"/>
                <w:color w:val="auto"/>
                <w:vertAlign w:val="superscript"/>
              </w:rPr>
              <w:t>(3)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3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2"/>
                <w:szCs w:val="22"/>
                <w:color w:val="auto"/>
                <w:vertAlign w:val="superscript"/>
              </w:rPr>
              <w:t>(5)</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14" w:lineRule="exact"/>
        <w:rPr>
          <w:sz w:val="20"/>
          <w:szCs w:val="20"/>
          <w:color w:val="auto"/>
        </w:rPr>
      </w:pPr>
    </w:p>
    <w:p>
      <w:pPr>
        <w:jc w:val="both"/>
        <w:ind w:left="640" w:hanging="317"/>
        <w:spacing w:after="0" w:line="239" w:lineRule="auto"/>
        <w:tabs>
          <w:tab w:leader="none" w:pos="6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minimum required pension funding and pension and postretirement benefit payments are based on actuarial estimates using current assumptions for, among other things, discount rates, expected long-term rates of return on plan assets (where applicable), and health care cost trend rates. The expected pension contributions for the U.S. plans in 2025 and thereafter reflect the minimum required contributions under the Pension Protection Act of 2006 and the Worker, Retiree, and Employer Recovery Act of 2008. These contributions do not reflect potential voluntary contributions, or additional contributions that may be required in connection with acquisitions, dispositions or related plan mergers. See Note 11 to our consolidated financial statements for additional information on expected future contributions and benefit payments.</w:t>
      </w:r>
    </w:p>
    <w:p>
      <w:pPr>
        <w:spacing w:after="0" w:line="63"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contractual commitments to purchase goods and services at specified dates.</w:t>
      </w:r>
    </w:p>
    <w:p>
      <w:pPr>
        <w:spacing w:after="0" w:line="53" w:lineRule="exact"/>
        <w:rPr>
          <w:rFonts w:ascii="Times New Roman" w:cs="Times New Roman" w:eastAsia="Times New Roman" w:hAnsi="Times New Roman"/>
          <w:sz w:val="21"/>
          <w:szCs w:val="21"/>
          <w:color w:val="auto"/>
          <w:vertAlign w:val="superscript"/>
        </w:rPr>
      </w:pPr>
    </w:p>
    <w:p>
      <w:pPr>
        <w:ind w:left="620" w:hanging="297"/>
        <w:spacing w:after="0" w:line="235" w:lineRule="auto"/>
        <w:tabs>
          <w:tab w:leader="none" w:pos="6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rental payments under operating leases with remaining non-cancelable terms in excess of one year.</w:t>
      </w:r>
    </w:p>
    <w:p>
      <w:pPr>
        <w:spacing w:after="0" w:line="67" w:lineRule="exact"/>
        <w:rPr>
          <w:rFonts w:ascii="Times New Roman" w:cs="Times New Roman" w:eastAsia="Times New Roman" w:hAnsi="Times New Roman"/>
          <w:sz w:val="21"/>
          <w:szCs w:val="21"/>
          <w:color w:val="auto"/>
          <w:vertAlign w:val="superscript"/>
        </w:rPr>
      </w:pPr>
    </w:p>
    <w:p>
      <w:pPr>
        <w:ind w:left="620" w:hanging="297"/>
        <w:spacing w:after="0" w:line="222" w:lineRule="auto"/>
        <w:tabs>
          <w:tab w:leader="none" w:pos="6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interest payments exclusive of the impact of our interest rate swap agreements.</w:t>
      </w:r>
    </w:p>
    <w:p>
      <w:pPr>
        <w:spacing w:after="0" w:line="96"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Contingent obligations, such as environmental accruals and those relating to uncertain tax positions generally do not have specific payment dates and accordingly have been excluded from the above table. We believe that within the next 12 months it is reasonably possible that our previously unrecognized tax benefits could decrease up to $1.0. In addition, the above table does not include potential payments under our derivative financial instruments.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listed below. This section should be read in conjunction with Notes 1 and 2 to our consolidated financial statements, which include a detailed discussion of these and other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w:t>
      </w:r>
    </w:p>
    <w:p>
      <w:pPr>
        <w:spacing w:after="0" w:line="231"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10-K. We regularly review and negotiate potential acquisitions in the ordinary course of business, some of which are or may be material. The acquired assets and liabilities are recorded at estimates of fair value as determined by management, based on information available and assumptions as to future operations and are subject to change upon completion of the acquisition method of accounting. Final determination of the fair value of certain assets and liabilities are completed within the measurement period of up to one year from the acquisition date, as permitted under GAAP.</w:t>
      </w:r>
    </w:p>
    <w:p>
      <w:pPr>
        <w:spacing w:after="0" w:line="213"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These fair market value assessments require judgments and estimates that can be affected by various factors over time, which may cause final amounts to be materially adjusted from original estimates in subsequent periods. The significant judgments include (i) the estimation of future cash flows, which are dependent on forecasts, (ii) the estimation of a long-term rate of growth, (iii) the estimation of the useful life of the assets, and (iv) the determination of a risk-adjusted weighted-average cost of capital. When appropriate, our estimates of the acquired fair values include assistance from an independent third-party.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4" w:name="page45"/>
    <w:bookmarkEnd w:id="44"/>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Inventories, long-lived assets (primarily property, plant and equipment), goodwill, and intangible assets generally represent the largest components of our acquisitions. In addition, we also acquire other categories of assets and liabilities which can include, but are not limited to, accounts receivable, accounts payable and other working capital. Due to their short-term nature, the fair values of these assets and liabilities generally approximate the carrying values reflected on the acquired balance sheet. However, when appropriate, we adjust these carrying values for factors such as collectability, existence, and consistency with Company accounting policies. We record the excess of consideration transferred over the fair value of the identifiable net assets acquired as goodwill.</w:t>
      </w:r>
    </w:p>
    <w:p>
      <w:pPr>
        <w:spacing w:after="0" w:line="21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primary identifiable intangible assets that we acquire typically consist of customer relationships, indefinite-lived and definite-lived trademarks, technology, and backlog. We record trademarks at a fair value equal to the present value of the hypothetical or potential royalty income attributable to it. The royalty income attributable to a trademark represents the hypothetical cost savings that are derived from owning the trademark instead of paying royalties to license the trademark. Inventories acquired in the transaction are recorded at fair value, which approximates a market participant’s estimated selling price adjusted for (i) costs to complete, (ii) costs to sell, and (iii) a reasonable profit allowance to the seller for costs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 and Indefinite-Lived Intangible Assets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instead are subject to annual impairment testing. We review goodwill and indefinite-lived intangible assets for impairment annually during the fourth quarter and continually assess whether a triggering event has occurred that indicates the carrying value may exceed the implied fair value. We monitor the results of each of our reporting units as a means of identifying trends and/or matters that may impact their financial results and, thus, be an indicator of a potential impairment. The trends and/or matters that we specifically monitor for each of our reporting units are as follows:</w:t>
      </w:r>
    </w:p>
    <w:p>
      <w:pPr>
        <w:spacing w:after="0" w:line="212" w:lineRule="exact"/>
        <w:rPr>
          <w:sz w:val="20"/>
          <w:szCs w:val="20"/>
          <w:color w:val="auto"/>
        </w:rPr>
      </w:pPr>
    </w:p>
    <w:p>
      <w:pPr>
        <w:ind w:left="720" w:hanging="31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variances in financial performance (e.g., revenues, earnings and cash flows) in relation to expectations and historical performance;</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end markets or other economic factors;</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planned changes in our use of a reporting unit’s assets; and</w:t>
      </w:r>
    </w:p>
    <w:p>
      <w:pPr>
        <w:spacing w:after="0" w:line="241" w:lineRule="exact"/>
        <w:rPr>
          <w:rFonts w:ascii="Times New Roman" w:cs="Times New Roman" w:eastAsia="Times New Roman" w:hAnsi="Times New Roman"/>
          <w:sz w:val="18"/>
          <w:szCs w:val="18"/>
          <w:color w:val="auto"/>
        </w:rPr>
      </w:pPr>
    </w:p>
    <w:p>
      <w:pPr>
        <w:ind w:left="720" w:hanging="31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customer relationships and competitive conditions.</w:t>
      </w:r>
    </w:p>
    <w:p>
      <w:pPr>
        <w:spacing w:after="0" w:line="15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identification and measurement of goodwill impairment involves the estimation of the fair value of reporting units. We have the option to assess impairment through a qualitative assessment, which includes factors such as general economic conditions, negative developments in equity and credit markets, adverse changes in the markets in which a reporting unit operates, increases in input costs that have a negative effect on earnings and cash flows, or a trend of negative or declining cash flows over multiple periods, among others. When a potential impairment is indicated, we perform quantitative testing by comparing the estimated fair value of the reporting unit to the carrying value of the reported net assets. Under our quantitative testing, fair value is generally based on discounted projected cash flows, but we also consider factors such as comparable industry price multiples. The revenue growth rates included in the financial projections are our best estimates based on current and forecasted market conditions, and the profit margin assumptions are projected by each reporting unit based on current cost structure and, when applicable, anticipated net cost increases/reductions.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calculation of fair value for our reporting units incorporates many assumptions including future growth rates, profit margin and discount factors.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economic and operating conditions impacting these assumptions could result in impairment charges in future periods.</w:t>
      </w:r>
    </w:p>
    <w:p>
      <w:pPr>
        <w:spacing w:after="0" w:line="11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indicated in Note 10 to the consolidated financial statements, in connection with our annual impairment analyses of ULC’s goodwill and indefinite-lived intangibles during the fourth quarter of 2022, we determined that the carrying value of ULC’s net assets exceeded the implied fair value of the business. As a result, we recorded an impairment charge of $12.9 ($12.0 related to goodwill, which represented all of ULC’s goodwill prior to impairment, and $0.9 related to trademarks) during the fourth quarter of 2022.</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we performed our analyses on the goodwill of our reporting units. The fair value of the assets related to the Ingénia acquisition approximate their carrying value. If Ingénia is unable to achieve its current financial forecast or there is a change in assumptions used in Ingénia’s analysis (e.g. project revenues and profit growth rates, discount rates, industry price multiples, etc.), we may be required to record an impairment charge in a future period related to its goodwill. As of December 31, 2024, Ingénia’s goodwill totaled $133.6.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5" w:name="page46"/>
    <w:bookmarkEnd w:id="45"/>
    <w:p>
      <w:pPr>
        <w:jc w:val="both"/>
        <w:ind w:firstLine="396"/>
        <w:spacing w:after="0" w:line="265" w:lineRule="auto"/>
        <w:rPr>
          <w:sz w:val="20"/>
          <w:szCs w:val="20"/>
          <w:color w:val="auto"/>
        </w:rPr>
      </w:pPr>
      <w:r>
        <w:rPr>
          <w:rFonts w:ascii="Times New Roman" w:cs="Times New Roman" w:eastAsia="Times New Roman" w:hAnsi="Times New Roman"/>
          <w:sz w:val="17"/>
          <w:szCs w:val="17"/>
          <w:color w:val="auto"/>
        </w:rPr>
        <w:t>We perform our annual trademarks impairment testing during the fourth quarter, or on a more frequent basis if there are indications of potential impairment. The fair values of our trademarks are determined by applying estimated royalty rates to projected revenues, with resulting cash flows discounted at a rate of return that reflects current market conditions. The basis for these projected revenues is the annual operating plan for each of the related businesses, which is prepared in the fourth quarter of each year. In connection with the annual impairment testing of our trademarks during the fourth quarters of 2024, 2023, and 2022, we recorded impairment charges of $0.0, $0.0, and $1.4 (including $0.9 related to ULC as noted above), respectively. In connection with the 2024 annual trademark impairment analyses, we determined that the implied value of ASPEQ’s trademarks approximated their carrying value. If ASPEQ is unable to achieve its current revenue forecast, or there is a change in assumptions used in ASPEQ’s analysis (e.g., projected revenues and discount rates, etc.), we may be required to record an impairment charge in a future period related to its trademarks. As of December 31, 2024, ASPEQ’s trademarks totaled $51.5.</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10 to our consolidated financial statements for additional details.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9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among other lines of coverage,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5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$39.9 and $37.9 at December 31, 2024 and 2023, respectively. Of these amounts, $32.0 and $29.4 are included in “Other long-term liabilities” within our consolidated balance sheets at December 31, 2024 and 2023,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 in future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 for Contingent Consideration Related to ULC Acquisition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for additional cash consideration of up to $45.0 under an earn-out provision. During the third quarter of 2021, we concluded that none of the milestones for the payment of any of the contingent consideration were achieved.</w:t>
      </w:r>
    </w:p>
    <w:p>
      <w:pPr>
        <w:spacing w:after="0" w:line="10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May 20, 2024, we entered into a settlement agreement with the seller of ULC to resolve a lawsuit that commenced in August 2022 seeking contingent consideration of $15.0, prejudgment interest on that amount, and attorney's fees. The settlement agreement required a payment by us to the seller of ULC of $8.4, which was paid during the second quarter of 2024, with a corresponding charge recorded within “Other operating expense, net” within the consolidated statement of operations for the year ended December 31, 2024. We expect this payment to be tax deductible in future periods.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Resolution of Dispute with Former Representative</w:t>
      </w:r>
    </w:p>
    <w:p>
      <w:pPr>
        <w:spacing w:after="0" w:line="23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 in connection with an agreement entered into with a former representative. On January 26, 2024, we negotiated a settlement requiring a payment to the former representative of $9.0 to resolve all claims related to the matter. This amount was recorded to “Other operating expense, net” within the consolidated statement of operations for the year ended December 31, 2023 and paid during the first quarter of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Matters</w:t>
      </w:r>
    </w:p>
    <w:p>
      <w:pPr>
        <w:spacing w:after="0" w:line="24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indicated in Note 1 to our consolidated financial statements, we completed the Asbestos Portfolio Sale on November 1, 2022, which resulted in the divestiture of three wholly-owned subsidiaries that hold asbestos liabilities and certain assets,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18"/>
          <w:szCs w:val="18"/>
          <w:color w:val="auto"/>
        </w:rPr>
        <w:t>including related insurance assets. As a result of this transaction, all asbestos obligations and liabilities and related insurance assets have been removed from our consolidated balance sheets effective November 12, 2022. During the year ended December 31, 2022, our payments for asbestos-related claims, net of respective insurance recoveries of $31.6, were $20.1.</w:t>
      </w:r>
    </w:p>
    <w:p>
      <w:pPr>
        <w:spacing w:after="0" w:line="20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2022, we recorded charges of $24.2 as a result of changes in estimates associated with the liabilities and assets related to asbestos-related claims. Of these charges, $18.8 were reflected in “Income from continuing operations before income taxes” and $5.4 were reflected in “Loss on disposition of discontinued operations, net of tax.”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Large Power Projects in South Africa</w:t>
      </w:r>
    </w:p>
    <w:p>
      <w:pPr>
        <w:spacing w:after="0" w:line="229"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 Since 2008, DBT had been executing on two large power projects in South Africa (Kusile and Medupi), on which it has completed its scope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 had asserted claims against the remaining prime contractor, MHI, and MHI had asserted, or issued letters of intent to claim for, alleged damages against DBT. On September 5, 2023, DBT and SPX entered into the Settlement Agreement to resolve all claims between the parties with respect to the two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4 to the consolidated financial statements for additional details.</w:t>
      </w:r>
    </w:p>
    <w:p>
      <w:pPr>
        <w:spacing w:after="0" w:line="203"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Prior to the Settlement Agreement, DBT had experienced success in enforcing its rights through dispute resolution processes, including a favorable arbitration ruling during the first quarter of 2023 related to awards for costs incurred in connection with delays on the Kusile project of South African Rand 126.6 (or $7.0) with such amount recorded to “Loss on disposition of discontinued operations, net of tax” during the first quarter of 2023. Further, in June 2023, the arbitration tribunal ruled DBT was entitled to recover $1.3 of legal costs incurred related to the arbitration. Additionally, in May 2023, a separate arbitration tribunal ruled DBT was entitled to recover $5.5 of legal costs incurred related to another prior arbitration. Such amounts were recorded within “Loss on disposition of discontinued operations, net of tax” during the second quarter of 2023 with the cash payments received in 2023.</w:t>
      </w:r>
    </w:p>
    <w:p>
      <w:pPr>
        <w:spacing w:after="0" w:line="21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Claim against Surety </w:t>
      </w:r>
      <w:r>
        <w:rPr>
          <w:rFonts w:ascii="Times New Roman" w:cs="Times New Roman" w:eastAsia="Times New Roman" w:hAnsi="Times New Roman"/>
          <w:sz w:val="18"/>
          <w:szCs w:val="18"/>
          <w:color w:val="auto"/>
        </w:rPr>
        <w:t>- On February 5, 2021, DBT received payment of $6.7 on bonds issued in support of performance by one of DBT’s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currently in liquidation. The subcontractor or liquidator maintain rights to seek recovery of such amount and, thus, the amount received by DBT has not been reflected in our consolidated statements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78"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We believe that we are in substantial compliance with applicable environmental requirements. We are currently involved in various investigatory and remedial actions at our facilities and at third-party waste disposal sites. It is our policy to accrue for estimated losses from legal actions or claims when events exist that make the realization of the losses or expenses probable and they can be reasonably estimated. Our environmental accruals cover anticipated costs, including investigation, remediation, and operation and maintenance of clean-up sites.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We expense costs incurred to investigate and remediate environmental issues unless they extend the economic useful lives of related assets. We record liabilities when it is probable that an obligation has been incurred and the amounts can be reasonably estimated. Our estimates are based primarily on investigations and remediation plans established by independent consultants, regulatory agencies and potentially responsible third parties. It is our policy to realize a change in estimates once it becomes probable and can be reasonably estimated. In determining our accruals, we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Self-Insured Risk Management Matters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7" w:name="page48"/>
    <w:bookmarkEnd w:id="47"/>
    <w:p>
      <w:pPr>
        <w:jc w:val="both"/>
        <w:spacing w:after="0" w:line="279" w:lineRule="auto"/>
        <w:rPr>
          <w:sz w:val="20"/>
          <w:szCs w:val="20"/>
          <w:color w:val="auto"/>
        </w:rPr>
      </w:pPr>
      <w:r>
        <w:rPr>
          <w:rFonts w:ascii="Times New Roman" w:cs="Times New Roman" w:eastAsia="Times New Roman" w:hAnsi="Times New Roman"/>
          <w:sz w:val="17"/>
          <w:szCs w:val="17"/>
          <w:color w:val="auto"/>
        </w:rPr>
        <w:t>loss exposures. The key assumptions considered in estimating the ultimate cost to settle reported claims and the estimated costs associated with incurred but not yet reported claims include, among other things, our historical and industry claims experience, trends in health care and administrative costs, our current and future risk management programs, and historical lag studies with regard to the timing between when a claim is incurred versus when it is reported.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recognize revenue in accordance with Accounting Standards Codification 606, which requires revenue to be recognized over-time or at a point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2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Most of our businesses recognize revenue at a point in time as satisfaction of the related performance obligations occur at the time of shipment or delivery, while certain of our businesses recognize revenue and costs for certain complex long-term and subscription or service contracts over-time.</w:t>
      </w:r>
    </w:p>
    <w:p>
      <w:pPr>
        <w:spacing w:after="0" w:line="19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revenue for these complex long-term contracts is recorded based on the percentage of costs incurred to date for each contract to the estimated total costs for such a contract at completion. The revenue for subscription or service contracts are typically recorded based on the period of subscription delivered or service progress made. In 2024, 2023, and 2022 we recognized $213.4, $173.2 and $167.8, respectively, of revenues under such methods. We record any provision for estimated losses on uncompleted contracts in the period which the losses are determined.</w:t>
      </w:r>
    </w:p>
    <w:p>
      <w:pPr>
        <w:spacing w:after="0" w:line="21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complex long-term contracts may include unapproved change orders and claims. We include in our contract estimates additional revenue for unapproved change orders or claims when we believe we have an enforceable right to the unapproved change order or claim and the amount can be reliably estimated. In evaluating these criteria, we consider the contractual/legal basis for the claim, the cause of any additional costs incurred, the reasonableness of those costs, and the objective evidence available to support the claim. These estimates are also based on historical award experience. Due to uncertainties inherent in the estimation process, it is reasonably possible that the ultimate revenues and completion costs on our complex long-term contracts, including those arising from contract penalty provisions and final contract settlements, will be revised during the duration of the contract. These revised revenues and costs are recognized in the period in which the revisions are determined.</w:t>
      </w:r>
    </w:p>
    <w:p>
      <w:pPr>
        <w:spacing w:after="0" w:line="12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estimation process for determining revenues and costs for our complex long-term contracts is based upon (i) our historical experience, (ii) the professional judgment and knowledge of our engineers, project managers, operations, and financial professionals, and (iii) an assessment of the key underlying factors (see below).</w:t>
      </w:r>
    </w:p>
    <w:p>
      <w:pPr>
        <w:spacing w:after="0" w:line="10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our complex long-term contracts generally range from six to eighteen months in duration, we typically reassess the estimated revenues and costs of these contracts on a quarterly basis, but may reassess more often as situations warrant. We record changes in estimates of revenues and costs when identified using the cumulative catch-up method.</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believe the underlying factors used to estimate our complex long-term contracts costs to complete and percentage-of-completion are sufficiently reliable to provide a reasonable estimate of revenue and profit; however, due to the length of time over which revenues are generated and costs are incurred, along with the judgment required in developing the underlying factors, the variability of revenue and cost can be significant. Factors that may affect revenue and costs relating to complex long-term contracts include, but are not limited to, the following:</w:t>
      </w:r>
    </w:p>
    <w:p>
      <w:pPr>
        <w:spacing w:after="0" w:line="210" w:lineRule="exact"/>
        <w:rPr>
          <w:sz w:val="20"/>
          <w:szCs w:val="20"/>
          <w:color w:val="auto"/>
        </w:rPr>
      </w:pPr>
    </w:p>
    <w:p>
      <w:pPr>
        <w:jc w:val="both"/>
        <w:ind w:left="720" w:hanging="318"/>
        <w:spacing w:after="0" w:line="257" w:lineRule="auto"/>
        <w:tabs>
          <w:tab w:leader="none" w:pos="7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Recovery for Product Design Changes and Claims — On occasion, design specifications may change during the course of the contract. Any additional costs arising from these changes may be supported by change orders, or we may submit a claim to the customer. Change orders and claims related to design changes are accounted for as described above.</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7" w:lineRule="auto"/>
        <w:tabs>
          <w:tab w:leader="none" w:pos="7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Availability and Costs — Our estimates of material costs generally are based on existing supplier relationships, adequate availability of materials, prevailing market prices for materials, and, in some cases, long-term supplier contracts. Changes in our supplier relationships, delays in obtaining materials, or changes in material prices can have a significant impact on our cost and profitability estimates.</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7" w:lineRule="auto"/>
        <w:tabs>
          <w:tab w:leader="none" w:pos="7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Subcontractors — Our arrangements with subcontractors are generally based on fixed prices; however, our estimates of the cost and profitability can be impacted by subcontractor delays, customer claims arising from subcontractor performance issues, or a subcontractor’s inability to fulfill its obligations.</w:t>
      </w:r>
    </w:p>
    <w:p>
      <w:pPr>
        <w:spacing w:after="0" w:line="74" w:lineRule="exact"/>
        <w:rPr>
          <w:rFonts w:ascii="Times New Roman" w:cs="Times New Roman" w:eastAsia="Times New Roman" w:hAnsi="Times New Roman"/>
          <w:sz w:val="18"/>
          <w:szCs w:val="18"/>
          <w:color w:val="auto"/>
        </w:rPr>
      </w:pPr>
    </w:p>
    <w:p>
      <w:pPr>
        <w:jc w:val="both"/>
        <w:ind w:left="720" w:hanging="318"/>
        <w:spacing w:after="0" w:line="253" w:lineRule="auto"/>
        <w:tabs>
          <w:tab w:leader="none" w:pos="7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and Anticipated Productivity Levels — Where applicable, we include the impact of labor improvements in our estimation of costs, such as in cases where we expect a favorable learning curve over the duration of the contract. In these cases, if the improvements do not materialize, costs and profitability could be adversely impacted. Additionally, to the extent we are more or less productive than originally anticipated, estimated costs and profitability may also be impacted.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8" w:name="page49"/>
    <w:bookmarkEnd w:id="48"/>
    <w:p>
      <w:pPr>
        <w:jc w:val="both"/>
        <w:ind w:left="720" w:hanging="318"/>
        <w:spacing w:after="0" w:line="253" w:lineRule="auto"/>
        <w:tabs>
          <w:tab w:leader="none" w:pos="7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Foreign Currency Fluctuations — Fluctuations between currencies in which our long-term contracts are denominated and the currencies under which contract costs are incurred can have an impact on profitability. When the impact on profitability is potentially significant, we may enter into FX forward contracts or prepay certain vendors for raw materials to manage the potential exposure. See Note 14 to our consolidated financial statements for additional details on our FX forward contracts.</w:t>
      </w:r>
    </w:p>
    <w:p>
      <w:pPr>
        <w:spacing w:after="0" w:line="7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are recoverable from customers based upon various measures of performance, including achievement of certain milestones, completion of specific units, or completion of the contract.</w:t>
      </w:r>
    </w:p>
    <w:p>
      <w:pPr>
        <w:spacing w:after="0" w:line="11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contracts where a portion of the price may vary, we estimate the variable consideration at the amount to which we expect to be entitled,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Notes 1 and 5 to our consolidated financial statements for further information on our revenue recognition policies.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Defined benefit plans cover a portion of our salaried and hourly paid employees, including certain employees in foreign countries. Additionally, domestic postretirement plans provide health and life insurance benefits for certain retirees and their dependents. We recognize changes in the fair value of plan assets and actuarial gains and losses into earnings during the fourth quarter of each year, unless earlier remeasurement is required, as a component of net periodic benefit expense. The remaining components of pension/postretirement expense, primarily interest costs and expected return on plan assets, are recorded on a quarterly basis.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pension plans have not experienced any significant impact on liquidity or counterparty exposure due to volatility in the credit markets.</w:t>
      </w:r>
    </w:p>
    <w:p>
      <w:pPr>
        <w:spacing w:after="0" w:line="1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costs and obligations associated with these plans are determined based on actuarial valuations. The critical assumptions used in determining these related expenses and obligations are discount rates and healthcare cost projections. These critical assumptions are calculated based on company data and appropriate market indicators, and are evaluated at least annually by us in consultation with outside actuaries. Other assumptions involving demographic factors such as retirement patterns and mortality, are evaluated periodically and are updated to reflect our experience and expectations for the future. While management believes that the assumptions used are appropriate, actual results may differ.</w:t>
      </w:r>
    </w:p>
    <w:p>
      <w:pPr>
        <w:spacing w:after="0" w:line="11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discount rate enables us to state expected future cash flows at a present value on the measurement date. This rate is the yield on high-quality fixed income investments at the measurement date. A lower discount rate increases the present value of benefit obligations and increases pension expense. Including the effects of recognizing actuarial gains and losses into earnings as described above, a 50 basis point decrease in the discount rate for our domestic plans would have increased our 2024 pension expense by approximately $7.0, and a 50 basis point increase in the discount rate would have decreased our 2024 pension expense by approximately $6.6.</w:t>
      </w:r>
    </w:p>
    <w:p>
      <w:pPr>
        <w:spacing w:after="0" w:line="1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trend in healthcare costs is difficult to estimate, and it can significantly impact our postretirement liabilities and costs. The healthcare cost trend rate for 2024, which is the weighted-average annual projected rate of increase in the per capita cost of covered benefits, is 6.5%. This rate is assumed to decrease to 5.0% by 2031 and then remain at that level.</w:t>
      </w:r>
    </w:p>
    <w:p>
      <w:pPr>
        <w:spacing w:after="0" w:line="114" w:lineRule="exact"/>
        <w:rPr>
          <w:sz w:val="20"/>
          <w:szCs w:val="20"/>
          <w:color w:val="auto"/>
        </w:rPr>
      </w:pPr>
    </w:p>
    <w:p>
      <w:pPr>
        <w:ind w:right="2060" w:firstLine="396"/>
        <w:spacing w:after="0" w:line="405" w:lineRule="auto"/>
        <w:rPr>
          <w:sz w:val="20"/>
          <w:szCs w:val="20"/>
          <w:color w:val="auto"/>
        </w:rPr>
      </w:pPr>
      <w:r>
        <w:rPr>
          <w:rFonts w:ascii="Times New Roman" w:cs="Times New Roman" w:eastAsia="Times New Roman" w:hAnsi="Times New Roman"/>
          <w:sz w:val="18"/>
          <w:szCs w:val="18"/>
          <w:color w:val="auto"/>
        </w:rPr>
        <w:t xml:space="preserve">See Note 11 to our consolidated financial statements for further information on our pension and postretirement benefit plans. </w:t>
      </w:r>
      <w:r>
        <w:rPr>
          <w:rFonts w:ascii="Times New Roman" w:cs="Times New Roman" w:eastAsia="Times New Roman" w:hAnsi="Times New Roman"/>
          <w:sz w:val="18"/>
          <w:szCs w:val="18"/>
          <w:b w:val="1"/>
          <w:bCs w:val="1"/>
          <w:color w:val="auto"/>
        </w:rPr>
        <w:t>Income Taxes</w:t>
      </w:r>
    </w:p>
    <w:p>
      <w:pPr>
        <w:spacing w:after="0" w:line="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record our income taxes based on the Income Taxes Topic of the Codification, which includes an estimate of the amount of income taxes payable or refundable for the current year and deferred income tax liabilities and assets for the future tax consequences of events that have been recognized in our consolidated financial statements or tax returns.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We periodically assess the realizability of deferred tax assets and the adequacy of deferred tax liabilities, including the results of local, state, federal or foreign statutory tax audits or estimates and judgments used.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9" w:name="page50"/>
    <w:bookmarkEnd w:id="49"/>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Realization of deferred tax assets involves estimates regarding (i) the timing and amount of the reversal of taxable temporary differences, (ii) expected future taxable income, and (iii) the impact of tax planning strategies. We believe that it is more likely than not that we will not realize the benefit of certain deferred tax assets and, accordingly, have established a valuation allowance against them. In assessing the need for a valuation allowance, we consider all available positive and negative evidence, including past operating results, projections of future taxable income and the feasibility of and potential changes to ongoing tax planning strategies. The projections of future taxable income include a number of estimates and assumptions regarding our volume, pricing and costs. Although realization is not assured for the remaining deferred tax assets, we believe it is more likely than not that the remaining deferred tax assets will be realized through future taxable earnings or alternative tax strategies. However, deferred tax assets could be reduced in the near term if our estimates of taxable income are significantly reduced or tax strategies are no longer viable.</w:t>
      </w:r>
    </w:p>
    <w:p>
      <w:pPr>
        <w:spacing w:after="0" w:line="111"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The amount of income tax that we pay annually is dependent on various factors, including the timing of certain deductions and ongoing audits by federal, state and foreign tax authorities, which may result in proposed adjustments. We perform reviews of our income tax positions on a quarterly basis and accrue for potential uncertain tax positions. Accruals for these uncertain tax positions are classified as “Income taxes payable” and “Deferred and other income taxes” in our consolidated balance sheets based on an expectation as to the timing of when the matter will be resolved. As events change or resolutions occur, these accruals are adjusted, such as in the case of audit settlements with taxing authorities. We believe we have adequately provided for any reasonably foreseeable outcome related to these matters.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future results may include favorable or unfavorable adjustments to our estimated tax liabilities due to closure of income tax examinations, statute expirations, new regulatory or judicial pronouncements, changes in tax laws, changes in projected levels of taxable income, future tax planning strategies, or other relevant events. See Note 12 to our consolidated financial statements for additional details regarding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50" w:name="page51"/>
    <w:bookmarkEnd w:id="50"/>
    <w:p>
      <w:pPr>
        <w:ind w:left="39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xml:space="preserve"> to our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017"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are in millions)</w:t>
      </w:r>
    </w:p>
    <w:p>
      <w:pPr>
        <w:spacing w:after="0" w:line="15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foreign currency exchange rates and commodity raw material prices, and we selectively use financial instruments to manage certain of these risks. We do not enter into financial instruments for speculative or trading purposes; however, these instruments may be deemed speculative if the future cash flows originally hedged are no longer probable of occurring as anticipated. Our currency exposures vary, but are primarily concentrated in the South African Rand, British Pound Sterling, Canadian Dollar, and Euro. We generally do not hedge currency translation exposures. Our exposures for commodity raw materials vary, with the highest concentration relating to steel and oil. See Note 14 to our consolidated financial statements for further details.</w:t>
      </w:r>
    </w:p>
    <w:p>
      <w:pPr>
        <w:spacing w:after="0" w:line="119"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about our primary outstanding debt obligations and presents principal cash flows by expected maturity dates, weighted-average interest rates and fair values.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Facilities</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604.6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604.6</w:t>
            </w:r>
          </w:p>
        </w:tc>
      </w:t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23"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2020, we entered into the Initial Swaps, which covered the period through November 2024, and effectively converted borrowings under our senior credit facilities to a fixed rate of 1.077%, plus the applicable margin. In September 2024, commensurate with the Second Amendment, we entered into the Additional Swaps, which have a notional amount of $524.6, cover the period from December 2024 to June 2026, and effectively convert this portion of the borrowings under our senior credit facilities to a fixed rate of 3.58%, plus the applicable margin. We have designated, and are accounting for, our Additional Swaps (and, prior to their maturity, accounted for the Initial Swaps) as cash flow hedges.</w:t>
      </w:r>
    </w:p>
    <w:p>
      <w:pPr>
        <w:spacing w:after="0" w:line="1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believe that cash and equivalents, cash flows from operations, and availability under revolving credit facilities and our trade receivables financing arrangement will be sufficient to fund working capital needs, planned capital expenditures, other operational cash requirements and required debt service obligations.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From time to time, we enter into FX forward contracts to manage the exposure on contracts with forecasted transactions denominated in non-functional currencies which manage the risk of transaction gains and losses associated with assets/liabilities denominated in currencies other than the functional currency of certain subsidiaries. We had FX forward contracts with an aggregate notional amount of $22.9 at December 31, 2024, all of which are scheduled to mature within one year. The fair value of our FX forward contracts was less than $0.1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3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SPX Technologies, Inc. and Subsidiaries</w:t>
            </w: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320" w:type="dxa"/>
            <w:vAlign w:val="bottom"/>
            <w:gridSpan w:val="11"/>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20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Deloitte &amp; Touche LLP (PCAOB ID No. </w:t>
            </w:r>
            <w:r>
              <w:rPr>
                <w:rFonts w:ascii="Times New Roman" w:cs="Times New Roman" w:eastAsia="Times New Roman" w:hAnsi="Times New Roman"/>
                <w:sz w:val="18"/>
                <w:szCs w:val="18"/>
                <w:color w:val="0A2299"/>
              </w:rPr>
              <w:t>34</w:t>
            </w:r>
            <w:r>
              <w:rPr>
                <w:rFonts w:ascii="Times New Roman" w:cs="Times New Roman" w:eastAsia="Times New Roman" w:hAnsi="Times New Roman"/>
                <w:sz w:val="18"/>
                <w:szCs w:val="18"/>
                <w:u w:val="single" w:color="auto"/>
                <w:color w:val="0000FF"/>
              </w:rPr>
              <w:t>)</w:t>
            </w:r>
          </w:p>
        </w:tc>
        <w:tc>
          <w:tcPr>
            <w:tcW w:w="82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7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80" w:type="dxa"/>
            <w:vAlign w:val="bottom"/>
            <w:tcBorders>
              <w:top w:val="single" w:sz="8" w:color="0A2299"/>
            </w:tcBorders>
          </w:tcPr>
          <w:p>
            <w:pPr>
              <w:spacing w:after="0"/>
              <w:rPr>
                <w:sz w:val="20"/>
                <w:szCs w:val="20"/>
                <w:color w:val="auto"/>
              </w:rPr>
            </w:pPr>
          </w:p>
        </w:tc>
        <w:tc>
          <w:tcPr>
            <w:tcW w:w="270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0" w:type="dxa"/>
            <w:vAlign w:val="bottom"/>
            <w:gridSpan w:val="9"/>
          </w:tcPr>
          <w:p>
            <w:pPr>
              <w:spacing w:after="0" w:line="190"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82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2023 and 2022</w:t>
            </w: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340" w:type="dxa"/>
            <w:vAlign w:val="bottom"/>
            <w:gridSpan w:val="4"/>
          </w:tcPr>
          <w:p>
            <w:pPr>
              <w:spacing w:after="0"/>
              <w:rPr>
                <w:sz w:val="17"/>
                <w:szCs w:val="17"/>
                <w:color w:val="auto"/>
              </w:rPr>
            </w:pPr>
          </w:p>
        </w:tc>
        <w:tc>
          <w:tcPr>
            <w:tcW w:w="1860" w:type="dxa"/>
            <w:vAlign w:val="bottom"/>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3200" w:type="dxa"/>
            <w:vAlign w:val="bottom"/>
            <w:gridSpan w:val="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920" w:type="dxa"/>
            <w:vAlign w:val="bottom"/>
            <w:gridSpan w:val="8"/>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920" w:type="dxa"/>
            <w:vAlign w:val="bottom"/>
            <w:gridSpan w:val="8"/>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because the required information is included in our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SPX Technologies,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SPX Technologies, Inc. and subsidiaries (the "Company") as of December 31, 2024 and 2023, the related consolidated statements of operations, comprehensive income (loss), stockholders’ equity, and cash flows, for each of the three years in the period ended December 31, 2024, 2023, and 2022,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2023, and 2022, in conformity with accounting principles generally accepted in the United States of America.</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3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Acquisitions – Ingénia Technologies Inc. – Valuation of Property, Plant, and Equipment, Technology, Customer Relationships, Trademarks, and Customer Backlog Assets— Refer to Notes 1, 4, and 10 to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assets acquired and liabilities assumed in the Ingénia Technologies Inc. (“Ingénia”) transaction have been recorded at estimates of fair value as determined by management, based on information available and assumptions as to future operations. Of the total assets acquired and liabilities assumed, the Company acquired $73.6 of property, plant, and equipment, which was primarily made up of real and personal property, and $97.9 of intangible assets, including technology of $46.7, customer relationships of $23.5, trademarks of $13.9, and customer backlog of $13.8.</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identified the valuation of the aforementioned real and personal property and intangible assets for the Ingénia acquisition as a critical audit matter because of the significant estimates and assumptions management makes to determine the fair value these assets. This required a high degree of auditor judgment and an increased extent of effort, including the need to involve our fair value specialists when performing audit procedures to evaluate the reasonableness of the valuation methodologies applied to the real and personal property and intangible assets acquired, as well as when performing audit procedures to evaluate the reasonableness of management's forecast of future revenue growth rates and profit margins and the selection of the discount rate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54" w:name="page55"/>
    <w:bookmarkEnd w:id="54"/>
    <w:p>
      <w:pPr>
        <w:spacing w:after="0" w:line="270" w:lineRule="auto"/>
        <w:rPr>
          <w:sz w:val="20"/>
          <w:szCs w:val="20"/>
          <w:color w:val="auto"/>
        </w:rPr>
      </w:pPr>
      <w:r>
        <w:rPr>
          <w:rFonts w:ascii="Times New Roman" w:cs="Times New Roman" w:eastAsia="Times New Roman" w:hAnsi="Times New Roman"/>
          <w:sz w:val="18"/>
          <w:szCs w:val="18"/>
          <w:color w:val="auto"/>
        </w:rPr>
        <w:t>for the customer relationships, trademarks, and technology intangible assets, the selection of the royalty rate for the trademarks and technology intangible assets, and the estimated replacement costs of the real and personal property acquired.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2"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8"/>
          <w:szCs w:val="18"/>
          <w:color w:val="auto"/>
        </w:rPr>
        <w:t>Our audit procedures related to the valuation of the real and personal property and intangible assets acquired as part of the Ingénia acquisition included the following, among others:</w:t>
      </w:r>
    </w:p>
    <w:p>
      <w:pPr>
        <w:spacing w:after="0" w:line="15" w:lineRule="exact"/>
        <w:rPr>
          <w:sz w:val="20"/>
          <w:szCs w:val="20"/>
          <w:color w:val="auto"/>
        </w:rPr>
      </w:pPr>
    </w:p>
    <w:p>
      <w:pPr>
        <w:jc w:val="both"/>
        <w:ind w:left="640" w:hanging="317"/>
        <w:spacing w:after="0" w:line="219"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We tested the design and operating effectiveness of controls over management’s purchase price allocation procedures, including controls over the assumptions used in the cost and income approach for Real and Personal Property and Intangible Assets, respectively, and reviewing the work of management's third-party specialists.</w:t>
      </w:r>
    </w:p>
    <w:p>
      <w:pPr>
        <w:spacing w:after="0" w:line="207" w:lineRule="exact"/>
        <w:rPr>
          <w:rFonts w:ascii="Arial" w:cs="Arial" w:eastAsia="Arial" w:hAnsi="Arial"/>
          <w:sz w:val="21"/>
          <w:szCs w:val="21"/>
          <w:color w:val="auto"/>
        </w:rPr>
      </w:pPr>
    </w:p>
    <w:p>
      <w:pPr>
        <w:jc w:val="both"/>
        <w:ind w:left="640" w:hanging="317"/>
        <w:spacing w:after="0" w:line="214" w:lineRule="auto"/>
        <w:tabs>
          <w:tab w:leader="none" w:pos="63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With the assistance of our fair value specialists, and in respect to the Real and Personal Property acquired, we evaluated the reasonableness of the valuation methodology and the cost to replace or reproduce comparable assets and developed a range of independent estimates and compared to those used by management.</w:t>
      </w:r>
    </w:p>
    <w:p>
      <w:pPr>
        <w:spacing w:after="0" w:line="207" w:lineRule="exact"/>
        <w:rPr>
          <w:rFonts w:ascii="Times New Roman" w:cs="Times New Roman" w:eastAsia="Times New Roman" w:hAnsi="Times New Roman"/>
          <w:sz w:val="21"/>
          <w:szCs w:val="21"/>
          <w:color w:val="auto"/>
        </w:rPr>
      </w:pPr>
    </w:p>
    <w:p>
      <w:pPr>
        <w:ind w:left="640" w:hanging="317"/>
        <w:spacing w:after="0" w:line="221" w:lineRule="auto"/>
        <w:tabs>
          <w:tab w:leader="none" w:pos="63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evaluated management’s ability to accurately forecast projected revenue growth rates and profit margins by comparing actual results to management’s acquisition date forecasts used in the income approach for Intangible Assets.</w:t>
      </w:r>
    </w:p>
    <w:p>
      <w:pPr>
        <w:spacing w:after="0" w:line="208" w:lineRule="exact"/>
        <w:rPr>
          <w:rFonts w:ascii="Times New Roman" w:cs="Times New Roman" w:eastAsia="Times New Roman" w:hAnsi="Times New Roman"/>
          <w:sz w:val="21"/>
          <w:szCs w:val="21"/>
          <w:color w:val="auto"/>
        </w:rPr>
      </w:pPr>
    </w:p>
    <w:p>
      <w:pPr>
        <w:ind w:left="640" w:hanging="317"/>
        <w:spacing w:after="0"/>
        <w:tabs>
          <w:tab w:leader="none" w:pos="6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We evaluated the reasonableness of management’s forecasts used in the income approach for Intangible Assets by comparing the forecasts to:</w:t>
      </w:r>
    </w:p>
    <w:p>
      <w:pPr>
        <w:spacing w:after="0" w:line="2" w:lineRule="exact"/>
        <w:rPr>
          <w:rFonts w:ascii="Times New Roman" w:cs="Times New Roman" w:eastAsia="Times New Roman" w:hAnsi="Times New Roman"/>
          <w:sz w:val="21"/>
          <w:szCs w:val="21"/>
          <w:color w:val="auto"/>
        </w:rPr>
      </w:pPr>
    </w:p>
    <w:p>
      <w:pPr>
        <w:ind w:left="960"/>
        <w:spacing w:after="0" w:line="209" w:lineRule="auto"/>
        <w:rPr>
          <w:rFonts w:ascii="Times New Roman" w:cs="Times New Roman" w:eastAsia="Times New Roman" w:hAnsi="Times New Roman"/>
          <w:sz w:val="21"/>
          <w:szCs w:val="21"/>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Historical results</w:t>
      </w:r>
    </w:p>
    <w:p>
      <w:pPr>
        <w:ind w:left="960"/>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Third-party economic research, industry performance, and peer company performance.</w:t>
      </w:r>
    </w:p>
    <w:p>
      <w:pPr>
        <w:spacing w:after="0" w:line="208" w:lineRule="exact"/>
        <w:rPr>
          <w:rFonts w:ascii="Times New Roman" w:cs="Times New Roman" w:eastAsia="Times New Roman" w:hAnsi="Times New Roman"/>
          <w:sz w:val="21"/>
          <w:szCs w:val="21"/>
          <w:color w:val="auto"/>
        </w:rPr>
      </w:pPr>
    </w:p>
    <w:p>
      <w:pPr>
        <w:ind w:left="640" w:hanging="317"/>
        <w:spacing w:after="0" w:line="215"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With the assistance of our fair value specialists, and in respect to the Intangible Assets acquired, we evaluated the reasonableness of the valuation methodology, the discount rates, and the royalty rates by performing certain procedures, that included:</w:t>
      </w:r>
    </w:p>
    <w:p>
      <w:pPr>
        <w:spacing w:after="0" w:line="1" w:lineRule="exact"/>
        <w:rPr>
          <w:rFonts w:ascii="Arial" w:cs="Arial" w:eastAsia="Arial" w:hAnsi="Arial"/>
          <w:sz w:val="21"/>
          <w:szCs w:val="21"/>
          <w:color w:val="auto"/>
        </w:rPr>
      </w:pPr>
    </w:p>
    <w:p>
      <w:pPr>
        <w:ind w:left="1280" w:hanging="317"/>
        <w:spacing w:after="0"/>
        <w:rPr>
          <w:rFonts w:ascii="Arial" w:cs="Arial" w:eastAsia="Arial" w:hAnsi="Arial"/>
          <w:sz w:val="21"/>
          <w:szCs w:val="21"/>
          <w:color w:val="auto"/>
        </w:rPr>
      </w:pP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Testing the source information underlying the determination of the discount rate and royalty rate and the mathematical accuracy of the</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calculation</w:t>
      </w:r>
    </w:p>
    <w:p>
      <w:pPr>
        <w:spacing w:after="0" w:line="141" w:lineRule="exact"/>
        <w:rPr>
          <w:rFonts w:ascii="Arial" w:cs="Arial" w:eastAsia="Arial" w:hAnsi="Arial"/>
          <w:sz w:val="21"/>
          <w:szCs w:val="21"/>
          <w:color w:val="auto"/>
        </w:rPr>
      </w:pPr>
    </w:p>
    <w:p>
      <w:pPr>
        <w:ind w:left="960"/>
        <w:spacing w:after="0" w:line="219" w:lineRule="auto"/>
        <w:rPr>
          <w:rFonts w:ascii="Arial" w:cs="Arial" w:eastAsia="Arial" w:hAnsi="Arial"/>
          <w:sz w:val="21"/>
          <w:szCs w:val="21"/>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Developing a range of independent estimates and comparing those to the discount rate and royalty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5" w:name="page56"/>
    <w:bookmarkEnd w:id="55"/>
    <w:p>
      <w:pPr>
        <w:ind w:left="408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6"/>
        </w:trPr>
        <w:tc>
          <w:tcPr>
            <w:tcW w:w="70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1,460.9</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937.0</w:t>
            </w: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355.7</w:t>
            </w: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w:t>
            </w: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r>
      <w:tr>
        <w:trPr>
          <w:trHeight w:val="209"/>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r>
      <w:tr>
        <w:trPr>
          <w:trHeight w:val="207"/>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51.0</w:t>
            </w:r>
          </w:p>
        </w:tc>
      </w:tr>
      <w:tr>
        <w:trPr>
          <w:trHeight w:val="251"/>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amendment/refinancing of senior credit agreement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7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w:t>
            </w:r>
          </w:p>
        </w:tc>
      </w:tr>
      <w:tr>
        <w:trPr>
          <w:trHeight w:val="20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7"/>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r>
      <w:tr>
        <w:trPr>
          <w:trHeight w:val="251"/>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on disposition of discontinued operations, net of tax</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7"/>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51"/>
        </w:trPr>
        <w:tc>
          <w:tcPr>
            <w:tcW w:w="7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03"/>
        </w:trPr>
        <w:tc>
          <w:tcPr>
            <w:tcW w:w="704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200.5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0.2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income per share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0.44</w:t>
            </w:r>
          </w:p>
        </w:tc>
      </w:tr>
      <w:tr>
        <w:trPr>
          <w:trHeight w:val="211"/>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07"/>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46.187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45.345</w:t>
            </w:r>
          </w:p>
        </w:tc>
      </w:tr>
      <w:tr>
        <w:trPr>
          <w:trHeight w:val="251"/>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share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0.43</w:t>
            </w:r>
          </w:p>
        </w:tc>
      </w:tr>
      <w:tr>
        <w:trPr>
          <w:trHeight w:val="211"/>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r>
      <w:tr>
        <w:trPr>
          <w:trHeight w:val="207"/>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46.221</w:t>
            </w: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0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2"/>
        </w:trPr>
        <w:tc>
          <w:tcPr>
            <w:tcW w:w="70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Pension and postretirement liability adjustment, net of tax benefit of $0.8, $0.9, and $1.0 in 2024,</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8"/>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and 2022, respectively</w:t>
            </w: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72"/>
        </w:trPr>
        <w:tc>
          <w:tcPr>
            <w:tcW w:w="70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Net unrealized gains (losses) on qualifying cash flow hedges, net of tax (provision) benefit of $1.1,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 and $(3.6) in 2024, 2023 and 2022, respectively</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8"/>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8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2"/>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Land</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Machinery and equipment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02"/>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58"/>
        </w:trPr>
        <w:tc>
          <w:tcPr>
            <w:tcW w:w="846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Assets of DBT and Heat Transfer (includes cash and equivalents of $4.5 and $5.5 at December 31, 2024 and 2023, respectively)</w:t>
            </w:r>
          </w:p>
        </w:tc>
        <w:tc>
          <w:tcPr>
            <w:tcW w:w="4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(Note 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8"/>
                <w:szCs w:val="18"/>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Contract liabilities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9"/>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debt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2"/>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 of DBT and Heat Transfer (Note 4)</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0" w:type="dxa"/>
            <w:vAlign w:val="bottom"/>
          </w:tcPr>
          <w:p>
            <w:pPr>
              <w:spacing w:after="0"/>
              <w:rPr>
                <w:sz w:val="1"/>
                <w:szCs w:val="1"/>
                <w:color w:val="auto"/>
              </w:rPr>
            </w:pPr>
          </w:p>
        </w:tc>
      </w:tr>
      <w:tr>
        <w:trPr>
          <w:trHeight w:val="189"/>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15)</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4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Common stock (54,196,620 and 46,368,240 issued and outstanding at December 31, 2024, respectively, and 53,618,720 and</w:t>
            </w:r>
          </w:p>
        </w:tc>
        <w:tc>
          <w:tcPr>
            <w:tcW w:w="4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9"/>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45,674,572 issued and outstanding at December 31, 2023, respectively)</w:t>
            </w:r>
          </w:p>
        </w:tc>
        <w:tc>
          <w:tcPr>
            <w:tcW w:w="4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Paid-in capital</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1,353.6</w:t>
            </w:r>
          </w:p>
        </w:tc>
        <w:tc>
          <w:tcPr>
            <w:tcW w:w="0" w:type="dxa"/>
            <w:vAlign w:val="bottom"/>
          </w:tcPr>
          <w:p>
            <w:pPr>
              <w:spacing w:after="0"/>
              <w:rPr>
                <w:sz w:val="1"/>
                <w:szCs w:val="1"/>
                <w:color w:val="auto"/>
              </w:rPr>
            </w:pPr>
          </w:p>
        </w:tc>
      </w:tr>
      <w:tr>
        <w:trPr>
          <w:trHeight w:val="209"/>
        </w:trPr>
        <w:tc>
          <w:tcPr>
            <w:tcW w:w="8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3"/>
        </w:trPr>
        <w:tc>
          <w:tcPr>
            <w:tcW w:w="8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9"/>
        </w:trPr>
        <w:tc>
          <w:tcPr>
            <w:tcW w:w="8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Common stock in treasury (7,828,380 and 7,944,148 shares at December 31, 2024 and 2023, respectively)</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0" w:type="dxa"/>
            <w:vAlign w:val="bottom"/>
          </w:tcPr>
          <w:p>
            <w:pPr>
              <w:spacing w:after="0"/>
              <w:rPr>
                <w:sz w:val="1"/>
                <w:szCs w:val="1"/>
                <w:color w:val="auto"/>
              </w:rPr>
            </w:pPr>
          </w:p>
        </w:tc>
      </w:tr>
      <w:tr>
        <w:trPr>
          <w:trHeight w:val="207"/>
        </w:trPr>
        <w:tc>
          <w:tcPr>
            <w:tcW w:w="8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1,194.6</w:t>
            </w:r>
          </w:p>
        </w:tc>
        <w:tc>
          <w:tcPr>
            <w:tcW w:w="0" w:type="dxa"/>
            <w:vAlign w:val="bottom"/>
          </w:tcPr>
          <w:p>
            <w:pPr>
              <w:spacing w:after="0"/>
              <w:rPr>
                <w:sz w:val="1"/>
                <w:szCs w:val="1"/>
                <w:color w:val="auto"/>
              </w:rPr>
            </w:pPr>
          </w:p>
        </w:tc>
      </w:tr>
      <w:tr>
        <w:trPr>
          <w:trHeight w:val="204"/>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tbl>
      <w:tblPr>
        <w:tblLayout w:type="fixed"/>
        <w:tblInd w:w="4320" w:type="dxa"/>
        <w:tblCellMar>
          <w:top w:w="0" w:type="dxa"/>
          <w:left w:w="0" w:type="dxa"/>
          <w:bottom w:w="0" w:type="dxa"/>
          <w:right w:w="0" w:type="dxa"/>
        </w:tblCellMar>
      </w:tblPr>
      <w:tr>
        <w:trPr>
          <w:trHeight w:val="161"/>
        </w:trPr>
        <w:tc>
          <w:tcPr>
            <w:tcW w:w="8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Accum. 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8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34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Stock In</w:t>
            </w:r>
          </w:p>
        </w:tc>
        <w:tc>
          <w:tcPr>
            <w:tcW w:w="1080" w:type="dxa"/>
            <w:vAlign w:val="bottom"/>
          </w:tcPr>
          <w:p>
            <w:pPr>
              <w:jc w:val="center"/>
              <w:ind w:left="190"/>
              <w:spacing w:after="0" w:line="14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820" w:type="dxa"/>
            <w:vAlign w:val="bottom"/>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01840" cy="142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1840" cy="14224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tbl>
      <w:tblPr>
        <w:tblLayout w:type="fixed"/>
        <w:tblInd w:w="0" w:type="dxa"/>
        <w:tblCellMar>
          <w:top w:w="0" w:type="dxa"/>
          <w:left w:w="0" w:type="dxa"/>
          <w:bottom w:w="0" w:type="dxa"/>
          <w:right w:w="0" w:type="dxa"/>
        </w:tblCellMar>
      </w:tblPr>
      <w:tr>
        <w:trPr>
          <w:trHeight w:val="211"/>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0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7"/>
                <w:szCs w:val="17"/>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05"/>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3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7"/>
                <w:szCs w:val="17"/>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Incentive plan activity</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11"/>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stock unit vesting</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1,334.2</w:t>
            </w:r>
          </w:p>
        </w:tc>
        <w:tc>
          <w:tcPr>
            <w:tcW w:w="42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1,102.9</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12.6</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10.9</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1"/>
        </w:trPr>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05"/>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1,338.3</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1,079.2</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13.8</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13.4</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1"/>
        </w:trPr>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5"/>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1,353.6</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1,194.6</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21.1</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1"/>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15.0</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1"/>
        </w:trPr>
        <w:tc>
          <w:tcPr>
            <w:tcW w:w="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7"/>
        </w:trPr>
        <w:tc>
          <w:tcPr>
            <w:tcW w:w="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5"/>
              </w:rPr>
              <w:t>1,373.5</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1,384.4</w:t>
            </w:r>
          </w:p>
        </w:tc>
      </w:tr>
      <w:tr>
        <w:trPr>
          <w:trHeight w:val="22"/>
        </w:trPr>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-2472690</wp:posOffset>
            </wp:positionV>
            <wp:extent cx="7101840"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-2204720</wp:posOffset>
            </wp:positionV>
            <wp:extent cx="7101840"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1840" cy="13398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-1936115</wp:posOffset>
            </wp:positionV>
            <wp:extent cx="7101840" cy="1936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1840" cy="1936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400"/>
            <w:col w:w="5560"/>
          </w:cols>
          <w:pgMar w:left="360" w:top="872" w:right="359" w:bottom="1440" w:gutter="0" w:footer="0" w:header="0"/>
          <w:type w:val="continuous"/>
        </w:sectPr>
      </w:pP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type w:val="continuous"/>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(used in) operating activities: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Loss from discontinued operations, net of tax</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74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income from continuing operations to net cash from (used in) operating activities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divestiture of asbestos-related assets and liabilities</w:t>
            </w:r>
          </w:p>
        </w:tc>
        <w:tc>
          <w:tcPr>
            <w:tcW w:w="7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Special charges, net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on change in fair value of equity security</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amendment/refinancing of senior credit agreement</w:t>
            </w: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7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and other income taxes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 and other employee benefits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Contribution to divest asbestos-related assets and liabilities</w:t>
            </w:r>
          </w:p>
        </w:tc>
        <w:tc>
          <w:tcPr>
            <w:tcW w:w="7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from acquisitions and divestitures: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and other assets</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accrued expenses and other</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spending on restructuring actions</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(used in) continuing operations</w:t>
            </w:r>
          </w:p>
        </w:tc>
        <w:tc>
          <w:tcPr>
            <w:tcW w:w="74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discontinued operations</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(used in) operating activities</w:t>
            </w:r>
          </w:p>
        </w:tc>
        <w:tc>
          <w:tcPr>
            <w:tcW w:w="74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(used in) investing activities: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Proceeds/borrowings related to company-owned life insurance policies, net</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asset sales and other, net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(292.0)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continuing operations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(284.5)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discontinued operations</w:t>
            </w: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(284.5)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(used in) financing activities: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senior credit facilities</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under senior credit facilities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(321.8)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trade receivables agreement</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under trade receivables agreement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(279.0)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repayments under other financing arrangements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6"/>
        </w:trPr>
        <w:tc>
          <w:tcPr>
            <w:tcW w:w="7360" w:type="dxa"/>
            <w:vAlign w:val="bottom"/>
          </w:tcPr>
          <w:p>
            <w:pPr>
              <w:ind w:left="120"/>
              <w:spacing w:after="0" w:line="136" w:lineRule="exact"/>
              <w:rPr>
                <w:sz w:val="20"/>
                <w:szCs w:val="20"/>
                <w:color w:val="auto"/>
              </w:rPr>
            </w:pPr>
            <w:r>
              <w:rPr>
                <w:rFonts w:ascii="Times New Roman" w:cs="Times New Roman" w:eastAsia="Times New Roman" w:hAnsi="Times New Roman"/>
                <w:sz w:val="14"/>
                <w:szCs w:val="14"/>
                <w:color w:val="auto"/>
              </w:rPr>
              <w:t>Minimum withholdings paid on behalf of employees for net share settlements, net of proceeds from the exercise of employee</w:t>
            </w:r>
          </w:p>
        </w:tc>
        <w:tc>
          <w:tcPr>
            <w:tcW w:w="740" w:type="dxa"/>
            <w:vAlign w:val="bottom"/>
          </w:tcPr>
          <w:p>
            <w:pPr>
              <w:spacing w:after="0"/>
              <w:rPr>
                <w:sz w:val="11"/>
                <w:szCs w:val="11"/>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9"/>
        </w:trPr>
        <w:tc>
          <w:tcPr>
            <w:tcW w:w="7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 and other</w:t>
            </w:r>
          </w:p>
        </w:tc>
        <w:tc>
          <w:tcPr>
            <w:tcW w:w="7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91"/>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Financing fees paid</w:t>
            </w: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from (used in) continuing operations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cash from discontinued operations</w:t>
            </w:r>
          </w:p>
        </w:tc>
        <w:tc>
          <w:tcPr>
            <w:tcW w:w="7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98"/>
        </w:trPr>
        <w:tc>
          <w:tcPr>
            <w:tcW w:w="7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cash and equivalents due to changes in foreign currency exchange rates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and equivalents</w:t>
            </w:r>
          </w:p>
        </w:tc>
        <w:tc>
          <w:tcPr>
            <w:tcW w:w="74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0" w:type="dxa"/>
            <w:vAlign w:val="bottom"/>
          </w:tcPr>
          <w:p>
            <w:pPr>
              <w:spacing w:after="0"/>
              <w:rPr>
                <w:sz w:val="1"/>
                <w:szCs w:val="1"/>
                <w:color w:val="auto"/>
              </w:rPr>
            </w:pPr>
          </w:p>
        </w:tc>
      </w:tr>
      <w:tr>
        <w:trPr>
          <w:trHeight w:val="19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cash and equivalents, beginning of period</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0" w:type="dxa"/>
            <w:vAlign w:val="bottom"/>
          </w:tcPr>
          <w:p>
            <w:pPr>
              <w:spacing w:after="0"/>
              <w:rPr>
                <w:sz w:val="1"/>
                <w:szCs w:val="1"/>
                <w:color w:val="auto"/>
              </w:rPr>
            </w:pP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cash and equivalents, end of period</w:t>
            </w:r>
          </w:p>
        </w:tc>
        <w:tc>
          <w:tcPr>
            <w:tcW w:w="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80" w:top="872"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paid</w:t>
            </w:r>
          </w:p>
        </w:tc>
        <w:tc>
          <w:tcPr>
            <w:tcW w:w="26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43.4</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25.6</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payments, net</w:t>
            </w:r>
          </w:p>
        </w:tc>
        <w:tc>
          <w:tcPr>
            <w:tcW w:w="260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43.5</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58.4</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activity:</w:t>
            </w:r>
          </w:p>
        </w:tc>
        <w:tc>
          <w:tcPr>
            <w:tcW w:w="1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assumed</w:t>
            </w:r>
          </w:p>
        </w:tc>
        <w:tc>
          <w:tcPr>
            <w:tcW w:w="260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0.3</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30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6"/>
                <w:szCs w:val="16"/>
                <w:color w:val="auto"/>
              </w:rPr>
            </w:pPr>
          </w:p>
        </w:tc>
      </w:tr>
      <w:tr>
        <w:trPr>
          <w:trHeight w:val="1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Components of cash and equivalents:</w:t>
            </w:r>
          </w:p>
        </w:tc>
        <w:tc>
          <w:tcPr>
            <w:tcW w:w="1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equivalents</w:t>
            </w:r>
          </w:p>
        </w:tc>
        <w:tc>
          <w:tcPr>
            <w:tcW w:w="260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0" w:type="dxa"/>
            <w:vAlign w:val="bottom"/>
          </w:tcPr>
          <w:p>
            <w:pPr>
              <w:spacing w:after="0"/>
              <w:rPr>
                <w:sz w:val="16"/>
                <w:szCs w:val="16"/>
                <w:color w:val="auto"/>
              </w:rPr>
            </w:pPr>
          </w:p>
        </w:tc>
      </w:tr>
      <w:tr>
        <w:trPr>
          <w:trHeight w:val="205"/>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equivalents included in assets of DBT and Heat Transfer</w:t>
            </w:r>
          </w:p>
        </w:tc>
        <w:tc>
          <w:tcPr>
            <w:tcW w:w="18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Borders>
              <w:bottom w:val="single" w:sz="8" w:color="auto"/>
            </w:tcBorders>
            <w:shd w:val="clear" w:color="auto" w:fill="CCEEFF"/>
          </w:tcPr>
          <w:p>
            <w:pPr>
              <w:spacing w:after="0"/>
              <w:rPr>
                <w:sz w:val="17"/>
                <w:szCs w:val="17"/>
                <w:color w:val="auto"/>
              </w:rPr>
            </w:pPr>
          </w:p>
        </w:tc>
      </w:tr>
      <w:tr>
        <w:trPr>
          <w:trHeight w:val="19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cash and equivalents</w:t>
            </w:r>
          </w:p>
        </w:tc>
        <w:tc>
          <w:tcPr>
            <w:tcW w:w="1820" w:type="dxa"/>
            <w:vAlign w:val="bottom"/>
          </w:tcPr>
          <w:p>
            <w:pPr>
              <w:spacing w:after="0"/>
              <w:rPr>
                <w:sz w:val="16"/>
                <w:szCs w:val="16"/>
                <w:color w:val="auto"/>
              </w:rPr>
            </w:pP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907"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currency and share amounts are in millions, except per share and par value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Our significant accounting policies are described below, as well as in other Notes that follow. Unless otherwise indicated, amounts provided in these Notes pertain to continuing operations only (see Note 4 for information on discontinued operations).</w:t>
      </w:r>
    </w:p>
    <w:p>
      <w:pPr>
        <w:spacing w:after="0" w:line="87" w:lineRule="exact"/>
        <w:rPr>
          <w:sz w:val="20"/>
          <w:szCs w:val="20"/>
          <w:color w:val="auto"/>
        </w:rPr>
      </w:pPr>
    </w:p>
    <w:p>
      <w:pPr>
        <w:jc w:val="both"/>
        <w:ind w:firstLine="396"/>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Merger and Consummation of Holding Company Reorganization </w:t>
      </w:r>
      <w:r>
        <w:rPr>
          <w:rFonts w:ascii="Times New Roman" w:cs="Times New Roman" w:eastAsia="Times New Roman" w:hAnsi="Times New Roman"/>
          <w:sz w:val="18"/>
          <w:szCs w:val="18"/>
          <w:color w:val="auto"/>
        </w:rPr>
        <w:t>— As of August 15, 2022, SPX Technologies, Inc. (“SPX”, “our”, “we”,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the successor registrant pursuant to Rule 12g-3(a) under the Securities Exchange Act of 1934, as amended, to SPX Corporation (“Legacy SPX”) as a result of the completion on August 15, 2022 of a holding company reorganization (the “Holding Company Reorganization”) effected as a merger of Legacy SPX with and into SPX Merger, LLC, a subsidiary of the Company. Each share of Legacy SPX’s common stock, par value $0.01 per share, issued and outstanding immediately prior to the consummation of the Holding Company Reorganization was automatically converted into an equivalent corresponding share of the Company's common stock having the same designations, rights, powers and preferences and the qualifications, limitations and restrictions as the corresponding share of Legacy SPX common stock being converted. Accordingly, upon consummation of the Holding Company Reorganization, Legacy SPX stockholders became stockholders of the Company. The terms “SPX,” “we” and “our” include Legacy SPX for periods prior to the consummation of the Holding Company Reorganization as the context requires.</w:t>
      </w:r>
    </w:p>
    <w:p>
      <w:pPr>
        <w:spacing w:after="0" w:line="12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our accounts prepared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(“GAAP”) after the elimination of intercompany transactions. Investments in unconsolidated companies where we exercise significant influence but do not have control are accounted for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of the entity that could potentially be significant to the VIE. All of our VIEs are immaterial, individually and in aggregate, to our consolidated financial statements.</w:t>
      </w:r>
    </w:p>
    <w:p>
      <w:pPr>
        <w:spacing w:after="0" w:line="14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Shift Away from the Power Generation Markets </w:t>
      </w:r>
      <w:r>
        <w:rPr>
          <w:rFonts w:ascii="Times New Roman" w:cs="Times New Roman" w:eastAsia="Times New Roman" w:hAnsi="Times New Roman"/>
          <w:sz w:val="18"/>
          <w:szCs w:val="18"/>
          <w:color w:val="auto"/>
        </w:rPr>
        <w:t>— Based on a review of our portfolio of businesses, and the belief that a recovery within the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markets was unlikely in the foreseeable future, we decided in 2015 that our strategic focus would be on our (i) scalable growth businesses that serve the heating, ventilation and cooling (“HVAC”) and detection and measurement markets and (ii) power transformers and process cooling systems businesses. As a result, we subsequently significantly reduced our exposure to the power generation markets. This reduction included the wind-down of the SPX Heat Transfer Business (“Heat Transfer”), completed during the fourth quarter of 2020, and the wind-down of our South African subsidiary, DBT Technologies (PTY) LTD (“DBT”) in 2021 when we substantially ceased all operations. As a result, we are reporting Heat Transfer and DBT as discontinued operations in the accompanying consolidated financial statements. See Note 4 for additional details regarding Heat Transfer and DBT’s presentation as discontinued operations and Notes 4 and 15 for additional details of DBT’s dispute resolution matters.</w:t>
      </w:r>
    </w:p>
    <w:p>
      <w:pPr>
        <w:spacing w:after="0" w:line="21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Sale of Transformer Solutions Business </w:t>
      </w:r>
      <w:r>
        <w:rPr>
          <w:rFonts w:ascii="Times New Roman" w:cs="Times New Roman" w:eastAsia="Times New Roman" w:hAnsi="Times New Roman"/>
          <w:sz w:val="18"/>
          <w:szCs w:val="18"/>
          <w:color w:val="auto"/>
        </w:rPr>
        <w:t>— On October 1, 2021, we completed the sale of SPX Transformer Solutions, Inc. (“Transformer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of the Stock Purchase Agreement dated June 8, 2021 with GE-Prolec Transformers, Inc. (the “Purchaser”) and Prolec GE Internacional, S. de R.L. de C.V. Historically, Transformer Solutions’ operations had a significant impact on our consolidated financial results, with revenues totaling approximately 25% of our consolidated revenues. As we no longer have a consequential presence in the power transmission and distribution markets, and given Transformer Solutions' significance to our historical consolidated financial results, we concluded that the sale of Transformer Solutions represents a strategic shift. Accordingly, we have classified the business as a discontinued operation in the accompanying consolidated financial statements. During 2022, we agreed to the final adjustment of the purchase price which resulted in a payment to the Purchaser of $13.9 and an increase to the gain on sale of $0.2 recorded to “Loss on disposition of discontinued operations, net of tax.”</w:t>
      </w:r>
    </w:p>
    <w:p>
      <w:pPr>
        <w:spacing w:after="0" w:line="21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Divestiture of Asbestos Liabilities and Certain Assets </w:t>
      </w:r>
      <w:r>
        <w:rPr>
          <w:rFonts w:ascii="Times New Roman" w:cs="Times New Roman" w:eastAsia="Times New Roman" w:hAnsi="Times New Roman"/>
          <w:sz w:val="18"/>
          <w:szCs w:val="18"/>
          <w:color w:val="auto"/>
        </w:rPr>
        <w:t>— On November 1, 2022, we divested three wholly-owned subsidiaries that hold asbestos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assets, including related insurance assets, to Canvas Holdco LLC (“Canvas”), an entity formed by a joint venture of Global Risk Capital LLC and an affiliate of Premia Holdings Ltd. In connection with the divestiture (the “Asbestos Portfolio Sale”), we contributed $138.8 in cash to the divested subsidiaries, financed with cash on hand; while Canvas made a capital contribution to the divested subsidiaries of $8.0. The divestiture resulted in a loss of $73.9, recorded to “Other operating expense, net,” which includes the write-off of certain deferred income tax assets recorded by the divested subsidiaries. The divested subsidiaries have agreed to indemnify us and our affiliates for their asbestos-related liabilities, which encompassed all of our consolidated asbestos-related liabilities and contingent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prior to the divestiture. These indemnification obligations are not subject to any cap or time limitation. As a result of this transaction, all asbestos obligations and liabilities and related insurance assets have been removed from our consolidated balance sheets effective November 12, 2022. The board of managers of the divested subsidiaries each received a solvency opinion from an independent advisory firm that the divested subsidiaries were solvent after giving effect to the Asbestos Portfolio Sale.</w:t>
      </w:r>
    </w:p>
    <w:p>
      <w:pPr>
        <w:spacing w:after="0" w:line="21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agreement for the Asbestos Portfolio Sale contains customary representations and warranties with respect to the divested subsidiaries, the Company, and Canvas. Pursuant to the agreement, the Company and Canvas will each indemnify the other for breaches of representation and warranties or breaches of covenants, subject to certain limitations as set forth in the agreement. Refer to Note 4 for additional details.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2024:</w:t>
      </w:r>
    </w:p>
    <w:p>
      <w:pPr>
        <w:spacing w:after="0" w:line="244" w:lineRule="exact"/>
        <w:rPr>
          <w:sz w:val="20"/>
          <w:szCs w:val="20"/>
          <w:color w:val="auto"/>
        </w:rPr>
      </w:pPr>
    </w:p>
    <w:p>
      <w:pPr>
        <w:jc w:val="both"/>
        <w:ind w:left="640" w:hanging="317"/>
        <w:spacing w:after="0" w:line="251"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Ingénia - 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$292.0, net of (i) an adjustment to the purchase price of $2.1 received during 2024 related to acquired working capital and (ii) cash acquired of $1.5. The post-acquisition results of Ingénia are reflected within our HVAC reportable segment.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2023:</w:t>
      </w:r>
    </w:p>
    <w:p>
      <w:pPr>
        <w:spacing w:after="0" w:line="244" w:lineRule="exact"/>
        <w:rPr>
          <w:sz w:val="20"/>
          <w:szCs w:val="20"/>
          <w:color w:val="auto"/>
        </w:rPr>
      </w:pPr>
    </w:p>
    <w:p>
      <w:pPr>
        <w:jc w:val="both"/>
        <w:ind w:left="640" w:hanging="317"/>
        <w:spacing w:after="0" w:line="25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TAMCO - On April 3, 2023, we completed the acquisition of T. A. Morrison &amp; Co. Inc. (“TAMCO”), a market leader in motorized and non-motorized dampers that control airflow in large-scale specialty applications in commercial, industrial, and institutional markets. We purchased TAMCO for cash consideration of $125.5, inclusive of an adjustment to the purchase price of $0.2 paid during 2023 related to acquired working capital, and net of cash acquired of $1.0. The post-acquisition operating results of TAMCO are reflected within our HVAC reportable segment.</w:t>
      </w:r>
    </w:p>
    <w:p>
      <w:pPr>
        <w:spacing w:after="0" w:line="209" w:lineRule="exact"/>
        <w:rPr>
          <w:rFonts w:ascii="Times New Roman" w:cs="Times New Roman" w:eastAsia="Times New Roman" w:hAnsi="Times New Roman"/>
          <w:sz w:val="18"/>
          <w:szCs w:val="18"/>
          <w:color w:val="auto"/>
        </w:rPr>
      </w:pPr>
    </w:p>
    <w:p>
      <w:pPr>
        <w:jc w:val="both"/>
        <w:ind w:left="640" w:hanging="317"/>
        <w:spacing w:after="0" w:line="253"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ASPEQ - On June 2, 2023, we completed the acquisition of ASPEQ Heating Group (“ASPEQ”), a leading provider of electrical heating solutions to customers in industrial and commercial markets. We purchased ASPEQ for cash consideration of $421.5, net of (i) an adjustment to the purchase price of $0.3 received during 2023 related to acquired working capital and (ii) cash acquired of $0.9. The post-acquisition operating results of ASPEQ are reflected within our HVAC reportable segment.</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Acquisitions in 2022:</w:t>
      </w:r>
    </w:p>
    <w:p>
      <w:pPr>
        <w:spacing w:after="0" w:line="244" w:lineRule="exact"/>
        <w:rPr>
          <w:sz w:val="20"/>
          <w:szCs w:val="20"/>
          <w:color w:val="auto"/>
        </w:rPr>
      </w:pPr>
    </w:p>
    <w:p>
      <w:pPr>
        <w:jc w:val="both"/>
        <w:ind w:left="640" w:hanging="317"/>
        <w:spacing w:after="0" w:line="251" w:lineRule="auto"/>
        <w:tabs>
          <w:tab w:leader="none" w:pos="63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ITL - On March 31, 2022, we completed the acquisition of International Tower Lighting, LLC (“ITL”), a leader in the design and manufacture of highly-engineered aids to navigation systems, including obstruction lighting for telecommunications towers, wind turbines and numerous other terrestrial obstructions. We purchased ITL for cash proceeds of $40.4, net of (i) an adjustment to the purchase price received during 2022 of $1.4 related to acquired working capital and (ii) cash acquired of $1.1. The post-acquisition operating results of ITL are reflected within our Detection and Measurement reportable segment.</w:t>
      </w:r>
    </w:p>
    <w:p>
      <w:pPr>
        <w:spacing w:after="0" w:line="2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and Transactions </w:t>
      </w:r>
      <w:r>
        <w:rPr>
          <w:rFonts w:ascii="Times New Roman" w:cs="Times New Roman" w:eastAsia="Times New Roman" w:hAnsi="Times New Roman"/>
          <w:sz w:val="18"/>
          <w:szCs w:val="18"/>
          <w:color w:val="auto"/>
        </w:rPr>
        <w:t>— The financial statements of our foreign subsidiaries are translated into U.S. dollars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Foreign Currency Matters Topic of the Financial Accounting Standards Board Codification (“Codification”). Gains and losses on foreign currency translations are reflected as a separate component of stockholders' equity and other comprehensive income/loss. Foreign currency transaction gains and losses, as well as gains and losses related to foreign currency forward contracts, are included in “Other expense, net,” with the related net gains (losses) totaling $0.8, $(0.9), and $(1.1) in 2024, 2023, and 2022, respectively.</w:t>
      </w:r>
    </w:p>
    <w:p>
      <w:pPr>
        <w:spacing w:after="0" w:line="119"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We consider highly liquid money market investments with original maturities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85"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in accordance with Accounting Standards Codification (“ASC”) 606. See Note 5 for our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recognizing revenue under, as well as the various other disclosures required by, ASC 606.</w:t>
      </w:r>
    </w:p>
    <w:p>
      <w:pPr>
        <w:spacing w:after="0" w:line="9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 We expense research and development costs as incurred. We charge costs incurred in the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software included in products to expense until technological feasibility is established. After technological feasibility is established, additional eligible costs are capitalized until the product is available for general release. We amortize these costs over the economic lives of the related products and include the amortization in cost of products sold.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3" w:name="page64"/>
    <w:bookmarkEnd w:id="63"/>
    <w:p>
      <w:pPr>
        <w:jc w:val="both"/>
        <w:spacing w:after="0" w:line="251" w:lineRule="auto"/>
        <w:rPr>
          <w:sz w:val="20"/>
          <w:szCs w:val="20"/>
          <w:color w:val="auto"/>
        </w:rPr>
      </w:pPr>
      <w:r>
        <w:rPr>
          <w:rFonts w:ascii="Times New Roman" w:cs="Times New Roman" w:eastAsia="Times New Roman" w:hAnsi="Times New Roman"/>
          <w:sz w:val="18"/>
          <w:szCs w:val="18"/>
          <w:color w:val="auto"/>
        </w:rPr>
        <w:t>We perform periodic reviews of the recoverability of these capitalized software costs. If, and at the time, we determine that capitalized amounts are not recoverable based on the estimated cash flows to be generated from the applicable software, we write off any unrecoverable capitalized amounts. Capitalized software, net of amortization, totaled $3.6 and $3.1 as of December 31, 2024 and 2023, respectively. Capitalized software amortization expense totaled $0.4, $0.1, and $0.1 in 2024, 2023, and 2022, respectively. We expensed research activities relating to the development and improvement of our products of $45.9, $43.2, and $39.1 in 2024, 2023, and 2022, respectively.</w:t>
      </w:r>
    </w:p>
    <w:p>
      <w:pPr>
        <w:spacing w:after="0" w:line="14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(“PP&amp;E”) is stated at cost, less accumulated depreciation. We use the straight-line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for computing depreciation expense over the useful lives of PP&amp;E, which do not exceed 40 years for buildings and range from 3 to 15 years for machinery and equipment. Depreciation expense, including amortization of finance leases, was $26.7, $19.2, and $17.8 for the years ended December 31, 2024, 2023, and 2022, respectively. Leasehold improvements are amortized over the life of the related asset or the life of the lease, whichever is shorter. Interest is capitalized on significant construction or installation projects. No interest was capitalized during 2024, 2023, or 2022.</w:t>
      </w:r>
    </w:p>
    <w:p>
      <w:pPr>
        <w:spacing w:after="0" w:line="119"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Pension and Postretirement </w:t>
      </w:r>
      <w:r>
        <w:rPr>
          <w:rFonts w:ascii="Times New Roman" w:cs="Times New Roman" w:eastAsia="Times New Roman" w:hAnsi="Times New Roman"/>
          <w:sz w:val="17"/>
          <w:szCs w:val="17"/>
          <w:color w:val="auto"/>
        </w:rPr>
        <w:t>— We recognize changes in the fair value of plan assets and actuarial gains and losses in earnings during the fourth quarter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each year, unless earlier remeasurement is required, as a component of net periodic benefit expense/income and, accordingly, recognize the effects of plan investment performance, interest rate changes, and changes in actuarial assumptions as a component of earnings in the year in which they occur. The remaining components of pension/postretirement expense/income, primarily interest costs and expected return on plan assets, are recorded on a quarterly basis.</w:t>
      </w:r>
    </w:p>
    <w:p>
      <w:pPr>
        <w:spacing w:after="0" w:line="101"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Company-owned Life Insurance Policies </w:t>
      </w:r>
      <w:r>
        <w:rPr>
          <w:rFonts w:ascii="Times New Roman" w:cs="Times New Roman" w:eastAsia="Times New Roman" w:hAnsi="Times New Roman"/>
          <w:sz w:val="18"/>
          <w:szCs w:val="18"/>
          <w:color w:val="auto"/>
        </w:rPr>
        <w:t>— The Company has investments in company-owned life insurance (“COLI”) policies, which are recorded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cash surrender value at each balance sheet date. Changes in the cash surrender value during the period are recorded within “Other expense, net” within our consolidated statements of operations. The Company has the ability to borrow against a portion of its investments in the COLI policies as an additional source of liquidity. During 2024, the Company borrowed $41.2 against the cash surrender value of these COLI policies. Such borrowings were primarily used to pay down amounts payable under the revolving credit facility. The amounts borrowed incur interest at a weighted-average rate of 5.3%. The cash surrender value of the Company’s investments in COLI assets, net of aforementioned borrowing, was $36.2 and $76.7 at December 31, 2024 and 2023, respectively, recorded in “Other assets” on the consolidated balance sheets.</w:t>
      </w:r>
    </w:p>
    <w:p>
      <w:pPr>
        <w:spacing w:after="0" w:line="11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account for income taxes based on the requirements of the Income Taxes Topic of the Codification, which includes an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taxes payable or refundable for the current year and deferred tax liabilities and assets for the future tax consequences of events that have been recognized in our consolidated financial statements or tax returns. Deferred income taxes reflect the net tax effects of temporary differences between the carrying amounts of assets and liabilities for financial reporting purposes and the amounts used for income tax purposes. We periodically assess the realizability of deferred tax assets and the adequacy of deferred tax liabilities, including the results of local, state, federal or foreign statutory tax audits or estimates and judgments used.</w:t>
      </w:r>
    </w:p>
    <w:p>
      <w:pPr>
        <w:spacing w:after="0" w:line="10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use foreign currency forward contracts to manage our exposures to fluctuating currency exchange rates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protection agreements to manage our exposures to fluctuating interest rate risk on variable rate debt. Derivatives are recorded on the balance sheet and measured at fair value. For derivatives designated as hedges of the fair value of assets or liabilities, the changes in fair values of both the derivatives and the hedged items are recorded in current earnings. For derivatives designated as cash flow hedges, the change in fair value of the derivatives is recorded in accumulated other comprehensive income (“AOCI”) and subsequently recognized in earnings when the forecasted transaction impacts earnings. We do not enter into financial instruments for speculative or trading purposes.</w:t>
      </w:r>
    </w:p>
    <w:p>
      <w:pPr>
        <w:spacing w:after="0" w:line="1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For those transactions that are designated as cash flow hedges, we document our hedge relationship, including identification of the hedging instruments and the hedged items, as well as our risk management objectives and strategies for undertaking the hedge transaction. We also assess, both at inception and quarterly thereafter, whether such derivatives are highly effective in offsetting changes in the fair value of the hedged item. See Notes 14 and 17 for further information.</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flows from hedging activities are included in the same category as the items being hedged, which are primarily operating activities.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(2) Use of Estimates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These estimates and assumptions affect the reported amounts of assets and liabilities, the disclosure of contingent assets and liabilities at the date of the consolidated financial statements, and the reported amounts of revenues and expenses during the reporting period. We evaluate these estimates and judgments on an ongoing basis and base our estimates on experience, current and expected future conditions, third-party evaluations and various other assumptions that we believe are reasonable under the circumstances. The results of these estimates form the basis for making judgments about the carrying values of assets and liabilities as well as identifying and assessing the accounting treatment with respect to commitments and contingencies. Actual results may differ from the estimates and assumptions used in the consolidated financial statements and related notes.</w:t>
      </w:r>
    </w:p>
    <w:p>
      <w:pPr>
        <w:spacing w:after="0" w:line="12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Listed below are certain significant estimates and assumptions used in the preparation of our consolidated financial statements. Certain other estimates and assumptions are further explained in the related notes.</w:t>
      </w:r>
    </w:p>
    <w:p>
      <w:pPr>
        <w:spacing w:after="0" w:line="10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Accounts Receivable Allowances </w:t>
      </w:r>
      <w:r>
        <w:rPr>
          <w:rFonts w:ascii="Times New Roman" w:cs="Times New Roman" w:eastAsia="Times New Roman" w:hAnsi="Times New Roman"/>
          <w:sz w:val="18"/>
          <w:szCs w:val="18"/>
          <w:color w:val="auto"/>
        </w:rPr>
        <w:t>— We provide allowances for expected losses on uncollectible accounts based on our historical experience,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economic and market conditions, and the evaluation of the likelihood of success in collecting specific customer receivables. In addition, we maintain allowances for customer returns, discounts and invoice pricing discrepancies, with such allowances primarily based on historical experience. Summarized below is the activity for these allowance accounts.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provided</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Write-offs, net of recoveries, credits issued and other</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3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 We estimate losses for excess and/or obsolete inventory and the net realizable value of inventory based on the aging and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utilization of the inventory and the evaluation of the likelihood of recovering the inventory costs based on anticipated demand and selling price.</w:t>
      </w:r>
    </w:p>
    <w:p>
      <w:pPr>
        <w:spacing w:after="0" w:line="7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Acquisitions </w:t>
      </w:r>
      <w:r>
        <w:rPr>
          <w:rFonts w:ascii="Times New Roman" w:cs="Times New Roman" w:eastAsia="Times New Roman" w:hAnsi="Times New Roman"/>
          <w:sz w:val="17"/>
          <w:szCs w:val="17"/>
          <w:color w:val="auto"/>
        </w:rPr>
        <w:t>— We record acquisitions that meet the definition of a business combination using the acquisition method of accounting. We include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results of acquired entities from their respective dates of acquisition and recognize and measure the identifiable assets acquired, liabilities assumed, including contingent consideration as of the acquisition date, at fair value. The excess, if any, of total consideration transferred in a business combination over the fair value of identifiable assets acquired and liabilities assumed is recognized as goodwill. Costs incurred as a result of a business combination, other than costs related to the issuance of debt or equity securities, are recorded in the period the costs are incurred. Additionally, at each reporting period, contingent consideration is remeasured to fair value, with changes recorded in “Other operating expense, net” within our consolidated statements of operations.</w:t>
      </w:r>
    </w:p>
    <w:p>
      <w:pPr>
        <w:spacing w:after="0" w:line="107"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Long-Lived Assets and Intangible Assets Subject to Amortization </w:t>
      </w:r>
      <w:r>
        <w:rPr>
          <w:rFonts w:ascii="Times New Roman" w:cs="Times New Roman" w:eastAsia="Times New Roman" w:hAnsi="Times New Roman"/>
          <w:sz w:val="18"/>
          <w:szCs w:val="18"/>
          <w:color w:val="auto"/>
        </w:rPr>
        <w:t>— We continually review whether events and circumstances subsequent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any long-lived assets, including intangible assets subject to amortization, have occurred that indicate the remaining estimated useful lives of those assets may warrant revision or that the remaining balance of those assets may not be fully recoverable. If events and circumstances indicate that the long-lived assets should be reviewed for possible impairment, we use projections to assess whether future cash flows on an undiscounted basis related to the assets are likely to exceed the related carrying amount. We will record an impairment charge to the extent the carrying value of the assets exceed their fair values as determined by valuation techniques appropriate in the circumstances.</w:t>
      </w:r>
    </w:p>
    <w:p>
      <w:pPr>
        <w:spacing w:after="0" w:line="12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determining the estimated useful lives of definite-lived intangible assets, we consider the nature, competitive position, life cycle position, and historical and expected future cash flows of each acquired asset, as well as our commitment to support these assets through continued investment and legal infringement protection. Definite-lived intangible assets such as customer relationships, technology and other intangible assets with finite useful lives are amortized on a straight-line basis over their estimated economic lives. The weighted-average remaining useful lives approximate the following as of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years</w:t>
            </w: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5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years</w:t>
            </w: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years</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5" w:name="page66"/>
    <w:bookmarkEnd w:id="65"/>
    <w:p>
      <w:pPr>
        <w:jc w:val="both"/>
        <w:ind w:firstLine="396"/>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Goodwill and Indefinite-Lived Intangible Assets </w:t>
      </w:r>
      <w:r>
        <w:rPr>
          <w:rFonts w:ascii="Times New Roman" w:cs="Times New Roman" w:eastAsia="Times New Roman" w:hAnsi="Times New Roman"/>
          <w:sz w:val="18"/>
          <w:szCs w:val="18"/>
          <w:color w:val="auto"/>
        </w:rPr>
        <w:t>— We review goodwill and indefinite-lived intangible assets for impairment annually during the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and continually assess whether a triggering event has occurred that indicates the carrying value may exceed the implied fair value. In reviewing goodwill for impairment, we first assess qualitative factors to determine whether the existence of events or circumstances leads to a determination that it is more likely than not (greater than 50%) that the estimated fair value of a reporting unit is less than its carrying amount. If we determine that an impairment is more likely than not, we then perform a quantitative impairment test (described below). Otherwise, no further analysis is required. Our qualitative evaluation is an assessment of factors, including reporting unit-specific operating results, as well as industry, market, and general economic conditions. Our quantitative analysis of the fair value of reporting units is based generally on discounted projected cash flows, but we also consider factors such as comparable industry price multiples. We employ cash flow projections that we believe to be reasonable under current and forecasted circumstances, the results of which form the basis for making judgments about the carrying values of the reported net assets of our reporting units. Many of our businesses closely follow changes in the industries and end markets that they serve. Accordingly, we consider estimates and judgments that affect the future cash flow projections, including principal methods of competition, such as volume, price, service, product performance and technical innovations, as well as estimates associated with cost reduction initiatives, capacity utilization and assumptions for inflation and foreign currency changes.</w:t>
      </w:r>
    </w:p>
    <w:p>
      <w:pPr>
        <w:spacing w:after="0" w:line="131"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Accrued Expenses </w:t>
      </w:r>
      <w:r>
        <w:rPr>
          <w:rFonts w:ascii="Times New Roman" w:cs="Times New Roman" w:eastAsia="Times New Roman" w:hAnsi="Times New Roman"/>
          <w:sz w:val="18"/>
          <w:szCs w:val="18"/>
          <w:color w:val="auto"/>
        </w:rPr>
        <w:t>— We make estimates and judgments in establishing accruals as required under GAAP. Summarized in the table below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accrued expenses at December 31,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incentive compensation</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benefits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1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1"/>
        </w:trPr>
        <w:tc>
          <w:tcPr>
            <w:tcW w:w="85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29"/>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12" w:lineRule="exact"/>
        <w:rPr>
          <w:sz w:val="20"/>
          <w:szCs w:val="20"/>
          <w:color w:val="auto"/>
        </w:rPr>
      </w:pPr>
    </w:p>
    <w:p>
      <w:pPr>
        <w:ind w:left="640" w:hanging="317"/>
        <w:spacing w:after="0" w:line="228" w:lineRule="auto"/>
        <w:tabs>
          <w:tab w:leader="none" w:pos="6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consists of various items including, among other items, the current portion of our liabilities related to risk management matters, environmental remediation costs, and operating leases, as well as, accrued rebates, legal, interest and restructuring costs, none of which is individually material.</w:t>
      </w:r>
    </w:p>
    <w:p>
      <w:pPr>
        <w:spacing w:after="0" w:line="118"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Legal </w:t>
      </w:r>
      <w:r>
        <w:rPr>
          <w:rFonts w:ascii="Times New Roman" w:cs="Times New Roman" w:eastAsia="Times New Roman" w:hAnsi="Times New Roman"/>
          <w:sz w:val="18"/>
          <w:szCs w:val="18"/>
          <w:color w:val="auto"/>
        </w:rPr>
        <w:t>— We accrue for estimated losses from legal actions or claims when events exist that make the realization of the losses probable and they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estimated. We do not discount legal obligations or reduce them by anticipated insurance recoveries. See Note 15 for additional details.</w:t>
      </w:r>
    </w:p>
    <w:p>
      <w:pPr>
        <w:spacing w:after="0" w:line="99"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Costs </w:t>
      </w:r>
      <w:r>
        <w:rPr>
          <w:rFonts w:ascii="Times New Roman" w:cs="Times New Roman" w:eastAsia="Times New Roman" w:hAnsi="Times New Roman"/>
          <w:sz w:val="18"/>
          <w:szCs w:val="18"/>
          <w:color w:val="auto"/>
        </w:rPr>
        <w:t>— We expense costs incurred to investigate and remediate environmental issues unless they extend the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related assets. We record liabilities when it is probable that an obligation has been incurred and the amounts can be reasonably estimated. Our environmental accruals cover anticipated costs, including investigation, remediation and operation and maintenance of clean-up sites. Our estimates are based primarily on investigations and remediation plans established by independent consultants, regulatory agencies and potentially responsible third parties. We do not discount environmental obligations or reduce them by anticipated insurance recoveries.</w:t>
      </w:r>
    </w:p>
    <w:p>
      <w:pPr>
        <w:spacing w:after="0" w:line="106"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Risk Management Matters </w:t>
      </w:r>
      <w:r>
        <w:rPr>
          <w:rFonts w:ascii="Times New Roman" w:cs="Times New Roman" w:eastAsia="Times New Roman" w:hAnsi="Times New Roman"/>
          <w:sz w:val="18"/>
          <w:szCs w:val="18"/>
          <w:color w:val="auto"/>
        </w:rPr>
        <w:t>— We are subject to claims associated with risk management matters (e.g., product liability, general liability, automobile,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workers’ compensation claims). The liabilities we record for these claims are based on a number of assumptions, including historical claims and payment experience and, prior to the Asbestos Portfolio Sale, with respect to asbestos claims, actuarial estimates of the future period during which additional claims were reasonably foreseeable. Prior to the Asbestos Portfolio Sale, we also recorded insurance recovery assets associated with the asbestos product liability matters. These assets represented amounts that we believe we were entitled to recover under agreements we had with insurance companies. The assets we recorded for these insurance recoveries were based on a number of assumptions, including the continued solvency of the insurers, and our legal interpretation of our rights for recovery under the agreements we had with the insurers. In addition, we are self-insured for certain of our workers’ compensation, automobile, product, general liability, disability and health costs, and we maintain adequate accruals to cover our retained liabilities. Our accruals for self-insurance liabilities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 loss exposures. The key assumptions considered in estimating the ultimate cost to settle reported claims and the estimated costs associated with incurred but not yet reported claims include, among other factors, our historical and industry claims experience, trends in health care and administrative costs, our current and future risk management programs, and historical lag studies with regard to the timing between when a claim is incurred and reported. See Note 15 for additional details.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6" w:name="page67"/>
    <w:bookmarkEnd w:id="66"/>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 In the normal course of business, we issue product warranties for specific products and provide for the estimated future warranty cost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which the sale is recorded. We provide for the estimate of warranty cost based on contract terms and historical warranty loss experience that is periodically adjusted for recent actual experience. Because warranty estimates are forecasts that are based on the best available information, claims costs may differ from amounts provided. In addition, due to the seasonal fluctuations at certain of our businesses, the timing of warranty provisions and the usage of warranty accruals can vary period to period. We make adjustments to initial obligations for warranties as changes in the obligations become reasonably estimable. The following is an analysis of our product warranty accrual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Usage</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at end of year</w:t>
            </w:r>
          </w:p>
        </w:tc>
        <w:tc>
          <w:tcPr>
            <w:tcW w:w="8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4"/>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portion of warranty</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perform reviews of our income tax positions on a continuous basis and accrue for potential uncertain tax positions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Income Taxes Topic of the Codification. Accruals for these uncertain tax positions may be classified as “Income taxes payable” and “Deferred and other income taxes” in the accompanying consolidated balance sheets based on an expectation as to the timing of when the matter will be resolved. As events change or resolutions occur, these accruals are adjusted, such as in the case of audit settlements with taxing authorities. For tax positions where it is more likely than not that a tax benefit will be sustained, we record the largest amount of tax benefit with a greater than 50% likelihood of being realized upon ultimate settlement with a taxing authority, assuming such authority has full knowledge of all relevant information. These reviews also entail analyzing the realization of deferred tax assets. When we believe that it is more likely than not that we will not realize a benefit for a deferred tax asset based on all available evidence, we establish a valuation allowance.</w:t>
      </w:r>
    </w:p>
    <w:p>
      <w:pPr>
        <w:spacing w:after="0" w:line="11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 Defined benefit plans cover a portion of our salaried and hourly employees, including certain employees in foreign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discussed in Note 1, we recognize changes in the fair value of plan assets and actuarial gains and losses associated with our pension and postretirement benefit plans in earnings during the fourth quarter of each year, unless earlier remeasurement is required, as a component of net periodic benefit expense. The remaining components of pension/postretirement expense, primarily interest costs and expected return on plan assets, are recorded on a quarterly basis. See Note 11 for further discussion of our pension and postretirement benefits.</w:t>
      </w:r>
    </w:p>
    <w:p>
      <w:pPr>
        <w:spacing w:after="0" w:line="1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derive pension expense from an actuarial calculation based on the defined benefit plans’ provisions and our assumptions regarding discount rates. We primarily determine the discount rate for our plans by matching the expected projected benefit obligation cash flows for each of the plans to a yield curve that is representative of long-term, high-quality (rated AA or higher) fixed income debt instruments as of the measurement date. We also consult with independent actuaries in determining these assumptions.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new accounting pronouncements that apply or may apply to our business.</w:t>
      </w:r>
    </w:p>
    <w:p>
      <w:pPr>
        <w:spacing w:after="0" w:line="15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The London Interbank Offered Rate (“LIBOR”) was discontinued on June 30, 2023. In an effort to address the various challenges created by such discontinuance, the FASB issued three amendments to existing guidance, Accounting Standards Update (“ASU”) No. 2020-04, No. 2021-01 and No. 2022-06, Reference Rate Reform. The amended guidance is designed to provide relief from the accounting analysis and impacts that may otherwise be required for modifications to agreements (e.g., loans, debt securities, derivatives, etc.) necessitated by the reference rate reform. It also provides optional expedients to enable companies to continue to apply hedge accounting to certain hedging relationships impacted by the reference rate reform. Application of the guidance in the amendments is optional, is only available in certain situations, and is only available for companies to apply until December 31, 2024. In conjunction with entering into an amended and restated credit agreement on August 12, 2022, we adopted this guidance with no material impact on our consolidated financial statements. Refer to Note 13 for additional information on our credit agreements.</w:t>
      </w:r>
    </w:p>
    <w:p>
      <w:pPr>
        <w:spacing w:after="0" w:line="21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In November 2023, the FASB issued ASU No. 2023-07, which requires companies to disclose, on an interim and annual basis, significant segment expenses that are regularly provided to the chief operating decision maker (“CODM”), as well as 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7" w:name="page68"/>
    <w:bookmarkEnd w:id="67"/>
    <w:p>
      <w:pPr>
        <w:jc w:val="both"/>
        <w:spacing w:after="0" w:line="251" w:lineRule="auto"/>
        <w:rPr>
          <w:sz w:val="20"/>
          <w:szCs w:val="20"/>
          <w:color w:val="auto"/>
        </w:rPr>
      </w:pPr>
      <w:r>
        <w:rPr>
          <w:rFonts w:ascii="Times New Roman" w:cs="Times New Roman" w:eastAsia="Times New Roman" w:hAnsi="Times New Roman"/>
          <w:sz w:val="18"/>
          <w:szCs w:val="18"/>
          <w:color w:val="auto"/>
        </w:rPr>
        <w:t>qualitative description of other segment expenses not disclosed. In addition, ASU 2023-07 requires companies to disclose the title and position of the CODM and an explanation of how the CODM used the reported measures in assessing segment performance. ASU 2023-07 is effective for fiscal years beginning January 1, 2024, and interim periods within fiscal years beginning January 1, 2025, and is applied retrospectively to all prior periods presented in these financial statements. We adopted ASU 2023-07 during the fourth quarter of 2024, with no impact on our consolidated financial statements. Refer to Note 7 for these and other disclosures related to our reportable segments.</w:t>
      </w:r>
    </w:p>
    <w:p>
      <w:pPr>
        <w:spacing w:after="0" w:line="21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the Company’s consolidated financial position, results of operations or cash flows.</w:t>
      </w:r>
    </w:p>
    <w:p>
      <w:pPr>
        <w:spacing w:after="0" w:line="21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7"/>
          <w:szCs w:val="17"/>
          <w:color w:val="auto"/>
        </w:rPr>
        <w:t>In November 2024, the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the Company's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the Company's consolidated financial position, results of operations or cash flows.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Discontinued Operations, and the Asbestos Portfolio Sale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5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10-K.</w:t>
      </w:r>
    </w:p>
    <w:p>
      <w:pPr>
        <w:spacing w:after="0" w:line="207"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As indicated in Note 1, on April 3, 2023 and March 31, 2022 we completed the acquisitions of TAMCO and ITL, respectively. The pro forma effects of these acquisitions are not material to our consolidated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Ingénia</w:t>
      </w:r>
    </w:p>
    <w:p>
      <w:pPr>
        <w:spacing w:after="0" w:line="14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indicated in Note 1, on February 7, 2024, we completed the acquisition of Ingénia, for $292.0, net of (i) an adjustment to the purchase price of $2.1 received during 2024 related to acquired working capital and (ii) cash acquired of $1.5. We financed the acquisition with available borrowings on our revolving credit facilities under our senior credit facilities. The excess of the purchase price over the total of the estimated fair values assigned to tangible and identifiable intangible assets acquired and liabilities assumed is recognized as goodwill. In order to determine the fair values of tangible and intangible assets acquired and liabilities assumed for Ingénia, we engaged a third-party independent valuation specialist.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Ingénia as of February 7,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$1.5</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02"/>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r>
      <w:tr>
        <w:trPr>
          <w:trHeight w:val="253"/>
        </w:trPr>
        <w:tc>
          <w:tcPr>
            <w:tcW w:w="90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9"/>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51"/>
        </w:trPr>
        <w:tc>
          <w:tcPr>
            <w:tcW w:w="90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27"/>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trademarks, and customer backlog of $46.7, $23.5, $13.9, and $13.8, respectively, with such amounts based on an assessment of the related fair values. We expect to amortize the technology, customer relationships, trademarks, and customer backlog assets over 12.0, 7.0, 8.0, and 1.0 years, respectively.</w:t>
      </w:r>
    </w:p>
    <w:p>
      <w:pPr>
        <w:spacing w:after="0" w:line="201"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We acquired gross receivables of $16.1, which had the same fair value at the acquisition date based on our estimates of cash flows expected to be recovered.</w:t>
      </w:r>
    </w:p>
    <w:p>
      <w:pPr>
        <w:spacing w:after="0" w:line="20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 We expect none of the goodwill described above to be deductible for tax purposes.</w:t>
      </w:r>
    </w:p>
    <w:p>
      <w:pPr>
        <w:spacing w:after="0" w:line="20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recognized revenues and net income for Ingénia of $72.6 and $15.9, respectively, for the year ended December 31, 2024, with the net income impacted by charges during the year ended December 31, 2024 of $18.6 associated with amortization of the various intangible assets mentioned above and $1.8 associated with the excess fair value (over historical cost) of inventory acquired which was subsequently sold. During the year ended December 31, 2024, we incurred acquisition-related costs for Ingénia of $3.6 which have been recorded to “Selling, general and administrative” within our consolidated statements of operations and “Corporate expense” within consolidated operating income, as further described in Note 7.</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ASPEQ</w:t>
      </w:r>
    </w:p>
    <w:p>
      <w:pPr>
        <w:spacing w:after="0" w:line="15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indicated in Note 1, on June 2, 2023, we completed the acquisition of ASPEQ for $421.5, net of (i) an adjustment to the purchase price of $0.3 received during 2023 related to acquired working capital and (ii) cash acquired of $0.9. We financed the acquisition with available cash and borrowings under our senior credit facilities. The excess of the purchase price over the total of the estimated fair values assigned to tangible and identifiable intangible assets acquired and liabilities assumed is recognized as goodwill. In order to determine the fair values of tangible and intangible assets acquired and liabilities assumed for ASPEQ, we engaged a third-party independent valuation specialist.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9" w:name="page70"/>
    <w:bookmarkEnd w:id="69"/>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ASPEQ as of June 2,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$0.9</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9"/>
        </w:trPr>
        <w:tc>
          <w:tcPr>
            <w:tcW w:w="9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3"/>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209"/>
        </w:trPr>
        <w:tc>
          <w:tcPr>
            <w:tcW w:w="9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51"/>
        </w:trPr>
        <w:tc>
          <w:tcPr>
            <w:tcW w:w="9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1"/>
        </w:trPr>
        <w:tc>
          <w:tcPr>
            <w:tcW w:w="908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Non-current liabilities assumed </w:t>
            </w:r>
            <w:r>
              <w:rPr>
                <w:rFonts w:ascii="Times New Roman" w:cs="Times New Roman" w:eastAsia="Times New Roman" w:hAnsi="Times New Roman"/>
                <w:sz w:val="20"/>
                <w:szCs w:val="20"/>
                <w:color w:val="auto"/>
                <w:vertAlign w:val="superscript"/>
              </w:rPr>
              <w:t>(1)</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51"/>
        </w:trPr>
        <w:tc>
          <w:tcPr>
            <w:tcW w:w="90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0" w:type="dxa"/>
            <w:vAlign w:val="bottom"/>
          </w:tcPr>
          <w:p>
            <w:pPr>
              <w:spacing w:after="0"/>
              <w:rPr>
                <w:sz w:val="1"/>
                <w:szCs w:val="1"/>
                <w:color w:val="auto"/>
              </w:rPr>
            </w:pPr>
          </w:p>
        </w:tc>
      </w:tr>
      <w:tr>
        <w:trPr>
          <w:trHeight w:val="24"/>
        </w:trPr>
        <w:tc>
          <w:tcPr>
            <w:tcW w:w="9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8"/>
        </w:trPr>
        <w:tc>
          <w:tcPr>
            <w:tcW w:w="9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20" w:hanging="297"/>
        <w:spacing w:after="0" w:line="232" w:lineRule="auto"/>
        <w:tabs>
          <w:tab w:leader="none" w:pos="6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net deferred income tax liabilities and other liabilities of $56.4 and $1.0, respectively.</w:t>
      </w:r>
    </w:p>
    <w:p>
      <w:pPr>
        <w:spacing w:after="0" w:line="79"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trademarks, technology, and customer backlog of $142.3, $51.5, $47.8, and $4.5, respectively, with such amounts based on an assessment of the related fair values. We expect to amortize the customer relationships, technology, and customer backlog assets over 12.0, 16.0, and 1.0 years, respectively, with the trademarks acquired being indefinite-lived.</w:t>
      </w:r>
    </w:p>
    <w:p>
      <w:pPr>
        <w:spacing w:after="0" w:line="2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acquired gross receivables of $18.0, which had a fair value at the acquisition date of $17.8 based on our estimates of cash flows expected to be recovered.</w:t>
      </w:r>
    </w:p>
    <w:p>
      <w:pPr>
        <w:spacing w:after="0" w:line="181" w:lineRule="exact"/>
        <w:rPr>
          <w:sz w:val="20"/>
          <w:szCs w:val="20"/>
          <w:color w:val="auto"/>
        </w:rPr>
      </w:pPr>
    </w:p>
    <w:p>
      <w:pPr>
        <w:jc w:val="both"/>
        <w:ind w:firstLine="396"/>
        <w:spacing w:after="0" w:line="284" w:lineRule="auto"/>
        <w:rPr>
          <w:sz w:val="20"/>
          <w:szCs w:val="20"/>
          <w:color w:val="auto"/>
        </w:rPr>
      </w:pPr>
      <w:r>
        <w:rPr>
          <w:rFonts w:ascii="Times New Roman" w:cs="Times New Roman" w:eastAsia="Times New Roman" w:hAnsi="Times New Roman"/>
          <w:sz w:val="17"/>
          <w:szCs w:val="17"/>
          <w:color w:val="auto"/>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w:t>
      </w:r>
    </w:p>
    <w:p>
      <w:pPr>
        <w:spacing w:after="0" w:line="184"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7"/>
          <w:szCs w:val="17"/>
          <w:color w:val="auto"/>
        </w:rPr>
        <w:t>We recognized revenues and net income for ASPEQ of $63.9 and $3.6, respectively, for the year ended December 31, 2023, with the net income impacted by charges during the year ended December 31, 2023 of (i) $13.2 associated with amortization of the various intangible assets mentioned above and</w:t>
      </w:r>
    </w:p>
    <w:p>
      <w:pPr>
        <w:spacing w:after="0" w:line="1" w:lineRule="exact"/>
        <w:rPr>
          <w:sz w:val="20"/>
          <w:szCs w:val="20"/>
          <w:color w:val="auto"/>
        </w:rPr>
      </w:pPr>
    </w:p>
    <w:p>
      <w:pPr>
        <w:jc w:val="both"/>
        <w:ind w:firstLine="6"/>
        <w:spacing w:after="0" w:line="238"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associated with the excess fair value (over historical cost) of inventory acquired which was subsequently sold. During the year ended December 31, 2023, we incurred acquisition-related costs for ASPEQ of $5.4, which have been recorded to “Selling, general and administrative” within our consolidated statements of operations and “Corporate expense” within consolidated operating income, as further described in Note 7.</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70" w:name="page71"/>
    <w:bookmarkEnd w:id="70"/>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The following unaudited pro forma information presents our consolidated results of operations for the years ended December 31, 2024, 2023, and 2022, respectively, as if the acquisitions of Ingénia and ASPEQ had taken place on January 1, 2023 and January 1, 2022, respectively. The unaudited pro forma financial information is not intended to represent or be indicative of our consolidated results of operations that would have been reported had the acquisitions been completed as of the dates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integration of Ingénia and ASPEQ.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during 2023 for Ingénia and 2022 for ASPEQ, and the related income tax effects.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top w:val="single" w:sz="8" w:color="auto"/>
              <w:bottom w:val="single" w:sz="8" w:color="auto"/>
            </w:tcBorders>
          </w:tcPr>
          <w:p>
            <w:pPr>
              <w:spacing w:after="0"/>
              <w:rPr>
                <w:sz w:val="17"/>
                <w:szCs w:val="17"/>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1,564.7</w:t>
            </w: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64"/>
        </w:trPr>
        <w:tc>
          <w:tcPr>
            <w:tcW w:w="7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per share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51"/>
        </w:trPr>
        <w:tc>
          <w:tcPr>
            <w:tcW w:w="7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common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Transformer Solutions Business</w:t>
      </w:r>
    </w:p>
    <w:p>
      <w:pPr>
        <w:spacing w:after="0" w:line="233"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As mentioned in Note 1, during 2022, we agreed to the final adjustment of the purchase price related to our previously disposed Transformers Solutions business, which resulted in a payment to the Purchaser of $13.9 and an increase to the gain on sale of $0.2 recorded to “Loss on disposition of discontinued operations, net of tax” for the year ended December 31,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of DBT Business</w:t>
      </w:r>
    </w:p>
    <w:p>
      <w:pPr>
        <w:spacing w:after="0" w:line="246"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As discussed in Note 1, we completed the wind-down of our DBT business after ceasing all operations, including those related to two large power projects in South Africa (Kusile and Medupi), in the fourth quarter of 2021. As a result of completing the wind-down plan, we are reporting DBT as a discontinued operation for all periods presented.</w:t>
      </w:r>
    </w:p>
    <w:p>
      <w:pPr>
        <w:spacing w:after="0" w:line="219" w:lineRule="exact"/>
        <w:rPr>
          <w:sz w:val="20"/>
          <w:szCs w:val="20"/>
          <w:color w:val="auto"/>
        </w:rPr>
      </w:pPr>
    </w:p>
    <w:p>
      <w:pPr>
        <w:jc w:val="both"/>
        <w:ind w:firstLine="396"/>
        <w:spacing w:after="0" w:line="252" w:lineRule="auto"/>
        <w:rPr>
          <w:sz w:val="20"/>
          <w:szCs w:val="20"/>
          <w:color w:val="auto"/>
        </w:rPr>
      </w:pPr>
      <w:r>
        <w:rPr>
          <w:rFonts w:ascii="Times New Roman" w:cs="Times New Roman" w:eastAsia="Times New Roman" w:hAnsi="Times New Roman"/>
          <w:sz w:val="17"/>
          <w:szCs w:val="17"/>
          <w:color w:val="auto"/>
        </w:rPr>
        <w:t>As previously disclosed, DBT had asserted claims against the remaining prime contractor on two large projects, Mitsubishi Heavy Industries Power — ZAF (f.k.a. Mitsubishi-Hitachi Power Systems Africa (PTY) LTD) (“MHI”), of approximately South African Rand 1,000.0 (or $53.2) and MHI had asserted, or issued letters of intent to claim for, alleged damages against DBT. Although it was reasonably possible that some loss may have been incurred in connection with these claims (which totaled approximately South African Rand 2,815.2 or $149.7), we were unable to estimate the potential loss or range of potential loss associated with these claims due to the (i) lack of support provided by MHI for these claims; (ii) complexity of contractual relationships between the end customer, MHI, and DBT; (iii) legal interpretation of the contract provisions and application of South African law to the contracts; and (iv) unpredictable nature of any dispute resolution processes that had occurred or may have occurred in connection with these claims. Although we had experienced success in enforcing and defending our rights through the dispute resolution process over the past few years (including the matters mentioned below), we had invested, and would have continued to invest, significant management and financial resources to defend and pursue these matters.</w:t>
      </w:r>
    </w:p>
    <w:p>
      <w:pPr>
        <w:spacing w:after="0" w:line="213" w:lineRule="exact"/>
        <w:rPr>
          <w:sz w:val="20"/>
          <w:szCs w:val="20"/>
          <w:color w:val="auto"/>
        </w:rPr>
      </w:pPr>
    </w:p>
    <w:p>
      <w:pPr>
        <w:jc w:val="both"/>
        <w:ind w:firstLine="396"/>
        <w:spacing w:after="0" w:line="239" w:lineRule="auto"/>
        <w:rPr>
          <w:sz w:val="20"/>
          <w:szCs w:val="20"/>
          <w:color w:val="auto"/>
        </w:rPr>
      </w:pPr>
      <w:r>
        <w:rPr>
          <w:rFonts w:ascii="Times New Roman" w:cs="Times New Roman" w:eastAsia="Times New Roman" w:hAnsi="Times New Roman"/>
          <w:sz w:val="18"/>
          <w:szCs w:val="18"/>
          <w:color w:val="auto"/>
        </w:rPr>
        <w:t>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 In connection with the Settlement Agreement, we incurred a charge, net of tax, of $54.2 during the third quarter of 2023. The charge included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1" w:name="page72"/>
    <w:bookmarkEnd w:id="71"/>
    <w:p>
      <w:pPr>
        <w:jc w:val="both"/>
        <w:spacing w:after="0" w:line="254" w:lineRule="auto"/>
        <w:rPr>
          <w:sz w:val="20"/>
          <w:szCs w:val="20"/>
          <w:color w:val="auto"/>
        </w:rPr>
      </w:pPr>
      <w:r>
        <w:rPr>
          <w:rFonts w:ascii="Times New Roman" w:cs="Times New Roman" w:eastAsia="Times New Roman" w:hAnsi="Times New Roman"/>
          <w:sz w:val="18"/>
          <w:szCs w:val="18"/>
          <w:color w:val="auto"/>
        </w:rPr>
        <w:t>the write-off of $15.2 in net amounts due from MHI. Such charge is included in “Loss on disposition of discontinued operations, net of tax” for the year ended December 31, 2023.</w:t>
      </w:r>
    </w:p>
    <w:p>
      <w:pPr>
        <w:spacing w:after="0" w:line="209" w:lineRule="exact"/>
        <w:rPr>
          <w:sz w:val="20"/>
          <w:szCs w:val="20"/>
          <w:color w:val="auto"/>
        </w:rPr>
      </w:pPr>
    </w:p>
    <w:p>
      <w:pPr>
        <w:jc w:val="both"/>
        <w:ind w:firstLine="396"/>
        <w:spacing w:after="0" w:line="237" w:lineRule="auto"/>
        <w:rPr>
          <w:sz w:val="20"/>
          <w:szCs w:val="20"/>
          <w:color w:val="auto"/>
        </w:rPr>
      </w:pPr>
      <w:r>
        <w:rPr>
          <w:rFonts w:ascii="Times New Roman" w:cs="Times New Roman" w:eastAsia="Times New Roman" w:hAnsi="Times New Roman"/>
          <w:sz w:val="18"/>
          <w:szCs w:val="18"/>
          <w:color w:val="auto"/>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the South African Rand 126.6 (or $7.0) was recorded as income during the first quarter of 2023, with such amount recorded within “Loss on disposition of discontinued operations, net of tax.” Additionally, in June 2023, the arbitration tribunal ruled DBT was entitled to recover $1.3 of legal costs incurred related to the arbitration. Such amount received from MHI was recorded to “Loss on disposition of discontinued operations, net of tax” during the year ended December 31, 2023. Additionally, in May 2023, a separate arbitration tribunal ruled DBT was entitled to recover $5.5 of legal costs incurred related to another prior arbitration. Such amount received from MHI was recorded to “Loss on disposition of discontinued operations, net of tax” during the year ended December 31, 2023.</w:t>
      </w:r>
    </w:p>
    <w:p>
      <w:pPr>
        <w:spacing w:after="0" w:line="220"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18"/>
          <w:szCs w:val="18"/>
          <w:color w:val="auto"/>
        </w:rPr>
        <w:t>The assets and liabilities of DBT have been included within “Assets of DBT and Heat Transfer” and “Liabilities of DBT and Heat Transfer,” respectively, on the consolidated balance sheets as of December 31, 2024 and 2023. The major line items constituting DBT’s assets and liabilities as of December 31, 2024 and 2023 are shown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8"/>
                <w:szCs w:val="18"/>
                <w:color w:val="auto"/>
              </w:rPr>
            </w:pPr>
          </w:p>
        </w:tc>
        <w:tc>
          <w:tcPr>
            <w:tcW w:w="19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4"/>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1"/>
        </w:trPr>
        <w:tc>
          <w:tcPr>
            <w:tcW w:w="67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Other current assets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6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2"/>
        </w:trPr>
        <w:tc>
          <w:tcPr>
            <w:tcW w:w="67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2"/>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 of DBT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0"/>
                <w:szCs w:val="20"/>
                <w:color w:val="auto"/>
                <w:vertAlign w:val="superscript"/>
              </w:rPr>
              <w:t>(1)(2)</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1"/>
        </w:trPr>
        <w:tc>
          <w:tcPr>
            <w:tcW w:w="67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Contract liabilities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140"/>
              <w:spacing w:after="0" w:line="211" w:lineRule="exact"/>
              <w:rPr>
                <w:sz w:val="20"/>
                <w:szCs w:val="20"/>
                <w:color w:val="auto"/>
              </w:rPr>
            </w:pPr>
            <w:r>
              <w:rPr>
                <w:rFonts w:ascii="Times New Roman" w:cs="Times New Roman" w:eastAsia="Times New Roman" w:hAnsi="Times New Roman"/>
                <w:sz w:val="16"/>
                <w:szCs w:val="16"/>
                <w:color w:val="auto"/>
              </w:rPr>
              <w:t>Accrued expenses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tcPr>
          <w:p>
            <w:pPr>
              <w:ind w:left="120"/>
              <w:spacing w:after="0" w:line="211" w:lineRule="exact"/>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of DBT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 w:lineRule="exact"/>
        <w:rPr>
          <w:sz w:val="20"/>
          <w:szCs w:val="20"/>
          <w:color w:val="auto"/>
        </w:rPr>
      </w:pPr>
    </w:p>
    <w:p>
      <w:pPr>
        <w:ind w:left="400" w:firstLine="2"/>
        <w:spacing w:after="0" w:line="225" w:lineRule="auto"/>
        <w:tabs>
          <w:tab w:leader="none" w:pos="564"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w:t>
      </w:r>
    </w:p>
    <w:p>
      <w:pPr>
        <w:spacing w:after="0" w:line="199" w:lineRule="exact"/>
        <w:rPr>
          <w:rFonts w:ascii="Times New Roman" w:cs="Times New Roman" w:eastAsia="Times New Roman" w:hAnsi="Times New Roman"/>
          <w:sz w:val="20"/>
          <w:szCs w:val="20"/>
          <w:color w:val="auto"/>
          <w:vertAlign w:val="superscript"/>
        </w:rPr>
      </w:pPr>
    </w:p>
    <w:p>
      <w:pPr>
        <w:jc w:val="both"/>
        <w:ind w:left="400" w:firstLine="2"/>
        <w:spacing w:after="0" w:line="235" w:lineRule="auto"/>
        <w:tabs>
          <w:tab w:leader="none" w:pos="561"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At December 31, 2023, the balance included DBT</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s remaining obligation under the Settlement Agreement to make a payment to MHI of South African Rand 480.9 (or $26.2 at December 31, 2023), which was paid ($27.1 at the time of payment) during 2024. In connection with this remaining obligation, we entered into a foreign currency forward contract which we designated and accounted for as a fair value hedge and matured at the time of the final payment to MHI. The resulting cash received of $2.0 is presented within </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Net cash used in discontinued operations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 within the consolidated statement of cash flows for the year ended December 31, 2024. Refer to Note 14 for additional details. There are no further payment obligations to MHI under the terms of the Settlement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of the Heat Transfer Business</w:t>
      </w:r>
    </w:p>
    <w:p>
      <w:pPr>
        <w:spacing w:after="0" w:line="233"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As discussed in Note 1, we completed the wind-down of our Heat Transfer business in the fourth quarter of 2020. As a result of completing the wind-down plan, we are reporting Heat Transfer as a discontinued operation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2" w:name="page73"/>
    <w:bookmarkEnd w:id="72"/>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assets and liabilities of Heat Transfer have been included within “Assets of DBT and Heat Transfer” and “Liabilities of DBT and Heat Transfer,” respectively, on the consolidated balance sheets as of December 31, 2024 and 2023. The major line items constituting Heat Transfer’s assets and liabilities as of December 31, 2024 and 2023 are shown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800" w:type="dxa"/>
            <w:vAlign w:val="bottom"/>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9"/>
        </w:trPr>
        <w:tc>
          <w:tcPr>
            <w:tcW w:w="6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8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29"/>
        </w:trPr>
        <w:tc>
          <w:tcPr>
            <w:tcW w:w="6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 of Heat Transfer</w:t>
            </w:r>
          </w:p>
        </w:tc>
        <w:tc>
          <w:tcPr>
            <w:tcW w:w="1800" w:type="dxa"/>
            <w:vAlign w:val="bottom"/>
            <w:tcBorders>
              <w:top w:val="single" w:sz="8" w:color="auto"/>
              <w:bottom w:val="single" w:sz="8" w:color="auto"/>
            </w:tcBorders>
            <w:shd w:val="clear" w:color="auto" w:fill="CCEEFF"/>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72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0" w:type="dxa"/>
            <w:vAlign w:val="bottom"/>
            <w:tcBorders>
              <w:bottom w:val="single" w:sz="8" w:color="auto"/>
            </w:tcBorders>
            <w:shd w:val="clear" w:color="auto" w:fill="CCEEFF"/>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2"/>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of Heat Transfer</w:t>
            </w:r>
          </w:p>
        </w:tc>
        <w:tc>
          <w:tcPr>
            <w:tcW w:w="1800" w:type="dxa"/>
            <w:vAlign w:val="bottom"/>
            <w:tcBorders>
              <w:bottom w:val="single" w:sz="8" w:color="auto"/>
            </w:tcBorders>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
        </w:trPr>
        <w:tc>
          <w:tcPr>
            <w:tcW w:w="6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years ended December 31, 2024, 2023 and 2022, results of operations from our businesses reported as discontinued operations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1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r>
      <w:tr>
        <w:trPr>
          <w:trHeight w:val="191"/>
        </w:trPr>
        <w:tc>
          <w:tcPr>
            <w:tcW w:w="45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Transformer Solutions</w:t>
            </w:r>
          </w:p>
        </w:tc>
        <w:tc>
          <w:tcPr>
            <w:tcW w:w="1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1"/>
        </w:trPr>
        <w:tc>
          <w:tcPr>
            <w:tcW w:w="454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Loss from discontinued operations </w:t>
            </w:r>
            <w:r>
              <w:rPr>
                <w:rFonts w:ascii="Times New Roman" w:cs="Times New Roman" w:eastAsia="Times New Roman" w:hAnsi="Times New Roman"/>
                <w:sz w:val="20"/>
                <w:szCs w:val="20"/>
                <w:color w:val="auto"/>
                <w:vertAlign w:val="superscript"/>
              </w:rPr>
              <w:t>(1)</w:t>
            </w:r>
          </w:p>
        </w:tc>
        <w:tc>
          <w:tcPr>
            <w:tcW w:w="1520" w:type="dxa"/>
            <w:vAlign w:val="bottom"/>
          </w:tcPr>
          <w:p>
            <w:pPr>
              <w:jc w:val="right"/>
              <w:ind w:right="134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w:t>
            </w:r>
          </w:p>
        </w:tc>
        <w:tc>
          <w:tcPr>
            <w:tcW w:w="1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193"/>
        </w:trPr>
        <w:tc>
          <w:tcPr>
            <w:tcW w:w="4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DBT</w:t>
            </w: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2"/>
        </w:trPr>
        <w:tc>
          <w:tcPr>
            <w:tcW w:w="45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Loss from discontinued operations</w:t>
            </w:r>
            <w:r>
              <w:rPr>
                <w:rFonts w:ascii="Times New Roman" w:cs="Times New Roman" w:eastAsia="Times New Roman" w:hAnsi="Times New Roman"/>
                <w:sz w:val="20"/>
                <w:szCs w:val="20"/>
                <w:color w:val="auto"/>
                <w:vertAlign w:val="superscript"/>
              </w:rPr>
              <w:t>(2)</w:t>
            </w: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5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193"/>
        </w:trPr>
        <w:tc>
          <w:tcPr>
            <w:tcW w:w="4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1"/>
        </w:trPr>
        <w:tc>
          <w:tcPr>
            <w:tcW w:w="45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0"/>
                <w:szCs w:val="20"/>
                <w:b w:val="1"/>
                <w:bCs w:val="1"/>
                <w:color w:val="auto"/>
                <w:vertAlign w:val="superscript"/>
              </w:rPr>
              <w:t>(3)</w:t>
            </w: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93"/>
        </w:trPr>
        <w:tc>
          <w:tcPr>
            <w:tcW w:w="45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1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32"/>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520" w:type="dxa"/>
            <w:vAlign w:val="bottom"/>
            <w:tcBorders>
              <w:bottom w:val="single" w:sz="8" w:color="auto"/>
            </w:tcBorders>
            <w:shd w:val="clear" w:color="auto" w:fill="CCEEFF"/>
          </w:tcPr>
          <w:p>
            <w:pPr>
              <w:jc w:val="right"/>
              <w:ind w:right="13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97" w:lineRule="exact"/>
        <w:rPr>
          <w:sz w:val="20"/>
          <w:szCs w:val="20"/>
          <w:color w:val="auto"/>
        </w:rPr>
      </w:pPr>
    </w:p>
    <w:p>
      <w:pPr>
        <w:ind w:left="560" w:hanging="158"/>
        <w:spacing w:after="0"/>
        <w:tabs>
          <w:tab w:leader="none" w:pos="560"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Loss for the year ended December 31, 2022 resulted primarily from revisions to liabilities retained in connection with the disposition.</w:t>
      </w:r>
    </w:p>
    <w:p>
      <w:pPr>
        <w:spacing w:after="0" w:line="202" w:lineRule="exact"/>
        <w:rPr>
          <w:rFonts w:ascii="Times New Roman" w:cs="Times New Roman" w:eastAsia="Times New Roman" w:hAnsi="Times New Roman"/>
          <w:sz w:val="20"/>
          <w:szCs w:val="20"/>
          <w:color w:val="auto"/>
          <w:vertAlign w:val="superscript"/>
        </w:rPr>
      </w:pPr>
    </w:p>
    <w:p>
      <w:pPr>
        <w:jc w:val="both"/>
        <w:ind w:left="400" w:firstLine="2"/>
        <w:spacing w:after="0" w:line="254" w:lineRule="auto"/>
        <w:tabs>
          <w:tab w:leader="none" w:pos="546"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Loss for the year ended December 31, 2023 resulted primarily from the charge, and related income tax impacts, recorded in connection with the Settlement Agreement referred to above and legal costs incurred in connection with the various dispute resolution matters. This loss for the year ended December 31, 2023 was partially offset by arbitration awards received, which are discussed above. Loss for the year ended December 31, 2022 resulted primarily from legal costs incurred in connection with various dispute resolution matters prior to the Settlement Agreement.</w:t>
      </w:r>
    </w:p>
    <w:p>
      <w:pPr>
        <w:spacing w:after="0" w:line="193" w:lineRule="exact"/>
        <w:rPr>
          <w:rFonts w:ascii="Times New Roman" w:cs="Times New Roman" w:eastAsia="Times New Roman" w:hAnsi="Times New Roman"/>
          <w:sz w:val="17"/>
          <w:szCs w:val="17"/>
          <w:color w:val="auto"/>
          <w:vertAlign w:val="superscript"/>
        </w:rPr>
      </w:pPr>
    </w:p>
    <w:p>
      <w:pPr>
        <w:ind w:left="400" w:firstLine="2"/>
        <w:spacing w:after="0" w:line="273" w:lineRule="auto"/>
        <w:tabs>
          <w:tab w:leader="none" w:pos="546"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Loss for the years ended December 31, 2024, 2023, and 2022 resulted primarily from revisions to liabilities, including income tax liabilities, retained in connection with prior dispositions and, for the year ended December 31, 2022, asbestos-related charges for businesses previously disposed of.</w:t>
      </w:r>
    </w:p>
    <w:p>
      <w:pPr>
        <w:spacing w:after="0" w:line="171" w:lineRule="exact"/>
        <w:rPr>
          <w:sz w:val="20"/>
          <w:szCs w:val="20"/>
          <w:color w:val="auto"/>
        </w:rPr>
      </w:pPr>
    </w:p>
    <w:p>
      <w:pPr>
        <w:ind w:firstLine="396"/>
        <w:spacing w:after="0" w:line="239" w:lineRule="auto"/>
        <w:rPr>
          <w:sz w:val="20"/>
          <w:szCs w:val="20"/>
          <w:color w:val="auto"/>
        </w:rPr>
      </w:pPr>
      <w:r>
        <w:rPr>
          <w:rFonts w:ascii="Times New Roman" w:cs="Times New Roman" w:eastAsia="Times New Roman" w:hAnsi="Times New Roman"/>
          <w:sz w:val="18"/>
          <w:szCs w:val="18"/>
          <w:color w:val="auto"/>
        </w:rPr>
        <w:t>Changes in estimates associated with liabilities retained in connection with a business divestiture (e.g., income taxes) may occur. As a result, it is possible that the resulting gains/losses on previous business divestitures may be materially adjusted in subsequent periods.</w:t>
      </w:r>
    </w:p>
    <w:p>
      <w:pPr>
        <w:spacing w:after="0" w:line="195" w:lineRule="exact"/>
        <w:rPr>
          <w:sz w:val="20"/>
          <w:szCs w:val="20"/>
          <w:color w:val="auto"/>
        </w:rPr>
      </w:pPr>
    </w:p>
    <w:p>
      <w:pPr>
        <w:ind w:firstLine="396"/>
        <w:spacing w:after="0" w:line="254" w:lineRule="auto"/>
        <w:rPr>
          <w:sz w:val="20"/>
          <w:szCs w:val="20"/>
          <w:color w:val="auto"/>
        </w:rPr>
      </w:pPr>
      <w:r>
        <w:rPr>
          <w:rFonts w:ascii="Times New Roman" w:cs="Times New Roman" w:eastAsia="Times New Roman" w:hAnsi="Times New Roman"/>
          <w:sz w:val="18"/>
          <w:szCs w:val="18"/>
          <w:color w:val="auto"/>
        </w:rPr>
        <w:t>Net cash used in discontinued operations for the year ended December 31, 2024 related primarily to the final cash payment of South African Rand 480.9 ($27.1 at time of payment) made by DBT to MHI during 2024 in connection with the Settlement</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73" w:name="page74"/>
    <w:bookmarkEnd w:id="73"/>
    <w:p>
      <w:pPr>
        <w:jc w:val="both"/>
        <w:spacing w:after="0" w:line="223" w:lineRule="auto"/>
        <w:rPr>
          <w:sz w:val="20"/>
          <w:szCs w:val="20"/>
          <w:color w:val="auto"/>
        </w:rPr>
      </w:pPr>
      <w:r>
        <w:rPr>
          <w:rFonts w:ascii="Times New Roman" w:cs="Times New Roman" w:eastAsia="Times New Roman" w:hAnsi="Times New Roman"/>
          <w:sz w:val="18"/>
          <w:szCs w:val="18"/>
          <w:color w:val="auto"/>
        </w:rPr>
        <w:t>Agreement, partially offset by $2.0 from the foreign currency forward contract mentioned above. Net cash used in discontinued operations for the year ended December 31, 2023 related primarily to (i) cash payments of $25.3 made by DBT to MHI during 2023 in connection with the Settlement Agreement, and (ii) disbursements of $14.7 for professional fees and support costs incurred principally in connection with the claims resolved by the Settlement Agreement, partially offset by recovery of legal costs we were awarded in arbitration proceedings between DBT and MHI of $6.8 mentioned above. Net cash used in discontinued operations for the year ended December 31, 2022 related primarily to (i) disbursements for professional fees incurred in connection with the claims activities related to the large power projects in South Africa prior to the Settlement Agreement, (ii) disbursements related to asbestos product liability matters, (iii) a payment of $13.9 to the buyer of Transformer Solutions related to the settlement of the final working capital balances for the business, and (iv) disbursements for liabilities retained in connection with dispositions, including fees associated with the sale of Transformer Solutions. These disbursements were partially offset by proceeds from stock options exercised of $1.0.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Portfolio Sale</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indicated in Note 1, we completed the Asbestos Portfolio Sale on November 1, 2022.</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Below is a summary of the impact of the Asbestos Portfolio Sale, including the loss on sale, on our 2022 consolidated financial statements: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60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6"/>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divested:</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9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6"/>
        </w:trPr>
        <w:tc>
          <w:tcPr>
            <w:tcW w:w="9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3"/>
        </w:trPr>
        <w:tc>
          <w:tcPr>
            <w:tcW w:w="9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r>
      <w:tr>
        <w:trPr>
          <w:trHeight w:val="216"/>
        </w:trPr>
        <w:tc>
          <w:tcPr>
            <w:tcW w:w="9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divested:</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9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33"/>
        </w:trPr>
        <w:tc>
          <w:tcPr>
            <w:tcW w:w="9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r>
      <w:tr>
        <w:trPr>
          <w:trHeight w:val="209"/>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Asbestos Portfolio Sale, before transaction costs</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costs</w:t>
            </w:r>
          </w:p>
        </w:tc>
        <w:tc>
          <w:tcPr>
            <w:tcW w:w="6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1"/>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Asbestos Portfolio Sale</w:t>
            </w:r>
          </w:p>
        </w:tc>
        <w:tc>
          <w:tcPr>
            <w:tcW w:w="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6"/>
        </w:trPr>
        <w:tc>
          <w:tcPr>
            <w:tcW w:w="9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 from Contracts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below is our policy for recognizing revenue under, as well as the various disclosures required by, ASC 606.</w:t>
      </w:r>
    </w:p>
    <w:p>
      <w:pPr>
        <w:spacing w:after="0" w:line="24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Certain of our contracts are comprised of multiple deliverables, which can include hardware and software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maintenance, and extended warranties. For these contracts, we evaluate whether these deliverables represent separate performance obligations as defined by ASC 606. In some cases, a customer contracts with us to integrate a complex set of tasks and components into a single project or capability (even if the single project results in the delivery of multiple units). Hence, the entire contract is treated as a single performance obligation. In contrast,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In cases where we sell standard products with observable standalone selling prices, these selling prices are used to determine the relative standalone selling price. In cases where we sell a customized customer specific solution, we typically use the expected cost plus margin approach to estimate the standalone selling price of each performance obligation. Sales taxes and other usage-based taxes are excluded from revenue.</w:t>
      </w:r>
    </w:p>
    <w:p>
      <w:pPr>
        <w:spacing w:after="0" w:line="21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Remaining performance obligations represent performance obligations that have yet to be satisfied. As a practical expedient, we do not disclose performance obligations (i) that are part of a contract that has an original expected duration of less than one year and/or (ii) where our right to consideration corresponds directly to the value transferred to the customer. Performance obligations for contracts with an original duration in excess of one year that have yet to be satisfied as of the end of a period primarily relate to our aids to navigation systems, communication technologies products, large process cooling systems, as well as certain of our transportation systems. As of December 31, 2024, the aggregate amount allocated to remaining performance obligations, after the effect of practical expedients, was $178.1. We expect to recognize revenue on approximately 48% and 58% of the remaining performance obligations over the next 12 and 24 months, respectively, with the remaining recognized thereafter.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4" w:name="page75"/>
    <w:bookmarkEnd w:id="74"/>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 We offer options within certain of our contracts to purchase future goods or services. To the extent the option provides a material right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benefit (i.e., future goods and services at a discount from the relative standalone selling price), we separate the material right as a performance obligation and adjust the standalone selling price of the other performance obligations within the contract. When determining the relative standalone selling price of the option, we first determine the incremental discount that the customer would receive by exercising the option and then adjust that value based on the probability of option exercise (based, where possible, on historical experience). Revenue is recognized for the option either when the option is exercised or when it expires.</w:t>
      </w:r>
    </w:p>
    <w:p>
      <w:pPr>
        <w:spacing w:after="0" w:line="21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Contract Combination and Modification </w:t>
      </w:r>
      <w:r>
        <w:rPr>
          <w:rFonts w:ascii="Times New Roman" w:cs="Times New Roman" w:eastAsia="Times New Roman" w:hAnsi="Times New Roman"/>
          <w:sz w:val="18"/>
          <w:szCs w:val="18"/>
          <w:color w:val="auto"/>
        </w:rPr>
        <w:t>- We assess each contract at its inception to determine whether it should be combined with other contracts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recognition purposes. When making this determination, we consider factors such as whether two or more contracts with a customer were negotiated at or near the same time or were negotiated with an overall profit objective. Contracts are sometimes modified for changes in contract specifications, scope, or price (or a combination of these). Contract modifications for goods or services that are not distinct within the context of the contract (generally associated with specification changes for certain product lines within our HVAC reportable segment) are accounted for as part of the existing contract. Contract modifications for goods or services that are distinct (i.e., adding or subtracting distinct goods or services) are accounted for as either a termination of the existing contract and the creation of a new contract (where the goods or services are not priced at their standalone selling price), or the creation of separate contract (where the goods or services are priced at their standalone selling price).</w:t>
      </w:r>
    </w:p>
    <w:p>
      <w:pPr>
        <w:spacing w:after="0" w:line="217"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 We determine the transaction price for each contract based on the consideration we expect to receive for the products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provided under the contract. For contracts where a portion of the price may vary, we estimate the variable consideration at the amount to which we expect to be entitled,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 Variable consideration primarily pertains to late delivery penalties and unapproved change orders and claims (levied by us and/or against us). Actual amounts of consideration ultimately received may differ from our estimates. If actual results vary from our estimates, we will adjust these estimates, which would affect revenue and earnings, in the period such variances become known.</w:t>
      </w:r>
    </w:p>
    <w:p>
      <w:pPr>
        <w:spacing w:after="0" w:line="215"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As noted above, the nature of our contracts gives rise to several types of variable consideration, including unapproved change orders and claims. We include in our contract estimates additional revenue for unapproved change orders or claims against the customer when we believe we have an enforceable right to the unapproved change order or claim, the amount can be reliably estimated, and the above criteria have been met. In evaluating these criteria, we consider the contractual/legal basis for the claim, the cause of any additional costs incurred, the reasonableness of those costs, and the objective evidence available to support the claim. These estimates are also based on historical award experience.</w:t>
      </w:r>
    </w:p>
    <w:p>
      <w:pPr>
        <w:spacing w:after="0" w:line="210" w:lineRule="exact"/>
        <w:rPr>
          <w:sz w:val="20"/>
          <w:szCs w:val="20"/>
          <w:color w:val="auto"/>
        </w:rPr>
      </w:pPr>
    </w:p>
    <w:p>
      <w:pPr>
        <w:jc w:val="both"/>
        <w:ind w:firstLine="39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Returns, Customer Sales Incentives and Warranties </w:t>
      </w:r>
      <w:r>
        <w:rPr>
          <w:rFonts w:ascii="Times New Roman" w:cs="Times New Roman" w:eastAsia="Times New Roman" w:hAnsi="Times New Roman"/>
          <w:sz w:val="17"/>
          <w:szCs w:val="17"/>
          <w:color w:val="auto"/>
        </w:rPr>
        <w:t>- We have certain arrangements that require us to estimate, at the time of sale, the amounts of variable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consideration that should be excluded from revenue as (i) certain amounts are not expected to be collected from customers and/or (ii) the product may be returned. We principally rely on historical experience, specific customer agreements, and anticipated future trends to estimate these amounts at the time of shipment and to reduce the transaction price. These arrangements include volume rebates, which are estimated using the most likely amount method, as well as early payment discounts and promotional and advertising allowances, which are estimated using the expected value method. We primarily offer assurance-type standard warranties that the product will conform to published specifications for a defined period of time after delivery. These types of warranties do not represent separate performance obligations. We establish provisions for estimated returns and warranties primarily based on contract terms and historical experience, using the expected value method. Certain of our businesses offer extended warranties, which are considered separate performance obligations.</w:t>
      </w:r>
    </w:p>
    <w:p>
      <w:pPr>
        <w:spacing w:after="0" w:line="20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Contract Costs </w:t>
      </w:r>
      <w:r>
        <w:rPr>
          <w:rFonts w:ascii="Times New Roman" w:cs="Times New Roman" w:eastAsia="Times New Roman" w:hAnsi="Times New Roman"/>
          <w:sz w:val="18"/>
          <w:szCs w:val="18"/>
          <w:color w:val="auto"/>
        </w:rPr>
        <w:t>- We have elected to apply the practical expedient provided under ASC 606 which allows an entity to expense incremental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or fulfilling a contract when incurred if the amortization period of the asset that the entity otherwise would have recorded is one year or less. Shipping and handling costs associated with outbound freight after control over a product has transferred to a customer are accounted for as fulfillment costs and are included in cost of products sold. The net asset recorded for incremental costs incurred to obtain or fulfill contracts, after consideration of the practical expedient mentioned above, is not material to our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 Satisfaction of Performance Obligations, and Payment Terms</w:t>
      </w:r>
    </w:p>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Our HVAC product lines include package and process cooling equipment and services, residential and commercial boilers, electrical heating and ventilation products, and engineered air movement and handling solutions. Performance obligations for our HVAC product lines relate primarily to the delivery of equipment and components, construction and reconstruction of cooling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5" w:name="page76"/>
    <w:bookmarkEnd w:id="75"/>
    <w:p>
      <w:pPr>
        <w:jc w:val="both"/>
        <w:spacing w:after="0" w:line="247" w:lineRule="auto"/>
        <w:rPr>
          <w:sz w:val="20"/>
          <w:szCs w:val="20"/>
          <w:color w:val="auto"/>
        </w:rPr>
      </w:pPr>
      <w:r>
        <w:rPr>
          <w:rFonts w:ascii="Times New Roman" w:cs="Times New Roman" w:eastAsia="Times New Roman" w:hAnsi="Times New Roman"/>
          <w:sz w:val="18"/>
          <w:szCs w:val="18"/>
          <w:color w:val="auto"/>
        </w:rPr>
        <w:t>towers and other components, and providing installation, replacement/spare parts and various other services. Performance obligations related to equipment and components are satisfied at the time of shipment or delivery (i.e., control is transferred at a point in time). The typical length of these contracts is one to three months and payment terms are generally 15 to 60 days after shipment to the customer. Performance obligations for construction and reconstruction of cooling towers and other components, and providing installation and various other services, are typically satisfied through a contract with us to provide a customer-specific solution. The customer typically controls the work in process due to contractual termination clauses whereby we have an enforceable right to recovery of cost incurred, including a reasonable profit for work performed to date, on products or services that do not have an alternative use to us. Additionally, certain projects are performed on customer sites such that the customer controls the asset as it is created or enhanced. As such, performance obligations for these product lines are generally satisfied over time, with the related revenue recorded based on the percentage of costs incurred to date for each contract to the estimated total costs for such contract at completion, as this method best depicts how control of the product or service is being transferred. The length of customer contract for these product lines is generally 6 to 18 months. Revenue for sales of certain engineered components and all replacement/spare parts is recognized upon shipment or delivery (i.e., at a point in time). Payments on longer-term contracts are generally commensurate with milestones defined in the related contract, while payments for the replacement/spare parts contracts typically occur 30 to 60 days after delivery.</w:t>
      </w:r>
    </w:p>
    <w:p>
      <w:pPr>
        <w:spacing w:after="0" w:line="15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18"/>
          <w:szCs w:val="18"/>
          <w:color w:val="auto"/>
        </w:rPr>
        <w:t>Our detection and measurement product lines include underground pipe and cable locators, inspection and rehabilitation equipment, robotic systems, transportation systems, communication technologies, and aids to navigation. Performance obligations for these product lines relate to delivery of equipment and components, installation and other short-term services, long-term maintenance and software subscription services, pipeline remediation services and development of robotics, and aids to navigation solutions. Performance obligations for equipment and components generally are satisfied at the time of shipment or delivery (i.e., control is transferred at a point in time). Performance obligations for installation and other short-term services, pipeline remediation, and development of robotics are satisfied over time as the installation or service is performed. Performance obligations for maintenance and software subscription services are satisfied over time, with the related revenue recorded evenly throughout the contract service period as this method best depicts how control of the service is transferred. Payment terms for equipment and components are typically 30 to 60 days after shipment or delivery, while payment for services typically occurs at completion for shorter-term engagements (less than three months in duration) and throughout the service period for longer-term engagements (generally greater than three months in duration). These product lines have varying contract lengths ranging from one to eighteen months (with the longer term contracts generally associated with our aids to navigation systems, transportation systems, and communication technologies product lines), with the typical duration being one to three months.</w:t>
      </w:r>
    </w:p>
    <w:p>
      <w:pPr>
        <w:spacing w:after="0" w:line="16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Customer prepayments, progress billings, and retention payments are customary for some of our longer-term contracts. Customer prepayments, progress billings, and retention payments are not considered a significant financing component because they are intended to protect either the customer or ourselves in the event that some or all of the obligations under the contract are not completed. Additionally, most contract assets are expected to convert to accounts receivable, and contract liabilities are expected to convert to revenue, within one year. As such, after applying the practical expedient to exclude potential financing components that are less than one year in duration, we do not have any such financing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years ended December 31, 2024, 2023, and 2022:</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561"/>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2024</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w w:val="99"/>
              </w:rPr>
              <w:t>Detection and</w:t>
            </w:r>
          </w:p>
        </w:tc>
        <w:tc>
          <w:tcPr>
            <w:tcW w:w="340" w:type="dxa"/>
            <w:vAlign w:val="bottom"/>
          </w:tcPr>
          <w:p>
            <w:pPr>
              <w:spacing w:after="0"/>
              <w:rPr>
                <w:sz w:val="13"/>
                <w:szCs w:val="13"/>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6920" w:type="dxa"/>
            <w:vAlign w:val="bottom"/>
            <w:tcBorders>
              <w:top w:val="single" w:sz="8" w:color="auto"/>
            </w:tcBorders>
            <w:shd w:val="clear" w:color="auto" w:fill="CCEEFF"/>
          </w:tcPr>
          <w:p>
            <w:pPr>
              <w:ind w:left="120"/>
              <w:spacing w:after="0" w:line="154"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11"/>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0" w:type="dxa"/>
            <w:vAlign w:val="bottom"/>
          </w:tcPr>
          <w:p>
            <w:pPr>
              <w:spacing w:after="0"/>
              <w:rPr>
                <w:sz w:val="1"/>
                <w:szCs w:val="1"/>
                <w:color w:val="auto"/>
              </w:rPr>
            </w:pPr>
          </w:p>
        </w:tc>
      </w:tr>
      <w:tr>
        <w:trPr>
          <w:trHeight w:val="213"/>
        </w:trPr>
        <w:tc>
          <w:tcPr>
            <w:tcW w:w="7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0" w:type="dxa"/>
            <w:vAlign w:val="bottom"/>
          </w:tcPr>
          <w:p>
            <w:pPr>
              <w:spacing w:after="0"/>
              <w:rPr>
                <w:sz w:val="1"/>
                <w:szCs w:val="1"/>
                <w:color w:val="auto"/>
              </w:rPr>
            </w:pPr>
          </w:p>
        </w:tc>
      </w:tr>
      <w:tr>
        <w:trPr>
          <w:trHeight w:val="209"/>
        </w:trPr>
        <w:tc>
          <w:tcPr>
            <w:tcW w:w="7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0" w:type="dxa"/>
            <w:vAlign w:val="bottom"/>
          </w:tcPr>
          <w:p>
            <w:pPr>
              <w:spacing w:after="0"/>
              <w:rPr>
                <w:sz w:val="1"/>
                <w:szCs w:val="1"/>
                <w:color w:val="auto"/>
              </w:rPr>
            </w:pPr>
          </w:p>
        </w:tc>
      </w:tr>
      <w:tr>
        <w:trPr>
          <w:trHeight w:val="229"/>
        </w:trPr>
        <w:tc>
          <w:tcPr>
            <w:tcW w:w="6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00" w:type="dxa"/>
            <w:vAlign w:val="bottom"/>
          </w:tcPr>
          <w:p>
            <w:pPr>
              <w:spacing w:after="0"/>
              <w:rPr>
                <w:sz w:val="13"/>
                <w:szCs w:val="13"/>
                <w:color w:val="auto"/>
              </w:rPr>
            </w:pPr>
          </w:p>
        </w:tc>
        <w:tc>
          <w:tcPr>
            <w:tcW w:w="92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0" w:type="dxa"/>
            <w:vAlign w:val="bottom"/>
          </w:tcPr>
          <w:p>
            <w:pPr>
              <w:spacing w:after="0"/>
              <w:rPr>
                <w:sz w:val="1"/>
                <w:szCs w:val="1"/>
                <w:color w:val="auto"/>
              </w:rPr>
            </w:pPr>
          </w:p>
        </w:tc>
      </w:tr>
      <w:tr>
        <w:trPr>
          <w:trHeight w:val="20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0" w:type="dxa"/>
            <w:vAlign w:val="bottom"/>
          </w:tcPr>
          <w:p>
            <w:pPr>
              <w:spacing w:after="0"/>
              <w:rPr>
                <w:sz w:val="1"/>
                <w:szCs w:val="1"/>
                <w:color w:val="auto"/>
              </w:rPr>
            </w:pPr>
          </w:p>
        </w:tc>
      </w:tr>
      <w:tr>
        <w:trPr>
          <w:trHeight w:val="213"/>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09"/>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0" w:type="dxa"/>
            <w:vAlign w:val="bottom"/>
          </w:tcPr>
          <w:p>
            <w:pPr>
              <w:spacing w:after="0"/>
              <w:rPr>
                <w:sz w:val="1"/>
                <w:szCs w:val="1"/>
                <w:color w:val="auto"/>
              </w:rPr>
            </w:pPr>
          </w:p>
        </w:tc>
      </w:tr>
      <w:tr>
        <w:trPr>
          <w:trHeight w:val="229"/>
        </w:trPr>
        <w:tc>
          <w:tcPr>
            <w:tcW w:w="7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1,568.0</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2"/>
        </w:trPr>
        <w:tc>
          <w:tcPr>
            <w:tcW w:w="7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541"/>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2022</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4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Detection and</w:t>
            </w:r>
          </w:p>
        </w:tc>
        <w:tc>
          <w:tcPr>
            <w:tcW w:w="340" w:type="dxa"/>
            <w:vAlign w:val="bottom"/>
          </w:tcPr>
          <w:p>
            <w:pPr>
              <w:spacing w:after="0"/>
              <w:rPr>
                <w:sz w:val="13"/>
                <w:szCs w:val="13"/>
                <w:color w:val="auto"/>
              </w:rPr>
            </w:pPr>
          </w:p>
        </w:tc>
        <w:tc>
          <w:tcPr>
            <w:tcW w:w="86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Measurement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1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solutions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09"/>
        </w:trPr>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Boilers, electrical heating, and ventilation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213"/>
        </w:trPr>
        <w:tc>
          <w:tcPr>
            <w:tcW w:w="7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Underground locators, inspection and rehabilitation equipment, and robotic systems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09"/>
        </w:trPr>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29"/>
        </w:trPr>
        <w:tc>
          <w:tcPr>
            <w:tcW w:w="7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1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consolidated balance sheets. Our contract balances consisted of the following as of December 31, 2024 and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380" w:type="dxa"/>
            <w:vAlign w:val="bottom"/>
          </w:tcPr>
          <w:p>
            <w:pPr>
              <w:spacing w:after="0"/>
              <w:rPr>
                <w:sz w:val="18"/>
                <w:szCs w:val="18"/>
                <w:color w:val="auto"/>
              </w:rPr>
            </w:pP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8"/>
                <w:szCs w:val="18"/>
                <w:color w:val="auto"/>
              </w:rPr>
            </w:pPr>
          </w:p>
        </w:tc>
        <w:tc>
          <w:tcPr>
            <w:tcW w:w="2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18"/>
                <w:szCs w:val="18"/>
                <w:color w:val="auto"/>
              </w:rPr>
            </w:pPr>
          </w:p>
        </w:tc>
        <w:tc>
          <w:tcPr>
            <w:tcW w:w="1960" w:type="dxa"/>
            <w:vAlign w:val="bottom"/>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7"/>
        </w:trPr>
        <w:tc>
          <w:tcPr>
            <w:tcW w:w="348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Contract Accounts Receivable </w:t>
            </w:r>
            <w:r>
              <w:rPr>
                <w:rFonts w:ascii="Times New Roman" w:cs="Times New Roman" w:eastAsia="Times New Roman" w:hAnsi="Times New Roman"/>
                <w:sz w:val="20"/>
                <w:szCs w:val="20"/>
                <w:color w:val="auto"/>
                <w:vertAlign w:val="superscript"/>
              </w:rPr>
              <w:t>(1)</w:t>
            </w: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3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1"/>
        </w:trPr>
        <w:tc>
          <w:tcPr>
            <w:tcW w:w="348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Contract Liabilities - non-current </w:t>
            </w:r>
            <w:r>
              <w:rPr>
                <w:rFonts w:ascii="Times New Roman" w:cs="Times New Roman" w:eastAsia="Times New Roman" w:hAnsi="Times New Roman"/>
                <w:sz w:val="20"/>
                <w:szCs w:val="20"/>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0"/>
          <w:szCs w:val="20"/>
          <w:color w:val="auto"/>
        </w:rPr>
      </w:pPr>
    </w:p>
    <w:p>
      <w:pPr>
        <w:ind w:left="560" w:hanging="158"/>
        <w:spacing w:after="0"/>
        <w:tabs>
          <w:tab w:leader="none" w:pos="56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“Accounts receivable, net” within the accompanying consolidated balance sheets.</w:t>
      </w:r>
    </w:p>
    <w:p>
      <w:pPr>
        <w:spacing w:after="0" w:line="126" w:lineRule="exact"/>
        <w:rPr>
          <w:rFonts w:ascii="Times New Roman" w:cs="Times New Roman" w:eastAsia="Times New Roman" w:hAnsi="Times New Roman"/>
          <w:sz w:val="20"/>
          <w:szCs w:val="20"/>
          <w:color w:val="auto"/>
          <w:vertAlign w:val="superscript"/>
        </w:rPr>
      </w:pPr>
    </w:p>
    <w:p>
      <w:pPr>
        <w:ind w:left="560" w:hanging="158"/>
        <w:spacing w:after="0"/>
        <w:tabs>
          <w:tab w:leader="none" w:pos="56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“Other long-term liabilities” within the accompanying consolidated balance sheets.</w:t>
      </w:r>
    </w:p>
    <w:p>
      <w:pPr>
        <w:spacing w:after="0" w:line="158"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The timing of revenue recognition, invoicing and cash collections results in Contract Accounts Receivable, contract assets, and customer advances and deposits (contract liabilities) on our consolidated balance sheets. In general, we receive payments from customers based on a billing schedule established in our contracts. During the year ended December 31, 2024, changes in contract balances were not materially impacted by any other factors besides the acquisition of Ingénia. At December 31, 2024, Contract Account Receivables and current contract liabilities attributable to Ingénia were $17.1 and $0.1, respectively.</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2024, we recognized revenues of $54.4 related to our contract liabilities at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below is our policy under, as well as the various other disclosures required by, ASC 842.</w:t>
      </w:r>
    </w:p>
    <w:p>
      <w:pPr>
        <w:spacing w:after="0" w:line="24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elected to account for lease agreements with lease and non-lease components as a single component for all leases. Leases with an initial term of 12 months or less are not recorded on our consolidated balance sheets and we recognize lease expense for these leases on a straight-line basis over the lease term.</w:t>
      </w:r>
    </w:p>
    <w:p>
      <w:pPr>
        <w:spacing w:after="0" w:line="20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review if an arrangement is a lease at inception and conclude whether the contract contains an identified asset if we have the right to obtain substantially all the economic benefit and direct the use of the asset. Operating leases with right-of-use (“ROU”) assets are reflected within “Other assets,” “Accrued expenses,” and “Other long-term liabilities” within 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consolidated balance sheets. Finance leases are included in “Property, plant and equipment,” “Current maturities of long-term debt,” and “Long-term debt.”</w:t>
      </w:r>
    </w:p>
    <w:p>
      <w:pPr>
        <w:spacing w:after="0" w:line="24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the related liabilities are recognized at commencement date based on the present value of lease payments over the lease term. These payments include renewal options when reasonably certain to be exercised, and exclude termination options. As none of our leases provide an implicit rate, we use our incremental borrowing rate based on the information available at commencement date in determining the present value of lease payments. The operating lease ROU asset also includes any prepaid lease payments and excludes lease incentives.</w:t>
      </w:r>
    </w:p>
    <w:p>
      <w:pPr>
        <w:spacing w:after="0" w:line="21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have operating and finance leases for facilities, equipment, and vehicles. Our leases have remaining lease terms of one year to 10 years, some of which include options to extend the leases for up to 5 years, and some of which include options to terminate the lease within one year. We rent or sublease certain space within our facilities to third parties under operating leases, with the impact of these lease arrangements being immaterial to our consolidated financial statements.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5"/>
        </w:trPr>
        <w:tc>
          <w:tcPr>
            <w:tcW w:w="67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1"/>
        </w:trPr>
        <w:tc>
          <w:tcPr>
            <w:tcW w:w="67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Operating lease cost </w:t>
            </w:r>
            <w:r>
              <w:rPr>
                <w:rFonts w:ascii="Times New Roman" w:cs="Times New Roman" w:eastAsia="Times New Roman" w:hAnsi="Times New Roman"/>
                <w:sz w:val="20"/>
                <w:szCs w:val="20"/>
                <w:color w:val="auto"/>
                <w:vertAlign w:val="superscript"/>
              </w:rPr>
              <w:t>(1)</w:t>
            </w:r>
          </w:p>
        </w:tc>
        <w:tc>
          <w:tcPr>
            <w:tcW w:w="1780" w:type="dxa"/>
            <w:vAlign w:val="bottom"/>
            <w:shd w:val="clear" w:color="auto" w:fill="CCEEFF"/>
          </w:tcPr>
          <w:p>
            <w:pPr>
              <w:jc w:val="right"/>
              <w:ind w:right="1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66"/>
        </w:trPr>
        <w:tc>
          <w:tcPr>
            <w:tcW w:w="67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780" w:type="dxa"/>
            <w:vAlign w:val="bottom"/>
            <w:shd w:val="clear" w:color="auto" w:fill="CCEEFF"/>
          </w:tcPr>
          <w:p>
            <w:pPr>
              <w:jc w:val="right"/>
              <w:ind w:right="1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1780" w:type="dxa"/>
            <w:vAlign w:val="bottom"/>
            <w:tcBorders>
              <w:top w:val="single" w:sz="8" w:color="auto"/>
              <w:bottom w:val="single" w:sz="8" w:color="auto"/>
            </w:tcBorders>
            <w:shd w:val="clear" w:color="auto" w:fill="CCEEFF"/>
          </w:tcPr>
          <w:p>
            <w:pPr>
              <w:jc w:val="right"/>
              <w:ind w:right="1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6" w:lineRule="exact"/>
        <w:rPr>
          <w:sz w:val="20"/>
          <w:szCs w:val="20"/>
          <w:color w:val="auto"/>
        </w:rPr>
      </w:pPr>
    </w:p>
    <w:p>
      <w:pPr>
        <w:ind w:left="400" w:right="3640" w:firstLine="2"/>
        <w:spacing w:after="0" w:line="486" w:lineRule="auto"/>
        <w:tabs>
          <w:tab w:leader="none" w:pos="559"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short-term lease cost of $2.9 and $3.5, for the years ended December 31, 2024 and 2023, respectively</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Supplemental cash flow information related to leases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6"/>
                <w:szCs w:val="16"/>
                <w:color w:val="auto"/>
              </w:rPr>
            </w:pPr>
          </w:p>
        </w:tc>
        <w:tc>
          <w:tcPr>
            <w:tcW w:w="17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4"/>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cash flows used in operating leases</w:t>
            </w:r>
          </w:p>
        </w:tc>
        <w:tc>
          <w:tcPr>
            <w:tcW w:w="1780" w:type="dxa"/>
            <w:vAlign w:val="bottom"/>
            <w:shd w:val="clear" w:color="auto" w:fill="CCEEFF"/>
          </w:tcPr>
          <w:p>
            <w:pPr>
              <w:jc w:val="right"/>
              <w:ind w:right="160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9"/>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Financing cash flows used in finance leases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activities: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3"/>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new lease obligations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7"/>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right-of-use assets obtained in exchange for new lease obligations</w:t>
            </w:r>
          </w:p>
        </w:tc>
        <w:tc>
          <w:tcPr>
            <w:tcW w:w="1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5000" w:type="dxa"/>
            <w:vAlign w:val="bottom"/>
          </w:tcPr>
          <w:p>
            <w:pPr>
              <w:spacing w:after="0"/>
              <w:rPr>
                <w:sz w:val="16"/>
                <w:szCs w:val="16"/>
                <w:color w:val="auto"/>
              </w:rPr>
            </w:pPr>
          </w:p>
        </w:tc>
      </w:tr>
      <w:tr>
        <w:trPr>
          <w:trHeight w:val="24"/>
        </w:trPr>
        <w:tc>
          <w:tcPr>
            <w:tcW w:w="3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0" w:type="dxa"/>
            <w:vAlign w:val="bottom"/>
          </w:tcPr>
          <w:p>
            <w:pPr>
              <w:spacing w:after="0"/>
              <w:rPr>
                <w:sz w:val="2"/>
                <w:szCs w:val="2"/>
                <w:color w:val="auto"/>
              </w:rPr>
            </w:pPr>
          </w:p>
        </w:tc>
      </w:tr>
      <w:tr>
        <w:trPr>
          <w:trHeight w:val="185"/>
        </w:trPr>
        <w:tc>
          <w:tcPr>
            <w:tcW w:w="38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0" w:type="dxa"/>
            <w:vAlign w:val="bottom"/>
            <w:tcBorders>
              <w:bottom w:val="single" w:sz="8" w:color="CCEEFF"/>
            </w:tcBorders>
          </w:tcPr>
          <w:p>
            <w:pPr>
              <w:spacing w:after="0"/>
              <w:rPr>
                <w:sz w:val="16"/>
                <w:szCs w:val="16"/>
                <w:color w:val="auto"/>
              </w:rPr>
            </w:pPr>
          </w:p>
        </w:tc>
      </w:tr>
      <w:tr>
        <w:trPr>
          <w:trHeight w:val="19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 in the Consolidated Balance Sheets</w:t>
            </w:r>
          </w:p>
        </w:tc>
      </w:tr>
      <w:tr>
        <w:trPr>
          <w:trHeight w:val="211"/>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7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r>
      <w:tr>
        <w:trPr>
          <w:trHeight w:val="230"/>
        </w:trPr>
        <w:tc>
          <w:tcPr>
            <w:tcW w:w="38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r>
      <w:tr>
        <w:trPr>
          <w:trHeight w:val="209"/>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current liabilities</w:t>
            </w: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non-current liabilities</w:t>
            </w: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7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5000" w:type="dxa"/>
            <w:vAlign w:val="bottom"/>
          </w:tcPr>
          <w:p>
            <w:pPr>
              <w:spacing w:after="0"/>
              <w:rPr>
                <w:sz w:val="17"/>
                <w:szCs w:val="17"/>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r>
      <w:tr>
        <w:trPr>
          <w:trHeight w:val="230"/>
        </w:trPr>
        <w:tc>
          <w:tcPr>
            <w:tcW w:w="38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7"/>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current liabilities</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w:t>
            </w:r>
          </w:p>
        </w:tc>
      </w:tr>
      <w:tr>
        <w:trPr>
          <w:trHeight w:val="209"/>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non-current liabilities</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debt</w:t>
            </w:r>
          </w:p>
        </w:tc>
      </w:tr>
      <w:tr>
        <w:trPr>
          <w:trHeight w:val="23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5000" w:type="dxa"/>
            <w:vAlign w:val="bottom"/>
            <w:tcBorders>
              <w:bottom w:val="single" w:sz="8" w:color="CCEEFF"/>
            </w:tcBorders>
            <w:shd w:val="clear" w:color="auto" w:fill="CCEEFF"/>
          </w:tcPr>
          <w:p>
            <w:pPr>
              <w:spacing w:after="0"/>
              <w:rPr>
                <w:sz w:val="19"/>
                <w:szCs w:val="19"/>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remaining lease terms (years) of our leases as of December 31, 2024 and December 31, 2023, were as follows:</w:t>
      </w:r>
    </w:p>
    <w:p>
      <w:pPr>
        <w:spacing w:after="0" w:line="18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Borders>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2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200" w:lineRule="exact"/>
        <w:rPr>
          <w:sz w:val="20"/>
          <w:szCs w:val="20"/>
          <w:color w:val="auto"/>
        </w:rPr>
      </w:pPr>
    </w:p>
    <w:p>
      <w:pPr>
        <w:spacing w:after="0" w:line="24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discount rate utilized to determine the present value of lease payments over the lease term is our incremental borrowing rate based on the information available at lease commencement date. In developing the incremental borrowing rate, we considered the interest rate that reflects a term similar to the underlying lease term on a fully collateralized basis. We concluded to apply the incremental borrowing rate at a consolidated portfolio level using a five-year term, as the results did not materially differ upon further stratification. The weighted-average discount rate for our operating leases was 4.1% and 3.2% at December 31, 2024 and 2023, respectively, and finance leases was 4.9% and 3.9% at December 31, 2024 and 2023, respectively.</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future minimum payments under our operating and finance leases were as follows as of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6"/>
        </w:trPr>
        <w:tc>
          <w:tcPr>
            <w:tcW w:w="4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Next 12 months</w:t>
            </w:r>
          </w:p>
        </w:tc>
        <w:tc>
          <w:tcPr>
            <w:tcW w:w="1780" w:type="dxa"/>
            <w:vAlign w:val="bottom"/>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 to 24 months</w:t>
            </w:r>
          </w:p>
        </w:tc>
        <w:tc>
          <w:tcPr>
            <w:tcW w:w="1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24 to 36 months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 to 48 months</w:t>
            </w:r>
          </w:p>
        </w:tc>
        <w:tc>
          <w:tcPr>
            <w:tcW w:w="1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48 to 60 months</w:t>
            </w:r>
          </w:p>
        </w:tc>
        <w:tc>
          <w:tcPr>
            <w:tcW w:w="1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7"/>
        </w:trPr>
        <w:tc>
          <w:tcPr>
            <w:tcW w:w="44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0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2"/>
        </w:trPr>
        <w:tc>
          <w:tcPr>
            <w:tcW w:w="4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bottom w:val="single" w:sz="8" w:color="auto"/>
            </w:tcBorders>
            <w:shd w:val="clear" w:color="auto" w:fill="CCEEFF"/>
          </w:tcPr>
          <w:p>
            <w:pPr>
              <w:jc w:val="right"/>
              <w:ind w:right="16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6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(7) Information on Reportable Segments</w:t>
      </w:r>
    </w:p>
    <w:p>
      <w:pPr>
        <w:spacing w:after="0" w:line="13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are a global supplier of highly specialized, engineered solutions with operations in over 15 countries and sales in over 100 countries around the world.</w:t>
      </w:r>
    </w:p>
    <w:p>
      <w:pPr>
        <w:spacing w:after="0" w:line="89" w:lineRule="exact"/>
        <w:rPr>
          <w:sz w:val="20"/>
          <w:szCs w:val="20"/>
          <w:color w:val="auto"/>
        </w:rPr>
      </w:pPr>
    </w:p>
    <w:p>
      <w:pPr>
        <w:jc w:val="both"/>
        <w:ind w:firstLine="396"/>
        <w:spacing w:after="0" w:line="238" w:lineRule="auto"/>
        <w:rPr>
          <w:sz w:val="20"/>
          <w:szCs w:val="20"/>
          <w:color w:val="auto"/>
        </w:rPr>
      </w:pPr>
      <w:r>
        <w:rPr>
          <w:rFonts w:ascii="Times New Roman" w:cs="Times New Roman" w:eastAsia="Times New Roman" w:hAnsi="Times New Roman"/>
          <w:sz w:val="18"/>
          <w:szCs w:val="18"/>
          <w:color w:val="auto"/>
        </w:rPr>
        <w:t>In determining our reportable segments, we apply the threshold criteria of the Segment Reporting Topic of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w:t>
      </w:r>
    </w:p>
    <w:p>
      <w:pPr>
        <w:spacing w:after="0" w:line="103"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Our CODM, the President and Chief Executive Officer, uses revenue and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2024. Our CODM assesses revenue and Segment Income performance in comparison to prior years, previously forecasted results, and anticipated/experienced market trends when determining how to allocate operating and capital resources. The only significant segment expense categories reviewed by our CODM are total selling, general, and administrative expense and cost of products sold. Our CODM does not review asset or liability information for our operating segments as this information is not used to assess performance or allocate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Our HVAC reportable segment engineers, designs, manufactures, installs and services package and process cooling products and engineered air movement and handling solutions for the HVAC industrial, commercial, data center, and power generation markets, as well as boilers and electrical heating and ventilation products for the residential, industrial,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Corporate expense generally relates to the personnel and general operating costs of our corporate headquarters based in Charlotte, North Carolina.</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color w:val="auto"/>
        </w:rPr>
        <w:t>Financial data for our reportable segments for the years ended December 31, 2024, 2023, and 2022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HVAC reportable segment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1,364.7</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1,122.3</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w:t>
            </w:r>
          </w:p>
        </w:tc>
      </w:tr>
      <w:tr>
        <w:trPr>
          <w:trHeight w:val="223"/>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Segment income</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Detection and Measurement reportable segment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619.2</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618.9</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547.1</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97"/>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Segment income</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Consolidated revenues</w:t>
            </w: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1,983.9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1,460.9</w:t>
            </w: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income for segments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r>
      <w:tr>
        <w:trPr>
          <w:trHeight w:val="166"/>
        </w:trPr>
        <w:tc>
          <w:tcPr>
            <w:tcW w:w="7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expense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Acquisition-related and other costs </w:t>
            </w:r>
            <w:r>
              <w:rPr>
                <w:rFonts w:ascii="Times New Roman" w:cs="Times New Roman" w:eastAsia="Times New Roman" w:hAnsi="Times New Roman"/>
                <w:sz w:val="9"/>
                <w:szCs w:val="9"/>
                <w:color w:val="auto"/>
              </w:rPr>
              <w:t>(1)</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Impairment of goodwill and intangible assets </w:t>
            </w:r>
            <w:r>
              <w:rPr>
                <w:rFonts w:ascii="Times New Roman" w:cs="Times New Roman" w:eastAsia="Times New Roman" w:hAnsi="Times New Roman"/>
                <w:sz w:val="9"/>
                <w:szCs w:val="9"/>
                <w:color w:val="auto"/>
              </w:rPr>
              <w:t>(2)</w:t>
            </w:r>
          </w:p>
        </w:tc>
        <w:tc>
          <w:tcPr>
            <w:tcW w:w="8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charges, net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Other operating expense, net </w:t>
            </w:r>
            <w:r>
              <w:rPr>
                <w:rFonts w:ascii="Times New Roman" w:cs="Times New Roman" w:eastAsia="Times New Roman" w:hAnsi="Times New Roman"/>
                <w:sz w:val="9"/>
                <w:szCs w:val="9"/>
                <w:color w:val="auto"/>
              </w:rPr>
              <w:t>(3)</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23"/>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Consolidated operating income</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corporate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23"/>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HVAC reportable segment</w:t>
            </w:r>
          </w:p>
        </w:tc>
        <w:tc>
          <w:tcPr>
            <w:tcW w:w="8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05"/>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Detection and Measurement reportable segment</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91"/>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corporate</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3"/>
        </w:trPr>
        <w:tc>
          <w:tcPr>
            <w:tcW w:w="7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8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1"/>
        </w:trPr>
        <w:tc>
          <w:tcPr>
            <w:tcW w:w="7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9"/>
                <w:szCs w:val="9"/>
                <w:color w:val="auto"/>
              </w:rPr>
              <w:t>(4)</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1,640.8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1,223.5</w:t>
            </w:r>
          </w:p>
        </w:tc>
      </w:tr>
      <w:tr>
        <w:trPr>
          <w:trHeight w:val="191"/>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Canada</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China</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1"/>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19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191"/>
        </w:trPr>
        <w:tc>
          <w:tcPr>
            <w:tcW w:w="7100" w:type="dxa"/>
            <w:vAlign w:val="bottom"/>
          </w:tcPr>
          <w:p>
            <w:pPr>
              <w:spacing w:after="0"/>
              <w:rPr>
                <w:sz w:val="16"/>
                <w:szCs w:val="16"/>
                <w:color w:val="auto"/>
              </w:rPr>
            </w:pPr>
          </w:p>
        </w:tc>
        <w:tc>
          <w:tcPr>
            <w:tcW w:w="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1,983.9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1,741.2</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2"/>
        </w:trPr>
        <w:tc>
          <w:tcPr>
            <w:tcW w:w="7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Tangible Long-Lived Assets: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8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r>
      <w:tr>
        <w:trPr>
          <w:trHeight w:val="191"/>
        </w:trPr>
        <w:tc>
          <w:tcPr>
            <w:tcW w:w="7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Canada</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5"/>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18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Long-lived assets of continuing operations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r>
      <w:tr>
        <w:trPr>
          <w:trHeight w:val="19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of discontinued operations, DBT and Heat Transfer</w:t>
            </w:r>
          </w:p>
        </w:tc>
        <w:tc>
          <w:tcPr>
            <w:tcW w:w="8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98"/>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tangible long-lived assets</w:t>
            </w:r>
          </w:p>
        </w:tc>
        <w:tc>
          <w:tcPr>
            <w:tcW w:w="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r>
      <w:tr>
        <w:trPr>
          <w:trHeight w:val="20"/>
        </w:trPr>
        <w:tc>
          <w:tcPr>
            <w:tcW w:w="7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w:t>
      </w:r>
    </w:p>
    <w:p>
      <w:pPr>
        <w:spacing w:after="0" w:line="191" w:lineRule="exact"/>
        <w:rPr>
          <w:sz w:val="20"/>
          <w:szCs w:val="20"/>
          <w:color w:val="auto"/>
        </w:rPr>
      </w:pPr>
    </w:p>
    <w:p>
      <w:pPr>
        <w:jc w:val="both"/>
        <w:ind w:left="640" w:hanging="317"/>
        <w:spacing w:after="0" w:line="232" w:lineRule="auto"/>
        <w:tabs>
          <w:tab w:leader="none" w:pos="6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integration costs incurred in connection with acquisitions of $7.2, $5.8, and $1.9, including additional “Cost of products sold” related to the step-up of inventory (to fair value) acquired in connection with these acquisitions of $1.8, $3.6 and $1.1, during the years ended December 31, 2024, 2023 and 2022, respectively.</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82" w:name="page83"/>
    <w:bookmarkEnd w:id="82"/>
    <w:p>
      <w:pPr>
        <w:ind w:left="640" w:hanging="317"/>
        <w:spacing w:after="0" w:line="221" w:lineRule="auto"/>
        <w:tabs>
          <w:tab w:leader="none" w:pos="628" w:val="left"/>
        </w:tabs>
        <w:numPr>
          <w:ilvl w:val="1"/>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2022 includes impairment charges of $12.9 related to the goodwill and trademarks of our ULC Robotics (“ULC”) business and $0.5 related to certain other trademarks.</w:t>
      </w:r>
    </w:p>
    <w:p>
      <w:pPr>
        <w:spacing w:after="0" w:line="96" w:lineRule="exact"/>
        <w:rPr>
          <w:rFonts w:ascii="Times New Roman" w:cs="Times New Roman" w:eastAsia="Times New Roman" w:hAnsi="Times New Roman"/>
          <w:sz w:val="21"/>
          <w:szCs w:val="21"/>
          <w:color w:val="auto"/>
          <w:vertAlign w:val="superscript"/>
        </w:rPr>
      </w:pPr>
    </w:p>
    <w:p>
      <w:pPr>
        <w:jc w:val="both"/>
        <w:ind w:left="640" w:hanging="317"/>
        <w:spacing w:after="0" w:line="235" w:lineRule="auto"/>
        <w:tabs>
          <w:tab w:leader="none" w:pos="628" w:val="left"/>
        </w:tabs>
        <w:numPr>
          <w:ilvl w:val="1"/>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2024 includes a charge of $8.4 related to a settlement with the seller of ULC regarding additional contingent consideration. The year ended December 31, 2023 includes a charge of $9.0 related to the resolution of a dispute with a former representative at one of our businesses within the Detection and Measurement reportable segment. The year ended December 31, 2022 includes a loss on the Asbestos Portfolio Sale of $73.9, as well as charges of $2.3 for asbestos product liability matters incurred prior to the Asbestos Portfolio Sale, partially offset by a reduction in the fair value/liability associated with contingent consideration related to the acquisition of Enterprise Control Systems Ltd (“ECS”), which was completed in 2021, of $1.3.</w:t>
      </w:r>
    </w:p>
    <w:p>
      <w:pPr>
        <w:spacing w:after="0" w:line="64"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1"/>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are included in the above geographic areas based on the country that recorded the revenue.</w:t>
      </w:r>
    </w:p>
    <w:p>
      <w:pPr>
        <w:spacing w:after="0" w:line="116" w:lineRule="exact"/>
        <w:rPr>
          <w:rFonts w:ascii="Times New Roman" w:cs="Times New Roman" w:eastAsia="Times New Roman" w:hAnsi="Times New Roman"/>
          <w:sz w:val="21"/>
          <w:szCs w:val="21"/>
          <w:color w:val="auto"/>
          <w:vertAlign w:val="superscript"/>
        </w:rPr>
      </w:pPr>
    </w:p>
    <w:p>
      <w:pPr>
        <w:ind w:left="260" w:hanging="254"/>
        <w:spacing w:after="0"/>
        <w:tabs>
          <w:tab w:leader="none" w:pos="2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 Net</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periodically right-size and consolidate operations to improve long-term results. Additionally, from time to time, we alter our business model to better serve customer demand, discontinue lower-margin product lines and rationalize and consolidate manufacturing capacity. Our restructuring and integration decisions are based, in part, on discounted cash flows and are designed to achieve our goals of reducing structural footprint and maximizing profitability. As a result of our strategic review process, we recorded net special charges of $3.6 in 2024, $0.8 in 2023, and $0.4 in 2022. These net special charges were primarily related to restructuring initiatives to consolidate manufacturing and sales facilities, reduce workforce, and rationalize certain product lines.</w:t>
      </w:r>
    </w:p>
    <w:p>
      <w:pPr>
        <w:spacing w:after="0" w:line="1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components of the charges have been computed based on actual cash payouts, including severance and other employee benefits based on existing severance policies, local laws, and other estimated exit costs, and our estimate of the realizable value of the affected tangible assets.</w:t>
      </w:r>
    </w:p>
    <w:p>
      <w:pPr>
        <w:spacing w:after="0" w:line="10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Impairments of long-lived assets, which represent non-cash asset write-downs, typically arise from business restructuring decisions that lead to the disposition of assets no longer required in the restructured business. For these situations, we recognize a loss when the carrying amount of an asset exceeds the sum of the undiscounted cash flows expected to result from the use and eventual disposition of the asset. Fair values for assets subject to impairment testing are determined primarily by management, taking into consideration various factors including third-party appraisals, quoted market prices and previous experience. If an asset remains in service at the decision date, the asset is written down to its fair value and the resulting net book value is depreciated over its remaining economic useful life. When we commit to a plan to sell an asset, including the initiation of a plan to locate a buyer, and it is probable that the asset will be sold within one year based on its current condition and sales price, depreciation of the asset is discontinued and the asset is classified as an asset held for sale. The asset is written down to its fair value less any selling costs.</w:t>
      </w:r>
    </w:p>
    <w:p>
      <w:pPr>
        <w:spacing w:after="0" w:line="11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Liabilities for exit costs, including, among other things, severance, other employee benefit costs, and operating lease obligations on idle facilities, are measured initially at their fair value and recorded when incurred.</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anticipate that the liabilities related to restructuring actions will be paid within one year from the period in which the action was initiated.</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Special charges for the years ended December 31, 2024, 2023, and 2022 are described in more detail below and in the applicable sections that follow: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costs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Facility consolidation costs</w:t>
            </w: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asset write-downs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4"/>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2024 Charges: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5"/>
        </w:trPr>
        <w:tc>
          <w:tcPr>
            <w:tcW w:w="5660" w:type="dxa"/>
            <w:vAlign w:val="bottom"/>
          </w:tcPr>
          <w:p>
            <w:pPr>
              <w:spacing w:after="0"/>
              <w:rPr>
                <w:sz w:val="12"/>
                <w:szCs w:val="12"/>
                <w:color w:val="auto"/>
              </w:rPr>
            </w:pPr>
          </w:p>
        </w:tc>
        <w:tc>
          <w:tcPr>
            <w:tcW w:w="1040" w:type="dxa"/>
            <w:vAlign w:val="bottom"/>
          </w:tcPr>
          <w:p>
            <w:pPr>
              <w:jc w:val="center"/>
              <w:ind w:left="206"/>
              <w:spacing w:after="0" w:line="145"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Consolidation</w:t>
            </w:r>
          </w:p>
        </w:tc>
        <w:tc>
          <w:tcPr>
            <w:tcW w:w="1040" w:type="dxa"/>
            <w:vAlign w:val="bottom"/>
          </w:tcPr>
          <w:p>
            <w:pPr>
              <w:jc w:val="center"/>
              <w:ind w:left="206"/>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85"/>
              <w:spacing w:after="0" w:line="145" w:lineRule="exact"/>
              <w:rPr>
                <w:sz w:val="20"/>
                <w:szCs w:val="20"/>
                <w:color w:val="auto"/>
              </w:rPr>
            </w:pPr>
            <w:r>
              <w:rPr>
                <w:rFonts w:ascii="Times New Roman" w:cs="Times New Roman" w:eastAsia="Times New Roman" w:hAnsi="Times New Roman"/>
                <w:sz w:val="14"/>
                <w:szCs w:val="14"/>
                <w:b w:val="1"/>
                <w:bCs w:val="1"/>
                <w:color w:val="auto"/>
              </w:rPr>
              <w:t>Special</w:t>
            </w:r>
          </w:p>
        </w:tc>
      </w:tr>
      <w:tr>
        <w:trPr>
          <w:trHeight w:val="191"/>
        </w:trPr>
        <w:tc>
          <w:tcPr>
            <w:tcW w:w="56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5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2024 related primarily to recording severance costs associated with restructuring actions at three of the segment’s cooling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one of the segment’s electrical heating businesses. These actions resulted in the termination of 34 employees. In addition, the actions resulted in asset impairment charges associated with the relocation of certain operations within one of the segment’s electrical heating businesses.</w:t>
      </w:r>
    </w:p>
    <w:p>
      <w:pPr>
        <w:spacing w:after="0" w:line="138"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Charges for 2024 related primarily to recording severance costs associated with restructuring actions at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inspection and aids to navigation businesses. These actions resulted in the termination of 9 employees. In addition, the actions resulted in operating lease termination costs and asset impairment charges associated with relocation of certain operations within one of the segment’s location and inspection businesses.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Charges: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5640" w:type="dxa"/>
            <w:vAlign w:val="bottom"/>
          </w:tcPr>
          <w:p>
            <w:pPr>
              <w:spacing w:after="0"/>
              <w:rPr>
                <w:sz w:val="12"/>
                <w:szCs w:val="12"/>
                <w:color w:val="auto"/>
              </w:rPr>
            </w:pPr>
          </w:p>
        </w:tc>
        <w:tc>
          <w:tcPr>
            <w:tcW w:w="1040" w:type="dxa"/>
            <w:vAlign w:val="bottom"/>
          </w:tcPr>
          <w:p>
            <w:pPr>
              <w:jc w:val="center"/>
              <w:ind w:left="226"/>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Termination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186"/>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85"/>
              <w:spacing w:after="0" w:line="145" w:lineRule="exact"/>
              <w:rPr>
                <w:sz w:val="20"/>
                <w:szCs w:val="20"/>
                <w:color w:val="auto"/>
              </w:rPr>
            </w:pPr>
            <w:r>
              <w:rPr>
                <w:rFonts w:ascii="Times New Roman" w:cs="Times New Roman" w:eastAsia="Times New Roman" w:hAnsi="Times New Roman"/>
                <w:sz w:val="14"/>
                <w:szCs w:val="14"/>
                <w:b w:val="1"/>
                <w:bCs w:val="1"/>
                <w:color w:val="auto"/>
              </w:rPr>
              <w:t>Special</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Consolidation Costs</w:t>
            </w: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2023 related to severance costs associated with a restructuring action at one of the segment’s cooling businesses. This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termination of 1 employee.</w:t>
      </w:r>
    </w:p>
    <w:p>
      <w:pPr>
        <w:spacing w:after="0" w:line="125"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w:t>
      </w:r>
      <w:r>
        <w:rPr>
          <w:rFonts w:ascii="Times New Roman" w:cs="Times New Roman" w:eastAsia="Times New Roman" w:hAnsi="Times New Roman"/>
          <w:sz w:val="18"/>
          <w:szCs w:val="18"/>
          <w:color w:val="auto"/>
        </w:rPr>
        <w:t>– Charges for 2023 related to severance costs associated with a restructuring action at one of the segment’s location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businesses. This action resulted in the termination of 14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8"/>
              </w:rPr>
              <w:t>Employee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1040" w:type="dxa"/>
            <w:vAlign w:val="bottom"/>
          </w:tcPr>
          <w:p>
            <w:pPr>
              <w:jc w:val="center"/>
              <w:ind w:left="186"/>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Termination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206"/>
              <w:spacing w:after="0" w:line="145"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5"/>
              <w:spacing w:after="0" w:line="145" w:lineRule="exact"/>
              <w:rPr>
                <w:sz w:val="20"/>
                <w:szCs w:val="20"/>
                <w:color w:val="auto"/>
              </w:rPr>
            </w:pPr>
            <w:r>
              <w:rPr>
                <w:rFonts w:ascii="Times New Roman" w:cs="Times New Roman" w:eastAsia="Times New Roman" w:hAnsi="Times New Roman"/>
                <w:sz w:val="14"/>
                <w:szCs w:val="14"/>
                <w:b w:val="1"/>
                <w:bCs w:val="1"/>
                <w:color w:val="auto"/>
                <w:w w:val="98"/>
              </w:rPr>
              <w:t>Special</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Consolidation Costs</w:t>
            </w:r>
          </w:p>
        </w:tc>
        <w:tc>
          <w:tcPr>
            <w:tcW w:w="1040" w:type="dxa"/>
            <w:vAlign w:val="bottom"/>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Write-downs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0.1</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0.1</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0.3</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2022 related to severance costs associated with a restructuring action at one of the segment’s cooling businesses. This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in the termination of 2 employees.</w:t>
      </w:r>
    </w:p>
    <w:p>
      <w:pPr>
        <w:spacing w:after="0" w:line="125"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Detection &amp; Measurement — </w:t>
      </w:r>
      <w:r>
        <w:rPr>
          <w:rFonts w:ascii="Times New Roman" w:cs="Times New Roman" w:eastAsia="Times New Roman" w:hAnsi="Times New Roman"/>
          <w:sz w:val="18"/>
          <w:szCs w:val="18"/>
          <w:color w:val="auto"/>
        </w:rPr>
        <w:t>Charges for 2022 related to asset impairment charges associated with the relocation of certain operations at the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aids to navigation business.</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84" w:name="page85"/>
    <w:bookmarkEnd w:id="84"/>
    <w:p>
      <w:pPr>
        <w:ind w:left="400"/>
        <w:spacing w:after="0"/>
        <w:rPr>
          <w:sz w:val="20"/>
          <w:szCs w:val="20"/>
          <w:color w:val="auto"/>
        </w:rPr>
      </w:pPr>
      <w:r>
        <w:rPr>
          <w:rFonts w:ascii="Times New Roman" w:cs="Times New Roman" w:eastAsia="Times New Roman" w:hAnsi="Times New Roman"/>
          <w:sz w:val="18"/>
          <w:szCs w:val="18"/>
          <w:color w:val="auto"/>
        </w:rPr>
        <w:t>The following is an analysis of our restructuring liabilities for the years ended December 31, 2024, 2023, and 2022:</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1"/>
        </w:trPr>
        <w:tc>
          <w:tcPr>
            <w:tcW w:w="71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Special charges </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42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Utilization — cash</w:t>
            </w: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the end of year</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44" w:lineRule="exact"/>
        <w:rPr>
          <w:sz w:val="20"/>
          <w:szCs w:val="20"/>
          <w:color w:val="auto"/>
        </w:rPr>
      </w:pPr>
    </w:p>
    <w:p>
      <w:pPr>
        <w:ind w:left="640" w:hanging="317"/>
        <w:spacing w:after="0" w:line="228" w:lineRule="auto"/>
        <w:tabs>
          <w:tab w:leader="none" w:pos="628" w:val="left"/>
        </w:tabs>
        <w:numPr>
          <w:ilvl w:val="1"/>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year ended December 31, 2024, 2023, and 2022 excluded $0.9, $0.0, $0.3, respectively, of non-cash charges that impacted special charges but not the restructuring liabilities.</w:t>
      </w:r>
    </w:p>
    <w:p>
      <w:pPr>
        <w:spacing w:after="0" w:line="117" w:lineRule="exact"/>
        <w:rPr>
          <w:rFonts w:ascii="Times New Roman" w:cs="Times New Roman" w:eastAsia="Times New Roman" w:hAnsi="Times New Roman"/>
          <w:sz w:val="21"/>
          <w:szCs w:val="21"/>
          <w:color w:val="auto"/>
          <w:vertAlign w:val="superscript"/>
        </w:rPr>
      </w:pPr>
    </w:p>
    <w:p>
      <w:pPr>
        <w:ind w:left="260" w:hanging="254"/>
        <w:spacing w:after="0"/>
        <w:tabs>
          <w:tab w:leader="none" w:pos="2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accounted for under the first-in, first-out method and are comprised of the following at December 31,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r>
      <w:tr>
        <w:trPr>
          <w:trHeight w:val="20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0"/>
        </w:trPr>
        <w:tc>
          <w:tcPr>
            <w:tcW w:w="8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include material, labor and factory overhead costs and are reduced, when necessary, to estimated net realizable values.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2024,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Resulting</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from Business</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Combinations </w:t>
            </w:r>
            <w:r>
              <w:rPr>
                <w:rFonts w:ascii="Times New Roman" w:cs="Times New Roman" w:eastAsia="Times New Roman" w:hAnsi="Times New Roman"/>
                <w:sz w:val="9"/>
                <w:szCs w:val="9"/>
                <w:b w:val="1"/>
                <w:bCs w:val="1"/>
                <w:color w:val="auto"/>
                <w:w w:val="99"/>
              </w:rPr>
              <w:t>(1)</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6"/>
                <w:szCs w:val="16"/>
                <w:color w:val="auto"/>
              </w:rPr>
            </w:pPr>
          </w:p>
        </w:tc>
        <w:tc>
          <w:tcPr>
            <w:tcW w:w="112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148.0</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0" w:type="dxa"/>
            <w:vAlign w:val="bottom"/>
          </w:tcPr>
          <w:p>
            <w:pPr>
              <w:spacing w:after="0"/>
              <w:rPr>
                <w:sz w:val="1"/>
                <w:szCs w:val="1"/>
                <w:color w:val="auto"/>
              </w:rPr>
            </w:pPr>
          </w:p>
        </w:tc>
      </w:tr>
      <w:tr>
        <w:trPr>
          <w:trHeight w:val="202"/>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148.0</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02"/>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148.0</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87" w:lineRule="exact"/>
        <w:rPr>
          <w:sz w:val="20"/>
          <w:szCs w:val="20"/>
          <w:color w:val="auto"/>
        </w:rPr>
      </w:pPr>
    </w:p>
    <w:p>
      <w:pPr>
        <w:ind w:left="320" w:firstLine="3"/>
        <w:spacing w:after="0" w:line="238" w:lineRule="auto"/>
        <w:tabs>
          <w:tab w:leader="none" w:pos="48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(i) goodwill acquired with the Ingénia acquisition of $142.4 and (ii) an increase in ASPEQ</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and TAMCO</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goodwill of $3.9 and $1.7, respectively, resulting from revisions to the valuation of certain assets and liabilities.</w:t>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85" w:name="page86"/>
    <w:bookmarkEnd w:id="85"/>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2023,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Resulting</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from Business</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 xml:space="preserve">Combinations </w:t>
            </w:r>
            <w:r>
              <w:rPr>
                <w:rFonts w:ascii="Times New Roman" w:cs="Times New Roman" w:eastAsia="Times New Roman" w:hAnsi="Times New Roman"/>
                <w:sz w:val="9"/>
                <w:szCs w:val="9"/>
                <w:b w:val="1"/>
                <w:bCs w:val="1"/>
                <w:color w:val="auto"/>
                <w:w w:val="99"/>
              </w:rPr>
              <w:t>(1)</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0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9"/>
              </w:rPr>
              <w:t>529.5</w:t>
            </w: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rPr>
              <w:t>(328.2)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02"/>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9"/>
              </w:rPr>
              <w:t>201.3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9"/>
              </w:rPr>
              <w:t>425.2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202"/>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9"/>
              </w:rPr>
              <w:t>254.0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w:t>
            </w:r>
          </w:p>
        </w:tc>
        <w:tc>
          <w:tcPr>
            <w:tcW w:w="160" w:type="dxa"/>
            <w:vAlign w:val="bottom"/>
          </w:tcPr>
          <w:p>
            <w:pPr>
              <w:spacing w:after="0"/>
              <w:rPr>
                <w:sz w:val="18"/>
                <w:szCs w:val="18"/>
                <w:color w:val="auto"/>
              </w:rPr>
            </w:pPr>
          </w:p>
        </w:tc>
        <w:tc>
          <w:tcPr>
            <w:tcW w:w="10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9"/>
              </w:rPr>
              <w:t>954.7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impairments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482"/>
              <w:spacing w:after="0"/>
              <w:rPr>
                <w:sz w:val="20"/>
                <w:szCs w:val="20"/>
                <w:color w:val="auto"/>
              </w:rPr>
            </w:pPr>
            <w:r>
              <w:rPr>
                <w:rFonts w:ascii="Times New Roman" w:cs="Times New Roman" w:eastAsia="Times New Roman" w:hAnsi="Times New Roman"/>
                <w:sz w:val="16"/>
                <w:szCs w:val="16"/>
                <w:color w:val="auto"/>
              </w:rPr>
              <w:t>(499.4)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9"/>
              </w:rPr>
              <w:t>455.3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53" w:lineRule="exact"/>
        <w:rPr>
          <w:sz w:val="20"/>
          <w:szCs w:val="20"/>
          <w:color w:val="auto"/>
        </w:rPr>
      </w:pPr>
    </w:p>
    <w:p>
      <w:pPr>
        <w:ind w:left="320" w:firstLine="3"/>
        <w:spacing w:after="0" w:line="268" w:lineRule="auto"/>
        <w:tabs>
          <w:tab w:leader="none" w:pos="482"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(i) goodwill acquired with the ASPEQ and TAMCO acquisitions of $191.1 and $51.3, respectively, and (ii) an increase in ITL</w:t>
      </w: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s goodwill of $0.8 resulting from revisions to the valuation of certain assets and liabilities.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Identifiable intangible assets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43"/>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43"/>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43"/>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Intangible assets with determinable lives:</w:t>
            </w:r>
            <w:r>
              <w:rPr>
                <w:rFonts w:ascii="Times New Roman" w:cs="Times New Roman" w:eastAsia="Times New Roman" w:hAnsi="Times New Roman"/>
                <w:sz w:val="20"/>
                <w:szCs w:val="20"/>
                <w:color w:val="auto"/>
                <w:vertAlign w:val="superscript"/>
              </w:rPr>
              <w:t>(1)</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09"/>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with indefinite lives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07"/>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257" w:lineRule="exact"/>
        <w:rPr>
          <w:sz w:val="20"/>
          <w:szCs w:val="20"/>
          <w:color w:val="auto"/>
        </w:rPr>
      </w:pPr>
    </w:p>
    <w:p>
      <w:pPr>
        <w:ind w:left="640" w:hanging="317"/>
        <w:spacing w:after="0" w:line="221" w:lineRule="auto"/>
        <w:tabs>
          <w:tab w:leader="none" w:pos="628"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gross carrying value of identifiable intangible assets acquired with the Ingénia acquisition consist of technology of $46.7, customer relationships of $23.5, definite-lived trademarks of $13.9, and backlog of $13.8.</w:t>
      </w:r>
    </w:p>
    <w:p>
      <w:pPr>
        <w:spacing w:after="0" w:line="119"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Amortization expense was $64.5, $43.9 and $28.5 for the years ended December 31, 2024, 2023, and 2022, respectively. Estimated amortization expense is approximately $57.0 for 2025, $53.0 for 2026, $52.0 for 2027, $51.0 for 2028, and $50.0 for 2029.</w:t>
      </w:r>
    </w:p>
    <w:p>
      <w:pPr>
        <w:spacing w:after="0" w:line="10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2024, the net carrying value of intangible assets with determinable lives consisted of $379.4 in the HVAC reportable segment and $104.1 in the Detection and Measurement reportable segment. Trademarks with indefinite lives consisted of $156.5 in the HVAC reportable segment and $63.0 in the Detection and Measurement reportable segment.</w:t>
      </w:r>
    </w:p>
    <w:p>
      <w:pPr>
        <w:spacing w:after="0" w:line="114"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As indicated in Note 1, we review goodwill and indefinite-lived intangible assets for impairment annually during the fourth quarter. In addition, we test goodwill for impairment on a more frequent basis if there are indications of potential impairment. In reviewing goodwill for impairment, we initially perform a qualitative analysis. If there is an indication of impairment, we then perform a quantitative analysis. Our quantitative analysis of trademarks is based on applying estimated royalty rates to projected revenues, with resulting cash flows discounted at a rate of return that reflects current market conditions.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6" w:name="page87"/>
    <w:bookmarkEnd w:id="86"/>
    <w:p>
      <w:pPr>
        <w:jc w:val="both"/>
        <w:ind w:firstLine="396"/>
        <w:spacing w:after="0" w:line="232" w:lineRule="auto"/>
        <w:rPr>
          <w:sz w:val="20"/>
          <w:szCs w:val="20"/>
          <w:color w:val="auto"/>
        </w:rPr>
      </w:pPr>
      <w:r>
        <w:rPr>
          <w:rFonts w:ascii="Times New Roman" w:cs="Times New Roman" w:eastAsia="Times New Roman" w:hAnsi="Times New Roman"/>
          <w:sz w:val="18"/>
          <w:szCs w:val="18"/>
          <w:color w:val="auto"/>
        </w:rPr>
        <w:t>During the fourth quarter of 2024, we performed our analyses on the goodwill of our reporting units. The fair value of the assets related to the Ingénia acquisition approximate their carrying value. If Ingénia is unable to achieve its current financial forecast, or there is a change in assumptions used in Ingénia’s analysis (e.g., projected revenues and profit growth rates, discount rates, industry price multiples, etc.), we may be required to record an impairment charge in a future period related to its goodwill. As of December 31, 2024, Ingénia’s goodwill totaled $133.6. During the fourth quarter of 2024, in connection with the annual impairment analyses of indefinite-lived intangible assets, we determined that the implied value of ASPEQ’s trademarks approximated their carrying value. If ASPEQ is unable to achieve its current revenue forecast, or there is a change in assumptions used in ASPEQ’s analysis (e.g., projected revenues and discount rates, etc.), we may be required to record an impairment charge in a future period related to its trademarks. As of December 31, 2024, ASPEQ’s trademarks totaled $51.5.</w:t>
      </w:r>
    </w:p>
    <w:p>
      <w:pPr>
        <w:spacing w:after="0" w:line="22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fourth quarter of 2022, in connection with the annual impairment analyses of ULC’s goodwill and indefinite-lived intangible assets, we determined that the carrying value of ULC’s net assets exceeded the implied fair value of the business, resulting in an impairment charge of $12.9, with $12.0 related to goodwill and $0.9 to the ULC trademarks. After such impairment charge, ULC has no remaining goodwill and $5.4 of trademarks included in our consolidated balance sheet as of December 31, 2024.</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2024, 2023, and 2022, we recorded impairment charges of $0.0, $0.0, and $0.5, respectively, related to certain other trademarks.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5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Defined benefit pension plans cover a portion of our salaried and hourly paid employees, including certain employees in foreign countries.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in 2001, we discontinued providing these pension benefits generally to newly hired employees. Effective January 31, 2018, we discontinued providing service credits to active participants.</w:t>
      </w:r>
    </w:p>
    <w:p>
      <w:pPr>
        <w:spacing w:after="0" w:line="100"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have domestic postretirement plans that provide health and life insurance benefits to certain retirees and their dependents. Beginning in 2003, we discontinued providing these postretirement benefits generally to newly hired employees.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plan year-end date for all our plans is December 31.</w:t>
      </w:r>
    </w:p>
    <w:p>
      <w:pPr>
        <w:spacing w:after="0" w:line="148"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Actuarial Gains and Losses </w:t>
      </w:r>
      <w:r>
        <w:rPr>
          <w:rFonts w:ascii="Times New Roman" w:cs="Times New Roman" w:eastAsia="Times New Roman" w:hAnsi="Times New Roman"/>
          <w:sz w:val="18"/>
          <w:szCs w:val="18"/>
          <w:color w:val="auto"/>
        </w:rPr>
        <w:t>— As indicated in Notes 1 and 2, changes in fair value of plan assets and actuarial gains and losses related to our pension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are recorded to earnings during the fourth quarter of each year, unless earlier remeasurement is required.</w:t>
      </w:r>
    </w:p>
    <w:p>
      <w:pPr>
        <w:spacing w:after="0" w:line="114"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During the fourth quarter of 2023, we initiated the wind-up of our Canadian defined benefit pension plans (collectively, the “Canadian Pension Plans”). The Company has received regulatory approval for the wind-up and we expect the process to be completed during 2025. This action had no material impact on the consolidated financial statements for the years ended December 31, 2024 and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Plan assets </w:t>
      </w:r>
      <w:r>
        <w:rPr>
          <w:rFonts w:ascii="Times New Roman" w:cs="Times New Roman" w:eastAsia="Times New Roman" w:hAnsi="Times New Roman"/>
          <w:sz w:val="18"/>
          <w:szCs w:val="18"/>
          <w:color w:val="auto"/>
        </w:rPr>
        <w:t>— Our investment strategy is based on the long-term growth and protection of principal while mitigating overall risk to ensure that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pay benefit obligations. The domestic plan assets are invested in a broad range of investment classes, including fixed income securities and domestic and international equities. We engage various investment managers who are regularly evaluated on long-term performance, adherence to investment guidelines and the ability to manage risk commensurate with the investment style and objective for which they were hired. We continuously monitor the value of assets by class and routinely rebalance our portfolio with the goal of meeting our target allocations.</w:t>
      </w:r>
    </w:p>
    <w:p>
      <w:pPr>
        <w:spacing w:after="0" w:line="121"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strategy for bonds emphasizes investment-grade corporate and government debt with maturities matching the longer duration pension liabilities. The bonds strategy also includes a high yield element, although minimal, which is generally shorter in duration. The strategy for equity assets is to minimize concentrations of risk by investing primarily in companies in a diversified mix of industries worldwide, while targeting neutrality in exposure to global versus regional markets, fund types and fund managers. A small portion of U.S. plan assets is allocated to private equity partnerships and real estate asset fund investments (Level 3 assets) for diversification, providing opportunities for above market returns.</w:t>
      </w:r>
    </w:p>
    <w:p>
      <w:pPr>
        <w:spacing w:after="0" w:line="10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Allowable investments under the plan agreements include fixed income securities, equity securities, mutual funds, venture capital funds, real estate and cash and equivalents. In addition, investments in futures and option contracts, commodities and other derivatives are allowed in commingled fund allocations managed by professional investment managers. Investments prohibited under the plan agreements include private placements and short selling of stock. No shares of our common stock were held by our defined benefit pension plans as of December 31, 2024 or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7" w:name="page88"/>
    <w:bookmarkEnd w:id="87"/>
    <w:p>
      <w:pPr>
        <w:ind w:firstLine="396"/>
        <w:spacing w:after="0" w:line="270" w:lineRule="auto"/>
        <w:rPr>
          <w:sz w:val="20"/>
          <w:szCs w:val="20"/>
          <w:color w:val="auto"/>
        </w:rPr>
      </w:pPr>
      <w:r>
        <w:rPr>
          <w:rFonts w:ascii="Times New Roman" w:cs="Times New Roman" w:eastAsia="Times New Roman" w:hAnsi="Times New Roman"/>
          <w:sz w:val="18"/>
          <w:szCs w:val="18"/>
          <w:color w:val="auto"/>
        </w:rPr>
        <w:t>Actual asset allocation percentages of each class of our domestic and foreign pension plan assets as of December 31, 2024 and 2023, along with the current targeted asset investment allocation percentages, each of which is based on the midpoint of an allocation range, were as follows: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Pension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920" w:type="dxa"/>
            <w:vAlign w:val="bottom"/>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Mid-point of Target</w:t>
            </w:r>
          </w:p>
        </w:tc>
      </w:tr>
      <w:tr>
        <w:trPr>
          <w:trHeight w:val="191"/>
        </w:trPr>
        <w:tc>
          <w:tcPr>
            <w:tcW w:w="684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Allocations</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Range</w:t>
            </w:r>
          </w:p>
        </w:tc>
      </w:tr>
      <w:tr>
        <w:trPr>
          <w:trHeight w:val="190"/>
        </w:trPr>
        <w:tc>
          <w:tcPr>
            <w:tcW w:w="68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income common trust funds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Commingled global fund allocation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equity common trust funds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3"/>
        </w:trPr>
        <w:tc>
          <w:tcPr>
            <w:tcW w:w="68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Short-term investments and other </w:t>
            </w:r>
            <w:r>
              <w:rPr>
                <w:rFonts w:ascii="Times New Roman" w:cs="Times New Roman" w:eastAsia="Times New Roman" w:hAnsi="Times New Roman"/>
                <w:sz w:val="20"/>
                <w:szCs w:val="20"/>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4"/>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6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86" w:lineRule="exact"/>
        <w:rPr>
          <w:sz w:val="20"/>
          <w:szCs w:val="20"/>
          <w:color w:val="auto"/>
        </w:rPr>
      </w:pPr>
    </w:p>
    <w:p>
      <w:pPr>
        <w:ind w:left="620" w:hanging="297"/>
        <w:spacing w:after="0"/>
        <w:tabs>
          <w:tab w:leader="none" w:pos="6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Short-term investments are generally invested in actively managed common trust funds or interest-bearing accounts.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gridSpan w:val="3"/>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Mid-point of Target</w:t>
            </w:r>
          </w:p>
        </w:tc>
      </w:tr>
      <w:tr>
        <w:trPr>
          <w:trHeight w:val="191"/>
        </w:trPr>
        <w:tc>
          <w:tcPr>
            <w:tcW w:w="6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8"/>
              </w:rPr>
              <w:t>Allocations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Allocation Range</w:t>
            </w:r>
          </w:p>
        </w:tc>
      </w:tr>
      <w:tr>
        <w:trPr>
          <w:trHeight w:val="190"/>
        </w:trPr>
        <w:tc>
          <w:tcPr>
            <w:tcW w:w="68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Global equity common trust funds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common trust funds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1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Commingled global fund allocation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1"/>
        </w:trPr>
        <w:tc>
          <w:tcPr>
            <w:tcW w:w="68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4"/>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Short-term investments are generally invested in actively managed common trust funds or interest-bearing accounts.</w:t>
      </w: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2024, by asset class,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3"/>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1"/>
                <w:szCs w:val="11"/>
                <w:color w:val="auto"/>
              </w:rPr>
            </w:pPr>
          </w:p>
        </w:tc>
        <w:tc>
          <w:tcPr>
            <w:tcW w:w="1140" w:type="dxa"/>
            <w:vAlign w:val="bottom"/>
          </w:tcPr>
          <w:p>
            <w:pPr>
              <w:jc w:val="center"/>
              <w:ind w:right="84"/>
              <w:spacing w:after="0" w:line="132"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3"/>
        </w:trPr>
        <w:tc>
          <w:tcPr>
            <w:tcW w:w="5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Fixed income common trust funds </w:t>
            </w:r>
            <w:r>
              <w:rPr>
                <w:rFonts w:ascii="Times New Roman" w:cs="Times New Roman" w:eastAsia="Times New Roman" w:hAnsi="Times New Roman"/>
                <w:sz w:val="20"/>
                <w:szCs w:val="20"/>
                <w:color w:val="auto"/>
                <w:vertAlign w:val="superscript"/>
              </w:rPr>
              <w:t>(1) (2)</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Global equity common trust funds </w:t>
            </w:r>
            <w:r>
              <w:rPr>
                <w:rFonts w:ascii="Times New Roman" w:cs="Times New Roman" w:eastAsia="Times New Roman" w:hAnsi="Times New Roman"/>
                <w:sz w:val="20"/>
                <w:szCs w:val="20"/>
                <w:color w:val="auto"/>
                <w:vertAlign w:val="superscript"/>
              </w:rPr>
              <w:t>(1) (3)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Alternative investments: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Commingled global fund allocations </w:t>
            </w:r>
            <w:r>
              <w:rPr>
                <w:rFonts w:ascii="Times New Roman" w:cs="Times New Roman" w:eastAsia="Times New Roman" w:hAnsi="Times New Roman"/>
                <w:sz w:val="20"/>
                <w:szCs w:val="20"/>
                <w:color w:val="auto"/>
                <w:vertAlign w:val="superscript"/>
              </w:rPr>
              <w:t>(1) (4)</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(5)</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7"/>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8"/>
          <w:szCs w:val="18"/>
          <w:color w:val="auto"/>
        </w:rPr>
        <w:t>The fair values of pension plan assets at December 31, 2023, by asset class,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3"/>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1"/>
                <w:szCs w:val="11"/>
                <w:color w:val="auto"/>
              </w:rPr>
            </w:pPr>
          </w:p>
        </w:tc>
        <w:tc>
          <w:tcPr>
            <w:tcW w:w="1140" w:type="dxa"/>
            <w:vAlign w:val="bottom"/>
          </w:tcPr>
          <w:p>
            <w:pPr>
              <w:jc w:val="center"/>
              <w:ind w:right="84"/>
              <w:spacing w:after="0" w:line="132"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3"/>
        </w:trPr>
        <w:tc>
          <w:tcPr>
            <w:tcW w:w="5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class:</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340"/>
              <w:spacing w:after="0" w:line="213" w:lineRule="exact"/>
              <w:rPr>
                <w:sz w:val="20"/>
                <w:szCs w:val="20"/>
                <w:color w:val="auto"/>
              </w:rPr>
            </w:pPr>
            <w:r>
              <w:rPr>
                <w:rFonts w:ascii="Times New Roman" w:cs="Times New Roman" w:eastAsia="Times New Roman" w:hAnsi="Times New Roman"/>
                <w:sz w:val="16"/>
                <w:szCs w:val="16"/>
                <w:color w:val="auto"/>
              </w:rPr>
              <w:t xml:space="preserve">Fixed income common trust funds </w:t>
            </w:r>
            <w:r>
              <w:rPr>
                <w:rFonts w:ascii="Times New Roman" w:cs="Times New Roman" w:eastAsia="Times New Roman" w:hAnsi="Times New Roman"/>
                <w:sz w:val="20"/>
                <w:szCs w:val="20"/>
                <w:color w:val="auto"/>
                <w:vertAlign w:val="superscript"/>
              </w:rPr>
              <w:t>(1) (2)</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Global equity common trust funds </w:t>
            </w:r>
            <w:r>
              <w:rPr>
                <w:rFonts w:ascii="Times New Roman" w:cs="Times New Roman" w:eastAsia="Times New Roman" w:hAnsi="Times New Roman"/>
                <w:sz w:val="20"/>
                <w:szCs w:val="20"/>
                <w:color w:val="auto"/>
                <w:vertAlign w:val="superscript"/>
              </w:rPr>
              <w:t>(1) (3)</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Alternative Investments: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Commingled global fund allocations </w:t>
            </w:r>
            <w:r>
              <w:rPr>
                <w:rFonts w:ascii="Times New Roman" w:cs="Times New Roman" w:eastAsia="Times New Roman" w:hAnsi="Times New Roman"/>
                <w:sz w:val="20"/>
                <w:szCs w:val="20"/>
                <w:color w:val="auto"/>
                <w:vertAlign w:val="superscript"/>
              </w:rPr>
              <w:t>(1) (4)</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340"/>
              <w:spacing w:after="0" w:line="211" w:lineRule="exact"/>
              <w:rPr>
                <w:sz w:val="20"/>
                <w:szCs w:val="20"/>
                <w:color w:val="auto"/>
              </w:rPr>
            </w:pPr>
            <w:r>
              <w:rPr>
                <w:rFonts w:ascii="Times New Roman" w:cs="Times New Roman" w:eastAsia="Times New Roman" w:hAnsi="Times New Roman"/>
                <w:sz w:val="16"/>
                <w:szCs w:val="16"/>
                <w:color w:val="auto"/>
              </w:rPr>
              <w:t xml:space="preserve">Short-term investments </w:t>
            </w:r>
            <w:r>
              <w:rPr>
                <w:rFonts w:ascii="Times New Roman" w:cs="Times New Roman" w:eastAsia="Times New Roman" w:hAnsi="Times New Roman"/>
                <w:sz w:val="20"/>
                <w:szCs w:val="20"/>
                <w:color w:val="auto"/>
                <w:vertAlign w:val="superscript"/>
              </w:rPr>
              <w:t>(5)</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7"/>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12" w:lineRule="exact"/>
        <w:rPr>
          <w:sz w:val="20"/>
          <w:szCs w:val="20"/>
          <w:color w:val="auto"/>
        </w:rPr>
      </w:pPr>
    </w:p>
    <w:p>
      <w:pPr>
        <w:jc w:val="both"/>
        <w:ind w:left="640" w:hanging="317"/>
        <w:spacing w:after="0" w:line="232" w:lineRule="auto"/>
        <w:tabs>
          <w:tab w:leader="none" w:pos="6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Common/commingled trust funds are similar to mutual funds, with a daily net asset value per share measured by the fund sponsor and used as the basis for current transactions. These investments, however, are not registered with the U.S. Securities and Exchange Commission and participation is not open to the public. The funds are valued at the net asset value per share multiplied by the number of shares held as of the measurement date.</w:t>
      </w:r>
    </w:p>
    <w:p>
      <w:pPr>
        <w:spacing w:after="0" w:line="97" w:lineRule="exact"/>
        <w:rPr>
          <w:rFonts w:ascii="Times New Roman" w:cs="Times New Roman" w:eastAsia="Times New Roman" w:hAnsi="Times New Roman"/>
          <w:sz w:val="21"/>
          <w:szCs w:val="21"/>
          <w:color w:val="auto"/>
          <w:vertAlign w:val="superscript"/>
        </w:rPr>
      </w:pPr>
    </w:p>
    <w:p>
      <w:pPr>
        <w:ind w:left="640" w:hanging="317"/>
        <w:spacing w:after="0" w:line="221" w:lineRule="auto"/>
        <w:tabs>
          <w:tab w:leader="none" w:pos="6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that invest in a variety of fixed income investments, which may include corporate bonds, both U.S. and non-U.S. municipal and government securities, interest rate swaps, options and futures.</w:t>
      </w:r>
    </w:p>
    <w:p>
      <w:pPr>
        <w:spacing w:after="0" w:line="83" w:lineRule="exact"/>
        <w:rPr>
          <w:rFonts w:ascii="Times New Roman" w:cs="Times New Roman" w:eastAsia="Times New Roman" w:hAnsi="Times New Roman"/>
          <w:sz w:val="21"/>
          <w:szCs w:val="21"/>
          <w:color w:val="auto"/>
          <w:vertAlign w:val="superscript"/>
        </w:rPr>
      </w:pPr>
    </w:p>
    <w:p>
      <w:pPr>
        <w:ind w:left="640" w:hanging="317"/>
        <w:spacing w:after="0" w:line="228" w:lineRule="auto"/>
        <w:tabs>
          <w:tab w:leader="none" w:pos="6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that invest primarily in equity securities, which may include common stocks, options and futures.</w:t>
      </w:r>
    </w:p>
    <w:p>
      <w:pPr>
        <w:spacing w:after="0" w:line="84" w:lineRule="exact"/>
        <w:rPr>
          <w:rFonts w:ascii="Times New Roman" w:cs="Times New Roman" w:eastAsia="Times New Roman" w:hAnsi="Times New Roman"/>
          <w:sz w:val="21"/>
          <w:szCs w:val="21"/>
          <w:color w:val="auto"/>
          <w:vertAlign w:val="superscript"/>
        </w:rPr>
      </w:pPr>
    </w:p>
    <w:p>
      <w:pPr>
        <w:ind w:left="640" w:hanging="317"/>
        <w:spacing w:after="0" w:line="228" w:lineRule="auto"/>
        <w:tabs>
          <w:tab w:leader="none" w:pos="6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class represents investments in actively managed common trust funds with investments in both equity and debt securities. The investments may include common stock, corporate bonds, U.S. and non-U.S. municipal securities, interest rate swaps, options and futures.</w:t>
      </w:r>
    </w:p>
    <w:p>
      <w:pPr>
        <w:spacing w:after="0" w:line="50"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generally invested in actively managed common trust funds or interest-bearing accounts.</w:t>
      </w:r>
    </w:p>
    <w:p>
      <w:pPr>
        <w:spacing w:after="0" w:line="116"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Employer Contributions </w:t>
      </w:r>
      <w:r>
        <w:rPr>
          <w:rFonts w:ascii="Times New Roman" w:cs="Times New Roman" w:eastAsia="Times New Roman" w:hAnsi="Times New Roman"/>
          <w:sz w:val="17"/>
          <w:szCs w:val="17"/>
          <w:color w:val="auto"/>
        </w:rPr>
        <w:t>— We currently fund U.S. pension plans in amounts equal to the minimum funding requirements of the Employee Retirement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Security Act of 1974, plus additional amounts that may be approved from time to time. During 2024, we made no contributions to our qualified domestic pension plans and made direct benefit payments of $5.5 to our non-qualified domestic pension plans. In 2025, we expect to make contributions of $2.0 to our qualified domestic pension plans and expect to make direct benefit payments of $5.0 to our non-qualified domestic pension plans.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2024, we made contributions of $1.6 to our foreign pension plans. In 2025, we expect to make contributions of $1.2 to our foreign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89" w:name="page90"/>
    <w:bookmarkEnd w:id="89"/>
    <w:p>
      <w:pPr>
        <w:jc w:val="both"/>
        <w:ind w:firstLine="396"/>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Estimated Future Benefit Payments </w:t>
      </w:r>
      <w:r>
        <w:rPr>
          <w:rFonts w:ascii="Times New Roman" w:cs="Times New Roman" w:eastAsia="Times New Roman" w:hAnsi="Times New Roman"/>
          <w:sz w:val="17"/>
          <w:szCs w:val="17"/>
          <w:color w:val="auto"/>
        </w:rPr>
        <w:t>— Following is a summary, as of December 31, 2024, of the estimated future benefit payments for our pension plans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each of the next five fiscal years and in the aggregate for five fiscal years thereafter. Benefit payments are paid from plan assets or directly by us for our non-funded plans. The expected benefit payments are estimated based on the same assumptions used at December 31, 2024 to measure our obligations.</w:t>
      </w:r>
    </w:p>
    <w:p>
      <w:pPr>
        <w:spacing w:after="0" w:line="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(Domestic and foreign pension plans)</w:t>
      </w:r>
    </w:p>
    <w:tbl>
      <w:tblPr>
        <w:tblLayout w:type="fixed"/>
        <w:tblInd w:w="40" w:type="dxa"/>
        <w:tblCellMar>
          <w:top w:w="0" w:type="dxa"/>
          <w:left w:w="0" w:type="dxa"/>
          <w:bottom w:w="0" w:type="dxa"/>
          <w:right w:w="0" w:type="dxa"/>
        </w:tblCellMar>
      </w:tblPr>
      <w:tr>
        <w:trPr>
          <w:trHeight w:val="143"/>
        </w:trPr>
        <w:tc>
          <w:tcPr>
            <w:tcW w:w="8460" w:type="dxa"/>
            <w:vAlign w:val="bottom"/>
          </w:tcPr>
          <w:p>
            <w:pPr>
              <w:spacing w:after="0"/>
              <w:rPr>
                <w:sz w:val="12"/>
                <w:szCs w:val="12"/>
                <w:color w:val="auto"/>
              </w:rPr>
            </w:pPr>
          </w:p>
        </w:tc>
        <w:tc>
          <w:tcPr>
            <w:tcW w:w="940" w:type="dxa"/>
            <w:vAlign w:val="bottom"/>
          </w:tcPr>
          <w:p>
            <w:pPr>
              <w:jc w:val="center"/>
              <w:ind w:left="267"/>
              <w:spacing w:after="0" w:line="143"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Foreign</w:t>
            </w:r>
          </w:p>
        </w:tc>
      </w:tr>
      <w:tr>
        <w:trPr>
          <w:trHeight w:val="134"/>
        </w:trPr>
        <w:tc>
          <w:tcPr>
            <w:tcW w:w="8460" w:type="dxa"/>
            <w:vAlign w:val="bottom"/>
          </w:tcPr>
          <w:p>
            <w:pPr>
              <w:spacing w:after="0"/>
              <w:rPr>
                <w:sz w:val="11"/>
                <w:szCs w:val="11"/>
                <w:color w:val="auto"/>
              </w:rPr>
            </w:pPr>
          </w:p>
        </w:tc>
        <w:tc>
          <w:tcPr>
            <w:tcW w:w="940" w:type="dxa"/>
            <w:vAlign w:val="bottom"/>
          </w:tcPr>
          <w:p>
            <w:pPr>
              <w:jc w:val="center"/>
              <w:ind w:left="267"/>
              <w:spacing w:after="0" w:line="134"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Pension</w:t>
            </w:r>
          </w:p>
        </w:tc>
      </w:tr>
      <w:tr>
        <w:trPr>
          <w:trHeight w:val="185"/>
        </w:trPr>
        <w:tc>
          <w:tcPr>
            <w:tcW w:w="8460" w:type="dxa"/>
            <w:vAlign w:val="bottom"/>
          </w:tcPr>
          <w:p>
            <w:pPr>
              <w:spacing w:after="0"/>
              <w:rPr>
                <w:sz w:val="16"/>
                <w:szCs w:val="16"/>
                <w:color w:val="auto"/>
              </w:rPr>
            </w:pPr>
          </w:p>
        </w:tc>
        <w:tc>
          <w:tcPr>
            <w:tcW w:w="940" w:type="dxa"/>
            <w:vAlign w:val="bottom"/>
          </w:tcPr>
          <w:p>
            <w:pPr>
              <w:jc w:val="center"/>
              <w:ind w:left="267"/>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24"/>
        </w:trPr>
        <w:tc>
          <w:tcPr>
            <w:tcW w:w="8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8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2025 </w:t>
            </w:r>
            <w:r>
              <w:rPr>
                <w:rFonts w:ascii="Times New Roman" w:cs="Times New Roman" w:eastAsia="Times New Roman" w:hAnsi="Times New Roman"/>
                <w:sz w:val="20"/>
                <w:szCs w:val="20"/>
                <w:color w:val="auto"/>
                <w:vertAlign w:val="superscript"/>
              </w:rPr>
              <w:t>(1)</w:t>
            </w: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30.7</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Subsequent five years</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25.4</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31" w:lineRule="exact"/>
        <w:rPr>
          <w:sz w:val="20"/>
          <w:szCs w:val="20"/>
          <w:color w:val="auto"/>
        </w:rPr>
      </w:pPr>
    </w:p>
    <w:p>
      <w:pPr>
        <w:ind w:left="560" w:hanging="158"/>
        <w:spacing w:after="0"/>
        <w:tabs>
          <w:tab w:leader="none" w:pos="560" w:val="left"/>
        </w:tabs>
        <w:numPr>
          <w:ilvl w:val="0"/>
          <w:numId w:val="4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Payments for the foreign pension plans include amounts payable of $26.5 in connection with the Canadian Pension Plans wind-up mentioned above.</w:t>
      </w:r>
    </w:p>
    <w:p>
      <w:pPr>
        <w:spacing w:after="0" w:line="11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Obligations and Funded Status </w:t>
      </w:r>
      <w:r>
        <w:rPr>
          <w:rFonts w:ascii="Times New Roman" w:cs="Times New Roman" w:eastAsia="Times New Roman" w:hAnsi="Times New Roman"/>
          <w:sz w:val="18"/>
          <w:szCs w:val="18"/>
          <w:color w:val="auto"/>
        </w:rPr>
        <w:t>— The funded status of our pension plans is dependent upon many factors, including returns on invested assets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of market interest rates. Our non-funded pension plans account for $42.8 of the current underfunded status, as these plans are not required to be funded. The following tables show the domestic and foreign pension plans’ funded status and amounts recognized in our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r>
      <w:tr>
        <w:trPr>
          <w:trHeight w:val="191"/>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 beginning of year</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(gains) losses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and other</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2"/>
        </w:trPr>
        <w:tc>
          <w:tcPr>
            <w:tcW w:w="5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Projected benefit obligation — end of year</w:t>
            </w: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actuarial gains and losses for all pension plans in 2024 and 2023 were primarily related to a change in the discount rate used to measure the benefit obligations of those plans.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Pension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 beginning of year</w:t>
            </w: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Contributions (employer and employee)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and other</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7"/>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of plan assets — end of year</w:t>
            </w: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year-end</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the consolidated balance sheets consist of:</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7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Amount recognized in accumulated other comprehensive income (pre-tax) consists of —</w:t>
            </w:r>
          </w:p>
        </w:tc>
        <w:tc>
          <w:tcPr>
            <w:tcW w:w="800" w:type="dxa"/>
            <w:vAlign w:val="bottom"/>
            <w:vMerge w:val="restart"/>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prior service costs</w:t>
            </w:r>
          </w:p>
        </w:tc>
        <w:tc>
          <w:tcPr>
            <w:tcW w:w="8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information about our pension plans that had accumulated benefit obligations in excess of the fair value of their plan assets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gridSpan w:val="3"/>
          </w:tcPr>
          <w:p>
            <w:pPr>
              <w:jc w:val="center"/>
              <w:ind w:right="265"/>
              <w:spacing w:after="0"/>
              <w:rPr>
                <w:sz w:val="20"/>
                <w:szCs w:val="20"/>
                <w:color w:val="auto"/>
              </w:rPr>
            </w:pPr>
            <w:r>
              <w:rPr>
                <w:rFonts w:ascii="Times New Roman" w:cs="Times New Roman" w:eastAsia="Times New Roman" w:hAnsi="Times New Roman"/>
                <w:sz w:val="14"/>
                <w:szCs w:val="14"/>
                <w:b w:val="1"/>
                <w:bCs w:val="1"/>
                <w:color w:val="auto"/>
              </w:rPr>
              <w:t>Domestic Pension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Foreign Pension</w:t>
            </w:r>
          </w:p>
        </w:tc>
        <w:tc>
          <w:tcPr>
            <w:tcW w:w="840" w:type="dxa"/>
            <w:vAlign w:val="bottom"/>
          </w:tcPr>
          <w:p>
            <w:pPr>
              <w:spacing w:after="0"/>
              <w:rPr>
                <w:sz w:val="13"/>
                <w:szCs w:val="13"/>
                <w:color w:val="auto"/>
              </w:rPr>
            </w:pPr>
          </w:p>
        </w:tc>
      </w:tr>
      <w:tr>
        <w:trPr>
          <w:trHeight w:val="191"/>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840" w:type="dxa"/>
            <w:vAlign w:val="bottom"/>
            <w:tcBorders>
              <w:bottom w:val="single" w:sz="8" w:color="auto"/>
            </w:tcBorders>
          </w:tcPr>
          <w:p>
            <w:pPr>
              <w:spacing w:after="0"/>
              <w:rPr>
                <w:sz w:val="16"/>
                <w:szCs w:val="16"/>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800" w:type="dxa"/>
            <w:vAlign w:val="bottom"/>
            <w:shd w:val="clear" w:color="auto" w:fill="CCEEFF"/>
          </w:tcPr>
          <w:p>
            <w:pPr>
              <w:jc w:val="right"/>
              <w:ind w:right="62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6"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accumulated benefit obligation for all domestic and foreign pension plans was $226.1 and $99.5, respectively, at December 31, 2024 and $245.7 and $120.2, respectively, at December 31, 2023.</w:t>
      </w:r>
    </w:p>
    <w:p>
      <w:pPr>
        <w:spacing w:after="0" w:line="100"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Components of Net Periodic Pension Benefit (Income) Expense </w:t>
      </w:r>
      <w:r>
        <w:rPr>
          <w:rFonts w:ascii="Times New Roman" w:cs="Times New Roman" w:eastAsia="Times New Roman" w:hAnsi="Times New Roman"/>
          <w:sz w:val="18"/>
          <w:szCs w:val="18"/>
          <w:color w:val="auto"/>
        </w:rPr>
        <w:t>— Net periodic pension benefit (income) expense for our domestic and foreign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included the following components: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Pension Plans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1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Recognized net actuarial (gains) losses </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periodic pension benefit expense</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
        </w:trPr>
        <w:tc>
          <w:tcPr>
            <w:tcW w:w="7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primarily of our reported actuarial (gains) losses, the difference between actual and expected returns on plan assets, and settlement losses.</w:t>
      </w:r>
    </w:p>
    <w:p>
      <w:pPr>
        <w:spacing w:after="0" w:line="200" w:lineRule="exact"/>
        <w:rPr>
          <w:rFonts w:ascii="Times New Roman" w:cs="Times New Roman" w:eastAsia="Times New Roman" w:hAnsi="Times New Roman"/>
          <w:sz w:val="21"/>
          <w:szCs w:val="21"/>
          <w:color w:val="auto"/>
          <w:vertAlign w:val="superscript"/>
        </w:rPr>
      </w:pPr>
    </w:p>
    <w:p>
      <w:pPr>
        <w:spacing w:after="0" w:line="314"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Foreign Pension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costs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1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Recognized net actuarial losses </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periodic pension benefit expense</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primarily of our reported actuarial losses and the difference between actual and expected returns on plan assets.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Assumptions </w:t>
      </w:r>
      <w:r>
        <w:rPr>
          <w:rFonts w:ascii="Times New Roman" w:cs="Times New Roman" w:eastAsia="Times New Roman" w:hAnsi="Times New Roman"/>
          <w:sz w:val="18"/>
          <w:szCs w:val="18"/>
          <w:color w:val="auto"/>
        </w:rPr>
        <w:t>— Actuarial assumptions used in accounting for our domestic and foreign pension plans were as follows:</w:t>
      </w:r>
    </w:p>
    <w:p>
      <w:pPr>
        <w:spacing w:after="0" w:line="1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Domestic Pension Plans</w:t>
            </w:r>
          </w:p>
        </w:tc>
        <w:tc>
          <w:tcPr>
            <w:tcW w:w="10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net periodic pension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Discount rate </w:t>
            </w:r>
            <w:r>
              <w:rPr>
                <w:rFonts w:ascii="Times New Roman" w:cs="Times New Roman" w:eastAsia="Times New Roman" w:hAnsi="Times New Roman"/>
                <w:sz w:val="20"/>
                <w:szCs w:val="20"/>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r>
      <w:tr>
        <w:trPr>
          <w:trHeight w:val="20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year-end benefit obligations: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r>
      <w:tr>
        <w:trPr>
          <w:trHeight w:val="20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Foreign Pension Plans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net periodic pension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0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long-term rate of return on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actuarial assumptions used in determining year-end benefit obligations: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07"/>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Rate of increase in compensation levels</w:t>
            </w: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91" w:lineRule="exact"/>
        <w:rPr>
          <w:sz w:val="20"/>
          <w:szCs w:val="20"/>
          <w:color w:val="auto"/>
        </w:rPr>
      </w:pPr>
    </w:p>
    <w:p>
      <w:pPr>
        <w:ind w:left="460" w:hanging="137"/>
        <w:spacing w:after="0"/>
        <w:tabs>
          <w:tab w:leader="none" w:pos="460"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The discount rate for the year ended December 31, 2022 includes adjustments due to remeasurements in the U.S. Plan during the second and third quarters of 2022.</w:t>
      </w:r>
    </w:p>
    <w:p>
      <w:pPr>
        <w:spacing w:after="0" w:line="13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We review the pension assumptions annually. Pension income or expense for the year is determined using assumptions as of the beginning of the year (except for the effects of recognizing changes in the fair value of plan assets and actuarial gains and losses in the fourth quarter of each year), while the funded status is determined using assumptions as of the end of the year. We determined assumptions and established them at the respective balance sheet date using the following principles: (i) the expected long-term rate of return on plan assets is established based on forward looking long-term expectations of asset returns over the expected period to fund participant benefits based on the target investment mix of our plans and (ii) the discount rate is primarily determined by matching the expected projected benefit obligation cash flows for each of the plans to a yield curve that is representative of long-term, high-quality (rated AA or higher) fixed income debt instruments as of the measurement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13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 of Retiree Life Insurance Benefits </w:t>
      </w:r>
      <w:r>
        <w:rPr>
          <w:rFonts w:ascii="Times New Roman" w:cs="Times New Roman" w:eastAsia="Times New Roman" w:hAnsi="Times New Roman"/>
          <w:sz w:val="18"/>
          <w:szCs w:val="18"/>
          <w:color w:val="auto"/>
        </w:rPr>
        <w:t>— On February 17, 2022, we transferred a portion of our existing liability under the SPX Postretirement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Plans (the “Plans”) for a group of participants with retiree life insurance benefits to an insurance carrier for consideration paid to the insurance carrier of $10.0. This transaction resulted in a settlement loss of $0.7 recorded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2" w:name="page93"/>
    <w:bookmarkEnd w:id="92"/>
    <w:p>
      <w:pPr>
        <w:jc w:val="both"/>
        <w:spacing w:after="0" w:line="270" w:lineRule="auto"/>
        <w:rPr>
          <w:sz w:val="20"/>
          <w:szCs w:val="20"/>
          <w:color w:val="auto"/>
        </w:rPr>
      </w:pPr>
      <w:r>
        <w:rPr>
          <w:rFonts w:ascii="Times New Roman" w:cs="Times New Roman" w:eastAsia="Times New Roman" w:hAnsi="Times New Roman"/>
          <w:sz w:val="18"/>
          <w:szCs w:val="18"/>
          <w:color w:val="auto"/>
        </w:rPr>
        <w:t>“Other expense, net” during 2022. In addition, and in connection with this transfer, we remeasured the assets and liabilities of the Plans as of the transfer date, which resulted in an actuarial gain of $0.4 recorded to “Other expense, net”.</w:t>
      </w:r>
    </w:p>
    <w:p>
      <w:pPr>
        <w:spacing w:after="0" w:line="12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Employer Contributions and Future Benefit Payments </w:t>
      </w:r>
      <w:r>
        <w:rPr>
          <w:rFonts w:ascii="Times New Roman" w:cs="Times New Roman" w:eastAsia="Times New Roman" w:hAnsi="Times New Roman"/>
          <w:sz w:val="18"/>
          <w:szCs w:val="18"/>
          <w:color w:val="auto"/>
        </w:rPr>
        <w:t>— Our postretirement medical plans are unfunded and have no plan assets, but are instead 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on a pay-as-you-go basis in the form of direct benefit payments or policy premium payments. In 2024, we made benefit payments of $4.0 to our postretirement benefit plans. Following is a summary, as of December 31, 2024, of the estimated future benefit payments for our postretirement plans in each of the next five fiscal years and in the aggregate for five fiscal years thereafter. The expected benefit payments are estimated based on the same assumptions used at December 31, 2024 to measure our obligations.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Postretirement Payments</w:t>
            </w:r>
          </w:p>
        </w:tc>
      </w:tr>
      <w:tr>
        <w:trPr>
          <w:trHeight w:val="24"/>
        </w:trPr>
        <w:tc>
          <w:tcPr>
            <w:tcW w:w="8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0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9"/>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Subsequent five years</w:t>
            </w:r>
          </w:p>
        </w:tc>
        <w:tc>
          <w:tcPr>
            <w:tcW w:w="40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bl>
    <w:p>
      <w:pPr>
        <w:spacing w:after="0" w:line="221" w:lineRule="exact"/>
        <w:rPr>
          <w:sz w:val="20"/>
          <w:szCs w:val="20"/>
          <w:color w:val="auto"/>
        </w:rPr>
      </w:pPr>
    </w:p>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Obligations and Funded Status </w:t>
      </w:r>
      <w:r>
        <w:rPr>
          <w:rFonts w:ascii="Times New Roman" w:cs="Times New Roman" w:eastAsia="Times New Roman" w:hAnsi="Times New Roman"/>
          <w:sz w:val="18"/>
          <w:szCs w:val="18"/>
          <w:color w:val="auto"/>
        </w:rPr>
        <w:t>— The following tables show the postretirement plans’ funded status and amounts recognized in our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sheets:</w:t>
      </w:r>
    </w:p>
    <w:p>
      <w:pPr>
        <w:spacing w:after="0" w:line="121"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Postretirement</w:t>
      </w:r>
    </w:p>
    <w:p>
      <w:pPr>
        <w:spacing w:after="0" w:line="2"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Plans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postretirement benefit obligation:</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postretirement benefit obligation — beginning of year</w:t>
            </w: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Actuarial losses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Benefits paid</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7"/>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Projected postretirement benefit obligation — end of year</w:t>
            </w: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Funded status at year-end</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the consolidated balance sheets consist of:</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32"/>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recognized</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Amount recognized in accumulated other comprehensive income (pre-tax) consists of — net prior service credits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20" w:type="dxa"/>
            <w:vAlign w:val="bottom"/>
            <w:vMerge w:val="continue"/>
          </w:tcPr>
          <w:p>
            <w:pPr>
              <w:spacing w:after="0"/>
              <w:rPr>
                <w:sz w:val="15"/>
                <w:szCs w:val="15"/>
                <w:color w:val="auto"/>
              </w:rPr>
            </w:pPr>
          </w:p>
        </w:tc>
        <w:tc>
          <w:tcPr>
            <w:tcW w:w="840" w:type="dxa"/>
            <w:vAlign w:val="bottom"/>
          </w:tcPr>
          <w:p>
            <w:pPr>
              <w:jc w:val="right"/>
              <w:ind w:right="66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300" w:type="dxa"/>
            <w:vAlign w:val="bottom"/>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actuarial losses for our postretirement benefit plans in 2024 and 2023 were primarily related to a change in the discount rate used to measure the benefit obligations of those plans.</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net periodic postretirement benefit income included the following components: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1"/>
        </w:trPr>
        <w:tc>
          <w:tcPr>
            <w:tcW w:w="71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Settlement loss </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net actuarial (gains) losses</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57" w:lineRule="exact"/>
        <w:rPr>
          <w:sz w:val="20"/>
          <w:szCs w:val="20"/>
          <w:color w:val="auto"/>
        </w:rPr>
      </w:pPr>
    </w:p>
    <w:p>
      <w:pPr>
        <w:ind w:left="620" w:hanging="297"/>
        <w:spacing w:after="0"/>
        <w:tabs>
          <w:tab w:leader="none" w:pos="6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the transfer of the retiree life insurance benefits obligation.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3" w:name="page94"/>
    <w:bookmarkEnd w:id="93"/>
    <w:p>
      <w:pPr>
        <w:ind w:left="400"/>
        <w:spacing w:after="0"/>
        <w:rPr>
          <w:sz w:val="20"/>
          <w:szCs w:val="20"/>
          <w:color w:val="auto"/>
        </w:rPr>
      </w:pPr>
      <w:r>
        <w:rPr>
          <w:rFonts w:ascii="Times New Roman" w:cs="Times New Roman" w:eastAsia="Times New Roman" w:hAnsi="Times New Roman"/>
          <w:sz w:val="18"/>
          <w:szCs w:val="18"/>
          <w:color w:val="auto"/>
        </w:rPr>
        <w:t>Actuarial assumptions used in accounting for our domestic postretirement plans were as follows:</w:t>
      </w:r>
    </w:p>
    <w:p>
      <w:pPr>
        <w:spacing w:after="0" w:line="17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Assumed health care cost trend rates:</w:t>
            </w: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0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Health care cost trend rate for next year</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7.00 %</w:t>
            </w:r>
          </w:p>
        </w:tc>
      </w:tr>
      <w:tr>
        <w:trPr>
          <w:trHeight w:val="213"/>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to which the cost trend rate is assumed to decline (the ultimate trend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09"/>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Year that the rate reaches the ultimate trend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3"/>
        </w:trPr>
        <w:tc>
          <w:tcPr>
            <w:tcW w:w="772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Discount rate used in determining net periodic postretirement benefit expense </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07"/>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Discount rate used in determining year-end postretirement benefit obligation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8" w:lineRule="exact"/>
        <w:rPr>
          <w:sz w:val="20"/>
          <w:szCs w:val="20"/>
          <w:color w:val="auto"/>
        </w:rPr>
      </w:pPr>
    </w:p>
    <w:p>
      <w:pPr>
        <w:ind w:left="480" w:hanging="157"/>
        <w:spacing w:after="0"/>
        <w:tabs>
          <w:tab w:leader="none" w:pos="480"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discount rate for the year ended December 31, 2022 includes an adjustment due to a remeasurement in the Plans that took place in the first quarter of 2022.</w:t>
      </w:r>
    </w:p>
    <w:p>
      <w:pPr>
        <w:spacing w:after="0" w:line="11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accumulated postretirement benefit obligation was determined using the terms and conditions of our various plans, together with relevant actuarial assumptions and health care cost trend rates. It is our policy to review the postretirement assumptions annually. The assumptions are determined by us and are established based on our prior experience and our expectations that future health care cost trend rates will decline. In addition, we consider advice from independent actuaries.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52"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maintain a defined contribution retirement plan (the “DC Plan”) pursuant to Section 401(k) of the U.S. Internal Revenue Code. Under the DC Plan, eligible U.S. employees may voluntarily contribute up to 50% of their compensation into the DC Plan and we match a portion of participating employees’ contributions. Our matching contributions are primarily made in newly issued shares of SPX common stock and are issued at the prevailing market price. The matching contributions vest with the employee immediately upon the date of the match and there are no restrictions on the resale of SPX common stock held by employees.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Under the DC Plan, we contributed 0.084, 0.127 and 0.149 shares of our common stock to employee accounts in 2024, 2023, and 2022, respectively. Compensation expense is recorded based on the market value of shares as the shares are contributed to employee accounts. We recorded $10.9 in 2024, $9.8 in 2023, and $7.8 in 2022, as compensation expense related to the matching contribution.</w:t>
      </w:r>
    </w:p>
    <w:p>
      <w:pPr>
        <w:spacing w:after="0" w:line="10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collectively-bargained employees participate in the DC Plan with company contributions not being made in SPX common stock, although SPX common stock is offered as an investment option under these plans.</w:t>
      </w:r>
    </w:p>
    <w:p>
      <w:pPr>
        <w:spacing w:after="0" w:line="102"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also maintain a Supplemental Retirement Savings Plan (“SRSP”), which permits certain members of our senior management and executive groups to defer eligible compensation in excess of the amounts allowed under the DC Plan. We match a portion of participating employees’ deferrals to the extent allowable under the SRSP provisions. The matching contributions vest with the participant immediately. Our funding of the participants’ deferrals and our matching contributions are held in certain mutual funds (as allowed under the SRSP), as directed by the participant. The fair values of these assets, which totaled $16.2 and $14.0 at December 31, 2024 and 2023, respectively, are based on quoted prices in active markets for identical assets (Level 1). In addition, the assets under the SRSP are available to the general creditors in the event of our bankruptcy and, thus, are maintained on our consolidated balance sheets within “Other assets,” with a corresponding amount in “Other long-term liabilities” for our obligation to the participants. Lastly, these assets are accounted for as trading securities. During 2024, 2023, and 2022, we recorded compensation expense of $0.4, $0.2, and $0.2, respectively relating to our matching contributions to the SRSP.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4" w:name="page95"/>
    <w:bookmarkEnd w:id="94"/>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and the (provision for) benefit from income taxes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4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1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02"/>
        </w:trPr>
        <w:tc>
          <w:tcPr>
            <w:tcW w:w="7100" w:type="dxa"/>
            <w:vAlign w:val="bottom"/>
          </w:tcPr>
          <w:p>
            <w:pPr>
              <w:spacing w:after="0"/>
              <w:rPr>
                <w:sz w:val="17"/>
                <w:szCs w:val="17"/>
                <w:color w:val="auto"/>
              </w:rPr>
            </w:pP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0"/>
        </w:trPr>
        <w:tc>
          <w:tcPr>
            <w:tcW w:w="7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4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18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and other:</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Foreign</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and other</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provision</w:t>
            </w:r>
          </w:p>
        </w:tc>
        <w:tc>
          <w:tcPr>
            <w:tcW w:w="84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our effective income tax rate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5"/>
        </w:trPr>
        <w:tc>
          <w:tcPr>
            <w:tcW w:w="6840" w:type="dxa"/>
            <w:vAlign w:val="bottom"/>
          </w:tcPr>
          <w:p>
            <w:pPr>
              <w:spacing w:after="0"/>
              <w:rPr>
                <w:sz w:val="16"/>
                <w:szCs w:val="16"/>
                <w:color w:val="auto"/>
              </w:rPr>
            </w:pPr>
          </w:p>
        </w:tc>
        <w:tc>
          <w:tcPr>
            <w:tcW w:w="14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U.S. federal statutory rate</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U.S. federal benefit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credits and exemptions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earnings/losses taxed at different rates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uncertain tax positions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 and basis adjustments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contingent consideration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68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Non-deductible loss on Asbestos Portfolio Sale </w:t>
            </w:r>
            <w:r>
              <w:rPr>
                <w:rFonts w:ascii="Times New Roman" w:cs="Times New Roman" w:eastAsia="Times New Roman" w:hAnsi="Times New Roman"/>
                <w:sz w:val="20"/>
                <w:szCs w:val="20"/>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9"/>
        </w:trPr>
        <w:tc>
          <w:tcPr>
            <w:tcW w:w="68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26.9 %</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w:t>
      </w:r>
    </w:p>
    <w:p>
      <w:pPr>
        <w:spacing w:after="0" w:line="129" w:lineRule="exact"/>
        <w:rPr>
          <w:sz w:val="20"/>
          <w:szCs w:val="20"/>
          <w:color w:val="auto"/>
        </w:rPr>
      </w:pPr>
    </w:p>
    <w:p>
      <w:pPr>
        <w:ind w:left="480" w:hanging="157"/>
        <w:spacing w:after="0"/>
        <w:tabs>
          <w:tab w:leader="none" w:pos="480"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income tax benefit associated with the loss of $73.9 on the Asbestos Portfolio Sale totaled $1.1.</w:t>
      </w:r>
    </w:p>
    <w:p>
      <w:pPr>
        <w:spacing w:after="0" w:line="200" w:lineRule="exact"/>
        <w:rPr>
          <w:rFonts w:ascii="Times New Roman" w:cs="Times New Roman" w:eastAsia="Times New Roman" w:hAnsi="Times New Roman"/>
          <w:sz w:val="20"/>
          <w:szCs w:val="20"/>
          <w:color w:val="auto"/>
          <w:vertAlign w:val="superscript"/>
        </w:rPr>
      </w:pPr>
    </w:p>
    <w:p>
      <w:pPr>
        <w:spacing w:after="0" w:line="314"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5" w:name="page96"/>
    <w:bookmarkEnd w:id="95"/>
    <w:p>
      <w:pPr>
        <w:ind w:left="40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2260" w:type="dxa"/>
            <w:vAlign w:val="bottom"/>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Pr>
          <w:p>
            <w:pPr>
              <w:spacing w:after="0"/>
              <w:rPr>
                <w:sz w:val="16"/>
                <w:szCs w:val="16"/>
                <w:color w:val="auto"/>
              </w:rPr>
            </w:pPr>
          </w:p>
        </w:tc>
      </w:tr>
      <w:tr>
        <w:trPr>
          <w:trHeight w:val="24"/>
        </w:trPr>
        <w:tc>
          <w:tcPr>
            <w:tcW w:w="8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5"/>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19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NOL and credit carryforwards</w:t>
            </w:r>
          </w:p>
        </w:tc>
        <w:tc>
          <w:tcPr>
            <w:tcW w:w="840" w:type="dxa"/>
            <w:vAlign w:val="bottom"/>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other postretirement and postemployment benefits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Payroll and compensation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environmental and self-insurance accruals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Working capital accruals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experimental expenditures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7"/>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07"/>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tax assets</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r>
      <w:tr>
        <w:trPr>
          <w:trHeight w:val="189"/>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recorded in acquisitions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Basis difference in affiliates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Accelerated depreciation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4"/>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r>
      <w:tr>
        <w:trPr>
          <w:trHeight w:val="204"/>
        </w:trPr>
        <w:tc>
          <w:tcPr>
            <w:tcW w:w="8520" w:type="dxa"/>
            <w:vAlign w:val="bottom"/>
          </w:tcPr>
          <w:p>
            <w:pPr>
              <w:spacing w:after="0"/>
              <w:rPr>
                <w:sz w:val="17"/>
                <w:szCs w:val="17"/>
                <w:color w:val="auto"/>
              </w:rPr>
            </w:pP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2"/>
        </w:trPr>
        <w:tc>
          <w:tcPr>
            <w:tcW w:w="8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17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We periodically assess deferred tax assets to determine if they are likely to be realized and the adequacy of deferred tax liabilities, incorporating the results of local, state, federal and foreign tax audits into our estimates and judgments.</w:t>
      </w:r>
    </w:p>
    <w:p>
      <w:pPr>
        <w:spacing w:after="0" w:line="11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2024, we had $14.7 of federal, $154.5 of state, and $211.4 of foreign tax loss carryforwards available. We also had federal and state tax credit carryforwards of $10.4. Of these amounts, $6.1 expire in 2025 and $153.8 expire at various times between 2026 and 2043. The remaining carryforwards have no expiration date.</w:t>
      </w:r>
    </w:p>
    <w:p>
      <w:pPr>
        <w:spacing w:after="0" w:line="11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Realization of deferred tax assets, including those associated with net operating loss and credit carryforwards, is dependent upon generating sufficient taxable income in the appropriate tax jurisdiction. We believe that it is more likely than not that we may not realize the benefit of certain of these deferred tax assets and, accordingly, have established a valuation allowance against these deferred tax assets. Although realization is not assured for the remaining deferred tax assets, we believe it is more likely than not that the deferred tax assets will be realized through future taxable earnings or tax planning strategies. However, deferred tax assets could be reduced in the near term if our estimates of taxable income are significantly reduced or tax planning strategies are no longer viable. Our valuation allowance increased by $1.8 in 2024 and increased by $6.1 in 2023. The 2024 increase was primarily driven by the generation of certain attributes in foreign jurisdictions where we believe it is more likely than not that such attributes will not be realized.</w:t>
      </w:r>
    </w:p>
    <w:p>
      <w:pPr>
        <w:spacing w:after="0" w:line="108" w:lineRule="exact"/>
        <w:rPr>
          <w:sz w:val="20"/>
          <w:szCs w:val="20"/>
          <w:color w:val="auto"/>
        </w:rPr>
      </w:pPr>
    </w:p>
    <w:p>
      <w:pPr>
        <w:jc w:val="both"/>
        <w:ind w:right="20" w:firstLine="396"/>
        <w:spacing w:after="0" w:line="270" w:lineRule="auto"/>
        <w:rPr>
          <w:sz w:val="20"/>
          <w:szCs w:val="20"/>
          <w:color w:val="auto"/>
        </w:rPr>
      </w:pPr>
      <w:r>
        <w:rPr>
          <w:rFonts w:ascii="Times New Roman" w:cs="Times New Roman" w:eastAsia="Times New Roman" w:hAnsi="Times New Roman"/>
          <w:sz w:val="18"/>
          <w:szCs w:val="18"/>
          <w:color w:val="auto"/>
        </w:rPr>
        <w:t>The amount of income tax that we pay annually is dependent on various factors, including the timing of certain deductions. These deductions can vary from year-to-year, and, consequently, the amount of income taxes paid in future years will vary from the amounts paid in prior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Undistributed Foreign Earnings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general, it is our practice and intention to reinvest the earnings of our non-U.S. subsidiaries in those operations. As of December 31, 2024, we had $329.0 of undistributed earnings of our foreign subsidiaries. The majority of these earnings have already been reinvested in our overseas businesses. Further, we believe future domestic cash generation will be sufficient to meet future domestic cash needs. For this reason, we have not recorded a provision for U.S. or foreign withholding taxes on the excess of the amount for financial reporting over the tax basis of investments in foreign subsidiaries that are essentially permanent in duration. Generally, such amounts may become subject to U.S. taxation upon the remittance of dividends and under certain other circumstances. It is not practicable to estimate the amount of a deferred tax liability related to the undistributed earnings of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6" w:name="page97"/>
    <w:bookmarkEnd w:id="96"/>
    <w:p>
      <w:pPr>
        <w:ind w:right="360"/>
        <w:spacing w:after="0" w:line="405" w:lineRule="auto"/>
        <w:rPr>
          <w:sz w:val="20"/>
          <w:szCs w:val="20"/>
          <w:color w:val="auto"/>
        </w:rPr>
      </w:pPr>
      <w:r>
        <w:rPr>
          <w:rFonts w:ascii="Times New Roman" w:cs="Times New Roman" w:eastAsia="Times New Roman" w:hAnsi="Times New Roman"/>
          <w:sz w:val="18"/>
          <w:szCs w:val="18"/>
          <w:color w:val="auto"/>
        </w:rPr>
        <w:t xml:space="preserve">foreign subsidiaries in the event that these earnings are no longer considered to be indefinitely reinvested, due to the hypothetical nature of the calculation. </w:t>
      </w:r>
      <w:r>
        <w:rPr>
          <w:rFonts w:ascii="Times New Roman" w:cs="Times New Roman" w:eastAsia="Times New Roman" w:hAnsi="Times New Roman"/>
          <w:sz w:val="18"/>
          <w:szCs w:val="18"/>
          <w:b w:val="1"/>
          <w:bCs w:val="1"/>
          <w:color w:val="auto"/>
        </w:rPr>
        <w:t>Unrecognized Tax Benefits</w:t>
      </w:r>
    </w:p>
    <w:p>
      <w:pPr>
        <w:spacing w:after="0" w:line="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we had gross and net unrecognized tax benefits of $3.7 and $3.1, respectively. All of these net unrecognized tax benefits would impact our effective tax rate from continuing operations if recognized. Similarly, at December 31, 2023 and 2022, we had gross unrecognized tax benefits of $2.2 (net unrecognized tax benefits of $2.2) and $4.5 (net unrecognized tax benefits of $4.0), respectively.</w:t>
      </w:r>
    </w:p>
    <w:p>
      <w:pPr>
        <w:spacing w:after="0" w:line="11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classify interest and penalties related to unrecognized tax benefits as a component of our income tax provision/benefit. As of December 31, 2024, gross and net accrued interest totaled $1.4, while the related amounts as of December 31, 2023 and 2022 were gross accrued interest of $1.3 (net accrued interest of $1.3) and $1.9 (net accrued interest of $1.7), respectively. Our income tax provision for the years ended December 31, 2024, 2023, and 2022 included gross interest income of $0.1, $0.2, and $0.6, respectively, resulting from adjustments to our liability for uncertain tax positions. As of December 31, 2024, 2023, and 2022, we had no accrual for penalties included in our unrecognized tax benefits.</w:t>
      </w:r>
    </w:p>
    <w:p>
      <w:pPr>
        <w:spacing w:after="0" w:line="11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Based on the outcome of certain examinations or as a result of the expiration of statutes of limitations for certain jurisdictions, we believe that within the next 12 months it is reasonably possible that our previously unrecognized tax benefits could decrease by up to $1.0. The previously unrecognized tax benefits relate to a variety of tax matters including transfer pricing and various state matters.</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for the years ended December 31, 2024, 2023, and 2022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 — opening balance</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tax positions in prior period</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decreases — tax positions in prior period</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 — tax positions in current period</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Statute expirations</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due to foreign currency exchange rates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 — ending balance</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7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for Economic Co-operation and Development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Pillar Two Model Rules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December 2021, the OECD issued model rules for a new global minimum tax framework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Pillar Two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various governments around the world have issued, or are in the process of issuing, legislation to implement these rules. The Company is within the scope of the OECD Pillar Two model rules and continues to assess the ultimate impact thereof. As of December 31, 2024, we have accrued $1.8 related to these taxes.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Matters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2024, our income tax provision was impacted most significantly by (i) $11.0 of excess tax benefits associated with stock-based compensation awards that vested and/or were exercised during the period and (ii) $0.7 of tax benefits related to changes in our estimate of valuation allowances recognized against certain deferred tax assets, as we now expect to realize these deferred tax assets.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2023, our income tax provision was impacted most significantly by (i) $2.3 of tax benefits related to changes in our estimate of valuation allowances recognized against certain deferred tax assets as we now expect to realize these deferred tax assets, (ii) $1.8 of excess tax benefits associated with stock-based compensation awards that vested and/or were exercised during the period, and (iii) $1.1 of tax benefits related to revisions to liabilities for uncertain tax positions.</w:t>
      </w:r>
    </w:p>
    <w:p>
      <w:pPr>
        <w:spacing w:after="0" w:line="21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2022, our income tax provision was impacted most significantly by (i) the loss on the Asbestos Portfolio Sale (see Note 4) which generated a tax benefit of only $1.1, (ii) a tax benefit of $4.7 related to the release of valuation allowances recognized against certain deferred tax assets, as we now expect to realize these deferred tax assets, primarily due to the 2022 Holding Company Reorganization (see Note 1), (iii) $3.0 of tax benefits related to statute expirations and other revisions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7" w:name="page98"/>
    <w:bookmarkEnd w:id="97"/>
    <w:p>
      <w:pPr>
        <w:jc w:val="both"/>
        <w:spacing w:after="0" w:line="270" w:lineRule="auto"/>
        <w:rPr>
          <w:sz w:val="20"/>
          <w:szCs w:val="20"/>
          <w:color w:val="auto"/>
        </w:rPr>
      </w:pPr>
      <w:r>
        <w:rPr>
          <w:rFonts w:ascii="Times New Roman" w:cs="Times New Roman" w:eastAsia="Times New Roman" w:hAnsi="Times New Roman"/>
          <w:sz w:val="18"/>
          <w:szCs w:val="18"/>
          <w:color w:val="auto"/>
        </w:rPr>
        <w:t>liabilities for uncertain tax positions, and (iv) $1.7 of excess tax benefits associated with stock-based compensation awards that vested and/or were exercised during the year.</w:t>
      </w:r>
    </w:p>
    <w:p>
      <w:pPr>
        <w:spacing w:after="0" w:line="10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perform reviews of our income tax positions on a continuous basis and accrue for potential uncertain positions when we determine that a tax position meets the criteria of the Income Taxes Topic of the Codification. Accruals for these uncertain tax positions are recorded in “Income taxes payable” and “Deferred and other income taxes” in the accompanying consolidated balance sheets based on the expectation as to the timing of when the matters will be resolved. As events change and resolutions occur, these accruals are adjusted, such as in the case of audit settlements with taxing authorities.</w:t>
      </w:r>
    </w:p>
    <w:p>
      <w:pPr>
        <w:spacing w:after="0" w:line="10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U.S. Federal income tax returns are subject to examination for a period of three years after filing the return. We are not currently under examination by the Internal Revenue Service and believe any contingencies in open years are adequately provided for.</w:t>
      </w:r>
    </w:p>
    <w:p>
      <w:pPr>
        <w:spacing w:after="0" w:line="10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regularly have various foreign income tax returns under examination. We believe that any uncertain tax positions related to these examinations have been adequately provided for.</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adverse effect on our results of operations or cash flows in the period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Indebtedness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year ended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20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(5)</w:t>
            </w:r>
          </w:p>
        </w:tc>
        <w:tc>
          <w:tcPr>
            <w:tcW w:w="180" w:type="dxa"/>
            <w:vAlign w:val="bottom"/>
          </w:tcPr>
          <w:p>
            <w:pPr>
              <w:spacing w:after="0"/>
              <w:rPr>
                <w:sz w:val="13"/>
                <w:szCs w:val="13"/>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0"/>
                <w:szCs w:val="20"/>
                <w:color w:val="auto"/>
                <w:vertAlign w:val="superscript"/>
              </w:rPr>
              <w:t>(1)</w:t>
            </w:r>
          </w:p>
        </w:tc>
        <w:tc>
          <w:tcPr>
            <w:tcW w:w="84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1"/>
        </w:trPr>
        <w:tc>
          <w:tcPr>
            <w:tcW w:w="48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Term loans </w:t>
            </w:r>
            <w:r>
              <w:rPr>
                <w:rFonts w:ascii="Times New Roman" w:cs="Times New Roman" w:eastAsia="Times New Roman" w:hAnsi="Times New Roman"/>
                <w:sz w:val="20"/>
                <w:szCs w:val="20"/>
                <w:color w:val="auto"/>
                <w:vertAlign w:val="superscript"/>
              </w:rPr>
              <w:t>(2)</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Trade receivables financing arrangement </w:t>
            </w:r>
            <w:r>
              <w:rPr>
                <w:rFonts w:ascii="Times New Roman" w:cs="Times New Roman" w:eastAsia="Times New Roman" w:hAnsi="Times New Roman"/>
                <w:sz w:val="20"/>
                <w:szCs w:val="20"/>
                <w:color w:val="auto"/>
                <w:vertAlign w:val="superscript"/>
              </w:rPr>
              <w:t>(3)</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1"/>
        </w:trPr>
        <w:tc>
          <w:tcPr>
            <w:tcW w:w="480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Other indebtedness </w:t>
            </w:r>
            <w:r>
              <w:rPr>
                <w:rFonts w:ascii="Times New Roman" w:cs="Times New Roman" w:eastAsia="Times New Roman" w:hAnsi="Times New Roman"/>
                <w:sz w:val="20"/>
                <w:szCs w:val="20"/>
                <w:color w:val="auto"/>
                <w:vertAlign w:val="superscript"/>
              </w:rPr>
              <w:t>(4)</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8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7"/>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w:t>
      </w:r>
    </w:p>
    <w:p>
      <w:pPr>
        <w:spacing w:after="0" w:line="244" w:lineRule="exact"/>
        <w:rPr>
          <w:sz w:val="20"/>
          <w:szCs w:val="20"/>
          <w:color w:val="auto"/>
        </w:rPr>
      </w:pPr>
    </w:p>
    <w:p>
      <w:pPr>
        <w:ind w:left="640" w:hanging="317"/>
        <w:spacing w:after="0" w:line="228" w:lineRule="auto"/>
        <w:tabs>
          <w:tab w:leader="none" w:pos="6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loan facility extends through August 2027 under the terms of our senior credit agreement and is primarily used to provide liquidity for funding acquisitions, including related fees and expenses, and was utilized as the primary funding mechanism for the Ingénia acquisition.</w:t>
      </w:r>
    </w:p>
    <w:p>
      <w:pPr>
        <w:spacing w:after="0" w:line="216" w:lineRule="exact"/>
        <w:rPr>
          <w:rFonts w:ascii="Times New Roman" w:cs="Times New Roman" w:eastAsia="Times New Roman" w:hAnsi="Times New Roman"/>
          <w:sz w:val="21"/>
          <w:szCs w:val="21"/>
          <w:color w:val="auto"/>
          <w:vertAlign w:val="superscript"/>
        </w:rPr>
      </w:pPr>
    </w:p>
    <w:p>
      <w:pPr>
        <w:jc w:val="both"/>
        <w:ind w:left="640" w:hanging="317"/>
        <w:spacing w:after="0" w:line="232" w:lineRule="auto"/>
        <w:tabs>
          <w:tab w:leader="none" w:pos="6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loans are repayable in quarterly installments equal to 1.25% of the initial term loan balances of $545.0, in all quarters of 2025 and 2026, and the first two quarters of 2027. The remaining balances are payable in full on August 12, 2027. Balances are net of unamortized debt issuance costs of $1.2 and $1.7 at December 31, 2024 and December 31, 2023, respectively.</w:t>
      </w:r>
    </w:p>
    <w:p>
      <w:pPr>
        <w:spacing w:after="0" w:line="216" w:lineRule="exact"/>
        <w:rPr>
          <w:rFonts w:ascii="Times New Roman" w:cs="Times New Roman" w:eastAsia="Times New Roman" w:hAnsi="Times New Roman"/>
          <w:sz w:val="21"/>
          <w:szCs w:val="21"/>
          <w:color w:val="auto"/>
          <w:vertAlign w:val="superscript"/>
        </w:rPr>
      </w:pPr>
    </w:p>
    <w:p>
      <w:pPr>
        <w:jc w:val="both"/>
        <w:ind w:left="640" w:hanging="317"/>
        <w:spacing w:after="0" w:line="234" w:lineRule="auto"/>
        <w:tabs>
          <w:tab w:leader="none" w:pos="6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December 31, 2024, we had $61.7 of available borrowing capacity under this facility after giving effect to outstanding borrowings of $9.0</w:t>
      </w:r>
      <w:r>
        <w:rPr>
          <w:rFonts w:ascii="Times New Roman" w:cs="Times New Roman" w:eastAsia="Times New Roman" w:hAnsi="Times New Roman"/>
          <w:sz w:val="17"/>
          <w:szCs w:val="17"/>
          <w:color w:val="auto"/>
        </w:rPr>
        <w:t>.</w:t>
      </w:r>
    </w:p>
    <w:p>
      <w:pPr>
        <w:spacing w:after="0" w:line="94" w:lineRule="exact"/>
        <w:rPr>
          <w:rFonts w:ascii="Times New Roman" w:cs="Times New Roman" w:eastAsia="Times New Roman" w:hAnsi="Times New Roman"/>
          <w:sz w:val="21"/>
          <w:szCs w:val="21"/>
          <w:color w:val="auto"/>
          <w:vertAlign w:val="superscript"/>
        </w:rPr>
      </w:pPr>
    </w:p>
    <w:p>
      <w:pPr>
        <w:jc w:val="both"/>
        <w:ind w:left="640" w:hanging="317"/>
        <w:spacing w:after="0" w:line="234" w:lineRule="auto"/>
        <w:tabs>
          <w:tab w:leader="none" w:pos="6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$1.1 and $1.9 and finance lease obligations of $1.2 and $0.5 at December 31,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63" w:lineRule="exact"/>
        <w:rPr>
          <w:rFonts w:ascii="Times New Roman" w:cs="Times New Roman" w:eastAsia="Times New Roman" w:hAnsi="Times New Roman"/>
          <w:sz w:val="21"/>
          <w:szCs w:val="21"/>
          <w:color w:val="auto"/>
          <w:vertAlign w:val="superscript"/>
        </w:rPr>
      </w:pPr>
    </w:p>
    <w:p>
      <w:pPr>
        <w:ind w:left="620" w:hanging="297"/>
        <w:spacing w:after="0"/>
        <w:tabs>
          <w:tab w:leader="none" w:pos="62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impact of amortization of debt issuance costs associated with the term loans.</w:t>
      </w:r>
    </w:p>
    <w:p>
      <w:pPr>
        <w:spacing w:after="0" w:line="11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Maturities of long-term debt payable during each of the five years subsequent to December 31, 2024 are $27.6, $27.7, $550.3, $0.2, and $0.1,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Senior Credit Facilities</w:t>
      </w:r>
    </w:p>
    <w:p>
      <w:pPr>
        <w:spacing w:after="0" w:line="138"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On August 30, 2024, we entered into a Second Amendment to the Amended and Restated Credit Agreement and Incremental Facility Activation Notice (the “Second Amendment”) with Bank of America, N.A., as administrative agent (the “Administrative Agent”), the lenders party thereto, and certain domestic subsidiaries of the Company, as guarantors, which amended our prior Amended and Restated Credit Agreement, dated as of August 12, 2022 (as amended, the “Credit Agreement”) with the lenders party thereto, Deutsche Bank AG, as foreign trade facility agent, and the Administrative Agent.</w:t>
      </w:r>
    </w:p>
    <w:p>
      <w:pPr>
        <w:spacing w:after="0" w:line="193"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Second Amendment increases the aggregate revolving credit commitments under the Credit Agreement from $500.0 to $1,000.0 and makes certain conforming changes and other amendments to the Credit Agreement. We expect to utilize the increased revolving credit capacity to finance, in part, permitted acquisitions, to pay related fees, costs and expenses and for other lawful corporate purposes. In connection with the Second Amendment, we capitalized $2.6 of debt issuance costs within “Other assets” on the consolidated balance sheet as of December 31, 2024.</w:t>
      </w:r>
    </w:p>
    <w:p>
      <w:pPr>
        <w:spacing w:after="0" w:line="21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On April 21, 2023, we entered into an Incremental Facility Activation Notice with Bank of America, N.A., as administrative agent, and the lenders party thereto, which amended the Amended and Restated Credit Agreement, dated as of August 12, 2022, among the Company, the lenders party thereto, Deutsche Bank AG, as foreign trade facility agent, and the Administrative Agent (“Incremental Amendment”).</w:t>
      </w:r>
    </w:p>
    <w:p>
      <w:pPr>
        <w:spacing w:after="0" w:line="207"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Incremental Amendment provides for an Incremental Term Loan in the aggregate amount of $300.0, which was available in up to three drawings (subject to customary conditions) from the Incremental Amendment Effective Date to October 18, 2023 (“Incremental Term Loan”). The proceeds of the Incremental Term Loan were available to be used to finance, in part, permitted acquisitions, to pay related fees, costs and expenses and for other lawful corporate purposes. The Incremental Term Loan will mature on August 12, 2027. We may voluntarily prepay the Incremental Term Loan, in whole or in part, without premium or penalty. In June 2023, we borrowed $300.0 under the Incremental Term Loan in connection with the ASPEQ acquisition.</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credit facilities (the “Senior Credit Facilities”) under the Credit Agreement consist of the following at December 31, 2024 (each with a final maturity of August 12, 2027):</w:t>
      </w:r>
    </w:p>
    <w:p>
      <w:pPr>
        <w:spacing w:after="0" w:line="194" w:lineRule="exact"/>
        <w:rPr>
          <w:sz w:val="20"/>
          <w:szCs w:val="20"/>
          <w:color w:val="auto"/>
        </w:rPr>
      </w:pPr>
    </w:p>
    <w:p>
      <w:pPr>
        <w:ind w:left="640" w:hanging="317"/>
        <w:spacing w:after="0" w:line="270"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facilities with original aggregate principal amounts of $545.0 ($245.0 and $300.0 related to our original term loan and the Incremental Term Loan, respectively);</w:t>
      </w:r>
    </w:p>
    <w:p>
      <w:pPr>
        <w:spacing w:after="0" w:line="194" w:lineRule="exact"/>
        <w:rPr>
          <w:rFonts w:ascii="Times New Roman" w:cs="Times New Roman" w:eastAsia="Times New Roman" w:hAnsi="Times New Roman"/>
          <w:sz w:val="18"/>
          <w:szCs w:val="18"/>
          <w:color w:val="auto"/>
        </w:rPr>
      </w:pPr>
    </w:p>
    <w:p>
      <w:pPr>
        <w:jc w:val="both"/>
        <w:ind w:left="640" w:hanging="317"/>
        <w:spacing w:after="0" w:line="257"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available for loans and letters of credit in Dollars, Euro, Sterling and other currencies, in an aggregate principal amount up to the equivalent of $1,000.0 (with sub-limits equal to the equivalents of $200.0 for financial letters of credit, $50.0 for non-financial letters of credit, and $150.0 for non-U.S. exposure);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bilateral foreign credit instrument facility, available for performance letters of credit and bank undertakings, in an aggregate principal amount in various currencies up to the equivalent of $25.0.</w:t>
      </w:r>
    </w:p>
    <w:p>
      <w:pPr>
        <w:spacing w:after="0" w:line="19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also:</w:t>
      </w:r>
    </w:p>
    <w:p>
      <w:pPr>
        <w:spacing w:after="0" w:line="241" w:lineRule="exact"/>
        <w:rPr>
          <w:rFonts w:ascii="Times New Roman" w:cs="Times New Roman" w:eastAsia="Times New Roman" w:hAnsi="Times New Roman"/>
          <w:sz w:val="18"/>
          <w:szCs w:val="18"/>
          <w:color w:val="auto"/>
        </w:rPr>
      </w:pPr>
    </w:p>
    <w:p>
      <w:pPr>
        <w:jc w:val="both"/>
        <w:ind w:left="640" w:hanging="317"/>
        <w:spacing w:after="0" w:line="242"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we maintain a Consolidated Leverage Ratio (defined in the Credit Agreement) as of the last day of any fiscal quarter of not more than 3.75 to 1.00 (or (i) 4.00 to 1.00 for the four fiscal quarters after certain permitted acquisitions or (ii) 4.25 to 1.00 for the four fiscal quarters after certain permitted acquisitions with a minimum amount financed by unsecured debt);</w:t>
      </w:r>
    </w:p>
    <w:p>
      <w:pPr>
        <w:spacing w:after="0" w:line="218" w:lineRule="exact"/>
        <w:rPr>
          <w:rFonts w:ascii="Times New Roman" w:cs="Times New Roman" w:eastAsia="Times New Roman" w:hAnsi="Times New Roman"/>
          <w:sz w:val="18"/>
          <w:szCs w:val="18"/>
          <w:color w:val="auto"/>
        </w:rPr>
      </w:pPr>
    </w:p>
    <w:p>
      <w:pPr>
        <w:ind w:left="640" w:hanging="317"/>
        <w:spacing w:after="0" w:line="25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we maintain a Consolidated Interest Coverage Ratio (defined in the Credit Agreement) as of the last day of any fiscal quarter of at least 3.00 to 1.00;</w:t>
      </w:r>
    </w:p>
    <w:p>
      <w:pPr>
        <w:spacing w:after="0" w:line="195" w:lineRule="exact"/>
        <w:rPr>
          <w:rFonts w:ascii="Times New Roman" w:cs="Times New Roman" w:eastAsia="Times New Roman" w:hAnsi="Times New Roman"/>
          <w:sz w:val="18"/>
          <w:szCs w:val="18"/>
          <w:color w:val="auto"/>
        </w:rPr>
      </w:pPr>
    </w:p>
    <w:p>
      <w:pPr>
        <w:jc w:val="both"/>
        <w:ind w:left="640" w:hanging="317"/>
        <w:spacing w:after="0" w:line="239"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SPX to seek additional commitments, without consent from the existing lenders, to add incremental term loan facilities and/or increase the commitments in respect of the revolving credit facility and/or the bilateral foreign credit instrument facility by up to an aggregate principal amount not to exceed (x) the greater of (i) $200.0 and (ii) the amount of Consolidated EBITDA (as defined in the Credit Agreement) for the four fiscal quarters ended most recently before the date of determination, plus (y) an unlimited amount so long as, immediately after giving effect thereto, our Consolidated Senior Secured Leverage Ratio (defined in the Credit Agreement generally as the ratio of consolidated total debt (excluding the face amount of undrawn letters of credit, bank undertakings, or analogous instruments and net of unrestricted cash and cash equivalents) at the date of determination secured by liens to Consolidated EBITDA for the four fiscal quarters ended most recently before such date) does not exceed 2.75:1.00, plus (z) an amount equal to all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99" w:name="page100"/>
    <w:bookmarkEnd w:id="99"/>
    <w:p>
      <w:pPr>
        <w:ind w:left="640"/>
        <w:spacing w:after="0" w:line="254" w:lineRule="auto"/>
        <w:rPr>
          <w:sz w:val="20"/>
          <w:szCs w:val="20"/>
          <w:color w:val="auto"/>
        </w:rPr>
      </w:pPr>
      <w:r>
        <w:rPr>
          <w:rFonts w:ascii="Times New Roman" w:cs="Times New Roman" w:eastAsia="Times New Roman" w:hAnsi="Times New Roman"/>
          <w:sz w:val="18"/>
          <w:szCs w:val="18"/>
          <w:color w:val="auto"/>
        </w:rPr>
        <w:t>voluntary prepayments of the term loan facility and voluntary prepayments accompanied by permanent commitment reductions of the revolving credit facility and foreign credit instrument facility; and</w:t>
      </w:r>
    </w:p>
    <w:p>
      <w:pPr>
        <w:spacing w:after="0" w:line="209" w:lineRule="exact"/>
        <w:rPr>
          <w:sz w:val="20"/>
          <w:szCs w:val="20"/>
          <w:color w:val="auto"/>
        </w:rPr>
      </w:pPr>
    </w:p>
    <w:p>
      <w:pPr>
        <w:ind w:left="640" w:hanging="317"/>
        <w:spacing w:after="0" w:line="249"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per annum fees charged and applies interest rate margins to all the credit facilities under the Credit Agreement, other than the Incremental Term Loan, as follows:</w:t>
      </w:r>
    </w:p>
    <w:tbl>
      <w:tblPr>
        <w:tblLayout w:type="fixed"/>
        <w:tblInd w:w="0" w:type="dxa"/>
        <w:tblCellMar>
          <w:top w:w="0" w:type="dxa"/>
          <w:left w:w="0" w:type="dxa"/>
          <w:bottom w:w="0" w:type="dxa"/>
          <w:right w:w="0" w:type="dxa"/>
        </w:tblCellMar>
      </w:tblPr>
      <w:tr>
        <w:trPr>
          <w:trHeight w:val="145"/>
        </w:trPr>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Foreign Credit</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FCI Fee and Non-</w:t>
            </w:r>
          </w:p>
        </w:tc>
        <w:tc>
          <w:tcPr>
            <w:tcW w:w="17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Term Secured Overnight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2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Financial Letter of</w:t>
            </w:r>
          </w:p>
        </w:tc>
        <w:tc>
          <w:tcPr>
            <w:tcW w:w="150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Financing Rate (“SOFR”)</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Leverage</w:t>
            </w:r>
          </w:p>
        </w:tc>
        <w:tc>
          <w:tcPr>
            <w:tcW w:w="15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Instrument (“FCI”)</w:t>
            </w:r>
          </w:p>
        </w:tc>
        <w:tc>
          <w:tcPr>
            <w:tcW w:w="15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Financial Letter of</w:t>
            </w:r>
          </w:p>
        </w:tc>
        <w:tc>
          <w:tcPr>
            <w:tcW w:w="17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Loans/Alternative</w:t>
            </w:r>
          </w:p>
        </w:tc>
        <w:tc>
          <w:tcPr>
            <w:tcW w:w="144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0" w:type="dxa"/>
            <w:vAlign w:val="bottom"/>
          </w:tcPr>
          <w:p>
            <w:pPr>
              <w:spacing w:after="0"/>
              <w:rPr>
                <w:sz w:val="1"/>
                <w:szCs w:val="1"/>
                <w:color w:val="auto"/>
              </w:rPr>
            </w:pPr>
          </w:p>
        </w:tc>
      </w:tr>
      <w:tr>
        <w:trPr>
          <w:trHeight w:val="193"/>
        </w:trPr>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Credit Fee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Credit Fee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 Loans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20" w:type="dxa"/>
            <w:vAlign w:val="bottom"/>
            <w:tcBorders>
              <w:top w:val="single" w:sz="8" w:color="auto"/>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Greater than or equal to 3.00 to</w:t>
            </w: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0.275 %</w:t>
            </w: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1.750 %</w:t>
            </w: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0.275 %</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1.750 %</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0.750 %</w:t>
            </w:r>
          </w:p>
        </w:tc>
        <w:tc>
          <w:tcPr>
            <w:tcW w:w="0" w:type="dxa"/>
            <w:vAlign w:val="bottom"/>
          </w:tcPr>
          <w:p>
            <w:pPr>
              <w:spacing w:after="0"/>
              <w:rPr>
                <w:sz w:val="1"/>
                <w:szCs w:val="1"/>
                <w:color w:val="auto"/>
              </w:rPr>
            </w:pPr>
          </w:p>
        </w:tc>
      </w:tr>
      <w:tr>
        <w:trPr>
          <w:trHeight w:val="19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Between 2.00 to 1.00 and 3.00 to</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0.875 %</w:t>
            </w:r>
          </w:p>
        </w:tc>
        <w:tc>
          <w:tcPr>
            <w:tcW w:w="10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0.500 %</w:t>
            </w:r>
          </w:p>
        </w:tc>
        <w:tc>
          <w:tcPr>
            <w:tcW w:w="0" w:type="dxa"/>
            <w:vAlign w:val="bottom"/>
          </w:tcPr>
          <w:p>
            <w:pPr>
              <w:spacing w:after="0"/>
              <w:rPr>
                <w:sz w:val="1"/>
                <w:szCs w:val="1"/>
                <w:color w:val="auto"/>
              </w:rPr>
            </w:pPr>
          </w:p>
        </w:tc>
      </w:tr>
      <w:tr>
        <w:trPr>
          <w:trHeight w:val="192"/>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2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Between 1.50 to 1.00 and 2.00 to</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0.225 %</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1.375 %</w:t>
            </w:r>
          </w:p>
        </w:tc>
        <w:tc>
          <w:tcPr>
            <w:tcW w:w="10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0.225 %</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0.800 %</w:t>
            </w:r>
          </w:p>
        </w:tc>
        <w:tc>
          <w:tcPr>
            <w:tcW w:w="1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1.375 %</w:t>
            </w:r>
          </w:p>
        </w:tc>
        <w:tc>
          <w:tcPr>
            <w:tcW w:w="1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0.375 %</w:t>
            </w:r>
          </w:p>
        </w:tc>
        <w:tc>
          <w:tcPr>
            <w:tcW w:w="0" w:type="dxa"/>
            <w:vAlign w:val="bottom"/>
          </w:tcPr>
          <w:p>
            <w:pPr>
              <w:spacing w:after="0"/>
              <w:rPr>
                <w:sz w:val="1"/>
                <w:szCs w:val="1"/>
                <w:color w:val="auto"/>
              </w:rPr>
            </w:pPr>
          </w:p>
        </w:tc>
      </w:tr>
      <w:tr>
        <w:trPr>
          <w:trHeight w:val="19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1.50 to 1.00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0.200 %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commitment fee rate and interest rate margins for the Incremental Term Loan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28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700" w:type="dxa"/>
            <w:vAlign w:val="bottom"/>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0" w:type="dxa"/>
            <w:vAlign w:val="bottom"/>
          </w:tcPr>
          <w:p>
            <w:pPr>
              <w:spacing w:after="0"/>
              <w:rPr>
                <w:sz w:val="1"/>
                <w:szCs w:val="1"/>
                <w:color w:val="auto"/>
              </w:rPr>
            </w:pPr>
          </w:p>
        </w:tc>
      </w:tr>
      <w:tr>
        <w:trPr>
          <w:trHeight w:val="24"/>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 to 1.0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0.225 %</w:t>
            </w: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0.500 %</w:t>
            </w:r>
          </w:p>
        </w:tc>
        <w:tc>
          <w:tcPr>
            <w:tcW w:w="0" w:type="dxa"/>
            <w:vAlign w:val="bottom"/>
          </w:tcPr>
          <w:p>
            <w:pPr>
              <w:spacing w:after="0"/>
              <w:rPr>
                <w:sz w:val="1"/>
                <w:szCs w:val="1"/>
                <w:color w:val="auto"/>
              </w:rPr>
            </w:pPr>
          </w:p>
        </w:tc>
      </w:tr>
      <w:tr>
        <w:trPr>
          <w:trHeight w:val="136"/>
        </w:trPr>
        <w:tc>
          <w:tcPr>
            <w:tcW w:w="290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Greater than or equal to 2.00 to 1.0 but less than</w:t>
            </w: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0.250 %</w:t>
            </w:r>
          </w:p>
        </w:tc>
        <w:tc>
          <w:tcPr>
            <w:tcW w:w="100" w:type="dxa"/>
            <w:vAlign w:val="bottom"/>
          </w:tcPr>
          <w:p>
            <w:pPr>
              <w:spacing w:after="0"/>
              <w:rPr>
                <w:sz w:val="11"/>
                <w:szCs w:val="11"/>
                <w:color w:val="auto"/>
              </w:rPr>
            </w:pP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1.625 %</w:t>
            </w:r>
          </w:p>
        </w:tc>
        <w:tc>
          <w:tcPr>
            <w:tcW w:w="120" w:type="dxa"/>
            <w:vAlign w:val="bottom"/>
          </w:tcPr>
          <w:p>
            <w:pPr>
              <w:spacing w:after="0"/>
              <w:rPr>
                <w:sz w:val="11"/>
                <w:szCs w:val="11"/>
                <w:color w:val="auto"/>
              </w:rPr>
            </w:pPr>
          </w:p>
        </w:tc>
        <w:tc>
          <w:tcPr>
            <w:tcW w:w="2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0.625 %</w:t>
            </w:r>
          </w:p>
        </w:tc>
        <w:tc>
          <w:tcPr>
            <w:tcW w:w="0" w:type="dxa"/>
            <w:vAlign w:val="bottom"/>
          </w:tcPr>
          <w:p>
            <w:pPr>
              <w:spacing w:after="0"/>
              <w:rPr>
                <w:sz w:val="1"/>
                <w:szCs w:val="1"/>
                <w:color w:val="auto"/>
              </w:rPr>
            </w:pPr>
          </w:p>
        </w:tc>
      </w:tr>
      <w:tr>
        <w:trPr>
          <w:trHeight w:val="19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3.00 to 1.0</w:t>
            </w:r>
          </w:p>
        </w:tc>
        <w:tc>
          <w:tcPr>
            <w:tcW w:w="2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or equal to 3.00 to 1.0</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0.275 %</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1.875 %</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0.875 %</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396"/>
        <w:spacing w:after="0" w:line="264" w:lineRule="auto"/>
        <w:rPr>
          <w:sz w:val="20"/>
          <w:szCs w:val="20"/>
          <w:color w:val="auto"/>
        </w:rPr>
      </w:pPr>
      <w:r>
        <w:rPr>
          <w:rFonts w:ascii="Times New Roman" w:cs="Times New Roman" w:eastAsia="Times New Roman" w:hAnsi="Times New Roman"/>
          <w:sz w:val="17"/>
          <w:szCs w:val="17"/>
          <w:color w:val="auto"/>
        </w:rPr>
        <w:t>The interest rates applicable to loans under the Senior Credit Facilities are, at our option, equal to either (i) an alternate base rate (the highest of (a) the federal funds effective rate plus 0.5%, (b) the prime rate of Bank of America, N.A., and (c) the one-month Term SOFR rate plus 1.0%) or (ii) the Term SOFR rate for the applicable interest period plus 0.1%, plus, in each case, an applicable margin percentage, which varies based on the Consolidated Leverage Ratio (defined in the Credit Agreement generally as the ratio of consolidated total debt (excluding the face amount of undrawn letters of credit, bank undertakings or analogous instruments and net of unrestricted cash and cash equivalents) at the date of determination to Consolidated EBITDA for the four fiscal quarters ended most recently before such date). The interest rates applicable to loans in other currencies under the Senior Credit Facilities are, at the applicable borrower’s option, equal to either (a) an adjusted alternative currency daily rate or (b) an adjusted alternative currency term rate for the applicable interest period, plus, in each case, the applicable margin percentage. The borrowers may elect interest periods of one, three or six months (and, if consented to by all relevant lenders, any other period not greater than twelve months) for term rate borrowings, subject in each case to availability in the applicable currency.</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weighted-average interest rate of outstanding borrowings under our Senior Credit Facilities was approximately 5.8% at December 31, 2024.</w:t>
      </w:r>
    </w:p>
    <w:p>
      <w:pPr>
        <w:spacing w:after="0" w:line="150"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The fees and bilateral foreign credit commitments are as specified above for foreign credit commitments unless otherwise agreed with the bilateral foreign issuing lender. We also pay fronting fees on the outstanding amounts of letters of credit and foreign credit instruments (in the participation facility) at the rates of 0.125% per annum and 0.25% per annum, respectively.</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SPX Enterprises, LLC, a direct wholly owned subsidiary of the Company, is the borrower under each of above facilities, and SPX may designate certain foreign subsidiaries to be borrowers under the revolving credit facility and the foreign credit instrument facility. All borrowings and other extensions of credit under the Credit Agreement are subject to the satisfaction of customary conditions, including absence of defaults and accuracy in material respects of representations and warranties.</w:t>
      </w:r>
    </w:p>
    <w:p>
      <w:pPr>
        <w:spacing w:after="0" w:line="14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letters of credit under the revolving credit facility are stand-by letters of credit requested by SPX on behalf of any of our subsidiaries or certain joint ventures. The foreign credit instrument facility is used to issue foreign credit instruments, including bank undertakings to support our operations.</w:t>
      </w:r>
    </w:p>
    <w:p>
      <w:pPr>
        <w:spacing w:after="0" w:line="12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Credit Agreement requires mandatory prepayments in amounts equal to the net proceeds from the sale or other disposition of (including from any casualty to, or governmental taking of) property in excess of specified values (other than in the ordinary course of business and subject to other exceptions) by SPX. Mandatory prepayments will be applied first to repay amounts outstanding under any term loans and then to amounts outstanding under the revolving credit facility (without reducing the commitments thereunder). No prepayment is required generally to the extent the net proceeds are reinvested (or committed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0" w:name="page101"/>
    <w:bookmarkEnd w:id="100"/>
    <w:p>
      <w:pPr>
        <w:jc w:val="both"/>
        <w:spacing w:after="0" w:line="270" w:lineRule="auto"/>
        <w:rPr>
          <w:sz w:val="20"/>
          <w:szCs w:val="20"/>
          <w:color w:val="auto"/>
        </w:rPr>
      </w:pPr>
      <w:r>
        <w:rPr>
          <w:rFonts w:ascii="Times New Roman" w:cs="Times New Roman" w:eastAsia="Times New Roman" w:hAnsi="Times New Roman"/>
          <w:sz w:val="18"/>
          <w:szCs w:val="18"/>
          <w:color w:val="auto"/>
        </w:rPr>
        <w:t>be reinvested) in permitted acquisitions, permitted investments or assets to be used in the business of SPX within 360 days (and if committed to be reinvested, actually reinvested within 180 days after the end of such 360-day period) of the receipt of such proceeds.</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may voluntarily prepay loans under the Credit Agreement, in whole or in part, without premium or penalty. Any voluntary prepayment of loans will be subject to reimbursement of the lenders’ breakage costs in the case of a prepayment of term rate borrowings other than on the last day of the relevant interest period. Indebtedness under the Credit Agreement is guaranteed by:</w:t>
      </w:r>
    </w:p>
    <w:p>
      <w:pPr>
        <w:spacing w:after="0" w:line="207" w:lineRule="exact"/>
        <w:rPr>
          <w:sz w:val="20"/>
          <w:szCs w:val="20"/>
          <w:color w:val="auto"/>
        </w:rPr>
      </w:pPr>
    </w:p>
    <w:p>
      <w:pPr>
        <w:ind w:left="640" w:hanging="317"/>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existing and subsequently acquired or organized domestic material subsidiary with specified exceptions; and</w:t>
      </w:r>
    </w:p>
    <w:p>
      <w:pPr>
        <w:spacing w:after="0" w:line="241" w:lineRule="exact"/>
        <w:rPr>
          <w:rFonts w:ascii="Times New Roman" w:cs="Times New Roman" w:eastAsia="Times New Roman" w:hAnsi="Times New Roman"/>
          <w:sz w:val="18"/>
          <w:szCs w:val="18"/>
          <w:color w:val="auto"/>
        </w:rPr>
      </w:pPr>
    </w:p>
    <w:p>
      <w:pPr>
        <w:ind w:left="640" w:right="160" w:hanging="317"/>
        <w:spacing w:after="0" w:line="270"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SPX with respect to the obligations of our foreign borrower subsidiaries under the revolving credit facility and the bilateral foreign credit instrument facility.</w:t>
      </w:r>
    </w:p>
    <w:p>
      <w:pPr>
        <w:spacing w:after="0" w:line="142"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Indebtedness under the Credit Agreement is secured by a first priority pledge and security interest in 100% of the capital stock of our domestic subsidiaries (with certain exceptions) or our domestic subsidiary guarantors and 65% of the voting capital stock (and 100% of the non-voting capital stock) of material first-tier foreign subsidiaries (with certain exceptions). If SPX obtains a corporate credit rating from Moody’s and S&amp;P and such corporate credit rating is less than “Ba2” (or not rated) by Moody’s and less than “BB” (or not rated) by S&amp;P, then SPX and our domestic subsidiary guarantors are required to grant security interests, mortgages and other liens on substantially all of their assets. If SPX’s corporate credit rating is “Baa3” or better by Moody’s or “BBB-” or better by S&amp;P and no defaults would exist, then all collateral security is to be released and the indebtedness under the Credit Agreement will be unsecured.</w:t>
      </w:r>
    </w:p>
    <w:p>
      <w:pPr>
        <w:spacing w:after="0" w:line="134"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Credit Agreement also contains covenants that, among other things, restrict our ability to incur additional indebtedness, grant liens, make investments, loans, guarantees, or advances, make restricted junior payments, including dividends, redemptions of capital stock, and voluntary prepayments or repurchase of certain other indebtedness, engage in mergers, acquisitions or sales of assets, enter into sale and leaseback transactions, or engage in certain transactions with affiliates, and otherwise restrict certain corporate activities. The Credit Agreement contains customary representations, warranties, affirmative covenants and events of default.</w:t>
      </w:r>
    </w:p>
    <w:p>
      <w:pPr>
        <w:spacing w:after="0" w:line="146"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We are permitted under the Credit Agreement to repurchase capital stock and pay cash dividends in an unlimited amount if our Consolidated Leverage Ratio is (after giving pro forma effect to such payments) less than 2.75 to 1.00. If our Consolidated Leverage Ratio is (after giving pro forma effect to such payments) greater than or equal to 2.75 to 1.00, the aggregate amount of such repurchases and dividend declarations cannot exceed (A) $100.0 in any fiscal year plus (B) an additional amount for all such repurchases and dividend declarations made after September 1, 2015 equal to the sum of (i) $100.0 plus (ii) a positive amount equal to 50% of cumulative Consolidated Net Income (as defined in the Credit Agreement generally as consolidated net income subject to certain adjustments solely for the purposes of determining this basket) during the period from September 1, 2015 to the end of the most recent fiscal quarter preceding the date of such repurchase or dividend declaration for which financial statements have been (or were required to be) delivered (or, in case such Consolidated Net Income is a deficit, minus 100% of such deficit) plus (iii) certain other amounts, less our previous usage of such additional amount for certain other investments and restricted junior payments.</w:t>
      </w:r>
    </w:p>
    <w:p>
      <w:pPr>
        <w:spacing w:after="0" w:line="16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At December 31, 2024, we had $909.0 of available borrowing capacity under our revolving credit facilities, after giving effect to borrowings under the domestic revolving loan facilities of $80.0 and $11.0 reserved for outstanding letters of credit. In addition, at December 31, 2024, we had $8.0 of available issuance capacity under our foreign credit instrument facilities after giving effect to $17.0 reserved for outstanding letters of credit.</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December 31, 2024, we were in compliance with all covenants of our Credit Agreement.</w:t>
      </w:r>
    </w:p>
    <w:p>
      <w:pPr>
        <w:spacing w:after="0" w:line="150"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we capitalized $1.3 of debt issuance costs associated with the Incremental Term Loan. In connection with an August 2022 amendment of the Credit Agreement, we recorded charges of $1.1 to “Loss on amendment/refinancing of senior credit agreement” related to the write-off of a portion of the unamortized deferred financing costs totaling $0.7 and transaction costs of $0.4. Additionally, $1.5 of fees paid in connection with the August 2022 amendment were capitalized, with $1.2 related to our revolving loans and $0.3 related to the initial term loan.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Borrowings and Financing Activities</w:t>
      </w:r>
    </w:p>
    <w:p>
      <w:pPr>
        <w:spacing w:after="0" w:line="191"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Certain of our businesses purchase goods and services under a purchase card program allowing for payment beyond their normal payment terms. As of December 31, 2024 and 2023, the participating businesses had $1.1 and $1.9, respectively, outstanding under this arrangement.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1" w:name="page102"/>
    <w:bookmarkEnd w:id="101"/>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third quarter of 2024, we renewed for a period of 12 months, and increased the capacity of, our trade receivables financing agreement, whereby we can borrow, on a continuous basis, up to $100.0. Availability of funds may fluctuate over time given, among other things, changes in eligible receivable balances, but will not exceed the $100.0 program limit. The facility contains representations, warranties, covenants and indemnities customary for facilities of this type. The facility does not contain any covenants that we view as materially constraining to the activities of our business.</w:t>
      </w:r>
    </w:p>
    <w:p>
      <w:pPr>
        <w:spacing w:after="0" w:line="14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addition, we maintain an uncommitted line of credit facility in China which is available to fund operations in this region, when necessary, at the discretion of the lender. At December 31, 2024, the aggregate amount of borrowing capacity under this facility was $10.0, while there were no borrowings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Life Insurance</w:t>
      </w:r>
    </w:p>
    <w:p>
      <w:pPr>
        <w:spacing w:after="0" w:line="17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The Company has investments in COLI policies, which are recorded at their cash surrender value at each balance sheet date. The Company has the ability to borrow against a portion of its investments in the COLI policies as an additional source of liquidity. During 2024, the Company borrowed $41.2 against the cash surrender value of these COLI policies, after which minimal capacity to borrow against the policies remains. Such borrowings were primarily used to pay down amounts payable under the revolving credit facility. The amounts borrowed incur interest at a weighted-average rate of 5.3%. See Note 1 for additional details of the COLI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Financial Instruments and Concentrations of Credit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52"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2020, we entered into interest swap agreements (“Initial Swaps”) that covered the period through November 2024, and effectively converted borrowings under our senior credit facilities to a fixed rate of 1.077%, plus the applicable margin. In September 2024, commensurate with the Second Amendment, we entered into additional interest rate swap agreements (“Additional Swaps”). The Additional Swaps have a notional amount of $524.6, cover the period from December 2024 to June 2026, and effectively convert this portion of the borrowings under our senior credit facilities to a fixed rate of 3.58%, plus the applicable margin. We have designated, and are accounting for, our Additional Swaps (and, prior to their maturity, accounted for the Initial Swaps) as cash flow hedges.</w:t>
      </w:r>
    </w:p>
    <w:p>
      <w:pPr>
        <w:spacing w:after="0" w:line="21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connection with an August 2022 amendment of the Credit Agreement, the Initial Swaps were amended to be based on SOFR as opposed to LIBOR. As mentioned in Note 3, we applied the optional expedient per ASU No. 2020-04, No. 2021-01, and 2022-06 and, thus, continued to designate and account for the Initial Swaps as cash flow hedges.</w:t>
      </w:r>
    </w:p>
    <w:p>
      <w:pPr>
        <w:spacing w:after="0" w:line="207"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2024 and 2023, the unrealized gain, net of tax, recorded in AOCI was $2.6 and $5.7, respectively. In addition, as of December 31, 2024 and 2023, the fair value of our interest rate swap agreements was $3.4 (with $2.7 recorded as a current asset and $0.7 as a non-current asset) and $7.5 recorded as a current asset, respectively. Changes in fair value of our interest rate swap agreements are reclassified into earnings as a component of interest expense when the forecasted transaction impacts earnings.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Forward Contracts</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Canadian Dollar, and Euro.</w:t>
      </w:r>
    </w:p>
    <w:p>
      <w:pPr>
        <w:spacing w:after="0" w:line="114"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From time to time, we enter into forward contracts to manage the exposure on contracts with forecasted transactions denominated in non-functional currencies which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the cumulative change in the derivatives’ fair value is recorded into earnings in the period in which the transaction is no longer considered probable of occurring.</w:t>
      </w:r>
    </w:p>
    <w:p>
      <w:pPr>
        <w:spacing w:after="0" w:line="10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had FX forward contracts with an aggregate notional amount of $22.9 and $9.4 outstanding as of December 31, 2024 and 2023, respectively, with all of the $22.9 scheduled to mature within one year. There were no unrealized gains/losses recorded in AOCI related to FX forward contracts designated as cash flow hedges as of December 31, 2024 and 2023. The fair value of our FX forward contracts was less than $0.1 at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2" w:name="page103"/>
    <w:bookmarkEnd w:id="102"/>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and a fair value of $1.3, which was included within “Assets of DBT and Heat Transfer” on the consolidated balance sheet as of December 31, 2023. We designated and accounted for these FX forward contracts as fair value hedges. These FX forward contracts matured during the third quarter of 2024 commensurate with the final payment under the Settlement Agreement, resulting in cash received of $2.0 presented within “Net cash used in discontinued operations” within the consolidated statement of cash flows for the year ended December 31, 2024. Refer to Note 4 for additional details.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52"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COLI policies, interest rate swaps, and FX forward contracts. These financial instruments, other than trade accounts receivable, are placed with high-quality financial institutions throughout the world. We periodically evaluate the credit standing of these financial institutions.</w:t>
      </w:r>
    </w:p>
    <w:p>
      <w:pPr>
        <w:spacing w:after="0" w:line="11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significant loss, and believe we are not exposed to significant risk of loss, in these accounts.</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1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16" w:lineRule="exact"/>
        <w:rPr>
          <w:sz w:val="20"/>
          <w:szCs w:val="20"/>
          <w:color w:val="auto"/>
        </w:rPr>
      </w:pPr>
    </w:p>
    <w:p>
      <w:pPr>
        <w:ind w:right="7800" w:firstLine="6"/>
        <w:spacing w:after="0" w:line="406" w:lineRule="auto"/>
        <w:tabs>
          <w:tab w:leader="none" w:pos="33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 and Other Matters General</w:t>
      </w:r>
    </w:p>
    <w:p>
      <w:pPr>
        <w:spacing w:after="0" w:line="2"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claims for contingent consideration on prior acquisitions, product liability matters (which, prior to the Asbestos Portfolio Sale, were predominately associated with alleged exposure to asbestos-containing materials),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among other lines of coverage,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42"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matters, totaled $39.9 and $37.9 at December 31, 2024 and 2023, respectively. Of these amounts, $32.0 and $29.4 are included in “Other long-term liabilities” within our consolidated balance sheets at December 31, 2024 and 2023,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 in future periods.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 for Contingent Consideration Related to ULC Acquisition</w:t>
      </w:r>
    </w:p>
    <w:p>
      <w:pPr>
        <w:spacing w:after="0" w:line="24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for additional cash consideration of up to $45.0 under an earn-out provision. During the third quarter of 2021, we concluded that none of the milestones for the payment of any of the contingent consideration were achieved.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3" w:name="page104"/>
    <w:bookmarkEnd w:id="103"/>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May 20, 2024, we entered into a settlement agreement with the seller of ULC to resolve a lawsuit that commenced in August 2022 seeking contingent consideration of $15.0, prejudgment interest on that amount, and attorney's fees. The settlement agreement required a payment by us to the seller of ULC of $8.4, which was paid during the second quarter of 2024, with a corresponding charge recorded within “Other operating expense, net” within the consolidated statement of operations for the year ended December 31, 2024. We expect this payment to be tax deductible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of Dispute with Former Representative</w:t>
      </w:r>
    </w:p>
    <w:p>
      <w:pPr>
        <w:spacing w:after="0" w:line="24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 in connection with an agreement entered into with a former representative. On January 26, 2024, we negotiated a settlement requiring a payment to the former representative of $9.0 to resolve all claims related to the matter. This amount was recorded to “Other operating expense, net” within the consolidated statement of operations for the year ended December 31, 2023 and paid during the first quarter of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Matters</w:t>
      </w:r>
    </w:p>
    <w:p>
      <w:pPr>
        <w:spacing w:after="0" w:line="24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As indicated in Note 1, we completed the Asbestos Portfolio Sale on November 1, 2022, which resulted in the divestiture of three wholly-owned subsidiaries that hold asbestos liabilities and certain assets, including related insurance assets. As a result of this transaction, all asbestos obligations and liabilities and related insurance assets have been removed from our consolidated balance sheets effective November 12, 2022. During the year ended December 31, 2022, our payments for asbestos-related claims, net of respective insurance recoveries of $31.6, were $20.1.</w:t>
      </w:r>
    </w:p>
    <w:p>
      <w:pPr>
        <w:spacing w:after="0" w:line="11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2022, we recorded charges of $24.2 as a result of changes in estimates associated with the liabilities and assets related to asbestos-related claims. Of these charges, $18.8 were reflected in “Income from continuing operations before income taxes” and $5.4 were reflected in “Loss on disposition of discontinued operations, net of tax.”</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 Power Projects in South Africa</w:t>
      </w:r>
    </w:p>
    <w:p>
      <w:pPr>
        <w:spacing w:after="0" w:line="150"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 Since 2008, DBT had been executing on two large power projects in South Africa (Kusile and Medupi), on which it has completed its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 had asserted claims against the remaining prime contractor, MHI, and MHI had asserted, or issued letters of intent to claim for, alleged damages against DBT. On September 5, 2023, DBT and SPX entered into the Settlement Agreement to resolve all claims between the parties with respect to the two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4 for additional details.</w:t>
      </w:r>
    </w:p>
    <w:p>
      <w:pPr>
        <w:spacing w:after="0" w:line="21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Claim against Surety </w:t>
      </w:r>
      <w:r>
        <w:rPr>
          <w:rFonts w:ascii="Times New Roman" w:cs="Times New Roman" w:eastAsia="Times New Roman" w:hAnsi="Times New Roman"/>
          <w:sz w:val="18"/>
          <w:szCs w:val="18"/>
          <w:color w:val="auto"/>
        </w:rPr>
        <w:t>- On February 5, 2021, DBT received payment of $6.7 on bonds issued in support of performance by one of DBT’s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currently in liquidation. The subcontractor or liquidator maintain rights to seek recovery of such amount and, thus, the amount received by DBT has not been reflected in our consolidated statements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38"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18"/>
          <w:szCs w:val="18"/>
          <w:color w:val="auto"/>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04" w:name="page105"/>
    <w:bookmarkEnd w:id="104"/>
    <w:p>
      <w:pPr>
        <w:jc w:val="both"/>
        <w:ind w:firstLine="396"/>
        <w:spacing w:after="0" w:line="248" w:lineRule="auto"/>
        <w:rPr>
          <w:sz w:val="20"/>
          <w:szCs w:val="20"/>
          <w:color w:val="auto"/>
        </w:rPr>
      </w:pPr>
      <w:r>
        <w:rPr>
          <w:rFonts w:ascii="Times New Roman" w:cs="Times New Roman" w:eastAsia="Times New Roman" w:hAnsi="Times New Roman"/>
          <w:sz w:val="18"/>
          <w:szCs w:val="18"/>
          <w:color w:val="auto"/>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spacing w:after="0" w:line="111" w:lineRule="exact"/>
        <w:rPr>
          <w:sz w:val="20"/>
          <w:szCs w:val="20"/>
          <w:color w:val="auto"/>
        </w:rPr>
      </w:pPr>
    </w:p>
    <w:p>
      <w:pPr>
        <w:jc w:val="both"/>
        <w:ind w:firstLine="396"/>
        <w:spacing w:after="0" w:line="263" w:lineRule="auto"/>
        <w:rPr>
          <w:sz w:val="20"/>
          <w:szCs w:val="20"/>
          <w:color w:val="auto"/>
        </w:rPr>
      </w:pPr>
      <w:r>
        <w:rPr>
          <w:rFonts w:ascii="Times New Roman" w:cs="Times New Roman" w:eastAsia="Times New Roman" w:hAnsi="Times New Roman"/>
          <w:sz w:val="17"/>
          <w:szCs w:val="17"/>
          <w:color w:val="auto"/>
        </w:rPr>
        <w:t>In the case of contamination at offsite, third-party disposal sites, as of December 31, 2024 and 2023,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spacing w:after="0" w:line="11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In our opinion, after considering accruals established for such purposes of $27.4 and $24.1 at December 31, 2024 and 2023,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regulations, or stricter interpretations of existing laws and regulations will not materially affect our business or operations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Self-Insured Risk Management Matters</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potential loss exposures.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Agreements</w:t>
      </w:r>
    </w:p>
    <w:p>
      <w:pPr>
        <w:spacing w:after="0" w:line="152"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The Board of Directors has approved an employment agreement for our President and Chief Executive Officer. This agreement had an initial term through December 31, 2017 and, thereafter, rolling terms of one year, and specifies the executive’s current compensation, benefits and perquisites, severance entitlements, and other employment rights and responsibilities. The Compensation Committee of the Board of Directors has approved severance benefit agreements for our other six executive officers. These agreements cover each executive’s entitlements in the event that the executive’s employment is terminated for other than cause, death or disability, or the executive resigns with good reason. The Compensation Committee of the Board of Directors has also approved change of control agreements for each of our executive officers, which cover each executive’s entitlements following a change of control.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5" w:name="page106"/>
    <w:bookmarkEnd w:id="105"/>
    <w:p>
      <w:pPr>
        <w:ind w:right="6220" w:firstLine="6"/>
        <w:spacing w:after="0" w:line="406" w:lineRule="auto"/>
        <w:tabs>
          <w:tab w:leader="none" w:pos="33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Long-Term Incentive Compensation Income Per Share</w:t>
      </w:r>
    </w:p>
    <w:p>
      <w:pPr>
        <w:spacing w:after="0" w:line="1"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computations of the components used for the calculation of basic and diluted income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00" w:type="dxa"/>
            <w:vAlign w:val="bottom"/>
            <w:tcBorders>
              <w:bottom w:val="single" w:sz="8" w:color="auto"/>
            </w:tcBorders>
            <w:shd w:val="clear" w:color="auto" w:fill="CCEEFF"/>
          </w:tcPr>
          <w:p>
            <w:pPr>
              <w:jc w:val="right"/>
              <w:ind w:right="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number of common shares used in basic income per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45.545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45.345</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Dilutive securities — Employee stock options and restricted stock units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0.876</w:t>
            </w:r>
          </w:p>
        </w:tc>
        <w:tc>
          <w:tcPr>
            <w:tcW w:w="0" w:type="dxa"/>
            <w:vAlign w:val="bottom"/>
          </w:tcPr>
          <w:p>
            <w:pPr>
              <w:spacing w:after="0"/>
              <w:rPr>
                <w:sz w:val="1"/>
                <w:szCs w:val="1"/>
                <w:color w:val="auto"/>
              </w:rPr>
            </w:pPr>
          </w:p>
        </w:tc>
      </w:tr>
      <w:tr>
        <w:trPr>
          <w:trHeight w:val="23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number of common shares and dilutive securities used in diluted income per share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46.612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2024, 2023, and 2022, 0.119, 0.179, and 0.240, respectively, of unvested restricted stock units were excluded from the computation of diluted earnings per share as the assumed proceeds for these instruments exceeded the average market value of the underlying common stock for the related years. For the years ended December 31, 2024, 2023, and 2022, 0.280, 0.512, and 0.695, respectively, of outstanding stock options were excluded from the computation of diluted earnings per share as the assumed proceeds for these instruments exceeded the average market value of the underlying common stock for the related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Treasury Stock</w:t>
      </w:r>
    </w:p>
    <w:p>
      <w:pPr>
        <w:spacing w:after="0" w:line="13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May 14, 2024, May 9, 2023, and May 10, 2022, our Board of Directors re-authorized management, in its sole discretion, to repurchase, in any fiscal year, up to $100.0 of our common stock, subject to maintaining compliance with all covenants of our Credit Agreement. Pursuant to this authorization, during the second quarter of 2022, we repurchased 0.707 shares of our common stock for aggregate cash payments of $33.7. As of December 31, 2024, the maximum approximate amount of our common stock that may be purchased under this authorization is $100.0.</w:t>
      </w:r>
    </w:p>
    <w:p>
      <w:pPr>
        <w:spacing w:after="0" w:line="11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At December 31, 2024, we had 200.0 authorized shares of common stock (par value $0.01). Common shares issued, treasury shares and shares outstanding are summarized in the table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92"/>
        </w:trPr>
        <w:tc>
          <w:tcPr>
            <w:tcW w:w="7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45.468</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0.191</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(0.707)</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0.340</w:t>
            </w:r>
          </w:p>
        </w:tc>
      </w:tr>
      <w:tr>
        <w:trPr>
          <w:trHeight w:val="207"/>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53.351</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0.115</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0.268</w:t>
            </w:r>
          </w:p>
        </w:tc>
      </w:tr>
      <w:tr>
        <w:trPr>
          <w:trHeight w:val="20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53.619</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45.675</w:t>
            </w:r>
          </w:p>
        </w:tc>
      </w:tr>
      <w:tr>
        <w:trPr>
          <w:trHeight w:val="21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0.116</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0.577</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0.577</w:t>
            </w:r>
          </w:p>
        </w:tc>
      </w:tr>
      <w:tr>
        <w:trPr>
          <w:trHeight w:val="232"/>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38"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May 9, 2019, our stockholders approved our 2019 Stock Compensation Plan (the “2019 Plan”) which replaced our 2002 Stock Compensation Plan, as amended in 2006, 2011, 2012 and 2015 (the “Prior Plan”). As a result of the approval of the 2019 Plan, no further awards were permitted to be made under the Prior Plan. Up to 3.409 shares of our common stock were available for grant at December 31, 2024 under the 2019 Plan. The 2019 Plan permits the issuance of new shares or shares from treasury upon the exercise of options, vesting of time-based restricted stock units (“RSU’s”) and performance stock units (“PSU’s”). Each RSU and PSU granted reduces availability by two shares. Similar awards were permitted to be granted under the Prior Plan before the approval of the 2019 Plan.</w:t>
      </w:r>
    </w:p>
    <w:p>
      <w:pPr>
        <w:spacing w:after="0" w:line="119" w:lineRule="exact"/>
        <w:rPr>
          <w:sz w:val="20"/>
          <w:szCs w:val="20"/>
          <w:color w:val="auto"/>
        </w:rPr>
      </w:pPr>
    </w:p>
    <w:p>
      <w:pPr>
        <w:jc w:val="both"/>
        <w:ind w:firstLine="396"/>
        <w:spacing w:after="0" w:line="267" w:lineRule="auto"/>
        <w:rPr>
          <w:sz w:val="20"/>
          <w:szCs w:val="20"/>
          <w:color w:val="auto"/>
        </w:rPr>
      </w:pPr>
      <w:r>
        <w:rPr>
          <w:rFonts w:ascii="Times New Roman" w:cs="Times New Roman" w:eastAsia="Times New Roman" w:hAnsi="Times New Roman"/>
          <w:sz w:val="17"/>
          <w:szCs w:val="17"/>
          <w:color w:val="auto"/>
        </w:rPr>
        <w:t>PSU’s and RSU’s may be granted to certain eligible employees or non-employee directors in accordance with applicable equity compensation plan documents and agreements. Subject to participants’ continued employment and other plan terms and conditions, the restrictions lapse and awards generally vest over a period of time, generally one or three years. In some instances, such as death, disability, or retirement, stock may vest concurrently with or following an employee’s termination. PSU’s are eligible to vest at the end of the performance period, with performance based on the total return of our stock over the three-year performance period against a peer group within the S&amp;P 600 Small Cap Capital Goods Index and S&amp;P 400 Mid Cap Capital Goods Index, while the RSU’s vest based on the passage of time since grant date. PSU’s and RSU’s that do not vest within the applicable vesting period are forfeited.</w:t>
      </w:r>
    </w:p>
    <w:p>
      <w:pPr>
        <w:spacing w:after="0" w:line="10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grant RSU’s to non-employee directors under the 2019 Plan. The 2024, 2023 and 2022 grants to non-employee directors generally vest over a 1 year-period, with the 2024 grants of 0.008 RSU’s scheduled to vest in their entirety immediately prior to the annual meeting of stockholders in May 2025.</w:t>
      </w:r>
    </w:p>
    <w:p>
      <w:pPr>
        <w:spacing w:after="0" w:line="89"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Stock options may be granted to key employees in the form of incentive stock options or non-qualified stock options. The option price per share may be no less than the fair market value of our common stock at the close of business the day prior to the date of grant. Upon exercise, the employee has the option to surrender previously owned shares at current value in payment of the exercise price and/or for withholding tax obligations.</w:t>
      </w:r>
    </w:p>
    <w:p>
      <w:pPr>
        <w:spacing w:after="0" w:line="114"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17"/>
          <w:szCs w:val="17"/>
          <w:color w:val="auto"/>
        </w:rPr>
        <w:t>The recognition of compensation expense for share-based awards, including stock options, is based on their grant date fair values. The fair value of each award is amortized over the lesser of the award’s requisite or derived service period, which is generally up to three years. Compensation expense within income from continuing operations related to PSU’s, RSU’s and stock options totaled $15.0, $13.4 and $10.9 for the years ended December 31, 2024, 2023, and 2022, respectively, with the related tax benefit being $2.6, $2.3 and $1.7 for the years ended December 31, 2024, 2023, and 2022, respectively.</w:t>
      </w:r>
    </w:p>
    <w:p>
      <w:pPr>
        <w:spacing w:after="0" w:line="101"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We use the Monte Carlo simulation model valuation technique to determine fair value of our restricted stock awards that contain a market condition (i.e., the PSU’s). The Monte Carlo simulation model utilizes multiple input variables that determine the probability of satisfying the market condition stipulated in the award and calculates the fair value of each PSU. We issued PSU’s to eligible participants on February 28, 2024, March 1, 2023, and March 1, 2022. We used the following assumptions in determining the fair value of these awards: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9"/>
              </w:rPr>
              <w:t>Correlation</w:t>
            </w: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Between Total</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ind w:right="27"/>
              <w:spacing w:after="0" w:line="143"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5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20" w:type="dxa"/>
            <w:vAlign w:val="bottom"/>
          </w:tcPr>
          <w:p>
            <w:pPr>
              <w:jc w:val="center"/>
              <w:ind w:right="27"/>
              <w:spacing w:after="0" w:line="134" w:lineRule="exact"/>
              <w:rPr>
                <w:sz w:val="20"/>
                <w:szCs w:val="20"/>
                <w:color w:val="auto"/>
              </w:rPr>
            </w:pPr>
            <w:r>
              <w:rPr>
                <w:rFonts w:ascii="Times New Roman" w:cs="Times New Roman" w:eastAsia="Times New Roman" w:hAnsi="Times New Roman"/>
                <w:sz w:val="14"/>
                <w:szCs w:val="14"/>
                <w:b w:val="1"/>
                <w:bCs w:val="1"/>
                <w:color w:val="auto"/>
                <w:w w:val="99"/>
              </w:rPr>
              <w:t>Return for SPX</w:t>
            </w: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48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Annual Expected</w:t>
            </w:r>
          </w:p>
        </w:tc>
        <w:tc>
          <w:tcPr>
            <w:tcW w:w="158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52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and the</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500" w:type="dxa"/>
            <w:vAlign w:val="bottom"/>
          </w:tcPr>
          <w:p>
            <w:pPr>
              <w:jc w:val="center"/>
              <w:ind w:right="104"/>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Stock Price</w:t>
            </w:r>
          </w:p>
        </w:tc>
        <w:tc>
          <w:tcPr>
            <w:tcW w:w="14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20" w:type="dxa"/>
            <w:vAlign w:val="bottom"/>
          </w:tcPr>
          <w:p>
            <w:pPr>
              <w:jc w:val="center"/>
              <w:ind w:right="27"/>
              <w:spacing w:after="0" w:line="143"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3"/>
        </w:trPr>
        <w:tc>
          <w:tcPr>
            <w:tcW w:w="5160" w:type="dxa"/>
            <w:vAlign w:val="bottom"/>
          </w:tcPr>
          <w:p>
            <w:pPr>
              <w:spacing w:after="0"/>
              <w:rPr>
                <w:sz w:val="16"/>
                <w:szCs w:val="16"/>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14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Dividend Yield</w:t>
            </w:r>
          </w:p>
        </w:tc>
        <w:tc>
          <w:tcPr>
            <w:tcW w:w="1580" w:type="dxa"/>
            <w:vAlign w:val="bottom"/>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5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S&amp;P Index</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28, 2024</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32.26 %</w:t>
            </w: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4.41 %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49.34 %</w:t>
            </w:r>
          </w:p>
        </w:tc>
        <w:tc>
          <w:tcPr>
            <w:tcW w:w="0" w:type="dxa"/>
            <w:vAlign w:val="bottom"/>
          </w:tcPr>
          <w:p>
            <w:pPr>
              <w:spacing w:after="0"/>
              <w:rPr>
                <w:sz w:val="1"/>
                <w:szCs w:val="1"/>
                <w:color w:val="auto"/>
              </w:rPr>
            </w:pPr>
          </w:p>
        </w:tc>
      </w:tr>
      <w:tr>
        <w:trPr>
          <w:trHeight w:val="160"/>
        </w:trPr>
        <w:tc>
          <w:tcPr>
            <w:tcW w:w="51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Peer group within S&amp;P 600 Small Cap Capital Goods Index and S&amp;P 400 Mid</w:t>
            </w:r>
          </w:p>
        </w:tc>
        <w:tc>
          <w:tcPr>
            <w:tcW w:w="150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37.00 %</w:t>
            </w:r>
          </w:p>
        </w:tc>
        <w:tc>
          <w:tcPr>
            <w:tcW w:w="14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4.41 %</w:t>
            </w: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 Capital Goods Index</w:t>
            </w:r>
          </w:p>
        </w:tc>
        <w:tc>
          <w:tcPr>
            <w:tcW w:w="150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2023</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35.72 %</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4.60 %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57.87 %</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Peer group within S&amp;P 600 Capital Goods Index</w:t>
            </w:r>
          </w:p>
        </w:tc>
        <w:tc>
          <w:tcPr>
            <w:tcW w:w="15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43.92 %</w:t>
            </w: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4.60 %</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1, 2022</w:t>
            </w:r>
          </w:p>
        </w:tc>
        <w:tc>
          <w:tcPr>
            <w:tcW w:w="1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SPX</w:t>
            </w:r>
          </w:p>
        </w:tc>
        <w:tc>
          <w:tcPr>
            <w:tcW w:w="15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43.04 %</w:t>
            </w: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1.44 %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62.44 %</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within S&amp;P 600 Capital Goods Index</w:t>
            </w:r>
          </w:p>
        </w:tc>
        <w:tc>
          <w:tcPr>
            <w:tcW w:w="15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50.98 %</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1.44 %</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Annual expected stock price volatility is based on the three-year historical volatility. There is no annual expected dividend yield as we discontinued dividend payments in 2015 and do not expect to pay dividends for the foreseeable future. The average risk-free interest rate is based on the one-year through three-year daily treasury yield curve rate as of the grant date.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7" w:name="page108"/>
    <w:bookmarkEnd w:id="107"/>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PSU and RSU activity from December 31, 2021 through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Unvested PSU’s and</w:t>
            </w:r>
          </w:p>
        </w:tc>
        <w:tc>
          <w:tcPr>
            <w:tcW w:w="100" w:type="dxa"/>
            <w:vAlign w:val="bottom"/>
          </w:tcPr>
          <w:p>
            <w:pPr>
              <w:spacing w:after="0"/>
              <w:rPr>
                <w:sz w:val="13"/>
                <w:szCs w:val="13"/>
                <w:color w:val="auto"/>
              </w:rPr>
            </w:pPr>
          </w:p>
        </w:tc>
        <w:tc>
          <w:tcPr>
            <w:tcW w:w="12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5"/>
        </w:trPr>
        <w:tc>
          <w:tcPr>
            <w:tcW w:w="8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91"/>
        </w:trPr>
        <w:tc>
          <w:tcPr>
            <w:tcW w:w="85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RSU’s</w:t>
            </w:r>
          </w:p>
        </w:tc>
        <w:tc>
          <w:tcPr>
            <w:tcW w:w="100" w:type="dxa"/>
            <w:vAlign w:val="bottom"/>
          </w:tcPr>
          <w:p>
            <w:pPr>
              <w:spacing w:after="0"/>
              <w:rPr>
                <w:sz w:val="16"/>
                <w:szCs w:val="16"/>
                <w:color w:val="auto"/>
              </w:rPr>
            </w:pPr>
          </w:p>
        </w:tc>
        <w:tc>
          <w:tcPr>
            <w:tcW w:w="12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300" w:type="dxa"/>
            <w:vAlign w:val="bottom"/>
            <w:tcBorders>
              <w:top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0.636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8"/>
              </w:rPr>
              <w:t>(0.332)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8"/>
              </w:rPr>
              <w:t>(0.081)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3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0.530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8"/>
              </w:rPr>
              <w:t>(0.190)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8"/>
              </w:rPr>
              <w:t>(0.005)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300" w:type="dxa"/>
            <w:vAlign w:val="bottom"/>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0.510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0" w:type="dxa"/>
            <w:vAlign w:val="bottom"/>
          </w:tcPr>
          <w:p>
            <w:pPr>
              <w:spacing w:after="0"/>
              <w:rPr>
                <w:sz w:val="1"/>
                <w:szCs w:val="1"/>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00" w:type="dxa"/>
            <w:vAlign w:val="bottom"/>
          </w:tcPr>
          <w:p>
            <w:pPr>
              <w:jc w:val="center"/>
              <w:ind w:left="742"/>
              <w:spacing w:after="0"/>
              <w:rPr>
                <w:sz w:val="20"/>
                <w:szCs w:val="20"/>
                <w:color w:val="auto"/>
              </w:rPr>
            </w:pPr>
            <w:r>
              <w:rPr>
                <w:rFonts w:ascii="Times New Roman" w:cs="Times New Roman" w:eastAsia="Times New Roman" w:hAnsi="Times New Roman"/>
                <w:sz w:val="16"/>
                <w:szCs w:val="16"/>
                <w:color w:val="auto"/>
                <w:w w:val="99"/>
              </w:rPr>
              <w:t>0.152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124.82</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300" w:type="dxa"/>
            <w:vAlign w:val="bottom"/>
            <w:shd w:val="clear" w:color="auto" w:fill="CCEEFF"/>
          </w:tcPr>
          <w:p>
            <w:pPr>
              <w:jc w:val="center"/>
              <w:ind w:left="722"/>
              <w:spacing w:after="0"/>
              <w:rPr>
                <w:sz w:val="20"/>
                <w:szCs w:val="20"/>
                <w:color w:val="auto"/>
              </w:rPr>
            </w:pPr>
            <w:r>
              <w:rPr>
                <w:rFonts w:ascii="Times New Roman" w:cs="Times New Roman" w:eastAsia="Times New Roman" w:hAnsi="Times New Roman"/>
                <w:sz w:val="16"/>
                <w:szCs w:val="16"/>
                <w:color w:val="auto"/>
                <w:w w:val="98"/>
              </w:rPr>
              <w:t>(0.200)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jc w:val="center"/>
              <w:ind w:left="722"/>
              <w:spacing w:after="0"/>
              <w:rPr>
                <w:sz w:val="20"/>
                <w:szCs w:val="20"/>
                <w:color w:val="auto"/>
              </w:rPr>
            </w:pPr>
            <w:r>
              <w:rPr>
                <w:rFonts w:ascii="Times New Roman" w:cs="Times New Roman" w:eastAsia="Times New Roman" w:hAnsi="Times New Roman"/>
                <w:sz w:val="16"/>
                <w:szCs w:val="16"/>
                <w:color w:val="auto"/>
                <w:w w:val="98"/>
              </w:rPr>
              <w:t>(0.016)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0" w:type="dxa"/>
            <w:vAlign w:val="bottom"/>
          </w:tcPr>
          <w:p>
            <w:pPr>
              <w:spacing w:after="0"/>
              <w:rPr>
                <w:sz w:val="1"/>
                <w:szCs w:val="1"/>
                <w:color w:val="auto"/>
              </w:rPr>
            </w:pPr>
          </w:p>
        </w:tc>
      </w:tr>
      <w:tr>
        <w:trPr>
          <w:trHeight w:val="232"/>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300" w:type="dxa"/>
            <w:vAlign w:val="bottom"/>
            <w:tcBorders>
              <w:bottom w:val="single" w:sz="8" w:color="auto"/>
            </w:tcBorders>
            <w:shd w:val="clear" w:color="auto" w:fill="CCEEFF"/>
          </w:tcPr>
          <w:p>
            <w:pPr>
              <w:jc w:val="center"/>
              <w:ind w:left="742"/>
              <w:spacing w:after="0"/>
              <w:rPr>
                <w:sz w:val="20"/>
                <w:szCs w:val="20"/>
                <w:color w:val="auto"/>
              </w:rPr>
            </w:pPr>
            <w:r>
              <w:rPr>
                <w:rFonts w:ascii="Times New Roman" w:cs="Times New Roman" w:eastAsia="Times New Roman" w:hAnsi="Times New Roman"/>
                <w:sz w:val="16"/>
                <w:szCs w:val="16"/>
                <w:color w:val="auto"/>
                <w:w w:val="99"/>
              </w:rPr>
              <w:t>0.446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8"/>
          <w:szCs w:val="18"/>
          <w:color w:val="auto"/>
        </w:rPr>
        <w:t>As of December 31, 2024, there was $14.7 of unrecognized compensation cost related to PSU’s and RSU’s. We expect this cost to be recognized over a weighted-average period of 1.9 years.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On February 28, 2024, March 1, 2023, and March 1, 2022, we granted stock options totaling 0.052, 0.074, and 0.105, respectively. The exercise price per share of these options is $116.40, $71.93, and $48.97, respectively, and the maximum contractual term of these options is ten years.</w:t>
      </w:r>
    </w:p>
    <w:p>
      <w:pPr>
        <w:spacing w:after="0" w:line="10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fair value of each stock option granted on February 28, 2024 and March 1, 2023 and 2022, was $50.84, $31.20, and $19.33, respectively. The fair value of each option grant was estimated using a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28, 2024</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1, 2023</w:t>
            </w:r>
          </w:p>
        </w:tc>
        <w:tc>
          <w:tcPr>
            <w:tcW w:w="17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March 1, 2022</w:t>
            </w:r>
          </w:p>
        </w:tc>
      </w:tr>
      <w:tr>
        <w:trPr>
          <w:trHeight w:val="24"/>
        </w:trPr>
        <w:tc>
          <w:tcPr>
            <w:tcW w:w="60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expected stock price volatility</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37.43 %</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38.62 %</w:t>
            </w: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Annual expected dividend yield</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r>
      <w:tr>
        <w:trPr>
          <w:trHeight w:val="20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of stock option (in years)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bl>
    <w:p>
      <w:pPr>
        <w:spacing w:after="0" w:line="25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Annual expected stock price volatility for the February 28, 2024 and March 1, 2023 and 2022 grants were based on a weighted-average of SPX’s stock volatility of the most recent six-year historical volatility of a peer company group. There is no annual expected dividend yield as we discontinued dividend payments in 2015 and do not expect to pay dividends for the foreseeable future. The average risk-free interest rate is based on the five-year and seven-year treasury constant maturity rates. The expected option life is based on a three-year pro-rata vesting schedule and represents the period of time that awards are expected to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8" w:name="page109"/>
    <w:bookmarkEnd w:id="108"/>
    <w:p>
      <w:pPr>
        <w:ind w:left="400"/>
        <w:spacing w:after="0"/>
        <w:rPr>
          <w:sz w:val="20"/>
          <w:szCs w:val="20"/>
          <w:color w:val="auto"/>
        </w:rPr>
      </w:pPr>
      <w:r>
        <w:rPr>
          <w:rFonts w:ascii="Times New Roman" w:cs="Times New Roman" w:eastAsia="Times New Roman" w:hAnsi="Times New Roman"/>
          <w:sz w:val="18"/>
          <w:szCs w:val="18"/>
          <w:color w:val="auto"/>
        </w:rPr>
        <w:t>The following table shows stock option activity from December 31, 2021 through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5"/>
        </w:trPr>
        <w:tc>
          <w:tcPr>
            <w:tcW w:w="8780" w:type="dxa"/>
            <w:vAlign w:val="bottom"/>
          </w:tcPr>
          <w:p>
            <w:pPr>
              <w:spacing w:after="0"/>
              <w:rPr>
                <w:sz w:val="12"/>
                <w:szCs w:val="12"/>
                <w:color w:val="auto"/>
              </w:rPr>
            </w:pP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1"/>
        </w:trPr>
        <w:tc>
          <w:tcPr>
            <w:tcW w:w="87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0" w:type="dxa"/>
            <w:vAlign w:val="bottom"/>
          </w:tcPr>
          <w:p>
            <w:pPr>
              <w:spacing w:after="0"/>
              <w:rPr>
                <w:sz w:val="1"/>
                <w:szCs w:val="1"/>
                <w:color w:val="auto"/>
              </w:rPr>
            </w:pP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0" w:type="dxa"/>
            <w:vAlign w:val="bottom"/>
          </w:tcPr>
          <w:p>
            <w:pPr>
              <w:spacing w:after="0"/>
              <w:rPr>
                <w:sz w:val="1"/>
                <w:szCs w:val="1"/>
                <w:color w:val="auto"/>
              </w:rPr>
            </w:pP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0" w:type="dxa"/>
            <w:vAlign w:val="bottom"/>
          </w:tcPr>
          <w:p>
            <w:pPr>
              <w:spacing w:after="0"/>
              <w:rPr>
                <w:sz w:val="1"/>
                <w:szCs w:val="1"/>
                <w:color w:val="auto"/>
              </w:rPr>
            </w:pPr>
          </w:p>
        </w:tc>
      </w:tr>
      <w:tr>
        <w:trPr>
          <w:trHeight w:val="20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0" w:type="dxa"/>
            <w:vAlign w:val="bottom"/>
          </w:tcPr>
          <w:p>
            <w:pPr>
              <w:spacing w:after="0"/>
              <w:rPr>
                <w:sz w:val="1"/>
                <w:szCs w:val="1"/>
                <w:color w:val="auto"/>
              </w:rPr>
            </w:pPr>
          </w:p>
        </w:tc>
      </w:tr>
      <w:tr>
        <w:trPr>
          <w:trHeight w:val="232"/>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As of December 31, 2024, 0.641 of the above stock options were exercisable and there was $2.2 of unrecognized compensation cost related to the outstanding stock options. We expect this cost to be recognized over a weighted-average period of 2.0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year ended December 31, 2024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20" w:type="dxa"/>
            <w:vAlign w:val="bottom"/>
          </w:tcPr>
          <w:p>
            <w:pPr>
              <w:spacing w:after="0"/>
              <w:rPr>
                <w:sz w:val="13"/>
                <w:szCs w:val="13"/>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5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16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Postretirement Liability</w:t>
            </w: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Flow Hedges</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left="863"/>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843"/>
              <w:spacing w:after="0"/>
              <w:rPr>
                <w:sz w:val="20"/>
                <w:szCs w:val="20"/>
                <w:color w:val="auto"/>
              </w:rPr>
            </w:pPr>
            <w:r>
              <w:rPr>
                <w:rFonts w:ascii="Times New Roman" w:cs="Times New Roman" w:eastAsia="Times New Roman" w:hAnsi="Times New Roman"/>
                <w:sz w:val="16"/>
                <w:szCs w:val="16"/>
                <w:color w:val="auto"/>
                <w:w w:val="97"/>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2"/>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left="843"/>
              <w:spacing w:after="0"/>
              <w:rPr>
                <w:sz w:val="20"/>
                <w:szCs w:val="20"/>
                <w:color w:val="auto"/>
              </w:rPr>
            </w:pPr>
            <w:r>
              <w:rPr>
                <w:rFonts w:ascii="Times New Roman" w:cs="Times New Roman" w:eastAsia="Times New Roman" w:hAnsi="Times New Roman"/>
                <w:sz w:val="16"/>
                <w:szCs w:val="16"/>
                <w:color w:val="auto"/>
                <w:w w:val="97"/>
              </w:rPr>
              <w:t>(3.1)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32"/>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25" w:lineRule="exact"/>
        <w:rPr>
          <w:sz w:val="20"/>
          <w:szCs w:val="20"/>
          <w:color w:val="auto"/>
        </w:rPr>
      </w:pPr>
    </w:p>
    <w:p>
      <w:pPr>
        <w:ind w:left="460" w:hanging="137"/>
        <w:spacing w:after="0"/>
        <w:tabs>
          <w:tab w:leader="none" w:pos="46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$0.7 and $1.8 as of December 31, 2024 and 2023, respectively.</w:t>
      </w:r>
    </w:p>
    <w:p>
      <w:pPr>
        <w:spacing w:after="0" w:line="95" w:lineRule="exact"/>
        <w:rPr>
          <w:rFonts w:ascii="Times New Roman" w:cs="Times New Roman" w:eastAsia="Times New Roman" w:hAnsi="Times New Roman"/>
          <w:sz w:val="17"/>
          <w:szCs w:val="17"/>
          <w:color w:val="auto"/>
          <w:vertAlign w:val="superscript"/>
        </w:rPr>
      </w:pPr>
    </w:p>
    <w:p>
      <w:pPr>
        <w:ind w:left="480" w:hanging="157"/>
        <w:spacing w:after="0"/>
        <w:tabs>
          <w:tab w:leader="none" w:pos="467"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$1.0 and $1.8 as of December 31, 2024 and 2023, respectively. The balances as of December 31, 2024 and 2023 include unamortized prior service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09" w:name="page110"/>
    <w:bookmarkEnd w:id="109"/>
    <w:p>
      <w:pPr>
        <w:ind w:left="400"/>
        <w:spacing w:after="0"/>
        <w:rPr>
          <w:sz w:val="20"/>
          <w:szCs w:val="20"/>
          <w:color w:val="auto"/>
        </w:rPr>
      </w:pPr>
      <w:r>
        <w:rPr>
          <w:rFonts w:ascii="Times New Roman" w:cs="Times New Roman" w:eastAsia="Times New Roman" w:hAnsi="Times New Roman"/>
          <w:sz w:val="18"/>
          <w:szCs w:val="18"/>
          <w:color w:val="auto"/>
        </w:rPr>
        <w:t>The changes in the components of accumulated other comprehensive income, net of tax, for the year ended December 31, 2023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00" w:type="dxa"/>
            <w:vAlign w:val="bottom"/>
          </w:tcPr>
          <w:p>
            <w:pPr>
              <w:spacing w:after="0"/>
              <w:rPr>
                <w:sz w:val="13"/>
                <w:szCs w:val="13"/>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Pension and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5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00" w:type="dxa"/>
            <w:vAlign w:val="bottom"/>
          </w:tcPr>
          <w:p>
            <w:pPr>
              <w:spacing w:after="0"/>
              <w:rPr>
                <w:sz w:val="12"/>
                <w:szCs w:val="12"/>
                <w:color w:val="auto"/>
              </w:rPr>
            </w:pPr>
          </w:p>
        </w:tc>
        <w:tc>
          <w:tcPr>
            <w:tcW w:w="142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2"/>
                <w:szCs w:val="12"/>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4"/>
                <w:szCs w:val="14"/>
                <w:b w:val="1"/>
                <w:bCs w:val="1"/>
                <w:color w:val="auto"/>
                <w:w w:val="95"/>
              </w:rPr>
              <w:t xml:space="preserve">Flow Hedges </w:t>
            </w:r>
            <w:r>
              <w:rPr>
                <w:rFonts w:ascii="Times New Roman" w:cs="Times New Roman" w:eastAsia="Times New Roman" w:hAnsi="Times New Roman"/>
                <w:sz w:val="18"/>
                <w:szCs w:val="18"/>
                <w:b w:val="1"/>
                <w:bCs w:val="1"/>
                <w:color w:val="auto"/>
                <w:w w:val="95"/>
                <w:vertAlign w:val="superscript"/>
              </w:rPr>
              <w:t>(1)</w:t>
            </w:r>
          </w:p>
        </w:tc>
        <w:tc>
          <w:tcPr>
            <w:tcW w:w="162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4"/>
                <w:szCs w:val="14"/>
                <w:b w:val="1"/>
                <w:bCs w:val="1"/>
                <w:color w:val="auto"/>
                <w:w w:val="97"/>
              </w:rPr>
              <w:t xml:space="preserve">Liability Adjustment </w:t>
            </w:r>
            <w:r>
              <w:rPr>
                <w:rFonts w:ascii="Times New Roman" w:cs="Times New Roman" w:eastAsia="Times New Roman" w:hAnsi="Times New Roman"/>
                <w:sz w:val="18"/>
                <w:szCs w:val="18"/>
                <w:b w:val="1"/>
                <w:bCs w:val="1"/>
                <w:color w:val="auto"/>
                <w:w w:val="97"/>
                <w:vertAlign w:val="superscript"/>
              </w:rPr>
              <w:t>(2)</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0" w:type="dxa"/>
            <w:vAlign w:val="bottom"/>
          </w:tcPr>
          <w:p>
            <w:pPr>
              <w:spacing w:after="0"/>
              <w:rPr>
                <w:sz w:val="1"/>
                <w:szCs w:val="1"/>
                <w:color w:val="auto"/>
              </w:rPr>
            </w:pPr>
          </w:p>
        </w:tc>
      </w:tr>
      <w:tr>
        <w:trPr>
          <w:trHeight w:val="202"/>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8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2"/>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2"/>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91" w:lineRule="exact"/>
        <w:rPr>
          <w:sz w:val="20"/>
          <w:szCs w:val="20"/>
          <w:color w:val="auto"/>
        </w:rPr>
      </w:pPr>
    </w:p>
    <w:p>
      <w:pPr>
        <w:ind w:left="460" w:hanging="137"/>
        <w:spacing w:after="0"/>
        <w:tabs>
          <w:tab w:leader="none" w:pos="46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$1.8 and $3.7 as of December 31, 2023 and 2022, respectively.</w:t>
      </w:r>
    </w:p>
    <w:p>
      <w:pPr>
        <w:spacing w:after="0" w:line="95" w:lineRule="exact"/>
        <w:rPr>
          <w:rFonts w:ascii="Times New Roman" w:cs="Times New Roman" w:eastAsia="Times New Roman" w:hAnsi="Times New Roman"/>
          <w:sz w:val="17"/>
          <w:szCs w:val="17"/>
          <w:color w:val="auto"/>
          <w:vertAlign w:val="superscript"/>
        </w:rPr>
      </w:pPr>
    </w:p>
    <w:p>
      <w:pPr>
        <w:ind w:left="480" w:hanging="157"/>
        <w:spacing w:after="0"/>
        <w:tabs>
          <w:tab w:leader="none" w:pos="467"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Net of tax provision of $1.8 and $2.7 as of December 31, 2023 and 2022, respectively. The balances as of December 31, 2023 and 2022 include unamortized prior service credits.</w:t>
      </w:r>
    </w:p>
    <w:p>
      <w:pPr>
        <w:spacing w:after="0" w:line="328"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following summarizes amounts reclassified from each component of accumulated comprehensive income for the years ended December 31, 2024 and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vMerge w:val="restart"/>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Affected</w:t>
            </w:r>
          </w:p>
        </w:tc>
        <w:tc>
          <w:tcPr>
            <w:tcW w:w="0" w:type="dxa"/>
            <w:vAlign w:val="bottom"/>
          </w:tcPr>
          <w:p>
            <w:pPr>
              <w:spacing w:after="0"/>
              <w:rPr>
                <w:sz w:val="1"/>
                <w:szCs w:val="1"/>
                <w:color w:val="auto"/>
              </w:rPr>
            </w:pPr>
          </w:p>
        </w:tc>
      </w:tr>
      <w:tr>
        <w:trPr>
          <w:trHeight w:val="143"/>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Line Items</w:t>
            </w:r>
          </w:p>
        </w:tc>
        <w:tc>
          <w:tcPr>
            <w:tcW w:w="0" w:type="dxa"/>
            <w:vAlign w:val="bottom"/>
          </w:tcPr>
          <w:p>
            <w:pPr>
              <w:spacing w:after="0"/>
              <w:rPr>
                <w:sz w:val="1"/>
                <w:szCs w:val="1"/>
                <w:color w:val="auto"/>
              </w:rPr>
            </w:pPr>
          </w:p>
        </w:tc>
      </w:tr>
      <w:tr>
        <w:trPr>
          <w:trHeight w:val="145"/>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center"/>
              <w:ind w:left="485"/>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Reclassified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 the</w:t>
            </w: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tcPr>
          <w:p>
            <w:pPr>
              <w:jc w:val="center"/>
              <w:ind w:left="485"/>
              <w:spacing w:after="0" w:line="132" w:lineRule="exact"/>
              <w:rPr>
                <w:sz w:val="20"/>
                <w:szCs w:val="20"/>
                <w:color w:val="auto"/>
              </w:rPr>
            </w:pPr>
            <w:r>
              <w:rPr>
                <w:rFonts w:ascii="Times New Roman" w:cs="Times New Roman" w:eastAsia="Times New Roman" w:hAnsi="Times New Roman"/>
                <w:sz w:val="14"/>
                <w:szCs w:val="14"/>
                <w:b w:val="1"/>
                <w:bCs w:val="1"/>
                <w:color w:val="auto"/>
              </w:rPr>
              <w:t>from</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0" w:type="dxa"/>
            <w:vAlign w:val="bottom"/>
          </w:tcPr>
          <w:p>
            <w:pPr>
              <w:spacing w:after="0"/>
              <w:rPr>
                <w:sz w:val="1"/>
                <w:szCs w:val="1"/>
                <w:color w:val="auto"/>
              </w:rPr>
            </w:pPr>
          </w:p>
        </w:tc>
      </w:t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AOCI</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0" w:type="dxa"/>
            <w:vAlign w:val="bottom"/>
          </w:tcPr>
          <w:p>
            <w:pPr>
              <w:spacing w:after="0"/>
              <w:rPr>
                <w:sz w:val="1"/>
                <w:szCs w:val="1"/>
                <w:color w:val="auto"/>
              </w:rPr>
            </w:pPr>
          </w:p>
        </w:tc>
      </w:tr>
      <w:tr>
        <w:trPr>
          <w:trHeight w:val="132"/>
        </w:trPr>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3"/>
          </w:tcPr>
          <w:p>
            <w:pPr>
              <w:jc w:val="center"/>
              <w:ind w:left="485"/>
              <w:spacing w:after="0" w:line="133" w:lineRule="exact"/>
              <w:rPr>
                <w:sz w:val="20"/>
                <w:szCs w:val="20"/>
                <w:color w:val="auto"/>
              </w:rPr>
            </w:pPr>
            <w:r>
              <w:rPr>
                <w:rFonts w:ascii="Times New Roman" w:cs="Times New Roman" w:eastAsia="Times New Roman" w:hAnsi="Times New Roman"/>
                <w:sz w:val="14"/>
                <w:szCs w:val="14"/>
                <w:b w:val="1"/>
                <w:bCs w:val="1"/>
                <w:color w:val="auto"/>
                <w:w w:val="95"/>
              </w:rPr>
              <w:t>Year ended</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8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center"/>
              <w:ind w:left="545"/>
              <w:spacing w:after="0"/>
              <w:rPr>
                <w:sz w:val="20"/>
                <w:szCs w:val="20"/>
                <w:color w:val="auto"/>
              </w:rPr>
            </w:pPr>
            <w:r>
              <w:rPr>
                <w:rFonts w:ascii="Times New Roman" w:cs="Times New Roman" w:eastAsia="Times New Roman" w:hAnsi="Times New Roman"/>
                <w:sz w:val="16"/>
                <w:szCs w:val="16"/>
                <w:color w:val="auto"/>
                <w:w w:val="97"/>
              </w:rPr>
              <w:t>(8.7)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7"/>
              </w:rPr>
              <w:t>(9.3)</w:t>
            </w: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07"/>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Pre-tax</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(9.3)</w:t>
            </w:r>
          </w:p>
        </w:tc>
        <w:tc>
          <w:tcPr>
            <w:tcW w:w="1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85"/>
              <w:spacing w:after="0"/>
              <w:rPr>
                <w:sz w:val="20"/>
                <w:szCs w:val="20"/>
                <w:color w:val="auto"/>
              </w:rPr>
            </w:pPr>
            <w:r>
              <w:rPr>
                <w:rFonts w:ascii="Times New Roman" w:cs="Times New Roman" w:eastAsia="Times New Roman" w:hAnsi="Times New Roman"/>
                <w:sz w:val="16"/>
                <w:szCs w:val="16"/>
                <w:color w:val="auto"/>
                <w:w w:val="89"/>
              </w:rPr>
              <w:t>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(6.4)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(6.8)</w:t>
            </w:r>
          </w:p>
        </w:tc>
        <w:tc>
          <w:tcPr>
            <w:tcW w:w="12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unrecognized prior service credits - Pre-tax</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(3.9)</w:t>
            </w:r>
          </w:p>
        </w:tc>
        <w:tc>
          <w:tcPr>
            <w:tcW w:w="12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85"/>
              <w:spacing w:after="0"/>
              <w:rPr>
                <w:sz w:val="20"/>
                <w:szCs w:val="20"/>
                <w:color w:val="auto"/>
              </w:rPr>
            </w:pPr>
            <w:r>
              <w:rPr>
                <w:rFonts w:ascii="Times New Roman" w:cs="Times New Roman" w:eastAsia="Times New Roman" w:hAnsi="Times New Roman"/>
                <w:sz w:val="16"/>
                <w:szCs w:val="16"/>
                <w:color w:val="auto"/>
                <w:w w:val="89"/>
              </w:rPr>
              <w:t>0.8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w w:val="99"/>
              </w:rPr>
              <w:t>0.9</w:t>
            </w:r>
          </w:p>
        </w:tc>
        <w:tc>
          <w:tcPr>
            <w:tcW w:w="12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center"/>
              <w:ind w:left="545"/>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7"/>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in Treasury</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During the years ended December 31, 2024, 2023, and 2022, “Common stock in treasury” was decreased by the settlement of restricted stock units, net of recipient tax withholdings, issued from treasury stock of $6.9, $6.6 and $12.1, respectively. During the year ended December 31, 2022, “Common stock in treasury” was increased by the previously mentioned repurchase of our common stock for aggregate cash payments of $33.7.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 of our 3.0 shares of authorized no par value preferred stock was outstanding at December 31, 2024,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(17) Fair Value</w:t>
      </w:r>
    </w:p>
    <w:p>
      <w:pPr>
        <w:spacing w:after="0" w:line="138"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19" w:lineRule="exact"/>
        <w:rPr>
          <w:sz w:val="20"/>
          <w:szCs w:val="20"/>
          <w:color w:val="auto"/>
        </w:rPr>
      </w:pPr>
    </w:p>
    <w:p>
      <w:pPr>
        <w:ind w:left="960" w:hanging="558"/>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9" w:lineRule="exact"/>
        <w:rPr>
          <w:rFonts w:ascii="Times New Roman" w:cs="Times New Roman" w:eastAsia="Times New Roman" w:hAnsi="Times New Roman"/>
          <w:sz w:val="18"/>
          <w:szCs w:val="18"/>
          <w:color w:val="auto"/>
        </w:rPr>
      </w:pPr>
    </w:p>
    <w:p>
      <w:pPr>
        <w:ind w:left="960" w:hanging="558"/>
        <w:spacing w:after="0" w:line="270" w:lineRule="auto"/>
        <w:tabs>
          <w:tab w:leader="none" w:pos="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Times New Roman" w:cs="Times New Roman" w:eastAsia="Times New Roman" w:hAnsi="Times New Roman"/>
          <w:sz w:val="18"/>
          <w:szCs w:val="18"/>
          <w:color w:val="auto"/>
        </w:rPr>
      </w:pPr>
    </w:p>
    <w:p>
      <w:pPr>
        <w:ind w:left="960" w:hanging="558"/>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changes during the periods presented to the valuation techniques we use to measure asset and liability fair values on a recurring basis.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the three levels of the fair value hierarchy for the periods presented.</w:t>
      </w:r>
    </w:p>
    <w:p>
      <w:pPr>
        <w:spacing w:after="0" w:line="11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for the Sensors &amp; Software and ECS Acquisitions </w:t>
      </w:r>
      <w:r>
        <w:rPr>
          <w:rFonts w:ascii="Times New Roman" w:cs="Times New Roman" w:eastAsia="Times New Roman" w:hAnsi="Times New Roman"/>
          <w:sz w:val="18"/>
          <w:szCs w:val="18"/>
          <w:color w:val="auto"/>
        </w:rPr>
        <w:t>— In connection with the acquisition of Sensors &amp; Software, Inc. in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sellers were eligible for additional cash consideration of up to $3.8, with payment of such contingent consideration dependent upon the achievement of certain milestones. The fair value of contingent consideration totaled $1.3, and was paid during 2022.</w:t>
      </w:r>
    </w:p>
    <w:p>
      <w:pPr>
        <w:spacing w:after="0" w:line="114"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18"/>
          <w:szCs w:val="18"/>
          <w:color w:val="auto"/>
        </w:rPr>
        <w:t>In connection with the acquisition of ECS in 2021, the seller was eligible for additional cash consideration of up to $16.0, with payment of such contingent consideration dependent upon the achievement of certain milestones. During 2022, we concluded the probability of achieving the financial performance milestones had lessened due to delays in the execution of certain large orders. Thus, during 2022 we reduced the fair value/liability by $1.3, with such amounts recorded to “Other operating expense, net.” No additional cash consideration was paid to the seller.</w:t>
      </w:r>
    </w:p>
    <w:p>
      <w:pPr>
        <w:spacing w:after="0" w:line="1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We estimate the fair value of contingent consideration based on the probability of the acquired business achieving the applicable milestones. Based on these inputs, the contingent consideration is classified within Level 3 of the valuation hierarchy.</w:t>
      </w:r>
    </w:p>
    <w:p>
      <w:pPr>
        <w:spacing w:after="0" w:line="100" w:lineRule="exact"/>
        <w:rPr>
          <w:sz w:val="20"/>
          <w:szCs w:val="20"/>
          <w:color w:val="auto"/>
        </w:rPr>
      </w:pPr>
    </w:p>
    <w:p>
      <w:pPr>
        <w:jc w:val="both"/>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Goodwill, Indefinite-Lived Intangible and Other Long-Lived Assets </w:t>
      </w:r>
      <w:r>
        <w:rPr>
          <w:rFonts w:ascii="Times New Roman" w:cs="Times New Roman" w:eastAsia="Times New Roman" w:hAnsi="Times New Roman"/>
          <w:sz w:val="18"/>
          <w:szCs w:val="18"/>
          <w:color w:val="auto"/>
        </w:rPr>
        <w:t>— Certain of our non-financial assets are subject to impairment analyses,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result in the asset being recorded at its fair value. Based on these inputs used in the impairment analyses, these assets are classified within Level 3 of the valuation hierarchy. Refer to Note 10 for additional details.</w:t>
      </w:r>
    </w:p>
    <w:p>
      <w:pPr>
        <w:spacing w:after="0" w:line="106"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Our financial derivative assets and liabilities include interest rate swaps and FX forward contracts, and are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valuation models based on observable market inputs such as forward rates, interest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and interest rate swap agreements, we consider the markets for our fair value instruments active. We primarily use the income approach, which uses valuation techniques to convert future amounts to a single present amount.</w:t>
      </w:r>
    </w:p>
    <w:p>
      <w:pPr>
        <w:spacing w:after="0" w:line="121"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there had been no significant impact to the fair value of our derivative liabilities due to our own credit risk, as the related instruments are collateralized under our senior credit facilities. Similarly, there had been no significant impact to the fair value of our derivative assets based on our evaluation of our counterparties’ credit risks.</w:t>
      </w:r>
    </w:p>
    <w:p>
      <w:pPr>
        <w:spacing w:after="0" w:line="12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Security </w:t>
      </w:r>
      <w:r>
        <w:rPr>
          <w:rFonts w:ascii="Times New Roman" w:cs="Times New Roman" w:eastAsia="Times New Roman" w:hAnsi="Times New Roman"/>
          <w:sz w:val="18"/>
          <w:szCs w:val="18"/>
          <w:color w:val="auto"/>
        </w:rPr>
        <w:t>— We estimate the fair value of an equity security that we hold utilizing a practical expedient under existing guidance,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based on our ownership percentage applied to the net asset value as provided quarterly by the investee. The value is updated annually, during the first quarter, based on the investee’s most recent audited financial statements. Based on these inputs, the equity security is classified within Level 3 of the valuation hierarchy.</w:t>
      </w:r>
    </w:p>
    <w:p>
      <w:pPr>
        <w:spacing w:after="0" w:line="20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recorded gains (losses) of $(4.2), $3.6 and $(3.0), respectively, to “Other expense, net” related to changes in the estimated fair value of such equity security. As of December 31, 2024 and 2023, the equity security had an estimated fair value of $35.2 and $39.4, respectively, recorded in “Other assets” on the consolidated balance sheets. We are restricted from transferring this investment without approval of the manager of the investee.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1" w:name="page112"/>
    <w:bookmarkEnd w:id="111"/>
    <w:p>
      <w:pPr>
        <w:jc w:val="both"/>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 The estimated fair value of our debt instruments as of December 31, 2024 and December 31, 2023 approximated the related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due primarily to the variable market-based interest rates for such instruments. See Note 13 for further details.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52"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January 27, 2025, we completed the acquisition of Kranze Technology Solutions, Inc. (“KTS”) which specializes in digital interoperability and tactical networking solutions, primarily for the defense industry. We purchased KTS for net cash consideration of approximately $342.0, inclusive of amounts paid related to future service obligations of existing employees. The acquisition was funded through borrowings on our revolving credit facilities under our Credit Agreement. The post-acquisition results of KTS will be reflected within our Detection and Measurement reportable segment.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4"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SPX management, including the Chief Executive Officer and Chief Financial Officer, conducted an evaluation of the effectiveness of disclosure controls and procedures, pursuant to Exchange Act Rule 13a-15(b), as of December 31, 2024. Based on that evaluation, the Chief Executive Officer and Chief Financial Officer concluded that our disclosure controls and procedures are effective as of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Our internal control framework and processes were designed to provide reasonable assurance to management and the Board of Directors regarding the reliability of financial reporting and the preparation of our consolidated financial statements for external purposes in accordance with accounting principles generally accepted in the United States of America.</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42" w:lineRule="exact"/>
        <w:rPr>
          <w:sz w:val="20"/>
          <w:szCs w:val="20"/>
          <w:color w:val="auto"/>
        </w:rPr>
      </w:pPr>
    </w:p>
    <w:p>
      <w:pPr>
        <w:ind w:left="640" w:hanging="317"/>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41" w:lineRule="exact"/>
        <w:rPr>
          <w:rFonts w:ascii="Times New Roman" w:cs="Times New Roman" w:eastAsia="Times New Roman" w:hAnsi="Times New Roman"/>
          <w:sz w:val="18"/>
          <w:szCs w:val="18"/>
          <w:color w:val="auto"/>
        </w:rPr>
      </w:pPr>
    </w:p>
    <w:p>
      <w:pPr>
        <w:jc w:val="both"/>
        <w:ind w:left="640" w:hanging="317"/>
        <w:spacing w:after="0" w:line="257"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properly to allow for the preparation of financial statements in accordance with generally accepted accounting principles, and that our receipts and expenditures are being made only in accordance with authorizations of our management and the Board of Directors; and</w:t>
      </w:r>
    </w:p>
    <w:p>
      <w:pPr>
        <w:spacing w:after="0" w:line="206" w:lineRule="exact"/>
        <w:rPr>
          <w:rFonts w:ascii="Times New Roman" w:cs="Times New Roman" w:eastAsia="Times New Roman" w:hAnsi="Times New Roman"/>
          <w:sz w:val="18"/>
          <w:szCs w:val="18"/>
          <w:color w:val="auto"/>
        </w:rPr>
      </w:pPr>
    </w:p>
    <w:p>
      <w:pPr>
        <w:ind w:left="640" w:hanging="317"/>
        <w:spacing w:after="0" w:line="270" w:lineRule="auto"/>
        <w:tabs>
          <w:tab w:leader="none" w:pos="6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94"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and may not prevent or detect misstatements. Further, because of changing conditions, effectiveness of internal control over financial reporting may vary over time.</w:t>
      </w:r>
    </w:p>
    <w:p>
      <w:pPr>
        <w:spacing w:after="0" w:line="194"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at the reasonable assurance level described above. In making this assessment, management used the criteria set forth by the Committee of Sponsoring Organizations of the Treadway Commission (“COSO”) in Internal Control - Integrated Framework (2013). Based on this assessment, our Chief Executive Officer and Chief Financial Officer concluded that our internal control over financial reporting was effective as of December 31, 2024.</w:t>
      </w:r>
    </w:p>
    <w:p>
      <w:pPr>
        <w:spacing w:after="0" w:line="210"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Management excluded from its assessment of internal control over financial reporting as of December 31, 2024, the internal control over financial reporting of Ingénia, which was acquired on February 7, 2024. This exclusion is consistent with guidance issued by the U.S. Securities and Exchange Commission that an assessment of a recently acquired business may be omitted from the scope of management's report on internal control over financial reporting in the year of acquisition. The total assets (excluding goodwill and intangible assets, which are included within the scope of our assessment) and revenues of Ingénia represented 4.2% and 3.7% of our consolidated total assets and revenues, respectively, as of and for the year ended December 31, 2024. See a discussion of this acquisition in Notes 1 and 4 to our consolidated financial statements.</w:t>
      </w:r>
    </w:p>
    <w:p>
      <w:pPr>
        <w:spacing w:after="0" w:line="21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Deloitte &amp; Touche LLP, an independent registered public accounting firm, as stated in their report included in this Form 10-K.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1"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13a-15(d)) during the quarter ended December 31, 2024 that have materially affected, or that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3" w:name="page114"/>
    <w:bookmarkEnd w:id="113"/>
    <w:p>
      <w:pPr>
        <w:ind w:right="5200"/>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SPX Technologies,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SPX Technologies,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Ingénia Technologies Inc. (“Ingénia”), which was acquired on February 7, 2024, and whose aggregate total assets (excluding goodwill and intangible assets, which were integrated into the Company’s control environment) and aggregate revenues constitute approximately 4.2% and 3.7%, respectively, of the related amounts in the Company’s consolidated financial statements as of and for the year ended December 31, 2024. Accordingly, our audit did not include the internal control over financial reporting at Ingénia.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5" w:lineRule="exact"/>
        <w:rPr>
          <w:sz w:val="20"/>
          <w:szCs w:val="20"/>
          <w:color w:val="auto"/>
        </w:rPr>
      </w:pPr>
    </w:p>
    <w:p>
      <w:pPr>
        <w:ind w:firstLine="396"/>
        <w:spacing w:after="0" w:line="254" w:lineRule="auto"/>
        <w:rPr>
          <w:sz w:val="20"/>
          <w:szCs w:val="20"/>
          <w:color w:val="auto"/>
        </w:rPr>
      </w:pPr>
      <w:r>
        <w:rPr>
          <w:rFonts w:ascii="Times New Roman" w:cs="Times New Roman" w:eastAsia="Times New Roman" w:hAnsi="Times New Roman"/>
          <w:sz w:val="18"/>
          <w:szCs w:val="18"/>
          <w:color w:val="auto"/>
        </w:rPr>
        <w:t>No director or officer of the Company adopted or terminated a “Rule 10b5-1 trading arrangement” or adopted or terminated a “non-Rule 10b5-1 trading arrangement” (as such terms are defined in Item 408 of Regulation S-K) during the three months ended December 31, 2024.</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5" w:name="page116"/>
    <w:bookmarkEnd w:id="115"/>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I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52" w:lineRule="exact"/>
        <w:rPr>
          <w:sz w:val="20"/>
          <w:szCs w:val="20"/>
          <w:color w:val="auto"/>
        </w:rPr>
      </w:pPr>
    </w:p>
    <w:p>
      <w:pPr>
        <w:ind w:left="560" w:hanging="554"/>
        <w:spacing w:after="0"/>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company.</w:t>
      </w:r>
    </w:p>
    <w:p>
      <w:pPr>
        <w:spacing w:after="0" w:line="150"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2025 Annual Meeting of Stockholders under the heading “Election of Directors” and is incorporated herein by reference.</w:t>
      </w:r>
    </w:p>
    <w:p>
      <w:pPr>
        <w:spacing w:after="0" w:line="89" w:lineRule="exact"/>
        <w:rPr>
          <w:sz w:val="20"/>
          <w:szCs w:val="20"/>
          <w:color w:val="auto"/>
        </w:rPr>
      </w:pPr>
    </w:p>
    <w:p>
      <w:pPr>
        <w:ind w:left="540" w:hanging="53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company.</w:t>
      </w:r>
    </w:p>
    <w:p>
      <w:pPr>
        <w:spacing w:after="0" w:line="11" w:lineRule="exact"/>
        <w:rPr>
          <w:rFonts w:ascii="Times New Roman" w:cs="Times New Roman" w:eastAsia="Times New Roman" w:hAnsi="Times New Roman"/>
          <w:sz w:val="18"/>
          <w:szCs w:val="18"/>
          <w:color w:val="auto"/>
        </w:rPr>
      </w:pPr>
    </w:p>
    <w:p>
      <w:pPr>
        <w:jc w:val="both"/>
        <w:ind w:left="56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Eugene J. Lowe, III</w:t>
      </w:r>
      <w:r>
        <w:rPr>
          <w:rFonts w:ascii="Times New Roman" w:cs="Times New Roman" w:eastAsia="Times New Roman" w:hAnsi="Times New Roman"/>
          <w:sz w:val="18"/>
          <w:szCs w:val="18"/>
          <w:color w:val="auto"/>
        </w:rPr>
        <w:t>, 56, President and Chief Executive Officer and a member of the Board of Directors since September 2015. Mr. Lowe joined SPX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2008, was appointed an officer of the company in December 2014, and previously served as President, Thermal Equipment and Services from February 2013 to September 2015, President, Global Evaporative Cooling from March 2010 to February 2013, and Vice President of Global Business Development and Marketing, Thermal Equipment and Services from June 2008 to March 2010. Prior to joining SPX, Mr. Lowe held positions with Milliken &amp; Company, Lazard Technology Partners, Bain &amp; Company, and Andersen Consulting.</w:t>
      </w:r>
    </w:p>
    <w:p>
      <w:pPr>
        <w:spacing w:after="0" w:line="205" w:lineRule="exact"/>
        <w:rPr>
          <w:rFonts w:ascii="Times New Roman" w:cs="Times New Roman" w:eastAsia="Times New Roman" w:hAnsi="Times New Roman"/>
          <w:sz w:val="18"/>
          <w:szCs w:val="18"/>
          <w:color w:val="auto"/>
        </w:rPr>
      </w:pPr>
    </w:p>
    <w:p>
      <w:pPr>
        <w:jc w:val="both"/>
        <w:ind w:left="56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 A. Carano</w:t>
      </w:r>
      <w:r>
        <w:rPr>
          <w:rFonts w:ascii="Times New Roman" w:cs="Times New Roman" w:eastAsia="Times New Roman" w:hAnsi="Times New Roman"/>
          <w:sz w:val="18"/>
          <w:szCs w:val="18"/>
          <w:color w:val="auto"/>
        </w:rPr>
        <w:t>, 55, Vice President, Chief Financial Officer and Treasurer since January 2023. Mr. Carano joined SPX from Insteel Industries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he served as Senior Vice President and Chief Financial Officer for two years. Mr. Carano was the Chief Financial Officer for Big River Steel from 2019 to 2020. Before joining Big River Steel in 2019, Mr. Carano spent six years with Babcock &amp; Wilcox Enterprises, Inc., where he served most recently as Senior Vice President, Finance &amp; Controller, for the Industrial Segment. His career with Babcock &amp; Wilcox included roles as Senior Vice President, Corporate Development, Strategy and Corporate Treasurer. Before joining the industrial sector, Mr. Carano held executive roles within the financial services providers including Bank of America, Deutsche Bank and First Union Securities. He began his career with FMI, a consulting and trade organization.</w:t>
      </w:r>
    </w:p>
    <w:p>
      <w:pPr>
        <w:spacing w:after="0" w:line="210" w:lineRule="exact"/>
        <w:rPr>
          <w:rFonts w:ascii="Times New Roman" w:cs="Times New Roman" w:eastAsia="Times New Roman" w:hAnsi="Times New Roman"/>
          <w:sz w:val="18"/>
          <w:szCs w:val="18"/>
          <w:color w:val="auto"/>
        </w:rPr>
      </w:pPr>
    </w:p>
    <w:p>
      <w:pPr>
        <w:jc w:val="both"/>
        <w:ind w:left="5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 Randall Data</w:t>
      </w:r>
      <w:r>
        <w:rPr>
          <w:rFonts w:ascii="Times New Roman" w:cs="Times New Roman" w:eastAsia="Times New Roman" w:hAnsi="Times New Roman"/>
          <w:sz w:val="18"/>
          <w:szCs w:val="18"/>
          <w:color w:val="auto"/>
        </w:rPr>
        <w:t>, 59, became President, SPX Data Center Solutions in November 2024. Prior to this role, Mr. Data served as President, Heating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Operations since August 2015 and was appointed an officer of the company in September 2015. Prior to joining SPX, Mr. Data spent over 27 years with The Babcock &amp; Wilcox Company. Most recently, he was President and Chief Operating Officer of Babcock &amp; Wilcox Power Generation Group, Inc., a subsidiary of The Babcock &amp; Wilcox Company, from April 2012 to July 2015. While at The Babcock &amp; Wilcox Company, Mr. Data held numerous leadership positions in the global operations of the steam generating and environmental equipment businesses.</w:t>
      </w:r>
    </w:p>
    <w:p>
      <w:pPr>
        <w:spacing w:after="0" w:line="206" w:lineRule="exact"/>
        <w:rPr>
          <w:sz w:val="20"/>
          <w:szCs w:val="20"/>
          <w:color w:val="auto"/>
        </w:rPr>
      </w:pPr>
    </w:p>
    <w:p>
      <w:pPr>
        <w:jc w:val="both"/>
        <w:ind w:left="560"/>
        <w:spacing w:after="0" w:line="232" w:lineRule="auto"/>
        <w:rPr>
          <w:sz w:val="20"/>
          <w:szCs w:val="20"/>
          <w:color w:val="auto"/>
        </w:rPr>
      </w:pPr>
      <w:r>
        <w:rPr>
          <w:rFonts w:ascii="Times New Roman" w:cs="Times New Roman" w:eastAsia="Times New Roman" w:hAnsi="Times New Roman"/>
          <w:sz w:val="18"/>
          <w:szCs w:val="18"/>
          <w:b w:val="1"/>
          <w:bCs w:val="1"/>
          <w:color w:val="auto"/>
        </w:rPr>
        <w:t>Sean McClenaghan</w:t>
      </w:r>
      <w:r>
        <w:rPr>
          <w:rFonts w:ascii="Times New Roman" w:cs="Times New Roman" w:eastAsia="Times New Roman" w:hAnsi="Times New Roman"/>
          <w:sz w:val="18"/>
          <w:szCs w:val="18"/>
          <w:color w:val="auto"/>
        </w:rPr>
        <w:t>, 59, became President of the HVAC Segment in early 2024. Prior to this role, Mr. McClenaghan served as President,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Cooling since September 2022. Mr. McClenaghan joined SPX from Reliance Worldwide Corporation (“RWC”) where he served as Chief Executive Officer for the Americas business for 8 years. Before joining RWC in 2014, Mr. McClenaghan spent over fifteen years in various strategic consulting and business development roles with McKinsey &amp; Company, CHB Capital Partners, and Egon Zehnder. He began his career with DuPont holding positions ranging from Process Control Design Engineer to Plant Manager to Global Business Manager. He received an MBA from Harvard University and a Bachelor of Chemical Engineering from The Georgia Institute of Technology. Mr. McClenaghan is a member of the Board of Directors for Sto Corp.</w:t>
      </w:r>
    </w:p>
    <w:p>
      <w:pPr>
        <w:spacing w:after="0" w:line="210" w:lineRule="exact"/>
        <w:rPr>
          <w:sz w:val="20"/>
          <w:szCs w:val="20"/>
          <w:color w:val="auto"/>
        </w:rPr>
      </w:pPr>
    </w:p>
    <w:p>
      <w:pPr>
        <w:jc w:val="both"/>
        <w:ind w:left="560"/>
        <w:spacing w:after="0" w:line="232" w:lineRule="auto"/>
        <w:rPr>
          <w:sz w:val="20"/>
          <w:szCs w:val="20"/>
          <w:color w:val="auto"/>
        </w:rPr>
      </w:pPr>
      <w:r>
        <w:rPr>
          <w:rFonts w:ascii="Times New Roman" w:cs="Times New Roman" w:eastAsia="Times New Roman" w:hAnsi="Times New Roman"/>
          <w:sz w:val="18"/>
          <w:szCs w:val="18"/>
          <w:b w:val="1"/>
          <w:bCs w:val="1"/>
          <w:color w:val="auto"/>
        </w:rPr>
        <w:t>Cherée H. Johnson</w:t>
      </w:r>
      <w:r>
        <w:rPr>
          <w:rFonts w:ascii="Times New Roman" w:cs="Times New Roman" w:eastAsia="Times New Roman" w:hAnsi="Times New Roman"/>
          <w:sz w:val="18"/>
          <w:szCs w:val="18"/>
          <w:color w:val="auto"/>
        </w:rPr>
        <w:t>, 49, became Vice President, Chief Legal Officer and Secretary in June 2024. Prior to joining SPX, she served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Legal Officer, General Counsel &amp; Secretary of Dentsply Sirona Inc., a manufacturer of professional dental products and technologies, from February 2022 to February 2023. Prior to joining Dentsply Sirona, Ms. Johnson served as Senior Vice President, General Counsel, Corporate Secretary and Chief Ethics &amp; Compliance Officer at W.R. Grace, a chemical products company, from January to September 2021. Before joining W.R. Grace, Ms. Johnson served as Vice President, Deputy General Counsel and Assistant Corporate Secretary, at McCormick &amp; Company, a multinational food company, since 2015. Prior to her tenure with McCormick, Ms. Johnson worked with H.J. Heinz Company and Cargill, leading intellectual property matters. She held a similar role at 3M Company, where she began her legal career. Prior to obtaining a law degree, Ms. Johnson worked at 3M as a product development lead and chemical engineer. Ms. Johnson founded the strategic advisory firm, Gravitas Capital Advisors, in 2019 and periodically provided services through that firm until June 2024. Ms. Johnson earned her law degree from the University of Minnesota Law School and her undergraduate degree in Chemical Engineering from Florida A&amp;M University. Cherée also serves as a member of the Advisory Board of the Johns Hopkins Bloomberg School of Public Health, the Advisory Board of University of Minnesota Law School and serves as a Board member and advisor for several privately-held organizations.</w:t>
      </w:r>
    </w:p>
    <w:p>
      <w:pPr>
        <w:spacing w:after="0" w:line="200" w:lineRule="exact"/>
        <w:rPr>
          <w:sz w:val="20"/>
          <w:szCs w:val="20"/>
          <w:color w:val="auto"/>
        </w:rPr>
      </w:pPr>
    </w:p>
    <w:p>
      <w:pPr>
        <w:jc w:val="both"/>
        <w:ind w:left="560"/>
        <w:spacing w:after="0" w:line="239" w:lineRule="auto"/>
        <w:rPr>
          <w:sz w:val="20"/>
          <w:szCs w:val="20"/>
          <w:color w:val="auto"/>
        </w:rPr>
      </w:pPr>
      <w:r>
        <w:rPr>
          <w:rFonts w:ascii="Times New Roman" w:cs="Times New Roman" w:eastAsia="Times New Roman" w:hAnsi="Times New Roman"/>
          <w:sz w:val="18"/>
          <w:szCs w:val="18"/>
          <w:b w:val="1"/>
          <w:bCs w:val="1"/>
          <w:color w:val="auto"/>
        </w:rPr>
        <w:t>John W. Swann, III</w:t>
      </w:r>
      <w:r>
        <w:rPr>
          <w:rFonts w:ascii="Times New Roman" w:cs="Times New Roman" w:eastAsia="Times New Roman" w:hAnsi="Times New Roman"/>
          <w:sz w:val="18"/>
          <w:szCs w:val="18"/>
          <w:color w:val="auto"/>
        </w:rPr>
        <w:t>, 54, became President of the Detection &amp; Measurement Segment in late 2022. Prior to this role, he served as President, Weil-McLain and Marley Engineered Products since August 2013, President, Radiodetection since September 2015 and President, Heating and Location &amp; Inspection since 2018. Mr. Swann joined SPX in 2004, was appointed an officer of the company in September 2015, and previously served as President, Hydraulic Technologies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6" w:name="page117"/>
    <w:bookmarkEnd w:id="116"/>
    <w:p>
      <w:pPr>
        <w:jc w:val="both"/>
        <w:ind w:left="560"/>
        <w:spacing w:after="0" w:line="242" w:lineRule="auto"/>
        <w:rPr>
          <w:sz w:val="20"/>
          <w:szCs w:val="20"/>
          <w:color w:val="auto"/>
        </w:rPr>
      </w:pPr>
      <w:r>
        <w:rPr>
          <w:rFonts w:ascii="Times New Roman" w:cs="Times New Roman" w:eastAsia="Times New Roman" w:hAnsi="Times New Roman"/>
          <w:sz w:val="18"/>
          <w:szCs w:val="18"/>
          <w:color w:val="auto"/>
        </w:rPr>
        <w:t>from January 2011 to August 2013, Vice President of New Venture Development from February 2010 to January 2011, and Director of Business Development from August 2004 to February 2010. Prior to joining SPX, Mr. Swann held positions with PricewaterhouseCoopers and Andersen Business Consulting.</w:t>
      </w:r>
    </w:p>
    <w:p>
      <w:pPr>
        <w:spacing w:after="0" w:line="204" w:lineRule="exact"/>
        <w:rPr>
          <w:sz w:val="20"/>
          <w:szCs w:val="20"/>
          <w:color w:val="auto"/>
        </w:rPr>
      </w:pPr>
    </w:p>
    <w:p>
      <w:pPr>
        <w:jc w:val="both"/>
        <w:ind w:left="560"/>
        <w:spacing w:after="0" w:line="232" w:lineRule="auto"/>
        <w:rPr>
          <w:sz w:val="20"/>
          <w:szCs w:val="20"/>
          <w:color w:val="auto"/>
        </w:rPr>
      </w:pPr>
      <w:r>
        <w:rPr>
          <w:rFonts w:ascii="Times New Roman" w:cs="Times New Roman" w:eastAsia="Times New Roman" w:hAnsi="Times New Roman"/>
          <w:sz w:val="18"/>
          <w:szCs w:val="18"/>
          <w:b w:val="1"/>
          <w:bCs w:val="1"/>
          <w:color w:val="auto"/>
        </w:rPr>
        <w:t>Jennifer Carpenter</w:t>
      </w:r>
      <w:r>
        <w:rPr>
          <w:rFonts w:ascii="Times New Roman" w:cs="Times New Roman" w:eastAsia="Times New Roman" w:hAnsi="Times New Roman"/>
          <w:sz w:val="18"/>
          <w:szCs w:val="18"/>
          <w:color w:val="auto"/>
        </w:rPr>
        <w:t>, 44, became Vice President and Chief Human Resources Officer in 2024. Prior to joining SPX, she had a 21-year career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Honeywell International Inc., a diversified technology and manufacturing company, serving as Vice President, Human Resources for Digital IT at that company from May 2021 to September 2024. Prior to this role, she was the HR leader for the global Honeywell Intelligrated business from November 2018 to May 2021 and played a major role in integrating and growing the $3 billion + acquisition with 6,000+ employees. Prior to that, she spent over a decade supporting various businesses in the Honeywell Aerospace and Safety Productivity Solutions groups in multiple HR roles of increasing responsibility. Jennifer earned her Master of Arts in Organizational Management from Spring Arbor University and a Bachelor of Science in Business Administration &amp; Human Resources from Central Michigan University.</w:t>
      </w:r>
    </w:p>
    <w:p>
      <w:pPr>
        <w:spacing w:after="0" w:line="133" w:lineRule="exact"/>
        <w:rPr>
          <w:sz w:val="20"/>
          <w:szCs w:val="20"/>
          <w:color w:val="auto"/>
        </w:rPr>
      </w:pPr>
    </w:p>
    <w:p>
      <w:pPr>
        <w:ind w:left="560" w:hanging="554"/>
        <w:spacing w:after="0"/>
        <w:tabs>
          <w:tab w:leader="none" w:pos="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16(a) Beneficial Ownership Reporting Compliance.</w:t>
      </w:r>
    </w:p>
    <w:p>
      <w:pPr>
        <w:spacing w:after="0" w:line="150"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2025 Annual Meeting of Stockholders under the heading “Section 16(a) Reports” and is incorporated herein by reference.</w:t>
      </w:r>
    </w:p>
    <w:p>
      <w:pPr>
        <w:spacing w:after="0" w:line="89" w:lineRule="exact"/>
        <w:rPr>
          <w:sz w:val="20"/>
          <w:szCs w:val="20"/>
          <w:color w:val="auto"/>
        </w:rPr>
      </w:pPr>
    </w:p>
    <w:p>
      <w:pPr>
        <w:ind w:left="540" w:hanging="53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w:t>
      </w:r>
    </w:p>
    <w:p>
      <w:pPr>
        <w:spacing w:after="0" w:line="229" w:lineRule="exact"/>
        <w:rPr>
          <w:sz w:val="20"/>
          <w:szCs w:val="20"/>
          <w:color w:val="auto"/>
        </w:rPr>
      </w:pPr>
    </w:p>
    <w:p>
      <w:pPr>
        <w:jc w:val="both"/>
        <w:ind w:firstLine="396"/>
        <w:spacing w:after="0" w:line="234"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 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w:t>
      </w:r>
    </w:p>
    <w:p>
      <w:pPr>
        <w:spacing w:after="0" w:line="115" w:lineRule="exact"/>
        <w:rPr>
          <w:sz w:val="20"/>
          <w:szCs w:val="20"/>
          <w:color w:val="auto"/>
        </w:rPr>
      </w:pPr>
    </w:p>
    <w:p>
      <w:pPr>
        <w:ind w:left="560" w:hanging="554"/>
        <w:spacing w:after="0" w:line="300" w:lineRule="auto"/>
        <w:tabs>
          <w:tab w:leader="none" w:pos="55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regarding our Audit Committee and Governance and Sustainability Committee is set forth in our definitive proxy statement for the 2025 Annual Meeting of Stockholders under the headings “Corporate Governance” and “Board Committees” and is incorporated herein by reference.</w:t>
      </w:r>
    </w:p>
    <w:p>
      <w:pPr>
        <w:spacing w:after="0" w:line="79" w:lineRule="exact"/>
        <w:rPr>
          <w:rFonts w:ascii="Times New Roman" w:cs="Times New Roman" w:eastAsia="Times New Roman" w:hAnsi="Times New Roman"/>
          <w:sz w:val="17"/>
          <w:szCs w:val="17"/>
          <w:color w:val="auto"/>
        </w:rPr>
      </w:pPr>
    </w:p>
    <w:p>
      <w:pPr>
        <w:jc w:val="both"/>
        <w:ind w:left="560" w:hanging="554"/>
        <w:spacing w:after="0" w:line="251" w:lineRule="auto"/>
        <w:tabs>
          <w:tab w:leader="none" w:pos="5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w:t>
      </w:r>
      <w:r>
        <w:rPr>
          <w:rFonts w:ascii="Times New Roman" w:cs="Times New Roman" w:eastAsia="Times New Roman" w:hAnsi="Times New Roman"/>
          <w:sz w:val="18"/>
          <w:szCs w:val="18"/>
          <w:u w:val="single" w:color="auto"/>
          <w:color w:val="0000FF"/>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19.1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8"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2025 Annual Meeting of Stockholders under the headings “Executive Compensation” (other than the information appearing under the heading “Pay Versus Performance”) and “Director Compensation” and is incorporated herein by reference.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13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2025 Annual Meeting of Stockholders under the headings “Ownership of Common Stock” and “Equity Compensation Plan Information” and is incorporated herein by reference.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2025 Annual Meeting of Stockholders under the heading “Corporate Governance” and is incorporated herein by reference.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52" w:lineRule="exact"/>
        <w:rPr>
          <w:sz w:val="20"/>
          <w:szCs w:val="20"/>
          <w:color w:val="auto"/>
        </w:rPr>
      </w:pPr>
    </w:p>
    <w:p>
      <w:pPr>
        <w:jc w:val="both"/>
        <w:ind w:firstLine="396"/>
        <w:spacing w:after="0" w:line="270" w:lineRule="auto"/>
        <w:rPr>
          <w:sz w:val="20"/>
          <w:szCs w:val="20"/>
          <w:color w:val="auto"/>
        </w:rPr>
      </w:pPr>
      <w:r>
        <w:rPr>
          <w:rFonts w:ascii="Times New Roman" w:cs="Times New Roman" w:eastAsia="Times New Roman" w:hAnsi="Times New Roman"/>
          <w:sz w:val="18"/>
          <w:szCs w:val="18"/>
          <w:color w:val="auto"/>
        </w:rPr>
        <w:t>This information is included in our definitive proxy statement for the 2025 Annual Meeting of Stockholders under the heading “Ratification of the Appointment of Independent Public Accountants”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8" w:name="page119"/>
    <w:bookmarkEnd w:id="118"/>
    <w:p>
      <w:pPr>
        <w:ind w:left="5120"/>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P A R T</w:t>
      </w:r>
      <w:r>
        <w:rPr>
          <w:sz w:val="20"/>
          <w:szCs w:val="20"/>
          <w:color w:val="auto"/>
        </w:rPr>
        <w:tab/>
      </w:r>
      <w:r>
        <w:rPr>
          <w:rFonts w:ascii="Times New Roman" w:cs="Times New Roman" w:eastAsia="Times New Roman" w:hAnsi="Times New Roman"/>
          <w:sz w:val="17"/>
          <w:szCs w:val="17"/>
          <w:b w:val="1"/>
          <w:bCs w:val="1"/>
          <w:color w:val="auto"/>
        </w:rPr>
        <w:t>I V</w:t>
      </w:r>
    </w:p>
    <w:p>
      <w:pPr>
        <w:spacing w:after="0" w:line="1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p>
      <w:pPr>
        <w:spacing w:after="0" w:line="150" w:lineRule="exact"/>
        <w:rPr>
          <w:sz w:val="20"/>
          <w:szCs w:val="20"/>
          <w:color w:val="auto"/>
        </w:rPr>
      </w:pPr>
    </w:p>
    <w:p>
      <w:pPr>
        <w:ind w:left="960" w:hanging="637"/>
        <w:spacing w:after="0"/>
        <w:tabs>
          <w:tab w:leader="none" w:pos="9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statements. See Index to Consolidated Financial Statements on page 50 of this Form 10-K.</w:t>
      </w:r>
    </w:p>
    <w:p>
      <w:pPr>
        <w:spacing w:after="0" w:line="147" w:lineRule="exact"/>
        <w:rPr>
          <w:rFonts w:ascii="Times New Roman" w:cs="Times New Roman" w:eastAsia="Times New Roman" w:hAnsi="Times New Roman"/>
          <w:sz w:val="17"/>
          <w:szCs w:val="17"/>
          <w:color w:val="auto"/>
        </w:rPr>
      </w:pPr>
    </w:p>
    <w:p>
      <w:pPr>
        <w:ind w:left="960" w:hanging="637"/>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 required. See page 50 of this Form 10-K.</w:t>
      </w:r>
    </w:p>
    <w:p>
      <w:pPr>
        <w:spacing w:after="0" w:line="149" w:lineRule="exact"/>
        <w:rPr>
          <w:rFonts w:ascii="Times New Roman" w:cs="Times New Roman" w:eastAsia="Times New Roman" w:hAnsi="Times New Roman"/>
          <w:sz w:val="18"/>
          <w:szCs w:val="18"/>
          <w:color w:val="auto"/>
        </w:rPr>
      </w:pPr>
    </w:p>
    <w:p>
      <w:pPr>
        <w:ind w:left="960" w:hanging="637"/>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17"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We have chosen not to include an optional summary of the information required by this Form 10-K. For a reference to the information in this Form 10-K, investors should refer to the Table of Contents to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8" w:lineRule="exact"/>
        <w:rPr>
          <w:sz w:val="20"/>
          <w:szCs w:val="20"/>
          <w:color w:val="auto"/>
        </w:rPr>
      </w:pPr>
    </w:p>
    <w:p>
      <w:pPr>
        <w:ind w:firstLine="39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25th day of February, 2025.</w:t>
      </w:r>
    </w:p>
    <w:p>
      <w:pPr>
        <w:spacing w:after="0" w:line="1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SPX TECHNOLOGIES, INC.</w:t>
      </w:r>
    </w:p>
    <w:p>
      <w:pPr>
        <w:ind w:left="5760"/>
        <w:spacing w:after="0"/>
        <w:rPr>
          <w:sz w:val="20"/>
          <w:szCs w:val="20"/>
          <w:color w:val="auto"/>
        </w:rPr>
      </w:pPr>
      <w:r>
        <w:rPr>
          <w:rFonts w:ascii="Times New Roman" w:cs="Times New Roman" w:eastAsia="Times New Roman" w:hAnsi="Times New Roman"/>
          <w:sz w:val="18"/>
          <w:szCs w:val="18"/>
          <w:color w:val="auto"/>
        </w:rPr>
        <w:t>(Registrant)</w:t>
      </w:r>
    </w:p>
    <w:p>
      <w:pPr>
        <w:spacing w:after="0" w:line="11" w:lineRule="exact"/>
        <w:rPr>
          <w:sz w:val="20"/>
          <w:szCs w:val="20"/>
          <w:color w:val="auto"/>
        </w:rPr>
      </w:pPr>
    </w:p>
    <w:p>
      <w:pPr>
        <w:ind w:left="576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14605</wp:posOffset>
            </wp:positionV>
            <wp:extent cx="32232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jc w:val="center"/>
        <w:ind w:left="6600"/>
        <w:spacing w:after="0"/>
        <w:rPr>
          <w:sz w:val="20"/>
          <w:szCs w:val="20"/>
          <w:color w:val="auto"/>
        </w:rPr>
      </w:pPr>
      <w:r>
        <w:rPr>
          <w:rFonts w:ascii="Times New Roman" w:cs="Times New Roman" w:eastAsia="Times New Roman" w:hAnsi="Times New Roman"/>
          <w:sz w:val="18"/>
          <w:szCs w:val="18"/>
          <w:color w:val="auto"/>
        </w:rPr>
        <w:t>Mark A. Carano</w:t>
      </w:r>
    </w:p>
    <w:p>
      <w:pPr>
        <w:jc w:val="center"/>
        <w:ind w:left="660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25th day of February, 2025.</w:t>
      </w:r>
    </w:p>
    <w:p>
      <w:pPr>
        <w:sectPr>
          <w:pgSz w:w="11900" w:h="16838" w:orient="portrait"/>
          <w:cols w:equalWidth="0" w:num="1">
            <w:col w:w="11240"/>
          </w:cols>
          <w:pgMar w:left="320" w:top="1017" w:right="339" w:bottom="1440" w:gutter="0" w:footer="0" w:header="0"/>
        </w:sectPr>
      </w:pPr>
    </w:p>
    <w:p>
      <w:pPr>
        <w:spacing w:after="0" w:line="14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8"/>
          <w:szCs w:val="18"/>
          <w:color w:val="auto"/>
        </w:rPr>
        <w:t>Eugene J. Lowe, III</w:t>
      </w:r>
    </w:p>
    <w:p>
      <w:pPr>
        <w:ind w:left="14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PATRICK J.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Patrick J. O’Leary</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DAVID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David A. Roberts</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ROBERT B. 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Robert B. Toth</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MEENAL A. SETHNA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21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52171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color w:val="auto"/>
        </w:rPr>
        <w:t>Meenal A. Sethna</w:t>
      </w:r>
    </w:p>
    <w:p>
      <w:pPr>
        <w:ind w:left="24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780"/>
        <w:spacing w:after="0"/>
        <w:rPr>
          <w:sz w:val="20"/>
          <w:szCs w:val="20"/>
          <w:color w:val="auto"/>
        </w:rPr>
      </w:pPr>
      <w:r>
        <w:rPr>
          <w:rFonts w:ascii="Times New Roman" w:cs="Times New Roman" w:eastAsia="Times New Roman" w:hAnsi="Times New Roman"/>
          <w:sz w:val="18"/>
          <w:szCs w:val="18"/>
          <w:color w:val="auto"/>
        </w:rPr>
        <w:t>Mark A. Carano</w:t>
      </w:r>
    </w:p>
    <w:p>
      <w:pPr>
        <w:ind w:left="4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RICKY D. PUCKETT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Ricky D. Puckett</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RUTH G.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color w:val="auto"/>
        </w:rPr>
        <w:t>Ruth G. Shaw</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 ANGEL S.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Angel S. Willis</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 TANA L.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Tana L. Utley</w:t>
      </w:r>
    </w:p>
    <w:p>
      <w:pPr>
        <w:ind w:left="2060"/>
        <w:spacing w:after="0"/>
        <w:rPr>
          <w:sz w:val="20"/>
          <w:szCs w:val="20"/>
          <w:color w:val="auto"/>
        </w:rPr>
      </w:pPr>
      <w:r>
        <w:rPr>
          <w:rFonts w:ascii="Times New Roman" w:cs="Times New Roman" w:eastAsia="Times New Roman" w:hAnsi="Times New Roman"/>
          <w:sz w:val="18"/>
          <w:szCs w:val="18"/>
          <w:color w:val="auto"/>
        </w:rPr>
        <w:t>Director</w:t>
      </w:r>
    </w:p>
    <w:p>
      <w:pPr>
        <w:spacing w:after="0" w:line="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WAYNE M. MCLAREN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14605</wp:posOffset>
            </wp:positionV>
            <wp:extent cx="3529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529965" cy="8255"/>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8"/>
          <w:szCs w:val="18"/>
          <w:color w:val="auto"/>
        </w:rPr>
        <w:t>Wayne M. McLaren</w:t>
      </w:r>
    </w:p>
    <w:p>
      <w:pPr>
        <w:spacing w:after="0"/>
        <w:rPr>
          <w:sz w:val="20"/>
          <w:szCs w:val="20"/>
          <w:color w:val="auto"/>
        </w:rPr>
      </w:pPr>
      <w:r>
        <w:rPr>
          <w:rFonts w:ascii="Times New Roman" w:cs="Times New Roman" w:eastAsia="Times New Roman" w:hAnsi="Times New Roman"/>
          <w:sz w:val="17"/>
          <w:szCs w:val="17"/>
          <w:color w:val="auto"/>
        </w:rPr>
        <w:t>Vice President, Chief Accounting Officer and Corporate Controller</w:t>
      </w:r>
    </w:p>
    <w:p>
      <w:pPr>
        <w:spacing w:after="0" w:line="200" w:lineRule="exact"/>
        <w:rPr>
          <w:sz w:val="20"/>
          <w:szCs w:val="20"/>
          <w:color w:val="auto"/>
        </w:rPr>
      </w:pPr>
    </w:p>
    <w:p>
      <w:pPr>
        <w:sectPr>
          <w:pgSz w:w="11900" w:h="16838" w:orient="portrait"/>
          <w:cols w:equalWidth="0" w:num="2">
            <w:col w:w="5360" w:space="720"/>
            <w:col w:w="5160"/>
          </w:cols>
          <w:pgMar w:left="320" w:top="10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1"/>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0" w:type="dxa"/>
            <w:vAlign w:val="bottom"/>
            <w:gridSpan w:val="37"/>
          </w:tcPr>
          <w:p>
            <w:pPr>
              <w:ind w:left="4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01"/>
        </w:trPr>
        <w:tc>
          <w:tcPr>
            <w:tcW w:w="11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gridSpan w:val="33"/>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37"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2.1</w:t>
            </w: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gridSpan w:val="41"/>
          </w:tcPr>
          <w:p>
            <w:pPr>
              <w:spacing w:after="0" w:line="178"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Agreement and Plan of Merger, dated as of August 11, 2022, by and among SPX Corporation, SPX Technologies, Inc. and SPX</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Merger, LLC, incorporated by reference to Exhibit 2.1 to our Current Report on Form 8-K filed on August 15, 2022 (File no.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60" w:type="dxa"/>
            <w:vAlign w:val="bottom"/>
            <w:tcBorders>
              <w:bottom w:val="single" w:sz="8" w:color="0000FF"/>
            </w:tcBorders>
          </w:tcPr>
          <w:p>
            <w:pPr>
              <w:spacing w:after="0" w:line="152"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6948).</w:t>
              </w:r>
            </w:hyperlink>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0000FF"/>
                </w:rPr>
                <w:t>Sale and Purchase Agreement, dated as of November 1, 2022, among SPX Technologies, Inc., SPX, LLC, The Marley-Wylain</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Company, LLC, SPX Cooling Technologies, LLC, and Canvas Holdco, LLC, incorporated by reference to Exhibit 2.1 to our</w:t>
              </w:r>
            </w:hyperlink>
          </w:p>
        </w:tc>
        <w:tc>
          <w:tcPr>
            <w:tcW w:w="560" w:type="dxa"/>
            <w:vAlign w:val="bottom"/>
            <w:gridSpan w:val="26"/>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Current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Report on Form 8-K filed on November 7, 2022 (File no. 1-6948).</w:t>
              </w:r>
            </w:hyperlink>
          </w:p>
        </w:tc>
        <w:tc>
          <w:tcPr>
            <w:tcW w:w="47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0000FF"/>
                </w:rPr>
                <w:t>Separation and Distribution Agreement, dated as of September 22, 2015, by and between SPX FLOW, Inc. and SPX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incorporated by reference from the Current Report on Form 8-K of SPX Corporation filed on September 28, 2015 (File no. 1-6948).</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6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54">
              <w:r>
                <w:rPr>
                  <w:rFonts w:ascii="Times New Roman" w:cs="Times New Roman" w:eastAsia="Times New Roman" w:hAnsi="Times New Roman"/>
                  <w:sz w:val="18"/>
                  <w:szCs w:val="18"/>
                  <w:color w:val="0000FF"/>
                  <w:w w:val="99"/>
                </w:rPr>
                <w:t>Stock Purchase Agreement among SPX Corporation, SPX Transformer Solutions, Inc., GE Prolec Transformers, Inc. and Prolec GE</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Internacional, S. DE RL. DE CV. dated as of June 8, 2021, incorporated by reference from the Current Report on Form 8-K of SPX</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Corporation filed on June 9, 2021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color w:val="0000FF"/>
                </w:rPr>
                <w:t>Agreement and Plan of Merger, dated as of April 28, 2023, by and among, SPX Enterprises, LLC, SPX Electric Heat, Inc., ASPEQ</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Parent Holdings, Inc., and Industrial Growth Partners V, L.P, incorporated by reference to Exhibit 10.2 to our Current Report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8-K filed on August 1, 2023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0000FF"/>
                </w:rPr>
                <w:t>Share Purchase Agreement dated as of February 7, 2024 among 15738393 Canada Inc., 15737338 Canada Inc., Giuseppe Racanelli</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Family Trust, Lise Daigle Family Trust, Giuseppe J. Racanelli, as representative of the specified Vendors, 12508991 Canada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12509008 Canada Inc., 3566382 Canada Inc., Gestion Racan Inc., Ingénia Technologies Inc., 15736854 Canada Inc., 15637406</w:t>
              </w:r>
            </w:hyperlink>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20"/>
          </w:tcPr>
          <w:p>
            <w:pPr>
              <w:spacing w:after="0" w:line="165"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Canada Inc. and 15708869 Canada Inc., incorporated by reference to Exhibit 10.1 to our Quarterly Report on Form 10-Q for the</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gridSpan w:val="24"/>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period ended March 30, 2024 (File no. 1-6948).</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6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57">
              <w:r>
                <w:rPr>
                  <w:rFonts w:ascii="Times New Roman" w:cs="Times New Roman" w:eastAsia="Times New Roman" w:hAnsi="Times New Roman"/>
                  <w:sz w:val="18"/>
                  <w:szCs w:val="18"/>
                  <w:color w:val="0000FF"/>
                  <w:w w:val="99"/>
                </w:rPr>
                <w:t>Amended and Restated Certificate of Incorporation of SPX Technologies, Inc., as amended, incorporated by reference to Exhibit 3.1</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to our Quarterly Report on Form 10-Q for the period ended June 29, 2024 (File no. 1-6948).</w:t>
              </w:r>
            </w:hyperlink>
          </w:p>
        </w:tc>
        <w:tc>
          <w:tcPr>
            <w:tcW w:w="28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6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58">
              <w:r>
                <w:rPr>
                  <w:rFonts w:ascii="Times New Roman" w:cs="Times New Roman" w:eastAsia="Times New Roman" w:hAnsi="Times New Roman"/>
                  <w:sz w:val="18"/>
                  <w:szCs w:val="18"/>
                  <w:color w:val="0000FF"/>
                  <w:w w:val="99"/>
                </w:rPr>
                <w:t>By-laws of SPX Technologies, Inc., Amended and Restated on May 14, 2024, incorporated by reference to Exhibit 3.2 to our Current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39"/>
          </w:tcPr>
          <w:p>
            <w:pPr>
              <w:spacing w:after="0" w:line="152"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Report on Form 8-K filed on May 14, 2024 (File no. 1-6948).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60" w:type="dxa"/>
            <w:vAlign w:val="bottom"/>
            <w:gridSpan w:val="4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Description of Capital Stock</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43"/>
          </w:tcPr>
          <w:p>
            <w:pPr>
              <w:ind w:left="200"/>
              <w:spacing w:after="0" w:line="205"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59">
              <w:r>
                <w:rPr>
                  <w:rFonts w:ascii="Times New Roman" w:cs="Times New Roman" w:eastAsia="Times New Roman" w:hAnsi="Times New Roman"/>
                  <w:sz w:val="18"/>
                  <w:szCs w:val="18"/>
                  <w:color w:val="0000FF"/>
                  <w:w w:val="99"/>
                </w:rPr>
                <w:t>Amended and Restated Credit Agreement, dated as of August 12, 2022, by and among SPX Enterprises, LLC, as the U.S. Borrower,</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SPX Corporation, as the Parent, the Foreign Subsidiary Borrowers party thereto, Bank of America, N.A., as the Administrative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Agent and the Swingline Lender, Deutsche Bank AG, as the Foreign Trade Facility Agent, and the Issuing Lenders, FCI Issuing</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300" w:type="dxa"/>
            <w:vAlign w:val="bottom"/>
            <w:gridSpan w:val="14"/>
            <w:vMerge w:val="restart"/>
          </w:tcPr>
          <w:p>
            <w:pPr>
              <w:jc w:val="right"/>
              <w:ind w:right="40"/>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bottom w:val="single" w:sz="8" w:color="0000FF"/>
            </w:tcBorders>
            <w:gridSpan w:val="23"/>
          </w:tcPr>
          <w:p>
            <w:pPr>
              <w:spacing w:after="0" w:line="165"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Lenders and Lenders party thereto, incorporated by reference to Exhibit 10.1 to our Current Report on Form 8-K filed on August</w:t>
              </w:r>
            </w:hyperlink>
          </w:p>
        </w:tc>
        <w:tc>
          <w:tcPr>
            <w:tcW w:w="300" w:type="dxa"/>
            <w:vAlign w:val="bottom"/>
            <w:tcBorders>
              <w:bottom w:val="single" w:sz="8" w:color="0000FF"/>
            </w:tcBorders>
            <w:gridSpan w:val="14"/>
            <w:vMerge w:val="continue"/>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7"/>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2022 (File no. 1-6948).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FF"/>
                </w:rPr>
                <w:t>Assumption Agreement, dated as of August 23, 2022, among SPX Technologies, Inc., the other loan parties party thereto, and Bank</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of America, N.A., as Administrative Agent, incorporated by reference to Exhibit 10.1 to our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August 24, 2022 (File no. 1-6948).</w:t>
              </w:r>
            </w:hyperlink>
          </w:p>
        </w:tc>
        <w:tc>
          <w:tcPr>
            <w:tcW w:w="6680" w:type="dxa"/>
            <w:vAlign w:val="bottom"/>
            <w:tcBorders>
              <w:top w:val="single" w:sz="8" w:color="0000FF"/>
            </w:tcBorders>
            <w:gridSpan w:val="21"/>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color w:val="0000FF"/>
                </w:rPr>
                <w:t>First Amendment to Amended and Restated Credit Agreement and Amendment to Amended and Restated Guarantee and Collateral</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Agreement, dated as of August 23, 2022, between SPX Enterprises, LLC and Bank of America, N.A., as Administrative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incorporated by reference to Exhibit 10.2 to our Current Report on Form 8-K filed on August 24, 2022 (File no. 1-6948).</w:t>
              </w:r>
            </w:hyperlink>
          </w:p>
        </w:tc>
        <w:tc>
          <w:tcPr>
            <w:tcW w:w="480" w:type="dxa"/>
            <w:vAlign w:val="bottom"/>
            <w:tcBorders>
              <w:top w:val="single" w:sz="8" w:color="0000FF"/>
            </w:tcBorders>
            <w:gridSpan w:val="6"/>
          </w:tcPr>
          <w:p>
            <w:pPr>
              <w:spacing w:after="0"/>
              <w:rPr>
                <w:sz w:val="13"/>
                <w:szCs w:val="13"/>
                <w:color w:val="auto"/>
              </w:rPr>
            </w:pPr>
          </w:p>
        </w:tc>
        <w:tc>
          <w:tcPr>
            <w:tcW w:w="2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color w:val="0000FF"/>
                </w:rPr>
                <w:t>Incremental Facility Activation Notice dated as of April 21, 2023 among SPX Enterprises, LLC, as the U.S. Borrower, Bank of</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9"/>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gridSpan w:val="41"/>
          </w:tcPr>
          <w:p>
            <w:pPr>
              <w:spacing w:after="0" w:line="152"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America, N.A., as the Administrative Agent, and the 2023 Incremental Term Loan Lenders party thereto, incorporated by reference</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to Exhibit 10.1 to our Current Report on Form 8-K filed on August 1, 2023 (File no. 1-6948).</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80" w:type="dxa"/>
            <w:vAlign w:val="bottom"/>
            <w:gridSpan w:val="9"/>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4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0000FF"/>
                </w:rPr>
                <w:t>Second Amendment to Amended and Restated Credit Agreement and Incremental Facility Activation Notice dated as of August 30,</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2024 among SPX Enterprises, LLC, as the U.S. Borrower, SPX Technologies, Inc., the other Guarantors party thereto, Bank of</w:t>
              </w:r>
            </w:hyperlink>
          </w:p>
        </w:tc>
        <w:tc>
          <w:tcPr>
            <w:tcW w:w="440" w:type="dxa"/>
            <w:vAlign w:val="bottom"/>
            <w:tcBorders>
              <w:top w:val="single" w:sz="8" w:color="0000FF"/>
            </w:tcBorders>
            <w:gridSpan w:val="17"/>
          </w:tcPr>
          <w:p>
            <w:pPr>
              <w:spacing w:after="0"/>
              <w:rPr>
                <w:sz w:val="13"/>
                <w:szCs w:val="13"/>
                <w:color w:val="auto"/>
              </w:rPr>
            </w:pPr>
          </w:p>
        </w:tc>
        <w:tc>
          <w:tcPr>
            <w:tcW w:w="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gridSpan w:val="41"/>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America, N.A., as the Administrative Agent, and the Lenders party thereto, incorporated by reference to Exhibit 10.1 to our Current</w:t>
              </w:r>
            </w:hyperlink>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32"/>
          </w:tcPr>
          <w:p>
            <w:pPr>
              <w:spacing w:after="0" w:line="165"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Report on Form 8-K filed on September 3, 2024 (File no. 1-6948).</w:t>
              </w:r>
            </w:hyperlink>
          </w:p>
        </w:tc>
        <w:tc>
          <w:tcPr>
            <w:tcW w:w="8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80" w:type="dxa"/>
            <w:vAlign w:val="bottom"/>
            <w:gridSpan w:val="9"/>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43"/>
          </w:tcPr>
          <w:p>
            <w:pPr>
              <w:ind w:left="200"/>
              <w:spacing w:after="0" w:line="20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Trademark License Agreement, dated as of September 26, 2015, by and between SPX FLOW, Inc. and SPX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00" w:type="dxa"/>
            <w:vAlign w:val="bottom"/>
            <w:gridSpan w:val="1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gridSpan w:val="2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bottom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incorporated by reference from the Current Report on Form 8-K of SPX Corporation filed on September 28, 2015 (File no. 1-6948).</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43"/>
          </w:tcPr>
          <w:p>
            <w:pPr>
              <w:ind w:left="2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65">
              <w:r>
                <w:rPr>
                  <w:rFonts w:ascii="Times New Roman" w:cs="Times New Roman" w:eastAsia="Times New Roman" w:hAnsi="Times New Roman"/>
                  <w:sz w:val="18"/>
                  <w:szCs w:val="18"/>
                  <w:color w:val="0000FF"/>
                  <w:w w:val="99"/>
                </w:rPr>
                <w:t>SPX 2006 Non-Employee Directors’ Stock Incentive Plan, incorporated by reference to Appendix E of the definitive proxy statement</w:t>
              </w:r>
            </w:hyperlink>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of SPX Corporation for its 2006 Annual Meeting of Stockholders, filed April 3, 2006 (File no. 1-6948).</w:t>
              </w:r>
            </w:hyperlink>
          </w:p>
        </w:tc>
        <w:tc>
          <w:tcPr>
            <w:tcW w:w="21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68580</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17" w:right="359" w:bottom="1440" w:gutter="0" w:footer="0" w:header="0"/>
        </w:sectPr>
      </w:pPr>
    </w:p>
    <w:bookmarkStart w:id="122" w:name="page123"/>
    <w:bookmarkEnd w:id="122"/>
    <w:p>
      <w:pPr>
        <w:ind w:left="700" w:right="14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*†10.08</w:t>
        <w:tab/>
        <w:t xml:space="preserve">— </w:t>
      </w:r>
      <w:hyperlink r:id="rId167">
        <w:r>
          <w:rPr>
            <w:rFonts w:ascii="Times New Roman" w:cs="Times New Roman" w:eastAsia="Times New Roman" w:hAnsi="Times New Roman"/>
            <w:sz w:val="18"/>
            <w:szCs w:val="18"/>
            <w:u w:val="single" w:color="auto"/>
            <w:color w:val="0000FF"/>
          </w:rPr>
          <w:t>Amendment to the SPX 2006 Non-Employee Directors’ Stock Incentive Plan, incorporated by reference to the Quarterly Report on</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0000FF"/>
          </w:rPr>
          <w:t>Form 10-Q of SPX Corporation for the quarter ended September 30, 2006 (File no. 1-6948).</w:t>
        </w:r>
      </w:hyperlink>
    </w:p>
    <w:p>
      <w:pPr>
        <w:spacing w:after="0" w:line="9" w:lineRule="exact"/>
        <w:rPr>
          <w:sz w:val="20"/>
          <w:szCs w:val="20"/>
          <w:color w:val="auto"/>
        </w:rPr>
      </w:pPr>
    </w:p>
    <w:p>
      <w:pPr>
        <w:jc w:val="center"/>
        <w:ind w:right="60"/>
        <w:spacing w:after="0" w:line="23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*10.09   —   </w:t>
      </w:r>
      <w:hyperlink r:id="rId168">
        <w:r>
          <w:rPr>
            <w:rFonts w:ascii="Times New Roman" w:cs="Times New Roman" w:eastAsia="Times New Roman" w:hAnsi="Times New Roman"/>
            <w:sz w:val="18"/>
            <w:szCs w:val="18"/>
            <w:u w:val="single" w:color="auto"/>
            <w:color w:val="0000FF"/>
          </w:rPr>
          <w:t>Form of Restricted Stock Agreement under the SPX 2006 Non-Employee Directors’ Stock Incentive Plan, incorporated by reference</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FF"/>
          </w:rPr>
          <w:t>from the Annual Report on Form 10-K of SPX Corporation for the year ended December 31, 2010 (File no. 1-6948).</w:t>
        </w:r>
      </w:hyperlink>
    </w:p>
    <w:p>
      <w:pPr>
        <w:spacing w:after="0" w:line="9" w:lineRule="exact"/>
        <w:rPr>
          <w:sz w:val="20"/>
          <w:szCs w:val="20"/>
          <w:color w:val="auto"/>
        </w:rPr>
      </w:pPr>
    </w:p>
    <w:p>
      <w:pPr>
        <w:ind w:left="700" w:right="40" w:hanging="1187"/>
        <w:spacing w:after="0" w:line="267"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tab/>
        <w:t xml:space="preserve">— </w:t>
      </w:r>
      <w:hyperlink r:id="rId169">
        <w:r>
          <w:rPr>
            <w:rFonts w:ascii="Times New Roman" w:cs="Times New Roman" w:eastAsia="Times New Roman" w:hAnsi="Times New Roman"/>
            <w:sz w:val="18"/>
            <w:szCs w:val="18"/>
            <w:u w:val="single" w:color="auto"/>
            <w:color w:val="0000FF"/>
          </w:rPr>
          <w:t>SPX 2019 Stock Compensation Plan, incorporated by reference to Appendix A of the definitive proxy statement of SPX Corporation</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FF"/>
          </w:rPr>
          <w:t>for its 2019 Annual Meeting of Stockholders, filed March 28, 2019 (File no. 1-6948).</w:t>
        </w:r>
      </w:hyperlink>
    </w:p>
    <w:p>
      <w:pPr>
        <w:spacing w:after="0" w:line="2" w:lineRule="exact"/>
        <w:rPr>
          <w:sz w:val="20"/>
          <w:szCs w:val="20"/>
          <w:color w:val="auto"/>
        </w:rPr>
      </w:pPr>
    </w:p>
    <w:p>
      <w:pPr>
        <w:ind w:left="700" w:right="280" w:hanging="1093"/>
        <w:spacing w:after="0" w:line="254"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tab/>
        <w:t xml:space="preserve">— </w:t>
      </w:r>
      <w:hyperlink r:id="rId170">
        <w:r>
          <w:rPr>
            <w:rFonts w:ascii="Times New Roman" w:cs="Times New Roman" w:eastAsia="Times New Roman" w:hAnsi="Times New Roman"/>
            <w:sz w:val="18"/>
            <w:szCs w:val="18"/>
            <w:u w:val="single" w:color="auto"/>
            <w:color w:val="0000FF"/>
          </w:rPr>
          <w:t>Form of Performance-Based Restricted Stock Unit Agreement (Pre-August 2022) under the SPX 2019 Stock Compensation Plan,</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FF"/>
          </w:rPr>
          <w:t>incorporated by reference from the Current Report on Form 8-K of SPX Corporation filed on May 10, 2019 (File no. 1-6948).</w:t>
        </w:r>
      </w:hyperlink>
    </w:p>
    <w:p>
      <w:pPr>
        <w:spacing w:after="0" w:line="11" w:lineRule="exact"/>
        <w:rPr>
          <w:sz w:val="20"/>
          <w:szCs w:val="20"/>
          <w:color w:val="auto"/>
        </w:rPr>
      </w:pPr>
    </w:p>
    <w:p>
      <w:pPr>
        <w:ind w:left="700" w:right="5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tab/>
        <w:t xml:space="preserve">— </w:t>
      </w:r>
      <w:hyperlink r:id="rId171">
        <w:r>
          <w:rPr>
            <w:rFonts w:ascii="Times New Roman" w:cs="Times New Roman" w:eastAsia="Times New Roman" w:hAnsi="Times New Roman"/>
            <w:sz w:val="18"/>
            <w:szCs w:val="18"/>
            <w:u w:val="single" w:color="auto"/>
            <w:color w:val="0000FF"/>
          </w:rPr>
          <w:t>Form of Time-Based Restricted Stock Unit Agreement (Pre-August 2022) under the SPX 2019 Stock Compensation Plan,</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FF"/>
          </w:rPr>
          <w:t>incorporated by reference from the Current Report on Form 8-K of SPX Corporation filed on May 10, 2019 (File no. 1-6948).</w:t>
        </w:r>
      </w:hyperlink>
    </w:p>
    <w:p>
      <w:pPr>
        <w:spacing w:after="0" w:line="9" w:lineRule="exact"/>
        <w:rPr>
          <w:sz w:val="20"/>
          <w:szCs w:val="20"/>
          <w:color w:val="auto"/>
        </w:rPr>
      </w:pPr>
    </w:p>
    <w:p>
      <w:pPr>
        <w:ind w:left="700" w:right="8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tab/>
        <w:t xml:space="preserve">— </w:t>
      </w:r>
      <w:hyperlink r:id="rId172">
        <w:r>
          <w:rPr>
            <w:rFonts w:ascii="Times New Roman" w:cs="Times New Roman" w:eastAsia="Times New Roman" w:hAnsi="Times New Roman"/>
            <w:sz w:val="18"/>
            <w:szCs w:val="18"/>
            <w:u w:val="single" w:color="auto"/>
            <w:color w:val="0000FF"/>
          </w:rPr>
          <w:t>Form of Cash-Settled Performance Unit Agreement (Pre-August 2022) under the SPX 2019 Stock Compensation Plan, incorporated</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FF"/>
          </w:rPr>
          <w:t>by reference from the Current Report on Form 8-K of SPX Corporation filed on May 10, 2019 (File no. 1-6948).</w:t>
        </w:r>
      </w:hyperlink>
    </w:p>
    <w:p>
      <w:pPr>
        <w:spacing w:after="0" w:line="9" w:lineRule="exact"/>
        <w:rPr>
          <w:sz w:val="20"/>
          <w:szCs w:val="20"/>
          <w:color w:val="auto"/>
        </w:rPr>
      </w:pPr>
    </w:p>
    <w:p>
      <w:pPr>
        <w:ind w:left="700" w:right="4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tab/>
        <w:t xml:space="preserve">— </w:t>
      </w:r>
      <w:hyperlink r:id="rId173">
        <w:r>
          <w:rPr>
            <w:rFonts w:ascii="Times New Roman" w:cs="Times New Roman" w:eastAsia="Times New Roman" w:hAnsi="Times New Roman"/>
            <w:sz w:val="18"/>
            <w:szCs w:val="18"/>
            <w:u w:val="single" w:color="auto"/>
            <w:color w:val="0000FF"/>
          </w:rPr>
          <w:t>Form of Stock Option Agreement (Pre-August 2022) under the SPX 2019 Stock Compensation Plan, incorporated by reference from</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0000FF"/>
          </w:rPr>
          <w:t>the Current Report on Form 8-K of SPX Corporation filed on May 10, 2019 (File no. 1-6948)</w:t>
        </w:r>
      </w:hyperlink>
    </w:p>
    <w:p>
      <w:pPr>
        <w:spacing w:after="0" w:line="9" w:lineRule="exact"/>
        <w:rPr>
          <w:sz w:val="20"/>
          <w:szCs w:val="20"/>
          <w:color w:val="auto"/>
        </w:rPr>
      </w:pPr>
    </w:p>
    <w:p>
      <w:pPr>
        <w:ind w:left="700" w:right="200" w:hanging="1099"/>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tab/>
        <w:t xml:space="preserve">— </w:t>
      </w:r>
      <w:hyperlink r:id="rId174">
        <w:r>
          <w:rPr>
            <w:rFonts w:ascii="Times New Roman" w:cs="Times New Roman" w:eastAsia="Times New Roman" w:hAnsi="Times New Roman"/>
            <w:sz w:val="18"/>
            <w:szCs w:val="18"/>
            <w:u w:val="single" w:color="auto"/>
            <w:color w:val="0000FF"/>
          </w:rPr>
          <w:t>Form of Time-Based Restricted Stock Unit Agreement for Non-Employee Directors (Pre-August 2022) under the SPX 2019 Stock</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Compensation Plan, incorporated by reference from the Current Report on Form 8-K of SPX Corporation filed on May 10, 2019</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(File no. 1-6948).</w:t>
        </w:r>
      </w:hyperlink>
    </w:p>
    <w:p>
      <w:pPr>
        <w:spacing w:after="0" w:line="9" w:lineRule="exact"/>
        <w:rPr>
          <w:rFonts w:ascii="Times New Roman" w:cs="Times New Roman" w:eastAsia="Times New Roman" w:hAnsi="Times New Roman"/>
          <w:sz w:val="18"/>
          <w:szCs w:val="18"/>
          <w:color w:val="auto"/>
        </w:rPr>
      </w:pPr>
    </w:p>
    <w:p>
      <w:pPr>
        <w:ind w:left="700" w:right="54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tab/>
        <w:t xml:space="preserve">— </w:t>
      </w:r>
      <w:hyperlink r:id="rId175">
        <w:r>
          <w:rPr>
            <w:rFonts w:ascii="Times New Roman" w:cs="Times New Roman" w:eastAsia="Times New Roman" w:hAnsi="Times New Roman"/>
            <w:sz w:val="18"/>
            <w:szCs w:val="18"/>
            <w:u w:val="single" w:color="auto"/>
            <w:color w:val="0000FF"/>
          </w:rPr>
          <w:t>Form of Time-based Restricted Stock Unit Award Agreement under the SPX 2019 Stock Compensation Plan, incorporated by</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FF"/>
          </w:rPr>
          <w:t>reference to Exhibit 10.1 to our Current Report on Form 8-K filed on November 2, 2022 (File no. 1-6948).</w:t>
        </w:r>
      </w:hyperlink>
    </w:p>
    <w:p>
      <w:pPr>
        <w:spacing w:after="0" w:line="9" w:lineRule="exact"/>
        <w:rPr>
          <w:sz w:val="20"/>
          <w:szCs w:val="20"/>
          <w:color w:val="auto"/>
        </w:rPr>
      </w:pPr>
    </w:p>
    <w:p>
      <w:pPr>
        <w:ind w:left="700" w:right="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tab/>
        <w:t xml:space="preserve">— </w:t>
      </w:r>
      <w:hyperlink r:id="rId176">
        <w:r>
          <w:rPr>
            <w:rFonts w:ascii="Times New Roman" w:cs="Times New Roman" w:eastAsia="Times New Roman" w:hAnsi="Times New Roman"/>
            <w:sz w:val="18"/>
            <w:szCs w:val="18"/>
            <w:u w:val="single" w:color="auto"/>
            <w:color w:val="0000FF"/>
          </w:rPr>
          <w:t>Form of Cash-Settled Performance Unit Award Agreement under the SPX 2019 Stock Compensation Plan, incorporated by reference</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FF"/>
          </w:rPr>
          <w:t>to Exhibit 10.2 to our Current Report on Form 8-K filed on November 2, 2022 (File no. 1-6948).</w:t>
        </w:r>
      </w:hyperlink>
    </w:p>
    <w:p>
      <w:pPr>
        <w:spacing w:after="0" w:line="9" w:lineRule="exact"/>
        <w:rPr>
          <w:sz w:val="20"/>
          <w:szCs w:val="20"/>
          <w:color w:val="auto"/>
        </w:rPr>
      </w:pPr>
    </w:p>
    <w:p>
      <w:pPr>
        <w:ind w:left="700" w:right="20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tab/>
        <w:t xml:space="preserve">— </w:t>
      </w:r>
      <w:hyperlink r:id="rId177">
        <w:r>
          <w:rPr>
            <w:rFonts w:ascii="Times New Roman" w:cs="Times New Roman" w:eastAsia="Times New Roman" w:hAnsi="Times New Roman"/>
            <w:sz w:val="18"/>
            <w:szCs w:val="18"/>
            <w:u w:val="single" w:color="auto"/>
            <w:color w:val="0000FF"/>
          </w:rPr>
          <w:t>Form of Performance-Based Restricted Stock Unit Award Agreement under the SPX 2019 Stock Compensation Plan, incorporated</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by reference to Exhibit 10.3 to our Current Report on Form 8-K filed on November 2, 2022 (File no. 1-6948).</w:t>
        </w:r>
      </w:hyperlink>
    </w:p>
    <w:p>
      <w:pPr>
        <w:spacing w:after="0" w:line="9" w:lineRule="exact"/>
        <w:rPr>
          <w:sz w:val="20"/>
          <w:szCs w:val="20"/>
          <w:color w:val="auto"/>
        </w:rPr>
      </w:pPr>
    </w:p>
    <w:p>
      <w:pPr>
        <w:ind w:left="700" w:right="20" w:hanging="1099"/>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tab/>
        <w:t xml:space="preserve">— </w:t>
      </w:r>
      <w:hyperlink r:id="rId178">
        <w:r>
          <w:rPr>
            <w:rFonts w:ascii="Times New Roman" w:cs="Times New Roman" w:eastAsia="Times New Roman" w:hAnsi="Times New Roman"/>
            <w:sz w:val="18"/>
            <w:szCs w:val="18"/>
            <w:u w:val="single" w:color="auto"/>
            <w:color w:val="0000FF"/>
          </w:rPr>
          <w:t>Form of Stock Option Award Agreement under the SPX 2019 Stock Compensation Plan, incorporated by reference to Exhibit 10.4 to</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our Current Report on Form 8-K filed on November 2, 2022 (File no. 1-6948).</w:t>
        </w:r>
      </w:hyperlink>
    </w:p>
    <w:p>
      <w:pPr>
        <w:spacing w:after="0" w:line="9" w:lineRule="exact"/>
        <w:rPr>
          <w:sz w:val="20"/>
          <w:szCs w:val="20"/>
          <w:color w:val="auto"/>
        </w:rPr>
      </w:pPr>
    </w:p>
    <w:p>
      <w:pPr>
        <w:ind w:left="700" w:hanging="1099"/>
        <w:spacing w:after="0" w:line="251" w:lineRule="auto"/>
        <w:tabs>
          <w:tab w:leader="none" w:pos="6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7"/>
          <w:szCs w:val="17"/>
          <w:color w:val="auto"/>
        </w:rPr>
        <w:t xml:space="preserve">— </w:t>
      </w:r>
      <w:hyperlink r:id="rId179">
        <w:r>
          <w:rPr>
            <w:rFonts w:ascii="Times New Roman" w:cs="Times New Roman" w:eastAsia="Times New Roman" w:hAnsi="Times New Roman"/>
            <w:sz w:val="17"/>
            <w:szCs w:val="17"/>
            <w:u w:val="single" w:color="auto"/>
            <w:color w:val="0000FF"/>
          </w:rPr>
          <w:t>Form of Time-Based Restricted Stock Unit Award Agreement for Non-Employee Directors under the SPX 2019 Stock Compensation</w:t>
        </w:r>
      </w:hyperlink>
      <w:r>
        <w:rPr>
          <w:rFonts w:ascii="Times New Roman" w:cs="Times New Roman" w:eastAsia="Times New Roman" w:hAnsi="Times New Roman"/>
          <w:sz w:val="17"/>
          <w:szCs w:val="17"/>
          <w:color w:val="auto"/>
        </w:rPr>
        <w:t xml:space="preserve"> </w:t>
      </w:r>
      <w:hyperlink r:id="rId179">
        <w:r>
          <w:rPr>
            <w:rFonts w:ascii="Times New Roman" w:cs="Times New Roman" w:eastAsia="Times New Roman" w:hAnsi="Times New Roman"/>
            <w:sz w:val="17"/>
            <w:szCs w:val="17"/>
            <w:u w:val="single" w:color="auto"/>
            <w:color w:val="0000FF"/>
          </w:rPr>
          <w:t>Plan, incorporated by reference to Exhibit 10.5 to our Current Report on Form 8-K filed on November 2, 2022 (File no. 1-6948).</w:t>
        </w:r>
      </w:hyperlink>
    </w:p>
    <w:p>
      <w:pPr>
        <w:ind w:left="700" w:right="40" w:hanging="1099"/>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tab/>
        <w:t xml:space="preserve">— </w:t>
      </w:r>
      <w:hyperlink r:id="rId180">
        <w:r>
          <w:rPr>
            <w:rFonts w:ascii="Times New Roman" w:cs="Times New Roman" w:eastAsia="Times New Roman" w:hAnsi="Times New Roman"/>
            <w:sz w:val="18"/>
            <w:szCs w:val="18"/>
            <w:u w:val="single" w:color="auto"/>
            <w:color w:val="0000FF"/>
          </w:rPr>
          <w:t>SPX 2002 Stock Compensation Plan (As Amended and Restated Effective May 3, 2012), incorporated by reference to Appendix A</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of the definitive proxy statement of SPX Corporation for its 2012 Annual Meeting of Stockholders, filed March 22, 2012 (File no. 1-</w:t>
        </w:r>
      </w:hyperlink>
      <w:hyperlink r:id="rId180">
        <w:r>
          <w:rPr>
            <w:rFonts w:ascii="Times New Roman" w:cs="Times New Roman" w:eastAsia="Times New Roman" w:hAnsi="Times New Roman"/>
            <w:sz w:val="18"/>
            <w:szCs w:val="18"/>
            <w:u w:val="single" w:color="auto"/>
            <w:color w:val="0000FF"/>
          </w:rPr>
          <w:t>6948).</w:t>
        </w:r>
      </w:hyperlink>
    </w:p>
    <w:p>
      <w:pPr>
        <w:spacing w:after="0" w:line="9" w:lineRule="exact"/>
        <w:rPr>
          <w:rFonts w:ascii="Times New Roman" w:cs="Times New Roman" w:eastAsia="Times New Roman" w:hAnsi="Times New Roman"/>
          <w:sz w:val="18"/>
          <w:szCs w:val="18"/>
          <w:color w:val="auto"/>
        </w:rPr>
      </w:pPr>
    </w:p>
    <w:p>
      <w:pPr>
        <w:ind w:left="700" w:right="40" w:hanging="1187"/>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tab/>
        <w:t xml:space="preserve">— </w:t>
      </w:r>
      <w:hyperlink r:id="rId181">
        <w:r>
          <w:rPr>
            <w:rFonts w:ascii="Times New Roman" w:cs="Times New Roman" w:eastAsia="Times New Roman" w:hAnsi="Times New Roman"/>
            <w:sz w:val="18"/>
            <w:szCs w:val="18"/>
            <w:u w:val="single" w:color="auto"/>
            <w:color w:val="0000FF"/>
          </w:rPr>
          <w:t>SPX 2002 Stock Compensation Plan (As Amended and Restated Effective May 8, 2015), incorporated by reference to Appendix A</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0000FF"/>
          </w:rPr>
          <w:t>of the definitive proxy statement of SPX Corporation for its 2015 Annual Meeting of Stockholders, filed March 26, 2015 (File no. 1-</w:t>
        </w:r>
      </w:hyperlink>
      <w:hyperlink r:id="rId181">
        <w:r>
          <w:rPr>
            <w:rFonts w:ascii="Times New Roman" w:cs="Times New Roman" w:eastAsia="Times New Roman" w:hAnsi="Times New Roman"/>
            <w:sz w:val="18"/>
            <w:szCs w:val="18"/>
            <w:u w:val="single" w:color="auto"/>
            <w:color w:val="0000FF"/>
          </w:rPr>
          <w:t>6948).</w:t>
        </w:r>
      </w:hyperlink>
    </w:p>
    <w:p>
      <w:pPr>
        <w:spacing w:after="0" w:line="9" w:lineRule="exact"/>
        <w:rPr>
          <w:rFonts w:ascii="Times New Roman" w:cs="Times New Roman" w:eastAsia="Times New Roman" w:hAnsi="Times New Roman"/>
          <w:sz w:val="18"/>
          <w:szCs w:val="18"/>
          <w:color w:val="auto"/>
        </w:rPr>
      </w:pPr>
    </w:p>
    <w:p>
      <w:pPr>
        <w:ind w:left="700" w:right="40" w:hanging="1187"/>
        <w:spacing w:after="0" w:line="221"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tab/>
        <w:t xml:space="preserve">— </w:t>
      </w:r>
      <w:hyperlink r:id="rId182">
        <w:r>
          <w:rPr>
            <w:rFonts w:ascii="Times New Roman" w:cs="Times New Roman" w:eastAsia="Times New Roman" w:hAnsi="Times New Roman"/>
            <w:sz w:val="18"/>
            <w:szCs w:val="18"/>
            <w:u w:val="single" w:color="auto"/>
            <w:color w:val="0000FF"/>
          </w:rPr>
          <w:t>Amendment of the SPX 2002 Stock Compensation Plan (As Amended and Restated Effective May 8, 2015), effective as of February</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21, 2017, incorporated by reference from the Annual Report on Form 10-K of SPX Corporation for the year ended December 31,</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2016 (File no. 1-6948).</w:t>
        </w:r>
      </w:hyperlink>
    </w:p>
    <w:p>
      <w:pPr>
        <w:spacing w:after="0" w:line="9" w:lineRule="exact"/>
        <w:rPr>
          <w:rFonts w:ascii="Times New Roman" w:cs="Times New Roman" w:eastAsia="Times New Roman" w:hAnsi="Times New Roman"/>
          <w:sz w:val="18"/>
          <w:szCs w:val="18"/>
          <w:color w:val="auto"/>
        </w:rPr>
      </w:pPr>
    </w:p>
    <w:p>
      <w:pPr>
        <w:ind w:left="700" w:right="14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tab/>
        <w:t xml:space="preserve">— </w:t>
      </w:r>
      <w:hyperlink r:id="rId183">
        <w:r>
          <w:rPr>
            <w:rFonts w:ascii="Times New Roman" w:cs="Times New Roman" w:eastAsia="Times New Roman" w:hAnsi="Times New Roman"/>
            <w:sz w:val="18"/>
            <w:szCs w:val="18"/>
            <w:u w:val="single" w:color="auto"/>
            <w:color w:val="0000FF"/>
          </w:rPr>
          <w:t>SPX Executive Annual Bonus Plan, incorporated by reference to Appendix A of the definitive proxy statement of SPX Corporation</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for its 2016 Annual Meeting of Stockholders, filed April 12, 2016 (File no. 1-6948).</w:t>
        </w:r>
      </w:hyperlink>
    </w:p>
    <w:p>
      <w:pPr>
        <w:spacing w:after="0" w:line="9" w:lineRule="exact"/>
        <w:rPr>
          <w:sz w:val="20"/>
          <w:szCs w:val="20"/>
          <w:color w:val="auto"/>
        </w:rPr>
      </w:pPr>
    </w:p>
    <w:p>
      <w:pPr>
        <w:ind w:left="700" w:right="34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tab/>
        <w:t xml:space="preserve">— </w:t>
      </w:r>
      <w:hyperlink r:id="rId184">
        <w:r>
          <w:rPr>
            <w:rFonts w:ascii="Times New Roman" w:cs="Times New Roman" w:eastAsia="Times New Roman" w:hAnsi="Times New Roman"/>
            <w:sz w:val="18"/>
            <w:szCs w:val="18"/>
            <w:u w:val="single" w:color="auto"/>
            <w:color w:val="0000FF"/>
          </w:rPr>
          <w:t>SPX Executive Long-Term Disability Plan, as Amended and Restated Effective July 1, 2015, incorporated by reference from the</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0000FF"/>
          </w:rPr>
          <w:t>Annual Report on Form 10-K of SPX Corporation for the year ended December 31, 2017 (File no. 1-6948).</w:t>
        </w:r>
      </w:hyperlink>
    </w:p>
    <w:p>
      <w:pPr>
        <w:spacing w:after="0" w:line="9" w:lineRule="exact"/>
        <w:rPr>
          <w:sz w:val="20"/>
          <w:szCs w:val="20"/>
          <w:color w:val="auto"/>
        </w:rPr>
      </w:pPr>
    </w:p>
    <w:p>
      <w:pPr>
        <w:ind w:left="700" w:right="420" w:hanging="1187"/>
        <w:spacing w:after="0" w:line="232" w:lineRule="auto"/>
        <w:tabs>
          <w:tab w:leader="none" w:pos="6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tab/>
        <w:t xml:space="preserve">— </w:t>
      </w:r>
      <w:hyperlink r:id="rId185">
        <w:r>
          <w:rPr>
            <w:rFonts w:ascii="Times New Roman" w:cs="Times New Roman" w:eastAsia="Times New Roman" w:hAnsi="Times New Roman"/>
            <w:sz w:val="18"/>
            <w:szCs w:val="18"/>
            <w:u w:val="single" w:color="auto"/>
            <w:color w:val="0000FF"/>
          </w:rPr>
          <w:t>SPX Life Insurance Plan for Key Managers, as Amended and Restated September 26, 2015, incorporated by reference from the</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0000FF"/>
          </w:rPr>
          <w:t>Annual Report on Form 10-K of SPX Corporation for the year ended December 31, 2017 (File no. 1-6948).</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68580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00"/>
          </w:cols>
          <w:pgMar w:left="1020" w:top="1059" w:right="3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*10.27</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FF"/>
                </w:rPr>
                <w:t>SPX Supplemental Retirement Savings Plan (as amended and restated effective August 15, 2022), incorporated by reference to</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Exhibit 10.7 to our Current Report on Form 8-K filed on November 2, 2022 (File no. 1-6948).</w:t>
              </w:r>
            </w:hyperlink>
          </w:p>
        </w:tc>
        <w:tc>
          <w:tcPr>
            <w:tcW w:w="230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*10.28</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color w:val="0000FF"/>
                </w:rPr>
                <w:t>SPX Supplemental Individual Account Retirement Plan (as amended and restated effective August 15, 2022), incorporated by</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reference to Exhibit 10.8 to our Current Report on Form 8-K filed on November 2, 2022 (File no. 1-6948).</w:t>
              </w:r>
            </w:hyperlink>
          </w:p>
        </w:tc>
        <w:tc>
          <w:tcPr>
            <w:tcW w:w="13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FF"/>
                </w:rPr>
                <w:t>SPX Supplemental Retirement Plan for Top Management (as amended and restated effective August 15, 2022), incorporated by</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reference to Exhibit 10.6 to our Current Report on Form 8-K filed on November 2, 2022 (File no. 1-6948).</w:t>
              </w:r>
            </w:hyperlink>
          </w:p>
        </w:tc>
        <w:tc>
          <w:tcPr>
            <w:tcW w:w="14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gridSpan w:val="37"/>
          </w:tcPr>
          <w:p>
            <w:pPr>
              <w:ind w:left="100"/>
              <w:spacing w:after="0"/>
              <w:rPr>
                <w:rFonts w:ascii="Times New Roman" w:cs="Times New Roman" w:eastAsia="Times New Roman" w:hAnsi="Times New Roman"/>
                <w:sz w:val="18"/>
                <w:szCs w:val="18"/>
                <w:color w:val="auto"/>
                <w:w w:val="98"/>
              </w:rPr>
            </w:pPr>
            <w:r>
              <w:rPr>
                <w:rFonts w:ascii="Times New Roman" w:cs="Times New Roman" w:eastAsia="Times New Roman" w:hAnsi="Times New Roman"/>
                <w:sz w:val="18"/>
                <w:szCs w:val="18"/>
                <w:color w:val="auto"/>
                <w:w w:val="98"/>
              </w:rPr>
              <w:t xml:space="preserve">—   </w:t>
            </w:r>
            <w:hyperlink r:id="rId190">
              <w:r>
                <w:rPr>
                  <w:rFonts w:ascii="Times New Roman" w:cs="Times New Roman" w:eastAsia="Times New Roman" w:hAnsi="Times New Roman"/>
                  <w:sz w:val="18"/>
                  <w:szCs w:val="18"/>
                  <w:color w:val="0000FF"/>
                  <w:w w:val="98"/>
                </w:rPr>
                <w:t>Employment Agreement between Eugene Joseph Lowe, III and SPX Corporation, incorporated by reference from the Current Report</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on Form 8-K of SPX Corporation filed on October 1, 2015 (File no. 1-6948).</w:t>
              </w:r>
            </w:hyperlink>
          </w:p>
        </w:tc>
        <w:tc>
          <w:tcPr>
            <w:tcW w:w="39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color w:val="0000FF"/>
                </w:rPr>
                <w:t>Change of Control Agreement between Eugene Joseph Lowe, III and SPX Corporation, incorporated by reference from the Current</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Report on Form 8-K of SPX Corporation filed on October 1, 2015 (File no. 1-6948).</w:t>
              </w:r>
            </w:hyperlink>
          </w:p>
        </w:tc>
        <w:tc>
          <w:tcPr>
            <w:tcW w:w="33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0000FF"/>
                </w:rPr>
                <w:t>Amendment to Confidentiality Agreement, Employment Agreement and Change of Control Agreement dated October 5, 2022</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90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between Eugene J. Lowe III and SPX Technologies, Inc., incorporated by reference to Exhibit 10.2 to our Quarterly Report on</w:t>
              </w:r>
            </w:hyperlink>
          </w:p>
        </w:tc>
        <w:tc>
          <w:tcPr>
            <w:tcW w:w="520" w:type="dxa"/>
            <w:vAlign w:val="bottom"/>
            <w:gridSpan w:val="15"/>
          </w:tcPr>
          <w:p>
            <w:pPr>
              <w:ind w:left="40"/>
              <w:spacing w:after="0" w:line="152"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Form</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60" w:type="dxa"/>
            <w:vAlign w:val="bottom"/>
            <w:tcBorders>
              <w:top w:val="single" w:sz="8" w:color="0000FF"/>
            </w:tcBorders>
            <w:gridSpan w:val="33"/>
          </w:tcPr>
          <w:p>
            <w:pPr>
              <w:spacing w:after="0" w:line="152"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10-Q for the period ended October 1, 2022 (File no. 1-6948).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*10.33</w:t>
            </w:r>
          </w:p>
        </w:tc>
        <w:tc>
          <w:tcPr>
            <w:tcW w:w="9920" w:type="dxa"/>
            <w:vAlign w:val="bottom"/>
            <w:gridSpan w:val="37"/>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93">
              <w:r>
                <w:rPr>
                  <w:rFonts w:ascii="Times New Roman" w:cs="Times New Roman" w:eastAsia="Times New Roman" w:hAnsi="Times New Roman"/>
                  <w:sz w:val="18"/>
                  <w:szCs w:val="18"/>
                  <w:color w:val="0000FF"/>
                  <w:w w:val="99"/>
                </w:rPr>
                <w:t>Form of Confidentiality and Non-Competition Agreement for Executive Officers (Pre-August 2022), incorporated by reference from</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the Current Report on Form 8-K of SPX Corporation filed on October 6, 2006 (File no. 1-6948).</w:t>
              </w:r>
            </w:hyperlink>
          </w:p>
        </w:tc>
        <w:tc>
          <w:tcPr>
            <w:tcW w:w="258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*10.34</w:t>
            </w:r>
          </w:p>
        </w:tc>
        <w:tc>
          <w:tcPr>
            <w:tcW w:w="9920" w:type="dxa"/>
            <w:vAlign w:val="bottom"/>
            <w:gridSpan w:val="37"/>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94">
              <w:r>
                <w:rPr>
                  <w:rFonts w:ascii="Times New Roman" w:cs="Times New Roman" w:eastAsia="Times New Roman" w:hAnsi="Times New Roman"/>
                  <w:sz w:val="18"/>
                  <w:szCs w:val="18"/>
                  <w:color w:val="0000FF"/>
                  <w:w w:val="99"/>
                </w:rPr>
                <w:t>Form of Confidentiality and Non-Competition Agreement for Executive Officers (Pre-August 2022), incorporated by reference from</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80" w:type="dxa"/>
            <w:vAlign w:val="bottom"/>
            <w:tcBorders>
              <w:top w:val="single" w:sz="8" w:color="0000FF"/>
            </w:tcBorders>
            <w:gridSpan w:val="34"/>
          </w:tcPr>
          <w:p>
            <w:pPr>
              <w:spacing w:after="0" w:line="152"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the Annual Report on Form 10-K of SPX Corporation for the year ended December 31, 2016 (File no. 1-6948).</w:t>
              </w:r>
            </w:hyperlink>
          </w:p>
        </w:tc>
        <w:tc>
          <w:tcPr>
            <w:tcW w:w="40" w:type="dxa"/>
            <w:vAlign w:val="bottom"/>
            <w:gridSpan w:val="2"/>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*10.35</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0000FF"/>
                </w:rPr>
                <w:t>Form of Severance Benefit Agreement (Pre-August 2022), incorporated by reference from the Current Report on Form 8-K of SPX</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Corporation filed on October 1, 2015 (File no. 1-6948).</w:t>
              </w:r>
            </w:hyperlink>
          </w:p>
        </w:tc>
        <w:tc>
          <w:tcPr>
            <w:tcW w:w="53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*10.36</w:t>
            </w:r>
          </w:p>
        </w:tc>
        <w:tc>
          <w:tcPr>
            <w:tcW w:w="9920" w:type="dxa"/>
            <w:vAlign w:val="bottom"/>
            <w:gridSpan w:val="37"/>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96">
              <w:r>
                <w:rPr>
                  <w:rFonts w:ascii="Times New Roman" w:cs="Times New Roman" w:eastAsia="Times New Roman" w:hAnsi="Times New Roman"/>
                  <w:sz w:val="18"/>
                  <w:szCs w:val="18"/>
                  <w:color w:val="0000FF"/>
                  <w:w w:val="99"/>
                </w:rPr>
                <w:t>Form of Change of Control Agreement (Pre-August 2022), incorporated by reference from the Current Report on Form 8-K of SPX</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Corporation filed on October 1, 2015 (File no. 1-6948).</w:t>
              </w:r>
            </w:hyperlink>
          </w:p>
        </w:tc>
        <w:tc>
          <w:tcPr>
            <w:tcW w:w="5420" w:type="dxa"/>
            <w:vAlign w:val="bottom"/>
            <w:tcBorders>
              <w:top w:val="single" w:sz="8" w:color="0000FF"/>
            </w:tcBorders>
            <w:gridSpan w:val="2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*10.37</w:t>
            </w:r>
          </w:p>
        </w:tc>
        <w:tc>
          <w:tcPr>
            <w:tcW w:w="9920" w:type="dxa"/>
            <w:vAlign w:val="bottom"/>
            <w:gridSpan w:val="37"/>
          </w:tcPr>
          <w:p>
            <w:pPr>
              <w:ind w:left="100"/>
              <w:spacing w:after="0"/>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   </w:t>
            </w:r>
            <w:hyperlink r:id="rId197">
              <w:r>
                <w:rPr>
                  <w:rFonts w:ascii="Times New Roman" w:cs="Times New Roman" w:eastAsia="Times New Roman" w:hAnsi="Times New Roman"/>
                  <w:sz w:val="18"/>
                  <w:szCs w:val="18"/>
                  <w:color w:val="0000FF"/>
                  <w:w w:val="99"/>
                </w:rPr>
                <w:t>Form of Amendment to Confidentiality Agreement, Severance Benefit Agreement and Change of Control Agreement between SPX</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2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Enterprises, LLC and certain officers of SPX Technologies, Inc., incorporated by reference to Exhibit 10.3 to our Quarterly Report</w:t>
              </w:r>
            </w:hyperlink>
          </w:p>
        </w:tc>
        <w:tc>
          <w:tcPr>
            <w:tcW w:w="100" w:type="dxa"/>
            <w:vAlign w:val="bottom"/>
            <w:gridSpan w:val="5"/>
          </w:tcPr>
          <w:p>
            <w:pPr>
              <w:spacing w:after="0"/>
              <w:rPr>
                <w:sz w:val="13"/>
                <w:szCs w:val="13"/>
                <w:color w:val="auto"/>
              </w:rPr>
            </w:pPr>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on Form 10-Q for the period ended October 1, 2022 (File no. 1-6948).</w:t>
              </w:r>
            </w:hyperlink>
          </w:p>
        </w:tc>
        <w:tc>
          <w:tcPr>
            <w:tcW w:w="10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*10.38</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color w:val="0000FF"/>
                </w:rPr>
                <w:t>Form of Change-in Control Agreement, incorporated by reference to Exhibit 10.4 to our Quarterly Report on Form 10-Q for the</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6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period ended October 1, 2022 (File no. 1-6948).</w:t>
              </w:r>
            </w:hyperlink>
          </w:p>
        </w:tc>
        <w:tc>
          <w:tcPr>
            <w:tcW w:w="24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Form of Confidentiality and Non-Competition Agreement, incorporated by reference to Exhibit 10.5 to our Quarterly Report on</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4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Form 10-Q for the period ended October 1, 2022 (File no. 1-6948).</w:t>
              </w:r>
            </w:hyperlink>
          </w:p>
        </w:tc>
        <w:tc>
          <w:tcPr>
            <w:tcW w:w="26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8"/>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*10.40</w:t>
            </w:r>
          </w:p>
        </w:tc>
        <w:tc>
          <w:tcPr>
            <w:tcW w:w="9920" w:type="dxa"/>
            <w:vAlign w:val="bottom"/>
            <w:gridSpan w:val="3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color w:val="0000FF"/>
                </w:rPr>
                <w:t>Form of Officer Severance Benefit Agreement, incorporated by reference to Exhibit 10.6 to our Quarterly Report on Form 10-Q for</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0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the period ended October 1, 2022 (File no. 1-6948).</w:t>
              </w:r>
            </w:hyperlink>
          </w:p>
        </w:tc>
        <w:tc>
          <w:tcPr>
            <w:tcW w:w="120" w:type="dxa"/>
            <w:vAlign w:val="bottom"/>
            <w:gridSpan w:val="6"/>
          </w:tcPr>
          <w:p>
            <w:pPr>
              <w:spacing w:after="0"/>
              <w:rPr>
                <w:sz w:val="13"/>
                <w:szCs w:val="13"/>
                <w:color w:val="auto"/>
              </w:rPr>
            </w:pPr>
          </w:p>
        </w:tc>
      </w:tr>
      <w:tr>
        <w:trPr>
          <w:trHeight w:val="482"/>
        </w:trPr>
        <w:tc>
          <w:tcPr>
            <w:tcW w:w="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19.1</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5780" w:type="dxa"/>
            <w:vAlign w:val="bottom"/>
            <w:gridSpan w:val="28"/>
          </w:tcPr>
          <w:p>
            <w:pPr>
              <w:spacing w:after="0"/>
              <w:rPr>
                <w:sz w:val="24"/>
                <w:szCs w:val="24"/>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Subsidiaries.</w:t>
            </w:r>
          </w:p>
        </w:tc>
        <w:tc>
          <w:tcPr>
            <w:tcW w:w="660" w:type="dxa"/>
            <w:vAlign w:val="bottom"/>
            <w:tcBorders>
              <w:top w:val="single" w:sz="8" w:color="0000FF"/>
            </w:tcBorders>
          </w:tcPr>
          <w:p>
            <w:pPr>
              <w:spacing w:after="0"/>
              <w:rPr>
                <w:sz w:val="17"/>
                <w:szCs w:val="17"/>
                <w:color w:val="auto"/>
              </w:rPr>
            </w:pPr>
          </w:p>
        </w:tc>
        <w:tc>
          <w:tcPr>
            <w:tcW w:w="7840" w:type="dxa"/>
            <w:vAlign w:val="bottom"/>
            <w:gridSpan w:val="34"/>
          </w:tcPr>
          <w:p>
            <w:pPr>
              <w:spacing w:after="0"/>
              <w:rPr>
                <w:sz w:val="17"/>
                <w:szCs w:val="17"/>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23.1</w:t>
            </w:r>
          </w:p>
        </w:tc>
        <w:tc>
          <w:tcPr>
            <w:tcW w:w="9920" w:type="dxa"/>
            <w:vAlign w:val="bottom"/>
            <w:gridSpan w:val="37"/>
          </w:tcPr>
          <w:p>
            <w:pPr>
              <w:ind w:left="100"/>
              <w:spacing w:after="0" w:line="205"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 — Deloitte &amp; Touche LLP.</w:t>
            </w: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31.1</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Rule 13a-14(a) Certification.</w:t>
            </w:r>
          </w:p>
        </w:tc>
        <w:tc>
          <w:tcPr>
            <w:tcW w:w="4120" w:type="dxa"/>
            <w:vAlign w:val="bottom"/>
            <w:tcBorders>
              <w:top w:val="single" w:sz="8" w:color="0000FF"/>
            </w:tcBorders>
            <w:gridSpan w:val="10"/>
          </w:tcPr>
          <w:p>
            <w:pPr>
              <w:spacing w:after="0"/>
              <w:rPr>
                <w:sz w:val="17"/>
                <w:szCs w:val="17"/>
                <w:color w:val="auto"/>
              </w:rPr>
            </w:pPr>
          </w:p>
        </w:tc>
        <w:tc>
          <w:tcPr>
            <w:tcW w:w="3240" w:type="dxa"/>
            <w:vAlign w:val="bottom"/>
            <w:gridSpan w:val="21"/>
          </w:tcPr>
          <w:p>
            <w:pPr>
              <w:spacing w:after="0"/>
              <w:rPr>
                <w:sz w:val="17"/>
                <w:szCs w:val="17"/>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31.2</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36"/>
          </w:tcPr>
          <w:p>
            <w:pPr>
              <w:spacing w:after="0" w:line="205" w:lineRule="exact"/>
              <w:rPr>
                <w:sz w:val="20"/>
                <w:szCs w:val="20"/>
                <w:color w:val="auto"/>
              </w:rPr>
            </w:pPr>
            <w:r>
              <w:rPr>
                <w:rFonts w:ascii="Times New Roman" w:cs="Times New Roman" w:eastAsia="Times New Roman" w:hAnsi="Times New Roman"/>
                <w:sz w:val="18"/>
                <w:szCs w:val="18"/>
                <w:color w:val="0000FF"/>
              </w:rPr>
              <w:t>Rule 13a-14(a) Certification.</w:t>
            </w: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32.1</w:t>
            </w:r>
          </w:p>
        </w:tc>
        <w:tc>
          <w:tcPr>
            <w:tcW w:w="5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Section 1350 Certifications.</w:t>
            </w:r>
          </w:p>
        </w:tc>
        <w:tc>
          <w:tcPr>
            <w:tcW w:w="60" w:type="dxa"/>
            <w:vAlign w:val="bottom"/>
            <w:tcBorders>
              <w:top w:val="single" w:sz="8" w:color="0000FF"/>
            </w:tcBorders>
          </w:tcPr>
          <w:p>
            <w:pPr>
              <w:spacing w:after="0"/>
              <w:rPr>
                <w:sz w:val="17"/>
                <w:szCs w:val="17"/>
                <w:color w:val="auto"/>
              </w:rPr>
            </w:pPr>
          </w:p>
        </w:tc>
        <w:tc>
          <w:tcPr>
            <w:tcW w:w="7380" w:type="dxa"/>
            <w:vAlign w:val="bottom"/>
            <w:gridSpan w:val="32"/>
          </w:tcPr>
          <w:p>
            <w:pPr>
              <w:spacing w:after="0"/>
              <w:rPr>
                <w:sz w:val="17"/>
                <w:szCs w:val="17"/>
                <w:color w:val="auto"/>
              </w:rPr>
            </w:pPr>
          </w:p>
        </w:tc>
      </w:tr>
      <w:tr>
        <w:trPr>
          <w:trHeight w:val="204"/>
        </w:trPr>
        <w:tc>
          <w:tcPr>
            <w:tcW w:w="780" w:type="dxa"/>
            <w:vAlign w:val="bottom"/>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97.1</w:t>
            </w:r>
          </w:p>
        </w:tc>
        <w:tc>
          <w:tcPr>
            <w:tcW w:w="9920" w:type="dxa"/>
            <w:vAlign w:val="bottom"/>
            <w:gridSpan w:val="37"/>
          </w:tcPr>
          <w:p>
            <w:pPr>
              <w:ind w:left="100"/>
              <w:spacing w:after="0" w:line="20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color w:val="0000FF"/>
                </w:rPr>
                <w:t>Dodd-Frank Clawback Policy, incorporated by reference to Exhibit 97.1 to our Annual Report on Form 10-K for the year ended</w:t>
              </w:r>
            </w:hyperlink>
          </w:p>
        </w:tc>
      </w:tr>
      <w:tr>
        <w:trPr>
          <w:trHeight w:val="152"/>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December 31, 2023 (File no. 1-6948).</w:t>
              </w:r>
            </w:hyperlink>
          </w:p>
        </w:tc>
        <w:tc>
          <w:tcPr>
            <w:tcW w:w="6340" w:type="dxa"/>
            <w:vAlign w:val="bottom"/>
            <w:tcBorders>
              <w:top w:val="single" w:sz="8" w:color="0000FF"/>
            </w:tcBorders>
            <w:gridSpan w:val="18"/>
          </w:tcPr>
          <w:p>
            <w:pPr>
              <w:spacing w:after="0"/>
              <w:rPr>
                <w:sz w:val="13"/>
                <w:szCs w:val="13"/>
                <w:color w:val="auto"/>
              </w:rPr>
            </w:pPr>
          </w:p>
        </w:tc>
        <w:tc>
          <w:tcPr>
            <w:tcW w:w="400" w:type="dxa"/>
            <w:vAlign w:val="bottom"/>
            <w:gridSpan w:val="12"/>
          </w:tcPr>
          <w:p>
            <w:pPr>
              <w:spacing w:after="0"/>
              <w:rPr>
                <w:sz w:val="13"/>
                <w:szCs w:val="13"/>
                <w:color w:val="auto"/>
              </w:rPr>
            </w:pPr>
          </w:p>
        </w:tc>
      </w:tr>
      <w:tr>
        <w:trPr>
          <w:trHeight w:val="204"/>
        </w:trPr>
        <w:tc>
          <w:tcPr>
            <w:tcW w:w="780" w:type="dxa"/>
            <w:vAlign w:val="bottom"/>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37"/>
          </w:tcPr>
          <w:p>
            <w:pPr>
              <w:ind w:left="100"/>
              <w:spacing w:after="0" w:line="205" w:lineRule="exact"/>
              <w:rPr>
                <w:sz w:val="20"/>
                <w:szCs w:val="20"/>
                <w:color w:val="auto"/>
              </w:rPr>
            </w:pPr>
            <w:r>
              <w:rPr>
                <w:rFonts w:ascii="Times New Roman" w:cs="Times New Roman" w:eastAsia="Times New Roman" w:hAnsi="Times New Roman"/>
                <w:sz w:val="18"/>
                <w:szCs w:val="18"/>
                <w:color w:val="auto"/>
              </w:rPr>
              <w:t>—   Inline XBRL Instance Document (the instance document does not appear in the Interactive Data File because its XBRL tags are</w:t>
            </w:r>
          </w:p>
        </w:tc>
      </w:tr>
      <w:tr>
        <w:trPr>
          <w:trHeight w:val="229"/>
        </w:trPr>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8"/>
        </w:trPr>
        <w:tc>
          <w:tcPr>
            <w:tcW w:w="10700" w:type="dxa"/>
            <w:vAlign w:val="bottom"/>
            <w:gridSpan w:val="38"/>
          </w:tcPr>
          <w:p>
            <w:pPr>
              <w:ind w:left="20"/>
              <w:spacing w:after="0"/>
              <w:rPr>
                <w:sz w:val="20"/>
                <w:szCs w:val="20"/>
                <w:color w:val="auto"/>
              </w:rPr>
            </w:pPr>
            <w:r>
              <w:rPr>
                <w:rFonts w:ascii="Times New Roman" w:cs="Times New Roman" w:eastAsia="Times New Roman" w:hAnsi="Times New Roman"/>
                <w:sz w:val="18"/>
                <w:szCs w:val="18"/>
                <w:color w:val="auto"/>
              </w:rPr>
              <w:t>101.SCH   —   Inline XBRL Taxonomy Extension Schema Document</w:t>
            </w:r>
          </w:p>
        </w:tc>
      </w:tr>
      <w:tr>
        <w:trPr>
          <w:trHeight w:val="224"/>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4"/>
              </w:rPr>
              <w:t>101.CAL</w:t>
            </w:r>
          </w:p>
        </w:tc>
        <w:tc>
          <w:tcPr>
            <w:tcW w:w="9920" w:type="dxa"/>
            <w:vAlign w:val="bottom"/>
            <w:gridSpan w:val="37"/>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224"/>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101.DEF</w:t>
            </w:r>
          </w:p>
        </w:tc>
        <w:tc>
          <w:tcPr>
            <w:tcW w:w="9920" w:type="dxa"/>
            <w:vAlign w:val="bottom"/>
            <w:gridSpan w:val="37"/>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Definitions Linkbase Document</w:t>
            </w:r>
          </w:p>
        </w:tc>
      </w:tr>
      <w:tr>
        <w:trPr>
          <w:trHeight w:val="229"/>
        </w:trPr>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4"/>
              </w:rPr>
              <w:t>101.LAB</w:t>
            </w:r>
          </w:p>
        </w:tc>
        <w:tc>
          <w:tcPr>
            <w:tcW w:w="9920" w:type="dxa"/>
            <w:vAlign w:val="bottom"/>
            <w:gridSpan w:val="37"/>
          </w:tcPr>
          <w:p>
            <w:pPr>
              <w:ind w:left="1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68580</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60"/>
          </w:cols>
          <w:pgMar w:left="840" w:top="1042" w:right="399" w:bottom="1440" w:gutter="0" w:footer="0" w:header="0"/>
        </w:sectPr>
      </w:pPr>
    </w:p>
    <w:bookmarkStart w:id="124" w:name="page125"/>
    <w:bookmarkEnd w:id="124"/>
    <w:tbl>
      <w:tblPr>
        <w:tblLayout w:type="fixed"/>
        <w:tblInd w:w="560" w:type="dxa"/>
        <w:tblCellMar>
          <w:top w:w="0" w:type="dxa"/>
          <w:left w:w="0" w:type="dxa"/>
          <w:bottom w:w="0" w:type="dxa"/>
          <w:right w:w="0" w:type="dxa"/>
        </w:tblCellMar>
      </w:tblPr>
      <w:tr>
        <w:trPr>
          <w:trHeight w:val="224"/>
        </w:trPr>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2"/>
              </w:rPr>
              <w:t>101.PRE</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9"/>
        </w:trPr>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104.1</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Cover Page Interactive Data File (formatted as Inline XBRL and contained in the Interactive Data File submitted as (Exhibit 101.1)</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4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management contract or compensatory plan or arrangement.</w:t>
      </w:r>
    </w:p>
    <w:p>
      <w:pPr>
        <w:spacing w:after="0" w:line="44" w:lineRule="exact"/>
        <w:rPr>
          <w:sz w:val="20"/>
          <w:szCs w:val="20"/>
          <w:color w:val="auto"/>
        </w:rPr>
      </w:pPr>
    </w:p>
    <w:p>
      <w:pPr>
        <w:ind w:firstLine="6"/>
        <w:spacing w:after="0" w:line="285" w:lineRule="auto"/>
        <w:tabs>
          <w:tab w:leader="none" w:pos="1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Plan of Merger dated as of August 11, 2022 among SPX Corporation, SPX Technologies, Inc., and SPX Merger, LLC, on August 15, 2022, SPX Technologies, Inc. assumed the sponsorship and obligations thereunder as successor to SPX Corporation.</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1059" w:right="5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DESCRIPTION OF CAPITAL STOCK</w:t>
      </w:r>
    </w:p>
    <w:p>
      <w:pPr>
        <w:spacing w:after="0" w:line="251" w:lineRule="exact"/>
        <w:rPr>
          <w:sz w:val="20"/>
          <w:szCs w:val="20"/>
          <w:color w:val="auto"/>
        </w:rPr>
      </w:pPr>
    </w:p>
    <w:p>
      <w:pPr>
        <w:ind w:right="20" w:firstLine="634"/>
        <w:spacing w:after="0" w:line="258" w:lineRule="auto"/>
        <w:rPr>
          <w:sz w:val="20"/>
          <w:szCs w:val="20"/>
          <w:color w:val="auto"/>
        </w:rPr>
      </w:pPr>
      <w:r>
        <w:rPr>
          <w:rFonts w:ascii="Times New Roman" w:cs="Times New Roman" w:eastAsia="Times New Roman" w:hAnsi="Times New Roman"/>
          <w:sz w:val="21"/>
          <w:szCs w:val="21"/>
          <w:color w:val="auto"/>
        </w:rPr>
        <w:t>The following summarizes the material terms of the capital stock of SPX Technologies, Inc. (“SPX,” “our Company,” “we” or “us”). SPX is a corporation incorporated under the laws of the State of Delaware, and accordingly its internal corporate affairs are governed by Delaware law and by its Restated Certificate of Incorporation, as amended (our “Certificate of Incorporation”) and its By-laws, as amended (our “By-Laws”), which are filed as exhibits to our most recent Annual Report on Form 10-K filed with the Securities and Exchange Commission and available at www.sec.gov. The following summary is qualified in its entirety by reference to the applicable provisions of Delaware law and our Certificate of Incorporation and By-laws, which are subject to future amendment in accordance with the provisions thereof. Our common stock is the only class of our securities registered under Section 12 of the Securities Exchange Act of 1934,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Authorized Capital Stock</w:t>
      </w:r>
    </w:p>
    <w:p>
      <w:pPr>
        <w:spacing w:after="0" w:line="251" w:lineRule="exact"/>
        <w:rPr>
          <w:sz w:val="20"/>
          <w:szCs w:val="20"/>
          <w:color w:val="auto"/>
        </w:rPr>
      </w:pPr>
    </w:p>
    <w:p>
      <w:pPr>
        <w:ind w:right="20" w:firstLine="634"/>
        <w:spacing w:after="0" w:line="261" w:lineRule="auto"/>
        <w:rPr>
          <w:sz w:val="20"/>
          <w:szCs w:val="20"/>
          <w:color w:val="auto"/>
        </w:rPr>
      </w:pPr>
      <w:r>
        <w:rPr>
          <w:rFonts w:ascii="Times New Roman" w:cs="Times New Roman" w:eastAsia="Times New Roman" w:hAnsi="Times New Roman"/>
          <w:sz w:val="21"/>
          <w:szCs w:val="21"/>
          <w:color w:val="auto"/>
        </w:rPr>
        <w:t>Our authorized capital stock consists of 200,000,000 shares of common stock, par value $0.01 per share, and 3,000,000 shares of preferred stock, without par value, of which 500,000 shares have been designated as Series A Preferred Stock. The number of shares of our common stock issued and outstanding as of a recent date is set forth on the cover page of our most recent Annual Report on Form 10-K filed with the Securities and Exchange Commission. As of the same date, we had no issued and outstanding shares of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Common Stock</w:t>
      </w:r>
    </w:p>
    <w:p>
      <w:pPr>
        <w:spacing w:after="0" w:line="251" w:lineRule="exact"/>
        <w:rPr>
          <w:sz w:val="20"/>
          <w:szCs w:val="20"/>
          <w:color w:val="auto"/>
        </w:rPr>
      </w:pPr>
    </w:p>
    <w:p>
      <w:pPr>
        <w:ind w:right="80" w:firstLine="634"/>
        <w:spacing w:after="0" w:line="258" w:lineRule="auto"/>
        <w:rPr>
          <w:sz w:val="20"/>
          <w:szCs w:val="20"/>
          <w:color w:val="auto"/>
        </w:rPr>
      </w:pPr>
      <w:r>
        <w:rPr>
          <w:rFonts w:ascii="Times New Roman" w:cs="Times New Roman" w:eastAsia="Times New Roman" w:hAnsi="Times New Roman"/>
          <w:sz w:val="21"/>
          <w:szCs w:val="21"/>
          <w:color w:val="auto"/>
        </w:rPr>
        <w:t>The holders of our common stock are entitled to have dividends declared in cash, property, or other securities out of any of our net profits or net assets legally available therefor as and when declared by our Board of Directors. In the event of the liquidation or dissolution of our business, the holders of common stock will be entitled to receive ratably the balance of net assets available for distribution after payment of any liquidation or distribution preference payable with respect to any then outstanding shares of our preferred stock. Each share of common stock is entitled to one vote with respect to matters brought before the stockholders, except for the election of any directors who may be elected by vote of any outstanding shares of preferred stock voting as a class.</w:t>
      </w:r>
    </w:p>
    <w:p>
      <w:pPr>
        <w:spacing w:after="0" w:line="199" w:lineRule="exact"/>
        <w:rPr>
          <w:sz w:val="20"/>
          <w:szCs w:val="20"/>
          <w:color w:val="auto"/>
        </w:rPr>
      </w:pPr>
    </w:p>
    <w:p>
      <w:pPr>
        <w:ind w:right="320" w:firstLine="634"/>
        <w:spacing w:after="0" w:line="265" w:lineRule="auto"/>
        <w:rPr>
          <w:sz w:val="20"/>
          <w:szCs w:val="20"/>
          <w:color w:val="auto"/>
        </w:rPr>
      </w:pPr>
      <w:r>
        <w:rPr>
          <w:rFonts w:ascii="Times New Roman" w:cs="Times New Roman" w:eastAsia="Times New Roman" w:hAnsi="Times New Roman"/>
          <w:sz w:val="21"/>
          <w:szCs w:val="21"/>
          <w:color w:val="auto"/>
        </w:rPr>
        <w:t>The payment of any dividends on our common stock is subject to the discretion of our Board of Directors. Any determination to pay any dividends on our common stock is subject to consideration of our financial performance and on-going capital needs, our ability to declare and pay dividends under the terms of our credit agreements and any indentures governing our debt securities, and other factors deemed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1"/>
          <w:szCs w:val="21"/>
          <w:b w:val="1"/>
          <w:bCs w:val="1"/>
          <w:i w:val="1"/>
          <w:iCs w:val="1"/>
          <w:color w:val="auto"/>
        </w:rPr>
        <w:t>Preferred Stock</w:t>
      </w:r>
    </w:p>
    <w:p>
      <w:pPr>
        <w:spacing w:after="0" w:line="251" w:lineRule="exact"/>
        <w:rPr>
          <w:sz w:val="20"/>
          <w:szCs w:val="20"/>
          <w:color w:val="auto"/>
        </w:rPr>
      </w:pPr>
    </w:p>
    <w:p>
      <w:pPr>
        <w:ind w:firstLine="634"/>
        <w:spacing w:after="0" w:line="256" w:lineRule="auto"/>
        <w:rPr>
          <w:sz w:val="20"/>
          <w:szCs w:val="20"/>
          <w:color w:val="auto"/>
        </w:rPr>
      </w:pPr>
      <w:r>
        <w:rPr>
          <w:rFonts w:ascii="Times New Roman" w:cs="Times New Roman" w:eastAsia="Times New Roman" w:hAnsi="Times New Roman"/>
          <w:sz w:val="21"/>
          <w:szCs w:val="21"/>
          <w:color w:val="auto"/>
        </w:rPr>
        <w:t>The rights and privileges of our common stock may be subordinate to the rights and preferences of any of our preferred stock. Under our Certificate of Incorporation and subject to the limitations prescribed by law, our Board of Directors, without stockholder approval, may issue our preferred stock in one or more series, and may establish prior to issuance the number of shares to be included in such series and may fix the designation, powers, privileges, preferences and relative participating, optional or other rights, if any, of the shares of each such series and any qualifications, limitations or restrictions thereof, except that such shares shall not have more than one vote per share. For so long as no shares of Series A Preferred Stock are outstanding, our Board of Directors, without stockholder approval, may amended the designation of such series to change the number of shares to be included in such series and alter the designation, powers, privileges, preferences and relative participating, optional or other rights of the shares of such series and any qualifications, limitations or restrictions thereof.</w:t>
      </w:r>
    </w:p>
    <w:p>
      <w:pPr>
        <w:spacing w:after="0" w:line="204" w:lineRule="exact"/>
        <w:rPr>
          <w:sz w:val="20"/>
          <w:szCs w:val="20"/>
          <w:color w:val="auto"/>
        </w:rPr>
      </w:pPr>
    </w:p>
    <w:p>
      <w:pPr>
        <w:ind w:right="80" w:firstLine="634"/>
        <w:spacing w:after="0" w:line="266" w:lineRule="auto"/>
        <w:rPr>
          <w:sz w:val="20"/>
          <w:szCs w:val="20"/>
          <w:color w:val="auto"/>
        </w:rPr>
      </w:pPr>
      <w:r>
        <w:rPr>
          <w:rFonts w:ascii="Times New Roman" w:cs="Times New Roman" w:eastAsia="Times New Roman" w:hAnsi="Times New Roman"/>
          <w:sz w:val="21"/>
          <w:szCs w:val="21"/>
          <w:color w:val="auto"/>
        </w:rPr>
        <w:t>All shares of any series of preferred stock, as between themselves, are to rank equally and be identical; and all series of preferred stock, as between themselves, are to rank equally and are identical except as set forth in resolutions adopted by our Board of Directors in authorizing the issuance of a particular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Delaware Anti-Takeover Law and Certain Certificate of Incorporation and By-law Provisions</w:t>
      </w:r>
    </w:p>
    <w:p>
      <w:pPr>
        <w:spacing w:after="0" w:line="264" w:lineRule="exact"/>
        <w:rPr>
          <w:sz w:val="20"/>
          <w:szCs w:val="20"/>
          <w:color w:val="auto"/>
        </w:rPr>
      </w:pPr>
    </w:p>
    <w:p>
      <w:pPr>
        <w:ind w:right="100" w:firstLine="634"/>
        <w:spacing w:after="0" w:line="266" w:lineRule="auto"/>
        <w:rPr>
          <w:sz w:val="20"/>
          <w:szCs w:val="20"/>
          <w:color w:val="auto"/>
        </w:rPr>
      </w:pPr>
      <w:r>
        <w:rPr>
          <w:rFonts w:ascii="Times New Roman" w:cs="Times New Roman" w:eastAsia="Times New Roman" w:hAnsi="Times New Roman"/>
          <w:sz w:val="21"/>
          <w:szCs w:val="21"/>
          <w:color w:val="auto"/>
        </w:rPr>
        <w:t>Certain provisions of Delaware law, our Certificate of Incorporation and our By-Laws may have the effect of delaying, deferring or discouraging another person from acquiring control of our Company, including takeover attempts that might result in a premium over the market price for the shares of common stock. These provisions are summarized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Delaware Law</w:t>
      </w:r>
    </w:p>
    <w:p>
      <w:pPr>
        <w:spacing w:after="0" w:line="251" w:lineRule="exact"/>
        <w:rPr>
          <w:sz w:val="20"/>
          <w:szCs w:val="20"/>
          <w:color w:val="auto"/>
        </w:rPr>
      </w:pPr>
    </w:p>
    <w:p>
      <w:pPr>
        <w:ind w:right="560" w:firstLine="634"/>
        <w:spacing w:after="0" w:line="265" w:lineRule="auto"/>
        <w:rPr>
          <w:sz w:val="20"/>
          <w:szCs w:val="20"/>
          <w:color w:val="auto"/>
        </w:rPr>
      </w:pPr>
      <w:r>
        <w:rPr>
          <w:rFonts w:ascii="Times New Roman" w:cs="Times New Roman" w:eastAsia="Times New Roman" w:hAnsi="Times New Roman"/>
          <w:sz w:val="21"/>
          <w:szCs w:val="21"/>
          <w:color w:val="auto"/>
        </w:rPr>
        <w:t>We are subject to the provisions of Section 203 of the Delaware General Corporation Law regulating certain corporate takeover transactions. In general, Section 203 prohibits a publicly held Delaware corporation from engaging in a “business combination” with an “interested stockholder” for a period of three years after the time that the person became an interested stockholder, unless:</w:t>
      </w:r>
    </w:p>
    <w:p>
      <w:pPr>
        <w:spacing w:after="0" w:line="188" w:lineRule="exact"/>
        <w:rPr>
          <w:sz w:val="20"/>
          <w:szCs w:val="20"/>
          <w:color w:val="auto"/>
        </w:rPr>
      </w:pPr>
    </w:p>
    <w:p>
      <w:pPr>
        <w:ind w:left="960" w:right="120" w:hanging="321"/>
        <w:spacing w:after="0" w:line="283" w:lineRule="auto"/>
        <w:tabs>
          <w:tab w:leader="none" w:pos="9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the person became an “interested stockholder,” the board of directors of the corporation approved the transaction in which the “interested stockholder” became an “interested stockholder” or approved the business combination;</w:t>
      </w:r>
    </w:p>
    <w:p>
      <w:pPr>
        <w:spacing w:after="0" w:line="183" w:lineRule="exact"/>
        <w:rPr>
          <w:rFonts w:ascii="Times New Roman" w:cs="Times New Roman" w:eastAsia="Times New Roman" w:hAnsi="Times New Roman"/>
          <w:sz w:val="21"/>
          <w:szCs w:val="21"/>
          <w:color w:val="auto"/>
        </w:rPr>
      </w:pPr>
    </w:p>
    <w:p>
      <w:pPr>
        <w:ind w:left="960" w:right="260" w:hanging="321"/>
        <w:spacing w:after="0" w:line="266" w:lineRule="auto"/>
        <w:tabs>
          <w:tab w:leader="none" w:pos="9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consummation of the transaction that resulted in the stockholder becoming an “interested stockholder,” the “interested stockholder” owned at least 85% of the voting stock of the corporation that was outstanding at the time the transaction commenced. For purposes of determining the number of shares outstanding, shares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20" w:top="1389" w:right="379" w:bottom="1440" w:gutter="0" w:footer="0" w:header="0"/>
        </w:sectPr>
      </w:pPr>
    </w:p>
    <w:bookmarkStart w:id="127" w:name="page128"/>
    <w:bookmarkEnd w:id="127"/>
    <w:p>
      <w:pPr>
        <w:ind w:left="960" w:right="400"/>
        <w:spacing w:after="0" w:line="283" w:lineRule="auto"/>
        <w:rPr>
          <w:sz w:val="20"/>
          <w:szCs w:val="20"/>
          <w:color w:val="auto"/>
        </w:rPr>
      </w:pPr>
      <w:r>
        <w:rPr>
          <w:rFonts w:ascii="Times New Roman" w:cs="Times New Roman" w:eastAsia="Times New Roman" w:hAnsi="Times New Roman"/>
          <w:sz w:val="21"/>
          <w:szCs w:val="21"/>
          <w:color w:val="auto"/>
        </w:rPr>
        <w:t>owned by directors who are also officers of the corporation and shares owned by employee stock plans, in specified instances, are excluded; or</w:t>
      </w:r>
    </w:p>
    <w:p>
      <w:pPr>
        <w:spacing w:after="0" w:line="170" w:lineRule="exact"/>
        <w:rPr>
          <w:sz w:val="20"/>
          <w:szCs w:val="20"/>
          <w:color w:val="auto"/>
        </w:rPr>
      </w:pPr>
    </w:p>
    <w:p>
      <w:pPr>
        <w:jc w:val="both"/>
        <w:ind w:left="960" w:right="40" w:hanging="321"/>
        <w:spacing w:after="0" w:line="274" w:lineRule="auto"/>
        <w:tabs>
          <w:tab w:leader="none" w:pos="95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or after the time the person became an “interested stockholder,” the business combination is approved by the board of directors of the corporation and authorized at an annual or special meeting of the stockholders by the affirmative vote of at least 66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bscript"/>
        </w:rPr>
        <w:t>3</w:t>
      </w:r>
      <w:r>
        <w:rPr>
          <w:rFonts w:ascii="Times New Roman" w:cs="Times New Roman" w:eastAsia="Times New Roman" w:hAnsi="Times New Roman"/>
          <w:sz w:val="21"/>
          <w:szCs w:val="21"/>
          <w:color w:val="auto"/>
        </w:rPr>
        <w:t>% of the outstanding voting stock which is not owned by the “interested stockholder.”</w:t>
      </w:r>
    </w:p>
    <w:p>
      <w:pPr>
        <w:spacing w:after="0" w:line="98" w:lineRule="exact"/>
        <w:rPr>
          <w:sz w:val="20"/>
          <w:szCs w:val="20"/>
          <w:color w:val="auto"/>
        </w:rPr>
      </w:pPr>
    </w:p>
    <w:p>
      <w:pPr>
        <w:ind w:firstLine="634"/>
        <w:spacing w:after="0" w:line="257" w:lineRule="auto"/>
        <w:rPr>
          <w:sz w:val="20"/>
          <w:szCs w:val="20"/>
          <w:color w:val="auto"/>
        </w:rPr>
      </w:pPr>
      <w:r>
        <w:rPr>
          <w:rFonts w:ascii="Times New Roman" w:cs="Times New Roman" w:eastAsia="Times New Roman" w:hAnsi="Times New Roman"/>
          <w:sz w:val="21"/>
          <w:szCs w:val="21"/>
          <w:color w:val="auto"/>
        </w:rPr>
        <w:t>A “business combination” is defined generally to include mergers or consolidations between a Delaware corporation and an “interested stockholder,” transactions with an “interested stockholder” involving the assets or stock of the corporation or any majority-owned subsidiary, transactions which increase an “interested stockholder’s” percentage ownership of stock of the corporation or any majority-owned subsidiary, and receipt of various financial benefits from the corporation or any majority-owned subsidiary. In general, an “interested stockholder” is defined as any person or entity that is the beneficial owner of at least 15% of a corporation’s outstanding voting stock or is an affiliate or associate of the corporation and was the beneficial owner of 15% or more of the outstanding voting stock of the corporation at any time within the past three years.</w:t>
      </w:r>
    </w:p>
    <w:p>
      <w:pPr>
        <w:spacing w:after="0" w:line="197" w:lineRule="exact"/>
        <w:rPr>
          <w:sz w:val="20"/>
          <w:szCs w:val="20"/>
          <w:color w:val="auto"/>
        </w:rPr>
      </w:pPr>
    </w:p>
    <w:p>
      <w:pPr>
        <w:ind w:right="20" w:firstLine="634"/>
        <w:spacing w:after="0" w:line="265" w:lineRule="auto"/>
        <w:rPr>
          <w:sz w:val="20"/>
          <w:szCs w:val="20"/>
          <w:color w:val="auto"/>
        </w:rPr>
      </w:pPr>
      <w:r>
        <w:rPr>
          <w:rFonts w:ascii="Times New Roman" w:cs="Times New Roman" w:eastAsia="Times New Roman" w:hAnsi="Times New Roman"/>
          <w:sz w:val="21"/>
          <w:szCs w:val="21"/>
          <w:color w:val="auto"/>
        </w:rPr>
        <w:t>A Delaware corporation may opt out of this provision with an express provision in its original certificate of incorporation or an express provision in its certificate of incorporation or by-laws resulting from a stockholders’ amendment approved by at least a majority of the outstanding voting shares. SPX has not opted out of this provision. The statute could prohibit or delay mergers or other takeover or change-in-control attempts and, accordingly, may discourage attempts to acquire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Certificate of Incorporation and By-Law Provisions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Together, our Certificate of Incorporation and By-Laws:</w:t>
      </w:r>
    </w:p>
    <w:p>
      <w:pPr>
        <w:spacing w:after="0" w:line="247" w:lineRule="exact"/>
        <w:rPr>
          <w:sz w:val="20"/>
          <w:szCs w:val="20"/>
          <w:color w:val="auto"/>
        </w:rPr>
      </w:pPr>
    </w:p>
    <w:p>
      <w:pPr>
        <w:ind w:left="960" w:right="40" w:hanging="321"/>
        <w:spacing w:after="0" w:line="297" w:lineRule="auto"/>
        <w:tabs>
          <w:tab w:leader="none" w:pos="95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a classified Board of Directors, although the Board of Directors will cease to be classified commencing with the 2027 annual meeting of stockholders;</w:t>
      </w:r>
    </w:p>
    <w:p>
      <w:pPr>
        <w:spacing w:after="0" w:line="154" w:lineRule="exact"/>
        <w:rPr>
          <w:rFonts w:ascii="Times New Roman" w:cs="Times New Roman" w:eastAsia="Times New Roman" w:hAnsi="Times New Roman"/>
          <w:sz w:val="21"/>
          <w:szCs w:val="21"/>
          <w:color w:val="auto"/>
        </w:rPr>
      </w:pPr>
    </w:p>
    <w:p>
      <w:pPr>
        <w:ind w:left="960" w:right="140" w:hanging="321"/>
        <w:spacing w:after="0" w:line="266" w:lineRule="auto"/>
        <w:tabs>
          <w:tab w:leader="none" w:pos="95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a director may be removed only for cause and only upon the affirmative vote of holders of 80% of the outstanding shares of common stock (together with any other class of our outstanding voting stock voting together as a single class);</w:t>
      </w:r>
    </w:p>
    <w:p>
      <w:pPr>
        <w:spacing w:after="0" w:line="187" w:lineRule="exact"/>
        <w:rPr>
          <w:rFonts w:ascii="Times New Roman" w:cs="Times New Roman" w:eastAsia="Times New Roman" w:hAnsi="Times New Roman"/>
          <w:sz w:val="21"/>
          <w:szCs w:val="21"/>
          <w:color w:val="auto"/>
        </w:rPr>
      </w:pPr>
    </w:p>
    <w:p>
      <w:pPr>
        <w:ind w:left="960" w:hanging="321"/>
        <w:spacing w:after="0" w:line="297" w:lineRule="auto"/>
        <w:tabs>
          <w:tab w:leader="none" w:pos="95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that vacancies on our Board of Directors, including vacancies resulting from an increase in the size of our Board of Directors, may be filled only by our Board of Directors;</w:t>
      </w:r>
    </w:p>
    <w:p>
      <w:pPr>
        <w:spacing w:after="0" w:line="154" w:lineRule="exact"/>
        <w:rPr>
          <w:rFonts w:ascii="Times New Roman" w:cs="Times New Roman" w:eastAsia="Times New Roman" w:hAnsi="Times New Roman"/>
          <w:sz w:val="21"/>
          <w:szCs w:val="21"/>
          <w:color w:val="auto"/>
        </w:rPr>
      </w:pPr>
    </w:p>
    <w:p>
      <w:pPr>
        <w:ind w:left="960" w:right="260" w:hanging="321"/>
        <w:spacing w:after="0" w:line="283" w:lineRule="auto"/>
        <w:tabs>
          <w:tab w:leader="none" w:pos="95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our Board of Directors to issue, without stockholder approval, preferred stock with such terms as our Board of Directors may determine</w:t>
      </w:r>
    </w:p>
    <w:p>
      <w:pPr>
        <w:spacing w:after="0" w:line="169" w:lineRule="exact"/>
        <w:rPr>
          <w:rFonts w:ascii="Times New Roman" w:cs="Times New Roman" w:eastAsia="Times New Roman" w:hAnsi="Times New Roman"/>
          <w:sz w:val="21"/>
          <w:szCs w:val="21"/>
          <w:color w:val="auto"/>
        </w:rPr>
      </w:pPr>
    </w:p>
    <w:p>
      <w:pPr>
        <w:ind w:left="960" w:hanging="321"/>
        <w:spacing w:after="0"/>
        <w:tabs>
          <w:tab w:leader="none" w:pos="9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prohibit stockholder action through written consents;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40"/>
          </w:cols>
          <w:pgMar w:left="320" w:top="1393" w:right="439" w:bottom="1440" w:gutter="0" w:footer="0" w:header="0"/>
        </w:sectPr>
      </w:pPr>
    </w:p>
    <w:bookmarkStart w:id="128" w:name="page129"/>
    <w:bookmarkEnd w:id="128"/>
    <w:p>
      <w:pPr>
        <w:spacing w:after="0" w:line="191" w:lineRule="exact"/>
        <w:rPr>
          <w:sz w:val="20"/>
          <w:szCs w:val="20"/>
          <w:color w:val="auto"/>
        </w:rPr>
      </w:pPr>
    </w:p>
    <w:p>
      <w:pPr>
        <w:ind w:left="960" w:right="220" w:hanging="321"/>
        <w:spacing w:after="0" w:line="283" w:lineRule="auto"/>
        <w:tabs>
          <w:tab w:leader="none" w:pos="95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special meetings of stockholders be called only by our Chairman, President and Chief Executive Officer or our Board of Directors;</w:t>
      </w:r>
    </w:p>
    <w:p>
      <w:pPr>
        <w:spacing w:after="0" w:line="169" w:lineRule="exact"/>
        <w:rPr>
          <w:rFonts w:ascii="Times New Roman" w:cs="Times New Roman" w:eastAsia="Times New Roman" w:hAnsi="Times New Roman"/>
          <w:sz w:val="21"/>
          <w:szCs w:val="21"/>
          <w:color w:val="auto"/>
        </w:rPr>
      </w:pPr>
    </w:p>
    <w:p>
      <w:pPr>
        <w:ind w:left="960" w:hanging="321"/>
        <w:spacing w:after="0" w:line="297" w:lineRule="auto"/>
        <w:tabs>
          <w:tab w:leader="none" w:pos="95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 advance-notice requirements for stockholder proposals for a stockholder vote at, and for stockholder nominations for the election of directors at, annual meetings of the stockholders;</w:t>
      </w:r>
    </w:p>
    <w:p>
      <w:pPr>
        <w:spacing w:after="0" w:line="154" w:lineRule="exact"/>
        <w:rPr>
          <w:rFonts w:ascii="Times New Roman" w:cs="Times New Roman" w:eastAsia="Times New Roman" w:hAnsi="Times New Roman"/>
          <w:sz w:val="21"/>
          <w:szCs w:val="21"/>
          <w:color w:val="auto"/>
        </w:rPr>
      </w:pPr>
    </w:p>
    <w:p>
      <w:pPr>
        <w:ind w:left="960" w:right="20" w:hanging="321"/>
        <w:spacing w:after="0" w:line="256" w:lineRule="auto"/>
        <w:tabs>
          <w:tab w:leader="none" w:pos="95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the affirmative vote of holders of 80% of the outstanding shares of common stock (together with any other class of our outstanding voting stock voting together as a single class) to approve certain business combinations involving an “Affiliate” of our Company, any person who beneficially owns, or within the prior two years beneficially owned, directly or indirectly, voting shares of our capital stock having more than 10% of the voting power of our outstanding voting stock, or any assignee of voting shares that had been held by such a beneficial owner (other than a purchaser of such shares in a public offering), unless such business combination transaction satisfies specified price and procedural requirements or is approved by two-thirds of the “Continuing Directors” of our Company (as such terms are defined in our Certificate of Incorporation);</w:t>
      </w:r>
    </w:p>
    <w:p>
      <w:pPr>
        <w:spacing w:after="0" w:line="197" w:lineRule="exact"/>
        <w:rPr>
          <w:rFonts w:ascii="Times New Roman" w:cs="Times New Roman" w:eastAsia="Times New Roman" w:hAnsi="Times New Roman"/>
          <w:sz w:val="21"/>
          <w:szCs w:val="21"/>
          <w:color w:val="auto"/>
        </w:rPr>
      </w:pPr>
    </w:p>
    <w:p>
      <w:pPr>
        <w:jc w:val="both"/>
        <w:ind w:left="960" w:hanging="321"/>
        <w:spacing w:after="0" w:line="265" w:lineRule="auto"/>
        <w:tabs>
          <w:tab w:leader="none" w:pos="95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our Board of Directors, in determining whether an “acquisition proposal” for our Company is in the best interests of our Company and our stockholders, to consider all factors it deems relevant including, without limitation, social, legal and economic effects upon employees, suppliers, customers and on the communities in which our Company is located, as well as on the long-term business prospects of our Company; and</w:t>
      </w:r>
    </w:p>
    <w:p>
      <w:pPr>
        <w:spacing w:after="0" w:line="187" w:lineRule="exact"/>
        <w:rPr>
          <w:rFonts w:ascii="Times New Roman" w:cs="Times New Roman" w:eastAsia="Times New Roman" w:hAnsi="Times New Roman"/>
          <w:sz w:val="21"/>
          <w:szCs w:val="21"/>
          <w:color w:val="auto"/>
        </w:rPr>
      </w:pPr>
    </w:p>
    <w:p>
      <w:pPr>
        <w:ind w:left="960" w:right="60" w:hanging="321"/>
        <w:spacing w:after="0" w:line="258" w:lineRule="auto"/>
        <w:tabs>
          <w:tab w:leader="none" w:pos="95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the affirmative vote of holders of 80% of the outstanding shares of common stock (together with any other class of our outstanding voting stock voting together as a single class) to amend, alter or repeal provisions of the Certificate of Incorporation and the By-laws prohibiting stockholder action by written consent, the quorum requirements for stockholder meetings, establishing the means for calling special meetings of the stockholders, providing for the number, term, election and removal of directors and the filling of director vacancies, and providing for the supermajority stockholder approval requirement for certain business combination transactions involving substantial stockholders.</w:t>
      </w:r>
    </w:p>
    <w:p>
      <w:pPr>
        <w:spacing w:after="0" w:line="199"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1"/>
          <w:szCs w:val="21"/>
          <w:color w:val="auto"/>
        </w:rPr>
        <w:t>These provisions of our Certificate of Incorporation and By-laws could prohibit or delay mergers or other takeover or change-in-control attempts and, accordingly, may discourage attempts to acquire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Exclusive Forum Provisions Applicable to Certain Legal Actions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Our Certificate of Incorporation includes provisions specifying the forum for certain legal actions, as described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Delaware Forum Provision</w:t>
      </w:r>
    </w:p>
    <w:p>
      <w:pPr>
        <w:spacing w:after="0" w:line="25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1"/>
          <w:szCs w:val="21"/>
          <w:color w:val="auto"/>
        </w:rPr>
        <w:t>Our Certificate of Incorporation provides that, unless the Company consents in writing to the selection of an alternative forum, the sole and exclusive forum for certain legal actions would be the Court of Chancery of the State of Delaware (the "Delaware Court of Chancery") or another state or federal court located within the State of Delaware if the Delaware Court of Chancery lacks jurisdiction. The following legal actions are subject to such provision::</w:t>
      </w:r>
    </w:p>
    <w:p>
      <w:pPr>
        <w:spacing w:after="0" w:line="188" w:lineRule="exact"/>
        <w:rPr>
          <w:sz w:val="20"/>
          <w:szCs w:val="20"/>
          <w:color w:val="auto"/>
        </w:rPr>
      </w:pPr>
    </w:p>
    <w:p>
      <w:pPr>
        <w:ind w:left="960" w:hanging="321"/>
        <w:spacing w:after="0"/>
        <w:tabs>
          <w:tab w:leader="none" w:pos="960" w:val="left"/>
        </w:tabs>
        <w:numPr>
          <w:ilvl w:val="0"/>
          <w:numId w:val="77"/>
        </w:numPr>
        <w:rPr>
          <w:rFonts w:ascii="Times New Roman" w:cs="Times New Roman" w:eastAsia="Times New Roman" w:hAnsi="Times New Roman"/>
          <w:sz w:val="21"/>
          <w:szCs w:val="21"/>
          <w:color w:val="212529"/>
        </w:rPr>
      </w:pPr>
      <w:r>
        <w:rPr>
          <w:rFonts w:ascii="Times New Roman" w:cs="Times New Roman" w:eastAsia="Times New Roman" w:hAnsi="Times New Roman"/>
          <w:sz w:val="21"/>
          <w:szCs w:val="21"/>
          <w:color w:val="auto"/>
        </w:rPr>
        <w:t>any derivative action or proceeding brought on behalf of the Company;</w:t>
      </w:r>
    </w:p>
    <w:p>
      <w:pPr>
        <w:spacing w:after="0" w:line="247" w:lineRule="exact"/>
        <w:rPr>
          <w:rFonts w:ascii="Times New Roman" w:cs="Times New Roman" w:eastAsia="Times New Roman" w:hAnsi="Times New Roman"/>
          <w:sz w:val="21"/>
          <w:szCs w:val="21"/>
          <w:color w:val="212529"/>
        </w:rPr>
      </w:pPr>
    </w:p>
    <w:p>
      <w:pPr>
        <w:ind w:left="960" w:right="160" w:hanging="321"/>
        <w:spacing w:after="0" w:line="273" w:lineRule="auto"/>
        <w:tabs>
          <w:tab w:leader="none" w:pos="955" w:val="left"/>
        </w:tabs>
        <w:numPr>
          <w:ilvl w:val="0"/>
          <w:numId w:val="77"/>
        </w:numPr>
        <w:rPr>
          <w:rFonts w:ascii="Times New Roman" w:cs="Times New Roman" w:eastAsia="Times New Roman" w:hAnsi="Times New Roman"/>
          <w:sz w:val="21"/>
          <w:szCs w:val="21"/>
          <w:color w:val="212529"/>
        </w:rPr>
      </w:pPr>
      <w:r>
        <w:rPr>
          <w:rFonts w:ascii="Times New Roman" w:cs="Times New Roman" w:eastAsia="Times New Roman" w:hAnsi="Times New Roman"/>
          <w:sz w:val="21"/>
          <w:szCs w:val="21"/>
          <w:color w:val="auto"/>
        </w:rPr>
        <w:t>any action or proceeding asserting a claim of breach of a fiduciary duty owed by any current or former director, officer, other employee or agent, or stockholder of the Company to the Company or the Company’s stockholders, creditors or other constituents, including a claim alleging the aiding and abetting of such a breach of fiduciary duty;</w:t>
      </w:r>
    </w:p>
    <w:p>
      <w:pPr>
        <w:spacing w:after="0" w:line="179" w:lineRule="exact"/>
        <w:rPr>
          <w:rFonts w:ascii="Times New Roman" w:cs="Times New Roman" w:eastAsia="Times New Roman" w:hAnsi="Times New Roman"/>
          <w:sz w:val="21"/>
          <w:szCs w:val="21"/>
          <w:color w:val="212529"/>
        </w:rPr>
      </w:pPr>
    </w:p>
    <w:p>
      <w:pPr>
        <w:ind w:left="960" w:right="140" w:hanging="321"/>
        <w:spacing w:after="0" w:line="260" w:lineRule="auto"/>
        <w:tabs>
          <w:tab w:leader="none" w:pos="955" w:val="left"/>
        </w:tabs>
        <w:numPr>
          <w:ilvl w:val="0"/>
          <w:numId w:val="77"/>
        </w:numPr>
        <w:rPr>
          <w:rFonts w:ascii="Times New Roman" w:cs="Times New Roman" w:eastAsia="Times New Roman" w:hAnsi="Times New Roman"/>
          <w:sz w:val="21"/>
          <w:szCs w:val="21"/>
          <w:color w:val="212529"/>
        </w:rPr>
      </w:pPr>
      <w:r>
        <w:rPr>
          <w:rFonts w:ascii="Times New Roman" w:cs="Times New Roman" w:eastAsia="Times New Roman" w:hAnsi="Times New Roman"/>
          <w:sz w:val="21"/>
          <w:szCs w:val="21"/>
          <w:color w:val="auto"/>
        </w:rPr>
        <w:t>any action or proceeding asserting a claim against the Company or any current or former director, officer or other employee or agent of the Company arising pursuant to, or seeking to enforce any right, obligation or remedy under, any provision of the Delaware General Corporation Law (the “DGCL”), or our Certificate of Incorporation or By-Laws, as the foregoing may be amended from time to time;</w:t>
      </w:r>
    </w:p>
    <w:p>
      <w:pPr>
        <w:spacing w:after="0" w:line="194" w:lineRule="exact"/>
        <w:rPr>
          <w:rFonts w:ascii="Times New Roman" w:cs="Times New Roman" w:eastAsia="Times New Roman" w:hAnsi="Times New Roman"/>
          <w:sz w:val="21"/>
          <w:szCs w:val="21"/>
          <w:color w:val="212529"/>
        </w:rPr>
      </w:pPr>
    </w:p>
    <w:p>
      <w:pPr>
        <w:ind w:left="960" w:right="80" w:hanging="321"/>
        <w:spacing w:after="0" w:line="297" w:lineRule="auto"/>
        <w:tabs>
          <w:tab w:leader="none" w:pos="955" w:val="left"/>
        </w:tabs>
        <w:numPr>
          <w:ilvl w:val="0"/>
          <w:numId w:val="77"/>
        </w:numPr>
        <w:rPr>
          <w:rFonts w:ascii="Times New Roman" w:cs="Times New Roman" w:eastAsia="Times New Roman" w:hAnsi="Times New Roman"/>
          <w:sz w:val="21"/>
          <w:szCs w:val="21"/>
          <w:color w:val="212529"/>
        </w:rPr>
      </w:pPr>
      <w:r>
        <w:rPr>
          <w:rFonts w:ascii="Times New Roman" w:cs="Times New Roman" w:eastAsia="Times New Roman" w:hAnsi="Times New Roman"/>
          <w:sz w:val="21"/>
          <w:szCs w:val="21"/>
          <w:color w:val="auto"/>
        </w:rPr>
        <w:t>any action or proceeding seeking to interpret, apply, enforce or determine the validity of any provision of our Certificate of Incorporation or By-Laws, as either may be amended from time to time;</w:t>
      </w:r>
    </w:p>
    <w:p>
      <w:pPr>
        <w:spacing w:after="0" w:line="154" w:lineRule="exact"/>
        <w:rPr>
          <w:rFonts w:ascii="Times New Roman" w:cs="Times New Roman" w:eastAsia="Times New Roman" w:hAnsi="Times New Roman"/>
          <w:sz w:val="21"/>
          <w:szCs w:val="21"/>
          <w:color w:val="212529"/>
        </w:rPr>
      </w:pPr>
    </w:p>
    <w:p>
      <w:pPr>
        <w:ind w:left="960" w:hanging="321"/>
        <w:spacing w:after="0"/>
        <w:tabs>
          <w:tab w:leader="none" w:pos="960" w:val="left"/>
        </w:tabs>
        <w:numPr>
          <w:ilvl w:val="0"/>
          <w:numId w:val="77"/>
        </w:numPr>
        <w:rPr>
          <w:rFonts w:ascii="Times New Roman" w:cs="Times New Roman" w:eastAsia="Times New Roman" w:hAnsi="Times New Roman"/>
          <w:sz w:val="21"/>
          <w:szCs w:val="21"/>
          <w:color w:val="212529"/>
        </w:rPr>
      </w:pPr>
      <w:r>
        <w:rPr>
          <w:rFonts w:ascii="Times New Roman" w:cs="Times New Roman" w:eastAsia="Times New Roman" w:hAnsi="Times New Roman"/>
          <w:sz w:val="21"/>
          <w:szCs w:val="21"/>
          <w:color w:val="auto"/>
        </w:rPr>
        <w:t>any action or proceeding asserting a claim governed by the internal affairs doctrine of the State of Delaware;</w:t>
      </w:r>
    </w:p>
    <w:p>
      <w:pPr>
        <w:spacing w:after="0" w:line="247" w:lineRule="exact"/>
        <w:rPr>
          <w:rFonts w:ascii="Times New Roman" w:cs="Times New Roman" w:eastAsia="Times New Roman" w:hAnsi="Times New Roman"/>
          <w:sz w:val="21"/>
          <w:szCs w:val="21"/>
          <w:color w:val="212529"/>
        </w:rPr>
      </w:pPr>
    </w:p>
    <w:p>
      <w:pPr>
        <w:ind w:left="960" w:hanging="321"/>
        <w:spacing w:after="0"/>
        <w:tabs>
          <w:tab w:leader="none" w:pos="960" w:val="left"/>
        </w:tabs>
        <w:numPr>
          <w:ilvl w:val="0"/>
          <w:numId w:val="77"/>
        </w:numPr>
        <w:rPr>
          <w:rFonts w:ascii="Times New Roman" w:cs="Times New Roman" w:eastAsia="Times New Roman" w:hAnsi="Times New Roman"/>
          <w:sz w:val="21"/>
          <w:szCs w:val="21"/>
          <w:color w:val="212529"/>
        </w:rPr>
      </w:pPr>
      <w:r>
        <w:rPr>
          <w:rFonts w:ascii="Times New Roman" w:cs="Times New Roman" w:eastAsia="Times New Roman" w:hAnsi="Times New Roman"/>
          <w:sz w:val="21"/>
          <w:szCs w:val="21"/>
          <w:color w:val="auto"/>
        </w:rPr>
        <w:t>any action asserting an “internal corporate claim” as that term is defined in Section 115 of the DGCL; and</w:t>
      </w:r>
    </w:p>
    <w:p>
      <w:pPr>
        <w:spacing w:after="0" w:line="247" w:lineRule="exact"/>
        <w:rPr>
          <w:rFonts w:ascii="Times New Roman" w:cs="Times New Roman" w:eastAsia="Times New Roman" w:hAnsi="Times New Roman"/>
          <w:sz w:val="21"/>
          <w:szCs w:val="21"/>
          <w:color w:val="212529"/>
        </w:rPr>
      </w:pPr>
    </w:p>
    <w:p>
      <w:pPr>
        <w:ind w:left="960" w:hanging="321"/>
        <w:spacing w:after="0"/>
        <w:tabs>
          <w:tab w:leader="none" w:pos="9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proceeding as to which the DGCL confers jurisdiction on the Delaware Court of Chancery.</w:t>
      </w:r>
    </w:p>
    <w:p>
      <w:pPr>
        <w:spacing w:after="0" w:line="2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1"/>
          <w:szCs w:val="21"/>
          <w:color w:val="auto"/>
        </w:rPr>
        <w:t>Such legal actions include claims that might be brought by stockholders as plaintiffs. Accordingly, this Delaware forum provision of our Certificate of Incorporation limits the ability of a stockholder to bring the specified claims (including a claim against directors, officers or employees) in a judicial forum other than the Delaware Court of Chancery.</w:t>
      </w:r>
    </w:p>
    <w:p>
      <w:pPr>
        <w:spacing w:after="0" w:line="179"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1"/>
          <w:szCs w:val="21"/>
          <w:color w:val="auto"/>
        </w:rPr>
        <w:t>Our Certificate of Incorporation provides that anyone who acquires or holds any interest in shares of capital stock of the Company will be deemed to consent to the terms of this Delaware forum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440" w:right="3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1"/>
          <w:szCs w:val="21"/>
          <w:b w:val="1"/>
          <w:bCs w:val="1"/>
          <w:i w:val="1"/>
          <w:iCs w:val="1"/>
          <w:color w:val="auto"/>
        </w:rPr>
        <w:t>Federal Forum Provision</w:t>
      </w: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Our Certificate of Incorporation provides that, unless the Company consents in writing to the selection of an alternative forum, the federal district courts of the United States shall be the exclusive forum for the resolution of any claim arising under the Securities Act of 1933, as amended (the “Securities Act”). Accordingly, under this federal forum provision claims under the Securities Act could not be brought by a stockholder in a state court. This federal forum provision does not limit stockholders to filing such claims in a federal court located in any particular state. It is not certain whether a state court would enforce this federal forum provision if claims under the Securities Act were brought by a stockholder in a state court.</w:t>
      </w:r>
    </w:p>
    <w:p>
      <w:pPr>
        <w:spacing w:after="0" w:line="199"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21"/>
          <w:szCs w:val="21"/>
          <w:color w:val="auto"/>
        </w:rPr>
        <w:t>Our Certificate of Incorporation provides that anyone who acquires or holds any interest in securities of the Company may be deemed to consent to the terms of this federal forum provision.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40"/>
          </w:cols>
          <w:pgMar w:left="320" w:top="1389" w:right="43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2437130</wp:posOffset>
            </wp:positionH>
            <wp:positionV relativeFrom="page">
              <wp:posOffset>2042795</wp:posOffset>
            </wp:positionV>
            <wp:extent cx="2682875" cy="1190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2682875" cy="119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019"/>
        <w:spacing w:after="0"/>
        <w:rPr>
          <w:sz w:val="20"/>
          <w:szCs w:val="20"/>
          <w:color w:val="auto"/>
        </w:rPr>
      </w:pPr>
      <w:r>
        <w:rPr>
          <w:rFonts w:ascii="Arial" w:cs="Arial" w:eastAsia="Arial" w:hAnsi="Arial"/>
          <w:sz w:val="39"/>
          <w:szCs w:val="39"/>
          <w:b w:val="1"/>
          <w:bCs w:val="1"/>
          <w:color w:val="002F6C"/>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I</w:t>
      </w:r>
      <w:r>
        <w:rPr>
          <w:rFonts w:ascii="Arial" w:cs="Arial" w:eastAsia="Arial" w:hAnsi="Arial"/>
          <w:sz w:val="16"/>
          <w:szCs w:val="16"/>
          <w:b w:val="1"/>
          <w:bCs w:val="1"/>
          <w:color w:val="004C97"/>
        </w:rPr>
        <w:t>NTRODUCTION</w:t>
      </w:r>
    </w:p>
    <w:p>
      <w:pPr>
        <w:spacing w:after="0" w:line="200" w:lineRule="exact"/>
        <w:rPr>
          <w:sz w:val="20"/>
          <w:szCs w:val="20"/>
          <w:color w:val="auto"/>
        </w:rPr>
      </w:pP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This Policy provides guidelines with respect to trading in the securities of SPX Technologies, Inc. (”SPX” or the “Company”). This Policy applies to all directors, officers and employees of SPX and of each domestic and foreign subsidiary, partnership, joint venture or other business association that is controlled directly or indirectly by SPX. Such persons are referred to in this Policy as “you” or “SPX employees.” Each of you who is a management employee of SPX is responsible to disseminate this Policy to those SPX employees under your supervision.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Policy also applies to each of your family members who reside with you, anyone else who lives in your household, and any family members who do not live in your household but whose trading in SPX securities is directed by you or is subject to your influence or control (such as parents or children who consult with you before they trade in SPX securities). Because you are responsible for the trading of these other persons, you should make them aware of the need to confer with you before they trade in SPX securities.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Because buying or selling securities while aware of material non -public information gives persons an unfair advantage over other investors, such actions are prohibited by laws in the United States and many other countries. The principles underlying this Policy are compliance with these laws as well as fairness in dealings with other persons. The goal is to avoid not only violations of law, but even the appearance of impropriety.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S</w:t>
      </w:r>
      <w:r>
        <w:rPr>
          <w:rFonts w:ascii="Arial" w:cs="Arial" w:eastAsia="Arial" w:hAnsi="Arial"/>
          <w:sz w:val="16"/>
          <w:szCs w:val="16"/>
          <w:b w:val="1"/>
          <w:bCs w:val="1"/>
          <w:color w:val="004C97"/>
        </w:rPr>
        <w:t>ANCTIONS AND</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ENALTIES</w:t>
      </w: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Violations of the securities laws, including insider trading laws, can result in severe legal consequences both for you and for the Company. For example, if you trade while aware of material non-public information in violation of securities laws, you may face both civil and criminal sanctions, including substantial civil penalties up to three times the profit gained or loss avoided, fines up to $1 million (no matter how small the profit gained or loss avoided), and incarceration, in some cases up to ten years. Violations of this Policy will also lead to consequences from SPX, up to and including immediate dismissal for cause from SPX. Of course, violations of laws for insider trading may also tarnish your reputation and damage future career prospects.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B</w:t>
      </w:r>
      <w:r>
        <w:rPr>
          <w:rFonts w:ascii="Arial" w:cs="Arial" w:eastAsia="Arial" w:hAnsi="Arial"/>
          <w:sz w:val="16"/>
          <w:szCs w:val="16"/>
          <w:b w:val="1"/>
          <w:bCs w:val="1"/>
          <w:color w:val="004C97"/>
        </w:rPr>
        <w:t>ASIC</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ROHIBITIONS</w:t>
      </w:r>
    </w:p>
    <w:p>
      <w:pPr>
        <w:spacing w:after="0" w:line="27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You are prohibited from trading in SPX securities if you are aware of material non-public information (see the definitions below for details on the terms “material non-public information,” “trading”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180"/>
          </w:cols>
          <w:pgMar w:left="320" w:top="1440" w:right="399" w:bottom="1440" w:gutter="0" w:footer="0" w:header="0"/>
        </w:sectPr>
      </w:pPr>
    </w:p>
    <w:bookmarkStart w:id="133" w:name="page134"/>
    <w:bookmarkEnd w:id="133"/>
    <w:p>
      <w:pPr>
        <w:jc w:val="both"/>
        <w:spacing w:after="0" w:line="258" w:lineRule="auto"/>
        <w:rPr>
          <w:sz w:val="20"/>
          <w:szCs w:val="20"/>
          <w:color w:val="auto"/>
        </w:rPr>
      </w:pPr>
      <w:r>
        <w:rPr>
          <w:rFonts w:ascii="Arial" w:cs="Arial" w:eastAsia="Arial" w:hAnsi="Arial"/>
          <w:sz w:val="20"/>
          <w:szCs w:val="20"/>
          <w:color w:val="auto"/>
        </w:rPr>
        <w:t>You are prohibited from disclosing material non-public information to anyone outside SPX unless authorized to do so by SPX. This includes relatives, friends or others who might use such information for trading or might pass it along to others who might trade. You also are prohibited from suggesting or recommending that anyone outside SPX trade in SPX securities while you are aware of material non-public information. This conduct, commonly referred to as “tipping”, is prohibited whether or not you intend to realize a profit from the tipping and whether or not you tell the outside person why you are making the suggestion or recommendation.</w:t>
      </w:r>
    </w:p>
    <w:p>
      <w:pPr>
        <w:spacing w:after="0" w:line="200" w:lineRule="exact"/>
        <w:rPr>
          <w:sz w:val="20"/>
          <w:szCs w:val="20"/>
          <w:color w:val="auto"/>
        </w:rPr>
      </w:pPr>
    </w:p>
    <w:p>
      <w:pPr>
        <w:spacing w:after="0" w:line="25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You are prohibited from trading in securities of any other company if you are aware of any material non-public information about that company obtained in the course of your employment with SPX, such as information about a major contract, merger, acquisition or divestiture being negotiated.</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There are no exceptions to this Policy, even for transactions that are very small or seemingly insignificant. The existence of a personal financial emergency does not excuse compliance with this Policy.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Policy:</w:t>
      </w:r>
    </w:p>
    <w:p>
      <w:pPr>
        <w:spacing w:after="0" w:line="28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“material non-public information” </w:t>
      </w:r>
      <w:r>
        <w:rPr>
          <w:rFonts w:ascii="Arial" w:cs="Arial" w:eastAsia="Arial" w:hAnsi="Arial"/>
          <w:sz w:val="20"/>
          <w:szCs w:val="20"/>
          <w:color w:val="auto"/>
        </w:rPr>
        <w:t>is information that has not been publicly announced or included in a filing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and Exchange Commission (“SEC”), that would be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considered important by a reasonable investor in deciding whether to purchase, sell or hold SPX securities. It does not matter whether you received the information from inside the Company or from sources outside the Company. Also, the information may be positive or negative. Any information that could reasonably be expected to affect the price of securities is likely to be considered material. Examples of possibly material information include but are not limited to:</w:t>
      </w:r>
    </w:p>
    <w:p>
      <w:pPr>
        <w:spacing w:after="0" w:line="219" w:lineRule="exact"/>
        <w:rPr>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w:t>
      </w:r>
    </w:p>
    <w:p>
      <w:pPr>
        <w:spacing w:after="0" w:line="2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Projections of future earnings or losses</w:t>
      </w:r>
    </w:p>
    <w:p>
      <w:pPr>
        <w:spacing w:after="0" w:line="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Proposed mergers and acquisitions</w:t>
      </w:r>
    </w:p>
    <w:p>
      <w:pPr>
        <w:spacing w:after="0" w:line="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Sale of significant assets</w:t>
      </w:r>
    </w:p>
    <w:p>
      <w:pPr>
        <w:spacing w:after="0" w:line="6" w:lineRule="exact"/>
        <w:rPr>
          <w:rFonts w:ascii="Times New Roman" w:cs="Times New Roman" w:eastAsia="Times New Roman" w:hAnsi="Times New Roman"/>
          <w:sz w:val="20"/>
          <w:szCs w:val="20"/>
          <w:color w:val="auto"/>
        </w:rPr>
      </w:pPr>
    </w:p>
    <w:p>
      <w:pPr>
        <w:ind w:left="640" w:hanging="317"/>
        <w:spacing w:after="0" w:line="233" w:lineRule="auto"/>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substantial customer or supplier</w:t>
      </w: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or termination of significant contracts</w:t>
      </w:r>
    </w:p>
    <w:p>
      <w:pPr>
        <w:spacing w:after="0" w:line="6" w:lineRule="exact"/>
        <w:rPr>
          <w:rFonts w:ascii="Times New Roman" w:cs="Times New Roman" w:eastAsia="Times New Roman" w:hAnsi="Times New Roman"/>
          <w:sz w:val="20"/>
          <w:szCs w:val="20"/>
          <w:color w:val="auto"/>
        </w:rPr>
      </w:pPr>
    </w:p>
    <w:p>
      <w:pPr>
        <w:ind w:left="640" w:hanging="317"/>
        <w:spacing w:after="0" w:line="233" w:lineRule="auto"/>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Unanticipated changes in customer relationships, level of sales, orders or expenses</w:t>
      </w: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An extraordinary item for accounting purposes</w:t>
      </w:r>
    </w:p>
    <w:p>
      <w:pPr>
        <w:spacing w:after="0" w:line="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Major financings or restructurings</w:t>
      </w:r>
    </w:p>
    <w:p>
      <w:pPr>
        <w:spacing w:after="0" w:line="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Creation of a material financial obligation</w:t>
      </w:r>
    </w:p>
    <w:p>
      <w:pPr>
        <w:spacing w:after="0" w:line="6" w:lineRule="exact"/>
        <w:rPr>
          <w:rFonts w:ascii="Times New Roman" w:cs="Times New Roman" w:eastAsia="Times New Roman" w:hAnsi="Times New Roman"/>
          <w:sz w:val="20"/>
          <w:szCs w:val="20"/>
          <w:color w:val="auto"/>
        </w:rPr>
      </w:pPr>
    </w:p>
    <w:p>
      <w:pPr>
        <w:ind w:left="640" w:hanging="317"/>
        <w:spacing w:after="0" w:line="233" w:lineRule="auto"/>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New equity or debt offerings</w:t>
      </w: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or dividend information</w:t>
      </w:r>
    </w:p>
    <w:p>
      <w:pPr>
        <w:spacing w:after="0" w:line="6" w:lineRule="exact"/>
        <w:rPr>
          <w:rFonts w:ascii="Times New Roman" w:cs="Times New Roman" w:eastAsia="Times New Roman" w:hAnsi="Times New Roman"/>
          <w:sz w:val="20"/>
          <w:szCs w:val="20"/>
          <w:color w:val="auto"/>
        </w:rPr>
      </w:pPr>
    </w:p>
    <w:p>
      <w:pPr>
        <w:ind w:left="640" w:hanging="317"/>
        <w:spacing w:after="0" w:line="233" w:lineRule="auto"/>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Major product announcements</w:t>
      </w: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litigation or developments in litigation</w:t>
      </w:r>
    </w:p>
    <w:p>
      <w:pPr>
        <w:spacing w:after="0" w:line="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8"/>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180"/>
          </w:cols>
          <w:pgMar w:left="320" w:top="1402" w:right="399" w:bottom="1440" w:gutter="0" w:footer="0" w:header="0"/>
        </w:sectPr>
      </w:pPr>
    </w:p>
    <w:bookmarkStart w:id="134" w:name="page135"/>
    <w:bookmarkEnd w:id="134"/>
    <w:p>
      <w:pPr>
        <w:spacing w:after="0" w:line="359" w:lineRule="exact"/>
        <w:rPr>
          <w:sz w:val="20"/>
          <w:szCs w:val="20"/>
          <w:color w:val="auto"/>
        </w:rPr>
      </w:pPr>
    </w:p>
    <w:p>
      <w:pPr>
        <w:jc w:val="both"/>
        <w:ind w:right="60"/>
        <w:spacing w:after="0" w:line="267" w:lineRule="auto"/>
        <w:rPr>
          <w:sz w:val="20"/>
          <w:szCs w:val="20"/>
          <w:color w:val="auto"/>
        </w:rPr>
      </w:pPr>
      <w:r>
        <w:rPr>
          <w:rFonts w:ascii="Arial" w:cs="Arial" w:eastAsia="Arial" w:hAnsi="Arial"/>
          <w:sz w:val="20"/>
          <w:szCs w:val="20"/>
          <w:color w:val="auto"/>
        </w:rPr>
        <w:t>Release of information to the media does not immediately mean such information has become publicly available. You should refrain from trading in SPX securities until the market has had an opportunity to absorb and evaluate the information. It is usually sufficient to wait two trading days after the information has been publicly disseminated.</w:t>
      </w:r>
    </w:p>
    <w:p>
      <w:pPr>
        <w:spacing w:after="0" w:line="355" w:lineRule="exact"/>
        <w:rPr>
          <w:sz w:val="20"/>
          <w:szCs w:val="20"/>
          <w:color w:val="auto"/>
        </w:rPr>
      </w:pPr>
    </w:p>
    <w:p>
      <w:pPr>
        <w:jc w:val="both"/>
        <w:ind w:right="60"/>
        <w:spacing w:after="0" w:line="300" w:lineRule="auto"/>
        <w:rPr>
          <w:sz w:val="20"/>
          <w:szCs w:val="20"/>
          <w:color w:val="auto"/>
        </w:rPr>
      </w:pPr>
      <w:r>
        <w:rPr>
          <w:rFonts w:ascii="Arial" w:cs="Arial" w:eastAsia="Arial" w:hAnsi="Arial"/>
          <w:sz w:val="20"/>
          <w:szCs w:val="20"/>
          <w:b w:val="1"/>
          <w:bCs w:val="1"/>
          <w:color w:val="auto"/>
        </w:rPr>
        <w:t xml:space="preserve">“securities” </w:t>
      </w:r>
      <w:r>
        <w:rPr>
          <w:rFonts w:ascii="Arial" w:cs="Arial" w:eastAsia="Arial" w:hAnsi="Arial"/>
          <w:sz w:val="20"/>
          <w:szCs w:val="20"/>
          <w:color w:val="auto"/>
        </w:rPr>
        <w:t>includes common stock, preferred stock, warrants, convertible notes or debentures and derivative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such as put and call options, as well as debt securities, such as bonds and notes.</w:t>
      </w:r>
    </w:p>
    <w:p>
      <w:pPr>
        <w:spacing w:after="0" w:line="151" w:lineRule="exact"/>
        <w:rPr>
          <w:sz w:val="20"/>
          <w:szCs w:val="20"/>
          <w:color w:val="auto"/>
        </w:rPr>
      </w:pPr>
    </w:p>
    <w:p>
      <w:pPr>
        <w:jc w:val="both"/>
        <w:ind w:right="60"/>
        <w:spacing w:after="0" w:line="265" w:lineRule="auto"/>
        <w:rPr>
          <w:sz w:val="20"/>
          <w:szCs w:val="20"/>
          <w:color w:val="auto"/>
        </w:rPr>
      </w:pPr>
      <w:r>
        <w:rPr>
          <w:rFonts w:ascii="Arial" w:cs="Arial" w:eastAsia="Arial" w:hAnsi="Arial"/>
          <w:sz w:val="20"/>
          <w:szCs w:val="20"/>
          <w:b w:val="1"/>
          <w:bCs w:val="1"/>
          <w:color w:val="auto"/>
        </w:rPr>
        <w:t xml:space="preserve">“trading” </w:t>
      </w:r>
      <w:r>
        <w:rPr>
          <w:rFonts w:ascii="Arial" w:cs="Arial" w:eastAsia="Arial" w:hAnsi="Arial"/>
          <w:sz w:val="20"/>
          <w:szCs w:val="20"/>
          <w:color w:val="auto"/>
        </w:rPr>
        <w:t>includes the purchase or sale of SPX securities, the exercise of stock options, the sale of the stock acquired upon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exercise of options, or the purchase or sale of stock under any of the Company’s retirement, savings, or stock purchase plans. Trading also includes gifts of securities and all derivative transactions, such as put options, call options and short or forward sales.</w:t>
      </w:r>
    </w:p>
    <w:p>
      <w:pPr>
        <w:spacing w:after="0" w:line="212"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b w:val="1"/>
          <w:bCs w:val="1"/>
          <w:color w:val="auto"/>
        </w:rPr>
        <w:t xml:space="preserve">“trading day” </w:t>
      </w:r>
      <w:r>
        <w:rPr>
          <w:rFonts w:ascii="Arial" w:cs="Arial" w:eastAsia="Arial" w:hAnsi="Arial"/>
          <w:sz w:val="20"/>
          <w:szCs w:val="20"/>
          <w:color w:val="auto"/>
        </w:rPr>
        <w:t>is a day on which national stock exchanges are open for trading in the United States. A trading day begins at</w:t>
      </w:r>
      <w:r>
        <w:rPr>
          <w:rFonts w:ascii="Arial" w:cs="Arial" w:eastAsia="Arial" w:hAnsi="Arial"/>
          <w:sz w:val="20"/>
          <w:szCs w:val="20"/>
          <w:b w:val="1"/>
          <w:bCs w:val="1"/>
          <w:color w:val="auto"/>
        </w:rPr>
        <w:t xml:space="preserve"> </w:t>
      </w:r>
      <w:r>
        <w:rPr>
          <w:rFonts w:ascii="Arial" w:cs="Arial" w:eastAsia="Arial" w:hAnsi="Arial"/>
          <w:sz w:val="20"/>
          <w:szCs w:val="20"/>
          <w:color w:val="auto"/>
        </w:rPr>
        <w:t>the time trading begins on such day.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T</w:t>
      </w:r>
      <w:r>
        <w:rPr>
          <w:rFonts w:ascii="Arial" w:cs="Arial" w:eastAsia="Arial" w:hAnsi="Arial"/>
          <w:sz w:val="16"/>
          <w:szCs w:val="16"/>
          <w:b w:val="1"/>
          <w:bCs w:val="1"/>
          <w:color w:val="004C97"/>
        </w:rPr>
        <w:t>RADING</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ROHIBITIONS</w:t>
      </w:r>
      <w:r>
        <w:rPr>
          <w:rFonts w:ascii="Arial" w:cs="Arial" w:eastAsia="Arial" w:hAnsi="Arial"/>
          <w:sz w:val="20"/>
          <w:szCs w:val="20"/>
          <w:b w:val="1"/>
          <w:bCs w:val="1"/>
          <w:color w:val="004C97"/>
        </w:rPr>
        <w:t xml:space="preserve"> D</w:t>
      </w:r>
      <w:r>
        <w:rPr>
          <w:rFonts w:ascii="Arial" w:cs="Arial" w:eastAsia="Arial" w:hAnsi="Arial"/>
          <w:sz w:val="16"/>
          <w:szCs w:val="16"/>
          <w:b w:val="1"/>
          <w:bCs w:val="1"/>
          <w:color w:val="004C97"/>
        </w:rPr>
        <w:t>URING</w:t>
      </w:r>
      <w:r>
        <w:rPr>
          <w:rFonts w:ascii="Arial" w:cs="Arial" w:eastAsia="Arial" w:hAnsi="Arial"/>
          <w:sz w:val="20"/>
          <w:szCs w:val="20"/>
          <w:b w:val="1"/>
          <w:bCs w:val="1"/>
          <w:color w:val="004C97"/>
        </w:rPr>
        <w:t xml:space="preserve"> B</w:t>
      </w:r>
      <w:r>
        <w:rPr>
          <w:rFonts w:ascii="Arial" w:cs="Arial" w:eastAsia="Arial" w:hAnsi="Arial"/>
          <w:sz w:val="16"/>
          <w:szCs w:val="16"/>
          <w:b w:val="1"/>
          <w:bCs w:val="1"/>
          <w:color w:val="004C97"/>
        </w:rPr>
        <w:t>LACKOUT</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ERIODS</w:t>
      </w:r>
    </w:p>
    <w:p>
      <w:pPr>
        <w:spacing w:after="0" w:line="285" w:lineRule="exact"/>
        <w:rPr>
          <w:sz w:val="20"/>
          <w:szCs w:val="20"/>
          <w:color w:val="auto"/>
        </w:rPr>
      </w:pPr>
    </w:p>
    <w:p>
      <w:pPr>
        <w:jc w:val="both"/>
        <w:ind w:right="60"/>
        <w:spacing w:after="0" w:line="259" w:lineRule="auto"/>
        <w:rPr>
          <w:sz w:val="20"/>
          <w:szCs w:val="20"/>
          <w:color w:val="auto"/>
        </w:rPr>
      </w:pPr>
      <w:r>
        <w:rPr>
          <w:rFonts w:ascii="Arial" w:cs="Arial" w:eastAsia="Arial" w:hAnsi="Arial"/>
          <w:sz w:val="20"/>
          <w:szCs w:val="20"/>
          <w:b w:val="1"/>
          <w:bCs w:val="1"/>
          <w:color w:val="auto"/>
        </w:rPr>
        <w:t xml:space="preserve">Quarterly Blackout Period. </w:t>
      </w:r>
      <w:r>
        <w:rPr>
          <w:rFonts w:ascii="Arial" w:cs="Arial" w:eastAsia="Arial" w:hAnsi="Arial"/>
          <w:sz w:val="20"/>
          <w:szCs w:val="20"/>
          <w:color w:val="auto"/>
        </w:rPr>
        <w:t>Because of the sensitivity of quarterly or annual financial results, the Company’s public</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announcement of its financial results almost always has the potential to have a material effect on the market for SPX securities. Therefore, to avoid even the appearance of trading while aware of material non-public information, this Policy prohibits trading in SPX securities by SPX employees who are or may be expected to be aware of the Company’s financial results, beginning on the day one week prior to the last day of each fiscal quarter and ending two trading days after earnings are publicly announced (a “Quarterly Blackout Period”). This period may be extended at the discretion of the Company’s Chief Legal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covered by a Quarterly Blackout Period?</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SPX maintains a list of certain SPX employees who are more likely to possess material non-public information and who therefore must exercise even greater diligence to comply with insider trading prohibitions. The SPX Insider List includes all members of the Company’s Board of Directors and all SPX officers. It also includes certain senior finance, legal, HR, business development, investor relations, corporate communication and management employees, as well as other SPX employees in roles that make it likely they will have access to material non-public information. This list is updated on a regular basis. You are responsible for knowing whether you are on the SPX Insider List. You should note that, depending on circumstances and at the discretion of the Company’s Chief Legal Officer, you may remain on the SPX Insider List for some time after your employment with the Company 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Blackout Period.</w:t>
      </w:r>
    </w:p>
    <w:p>
      <w:pPr>
        <w:spacing w:after="0" w:line="245" w:lineRule="exact"/>
        <w:rPr>
          <w:sz w:val="20"/>
          <w:szCs w:val="20"/>
          <w:color w:val="auto"/>
        </w:rPr>
      </w:pPr>
    </w:p>
    <w:p>
      <w:pPr>
        <w:jc w:val="both"/>
        <w:ind w:right="60"/>
        <w:spacing w:after="0" w:line="267" w:lineRule="auto"/>
        <w:rPr>
          <w:sz w:val="20"/>
          <w:szCs w:val="20"/>
          <w:color w:val="auto"/>
        </w:rPr>
      </w:pPr>
      <w:r>
        <w:rPr>
          <w:rFonts w:ascii="Arial" w:cs="Arial" w:eastAsia="Arial" w:hAnsi="Arial"/>
          <w:sz w:val="20"/>
          <w:szCs w:val="20"/>
          <w:color w:val="auto"/>
        </w:rPr>
        <w:t>Occasionally, material non-public information may be pending during periods other than the Quarterly Blackout Periods. In such cases SPX may impose a Special Blackout Period on designated persons during which the prohibitions described in this Policy will apply to those persons.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transactions are prohibited during a Blackout Period?</w:t>
      </w:r>
    </w:p>
    <w:p>
      <w:pPr>
        <w:spacing w:after="0" w:line="245" w:lineRule="exact"/>
        <w:rPr>
          <w:sz w:val="20"/>
          <w:szCs w:val="20"/>
          <w:color w:val="auto"/>
        </w:rPr>
      </w:pPr>
    </w:p>
    <w:p>
      <w:pPr>
        <w:jc w:val="both"/>
        <w:ind w:right="60"/>
        <w:spacing w:after="0" w:line="286" w:lineRule="auto"/>
        <w:rPr>
          <w:sz w:val="20"/>
          <w:szCs w:val="20"/>
          <w:color w:val="auto"/>
        </w:rPr>
      </w:pPr>
      <w:r>
        <w:rPr>
          <w:rFonts w:ascii="Arial" w:cs="Arial" w:eastAsia="Arial" w:hAnsi="Arial"/>
          <w:sz w:val="20"/>
          <w:szCs w:val="20"/>
          <w:color w:val="auto"/>
        </w:rPr>
        <w:t>All trading in SPX securities is prohibited during a Quarterly or Special Blackout Period. This prohibition is intended to be broad and all encompassing and includes, but is not limited to:</w:t>
      </w:r>
    </w:p>
    <w:p>
      <w:pPr>
        <w:spacing w:after="0" w:line="178" w:lineRule="exact"/>
        <w:rPr>
          <w:sz w:val="20"/>
          <w:szCs w:val="20"/>
          <w:color w:val="auto"/>
        </w:rPr>
      </w:pPr>
    </w:p>
    <w:p>
      <w:pPr>
        <w:ind w:left="640" w:right="80" w:hanging="317"/>
        <w:spacing w:after="0" w:line="257" w:lineRule="auto"/>
        <w:tabs>
          <w:tab w:leader="none" w:pos="632"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Open market purchase or sale of SPX securities or derivative transactions, such as put options, call options and short or forward sales.</w:t>
      </w:r>
    </w:p>
    <w:p>
      <w:pPr>
        <w:spacing w:after="0" w:line="1"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Making gifts of SPX securities.</w:t>
      </w:r>
    </w:p>
    <w:p>
      <w:pPr>
        <w:spacing w:after="0" w:line="16" w:lineRule="exact"/>
        <w:rPr>
          <w:rFonts w:ascii="Times New Roman" w:cs="Times New Roman" w:eastAsia="Times New Roman" w:hAnsi="Times New Roman"/>
          <w:sz w:val="20"/>
          <w:szCs w:val="20"/>
          <w:color w:val="auto"/>
        </w:rPr>
      </w:pPr>
    </w:p>
    <w:p>
      <w:pPr>
        <w:ind w:left="640" w:hanging="317"/>
        <w:spacing w:after="0"/>
        <w:tabs>
          <w:tab w:leader="none" w:pos="640"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Purchase or sale of SPX securities through a broker, including the fulfillment of “limit orders” by a broker.</w:t>
      </w:r>
    </w:p>
    <w:p>
      <w:pPr>
        <w:spacing w:after="0" w:line="10" w:lineRule="exact"/>
        <w:rPr>
          <w:rFonts w:ascii="Times New Roman" w:cs="Times New Roman" w:eastAsia="Times New Roman" w:hAnsi="Times New Roman"/>
          <w:sz w:val="20"/>
          <w:szCs w:val="20"/>
          <w:color w:val="auto"/>
        </w:rPr>
      </w:pPr>
    </w:p>
    <w:p>
      <w:pPr>
        <w:ind w:left="640" w:right="80" w:hanging="317"/>
        <w:spacing w:after="0" w:line="254" w:lineRule="auto"/>
        <w:tabs>
          <w:tab w:leader="none" w:pos="632"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Exercise of stock options where all or a portion of the acquired stock is sold during the blackout period including by way of cashless exercise.</w:t>
      </w:r>
    </w:p>
    <w:p>
      <w:pPr>
        <w:ind w:left="640" w:hanging="317"/>
        <w:spacing w:after="0"/>
        <w:tabs>
          <w:tab w:leader="none" w:pos="640" w:val="left"/>
        </w:tabs>
        <w:numPr>
          <w:ilvl w:val="0"/>
          <w:numId w:val="79"/>
        </w:numPr>
        <w:rPr>
          <w:rFonts w:ascii="Times New Roman" w:cs="Times New Roman" w:eastAsia="Times New Roman" w:hAnsi="Times New Roman"/>
          <w:sz w:val="20"/>
          <w:szCs w:val="20"/>
          <w:color w:val="auto"/>
        </w:rPr>
      </w:pPr>
      <w:r>
        <w:rPr>
          <w:rFonts w:ascii="Arial" w:cs="Arial" w:eastAsia="Arial" w:hAnsi="Arial"/>
          <w:sz w:val="20"/>
          <w:szCs w:val="20"/>
          <w:color w:val="auto"/>
        </w:rPr>
        <w:t>Sale or transfer of stock acquired through any of the Company’s retirement, savings or stock purchase plans.</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P</w:t>
      </w:r>
      <w:r>
        <w:rPr>
          <w:rFonts w:ascii="Arial" w:cs="Arial" w:eastAsia="Arial" w:hAnsi="Arial"/>
          <w:sz w:val="16"/>
          <w:szCs w:val="16"/>
          <w:b w:val="1"/>
          <w:bCs w:val="1"/>
          <w:color w:val="004C97"/>
        </w:rPr>
        <w:t>RE</w:t>
      </w:r>
      <w:r>
        <w:rPr>
          <w:rFonts w:ascii="Arial" w:cs="Arial" w:eastAsia="Arial" w:hAnsi="Arial"/>
          <w:sz w:val="20"/>
          <w:szCs w:val="20"/>
          <w:b w:val="1"/>
          <w:bCs w:val="1"/>
          <w:color w:val="004C97"/>
        </w:rPr>
        <w:t>-C</w:t>
      </w:r>
      <w:r>
        <w:rPr>
          <w:rFonts w:ascii="Arial" w:cs="Arial" w:eastAsia="Arial" w:hAnsi="Arial"/>
          <w:sz w:val="16"/>
          <w:szCs w:val="16"/>
          <w:b w:val="1"/>
          <w:bCs w:val="1"/>
          <w:color w:val="004C97"/>
        </w:rPr>
        <w:t>LEARANCE OF</w:t>
      </w:r>
      <w:r>
        <w:rPr>
          <w:rFonts w:ascii="Arial" w:cs="Arial" w:eastAsia="Arial" w:hAnsi="Arial"/>
          <w:sz w:val="20"/>
          <w:szCs w:val="20"/>
          <w:b w:val="1"/>
          <w:bCs w:val="1"/>
          <w:color w:val="004C97"/>
        </w:rPr>
        <w:t xml:space="preserve"> T</w:t>
      </w:r>
      <w:r>
        <w:rPr>
          <w:rFonts w:ascii="Arial" w:cs="Arial" w:eastAsia="Arial" w:hAnsi="Arial"/>
          <w:sz w:val="16"/>
          <w:szCs w:val="16"/>
          <w:b w:val="1"/>
          <w:bCs w:val="1"/>
          <w:color w:val="004C97"/>
        </w:rPr>
        <w:t>RADING BY</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ERSONS ON THE</w:t>
      </w:r>
      <w:r>
        <w:rPr>
          <w:rFonts w:ascii="Arial" w:cs="Arial" w:eastAsia="Arial" w:hAnsi="Arial"/>
          <w:sz w:val="20"/>
          <w:szCs w:val="20"/>
          <w:b w:val="1"/>
          <w:bCs w:val="1"/>
          <w:color w:val="004C97"/>
        </w:rPr>
        <w:t xml:space="preserve"> SPX I</w:t>
      </w:r>
      <w:r>
        <w:rPr>
          <w:rFonts w:ascii="Arial" w:cs="Arial" w:eastAsia="Arial" w:hAnsi="Arial"/>
          <w:sz w:val="16"/>
          <w:szCs w:val="16"/>
          <w:b w:val="1"/>
          <w:bCs w:val="1"/>
          <w:color w:val="004C97"/>
        </w:rPr>
        <w:t>NSIDER</w:t>
      </w:r>
      <w:r>
        <w:rPr>
          <w:rFonts w:ascii="Arial" w:cs="Arial" w:eastAsia="Arial" w:hAnsi="Arial"/>
          <w:sz w:val="20"/>
          <w:szCs w:val="20"/>
          <w:b w:val="1"/>
          <w:bCs w:val="1"/>
          <w:color w:val="004C97"/>
        </w:rPr>
        <w:t xml:space="preserve"> L</w:t>
      </w:r>
      <w:r>
        <w:rPr>
          <w:rFonts w:ascii="Arial" w:cs="Arial" w:eastAsia="Arial" w:hAnsi="Arial"/>
          <w:sz w:val="16"/>
          <w:szCs w:val="16"/>
          <w:b w:val="1"/>
          <w:bCs w:val="1"/>
          <w:color w:val="004C97"/>
        </w:rPr>
        <w:t>IST</w:t>
      </w:r>
    </w:p>
    <w:p>
      <w:pPr>
        <w:spacing w:after="0" w:line="28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Apart from the prohibitions relating to Blackout Periods, if you are on the SPX Insider List you must obtain </w:t>
      </w:r>
      <w:r>
        <w:rPr>
          <w:rFonts w:ascii="Arial" w:cs="Arial" w:eastAsia="Arial" w:hAnsi="Arial"/>
          <w:sz w:val="20"/>
          <w:szCs w:val="20"/>
          <w:b w:val="1"/>
          <w:bCs w:val="1"/>
          <w:color w:val="auto"/>
        </w:rPr>
        <w:t>prior approval</w:t>
      </w:r>
      <w:r>
        <w:rPr>
          <w:rFonts w:ascii="Arial" w:cs="Arial" w:eastAsia="Arial" w:hAnsi="Arial"/>
          <w:sz w:val="20"/>
          <w:szCs w:val="20"/>
          <w:color w:val="auto"/>
        </w:rPr>
        <w:t xml:space="preserve"> of and clearance by the Company’s Chief Legal Officer or other attorney designated by the Chief Legal Officer before initiating any proposed trading of SPX securities. Requests for such approval and pre-clearance should be submitted at least three business days in advance of the proposed transaction by completing a Trading Request form and submitting this form to the Corporate office (</w:t>
      </w:r>
      <w:r>
        <w:rPr>
          <w:rFonts w:ascii="Arial" w:cs="Arial" w:eastAsia="Arial" w:hAnsi="Arial"/>
          <w:sz w:val="20"/>
          <w:szCs w:val="20"/>
          <w:u w:val="single" w:color="auto"/>
          <w:color w:val="0563C1"/>
        </w:rPr>
        <w:t>Corp.Insider.Trade.Requests@spx.com</w:t>
      </w:r>
      <w:r>
        <w:rPr>
          <w:rFonts w:ascii="Arial" w:cs="Arial" w:eastAsia="Arial" w:hAnsi="Arial"/>
          <w:sz w:val="20"/>
          <w:szCs w:val="20"/>
          <w:color w:val="auto"/>
        </w:rPr>
        <w:t>). A copy of the Trading Request form is attached to this Policy. Please note that the Company is under no obligation to approve a trade submitted for pre-clearance and may determine not to permit a trade. Also, because the denial of a trading request may itself be sensitive information, you should treat any denial of a trading request as 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T</w:t>
      </w:r>
      <w:r>
        <w:rPr>
          <w:rFonts w:ascii="Arial" w:cs="Arial" w:eastAsia="Arial" w:hAnsi="Arial"/>
          <w:sz w:val="16"/>
          <w:szCs w:val="16"/>
          <w:b w:val="1"/>
          <w:bCs w:val="1"/>
          <w:color w:val="004C97"/>
        </w:rPr>
        <w:t>RADING</w:t>
      </w:r>
      <w:r>
        <w:rPr>
          <w:rFonts w:ascii="Arial" w:cs="Arial" w:eastAsia="Arial" w:hAnsi="Arial"/>
          <w:sz w:val="20"/>
          <w:szCs w:val="20"/>
          <w:b w:val="1"/>
          <w:bCs w:val="1"/>
          <w:color w:val="004C97"/>
        </w:rPr>
        <w:t xml:space="preserve"> W</w:t>
      </w:r>
      <w:r>
        <w:rPr>
          <w:rFonts w:ascii="Arial" w:cs="Arial" w:eastAsia="Arial" w:hAnsi="Arial"/>
          <w:sz w:val="16"/>
          <w:szCs w:val="16"/>
          <w:b w:val="1"/>
          <w:bCs w:val="1"/>
          <w:color w:val="004C97"/>
        </w:rPr>
        <w:t>INDOWS FOR</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ERSONS ON THE</w:t>
      </w:r>
      <w:r>
        <w:rPr>
          <w:rFonts w:ascii="Arial" w:cs="Arial" w:eastAsia="Arial" w:hAnsi="Arial"/>
          <w:sz w:val="20"/>
          <w:szCs w:val="20"/>
          <w:b w:val="1"/>
          <w:bCs w:val="1"/>
          <w:color w:val="004C97"/>
        </w:rPr>
        <w:t xml:space="preserve"> SPX I</w:t>
      </w:r>
      <w:r>
        <w:rPr>
          <w:rFonts w:ascii="Arial" w:cs="Arial" w:eastAsia="Arial" w:hAnsi="Arial"/>
          <w:sz w:val="16"/>
          <w:szCs w:val="16"/>
          <w:b w:val="1"/>
          <w:bCs w:val="1"/>
          <w:color w:val="004C97"/>
        </w:rPr>
        <w:t>NSIDER</w:t>
      </w:r>
      <w:r>
        <w:rPr>
          <w:rFonts w:ascii="Arial" w:cs="Arial" w:eastAsia="Arial" w:hAnsi="Arial"/>
          <w:sz w:val="20"/>
          <w:szCs w:val="20"/>
          <w:b w:val="1"/>
          <w:bCs w:val="1"/>
          <w:color w:val="004C97"/>
        </w:rPr>
        <w:t xml:space="preserve"> L</w:t>
      </w:r>
      <w:r>
        <w:rPr>
          <w:rFonts w:ascii="Arial" w:cs="Arial" w:eastAsia="Arial" w:hAnsi="Arial"/>
          <w:sz w:val="16"/>
          <w:szCs w:val="16"/>
          <w:b w:val="1"/>
          <w:bCs w:val="1"/>
          <w:color w:val="004C97"/>
        </w:rPr>
        <w:t>IST</w:t>
      </w:r>
    </w:p>
    <w:p>
      <w:pPr>
        <w:spacing w:after="0" w:line="272" w:lineRule="exact"/>
        <w:rPr>
          <w:sz w:val="20"/>
          <w:szCs w:val="20"/>
          <w:color w:val="auto"/>
        </w:rPr>
      </w:pPr>
    </w:p>
    <w:p>
      <w:pPr>
        <w:jc w:val="both"/>
        <w:ind w:right="520"/>
        <w:spacing w:after="0" w:line="274" w:lineRule="auto"/>
        <w:rPr>
          <w:sz w:val="20"/>
          <w:szCs w:val="20"/>
          <w:color w:val="auto"/>
        </w:rPr>
      </w:pPr>
      <w:r>
        <w:rPr>
          <w:rFonts w:ascii="Arial" w:cs="Arial" w:eastAsia="Arial" w:hAnsi="Arial"/>
          <w:sz w:val="20"/>
          <w:szCs w:val="20"/>
          <w:color w:val="auto"/>
        </w:rPr>
        <w:t>Trading windows for persons on the SPX Insider Trading List who have had a trading request approved will normally be limited to four business days, but a trading window may be granted for a longer or shorter period at the discretion of the Company’s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180"/>
          </w:cols>
          <w:pgMar w:left="320" w:top="1440" w:right="399" w:bottom="1440" w:gutter="0" w:footer="0" w:header="0"/>
        </w:sectPr>
      </w:pPr>
    </w:p>
    <w:bookmarkStart w:id="136" w:name="page137"/>
    <w:bookmarkEnd w:id="136"/>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A</w:t>
      </w:r>
      <w:r>
        <w:rPr>
          <w:rFonts w:ascii="Arial" w:cs="Arial" w:eastAsia="Arial" w:hAnsi="Arial"/>
          <w:sz w:val="16"/>
          <w:szCs w:val="16"/>
          <w:b w:val="1"/>
          <w:bCs w:val="1"/>
          <w:color w:val="004C97"/>
        </w:rPr>
        <w:t>DDITIONAL</w:t>
      </w:r>
      <w:r>
        <w:rPr>
          <w:rFonts w:ascii="Arial" w:cs="Arial" w:eastAsia="Arial" w:hAnsi="Arial"/>
          <w:sz w:val="20"/>
          <w:szCs w:val="20"/>
          <w:b w:val="1"/>
          <w:bCs w:val="1"/>
          <w:color w:val="004C97"/>
        </w:rPr>
        <w:t xml:space="preserve"> G</w:t>
      </w:r>
      <w:r>
        <w:rPr>
          <w:rFonts w:ascii="Arial" w:cs="Arial" w:eastAsia="Arial" w:hAnsi="Arial"/>
          <w:sz w:val="16"/>
          <w:szCs w:val="16"/>
          <w:b w:val="1"/>
          <w:bCs w:val="1"/>
          <w:color w:val="004C97"/>
        </w:rPr>
        <w:t>UIDANCE ON</w:t>
      </w:r>
      <w:r>
        <w:rPr>
          <w:rFonts w:ascii="Arial" w:cs="Arial" w:eastAsia="Arial" w:hAnsi="Arial"/>
          <w:sz w:val="20"/>
          <w:szCs w:val="20"/>
          <w:b w:val="1"/>
          <w:bCs w:val="1"/>
          <w:color w:val="004C97"/>
        </w:rPr>
        <w:t xml:space="preserve"> P</w:t>
      </w:r>
      <w:r>
        <w:rPr>
          <w:rFonts w:ascii="Arial" w:cs="Arial" w:eastAsia="Arial" w:hAnsi="Arial"/>
          <w:sz w:val="16"/>
          <w:szCs w:val="16"/>
          <w:b w:val="1"/>
          <w:bCs w:val="1"/>
          <w:color w:val="004C97"/>
        </w:rPr>
        <w:t>ROHIBITED</w:t>
      </w:r>
      <w:r>
        <w:rPr>
          <w:rFonts w:ascii="Arial" w:cs="Arial" w:eastAsia="Arial" w:hAnsi="Arial"/>
          <w:sz w:val="20"/>
          <w:szCs w:val="20"/>
          <w:b w:val="1"/>
          <w:bCs w:val="1"/>
          <w:color w:val="004C97"/>
        </w:rPr>
        <w:t xml:space="preserve"> C</w:t>
      </w:r>
      <w:r>
        <w:rPr>
          <w:rFonts w:ascii="Arial" w:cs="Arial" w:eastAsia="Arial" w:hAnsi="Arial"/>
          <w:sz w:val="16"/>
          <w:szCs w:val="16"/>
          <w:b w:val="1"/>
          <w:bCs w:val="1"/>
          <w:color w:val="004C97"/>
        </w:rPr>
        <w:t>ONDUCT</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of Material Non-public Information to Others</w:t>
      </w:r>
    </w:p>
    <w:p>
      <w:pPr>
        <w:spacing w:after="0" w:line="272"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color w:val="auto"/>
        </w:rPr>
        <w:t>All SPX employees must maintain the confidentiality of material non-public information for competitive, security, and other business reasons, as well as to comply with securities laws. In addition to the prohibition against trading or tipping while you are aware of material non-public information, the securities laws also prohibit the selective disclosure of material non-public information to anyone outside the Company. The Company has, therefore, established procedures for releasing all material non-public information in a manner that is designed to achieve broad public dissemination of the information immediately upon its release. You may not disclose material non-public information to anyone outside the Company, including family members and friends, unless specifically authorized to do so. Only specifically designated representatives of the Company are permitted to discuss the Company with the news media, securities analysts and investors. Even confirmation of rumors will be deemed to be a violation of this Policy. Also, care should also be</w:t>
      </w:r>
    </w:p>
    <w:p>
      <w:pPr>
        <w:spacing w:after="0" w:line="4" w:lineRule="exact"/>
        <w:rPr>
          <w:sz w:val="20"/>
          <w:szCs w:val="20"/>
          <w:color w:val="auto"/>
        </w:rPr>
      </w:pPr>
    </w:p>
    <w:p>
      <w:pPr>
        <w:jc w:val="both"/>
        <w:ind w:right="60"/>
        <w:spacing w:after="0" w:line="265" w:lineRule="auto"/>
        <w:rPr>
          <w:sz w:val="20"/>
          <w:szCs w:val="20"/>
          <w:color w:val="auto"/>
        </w:rPr>
      </w:pPr>
      <w:r>
        <w:rPr>
          <w:rFonts w:ascii="Arial" w:cs="Arial" w:eastAsia="Arial" w:hAnsi="Arial"/>
          <w:sz w:val="20"/>
          <w:szCs w:val="20"/>
          <w:color w:val="auto"/>
        </w:rPr>
        <w:t>taken to limit the dissemination of material, non-public information within the Company to those who need to know such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401(k) Stock Plans</w:t>
      </w: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prohibitions in this Policy do not apply to purchases of SPX stock in the 401(k) plan resulting from your periodic contribution of money to the plan pursuant to your payroll deduction election, to a decision to elect or terminate participation in the plan, or to an increase or decrease in the amount of money you contribute to the plan. The prohibitions do apply, however, to elections you may make under the 401(k) plan to (a) increase or decrease the percentage of your periodic contributions that will be allocated to the SPX stock fund, (b) make an intra-plan transfer of an existing account balance into or out of the SPX stock fund, (c) borrow money against your 401(k) plan account if the loan will result in a liquidation of some or all of your SPX stock fund balance, or (d) pre-pay a plan loan if the pre-payment will result in allocation of loan proceeds to the SPX stock fund.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 Against Short Sales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Short sales of SPX securities (a sale of securities which are not then owned) are prohibited.</w:t>
      </w:r>
    </w:p>
    <w:p>
      <w:pPr>
        <w:spacing w:after="0" w:line="28" w:lineRule="exact"/>
        <w:rPr>
          <w:sz w:val="20"/>
          <w:szCs w:val="20"/>
          <w:color w:val="auto"/>
        </w:rPr>
      </w:pPr>
    </w:p>
    <w:p>
      <w:pPr>
        <w:jc w:val="both"/>
        <w:ind w:right="60"/>
        <w:spacing w:after="0" w:line="279" w:lineRule="auto"/>
        <w:rPr>
          <w:sz w:val="20"/>
          <w:szCs w:val="20"/>
          <w:color w:val="auto"/>
        </w:rPr>
      </w:pPr>
      <w:r>
        <w:rPr>
          <w:rFonts w:ascii="Arial" w:cs="Arial" w:eastAsia="Arial" w:hAnsi="Arial"/>
          <w:sz w:val="20"/>
          <w:szCs w:val="20"/>
          <w:color w:val="auto"/>
        </w:rPr>
        <w:t>Because a person engaged in a short sale generally will benefit from a decline in the price of the securities, the Company believes it is inappropriate for SPX employees to engage in such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Margin Accounts and Pledges</w:t>
      </w:r>
    </w:p>
    <w:p>
      <w:pPr>
        <w:spacing w:after="0" w:line="245" w:lineRule="exact"/>
        <w:rPr>
          <w:sz w:val="20"/>
          <w:szCs w:val="20"/>
          <w:color w:val="auto"/>
        </w:rPr>
      </w:pPr>
    </w:p>
    <w:p>
      <w:pPr>
        <w:jc w:val="both"/>
        <w:ind w:right="60"/>
        <w:spacing w:after="0" w:line="265" w:lineRule="auto"/>
        <w:rPr>
          <w:sz w:val="20"/>
          <w:szCs w:val="20"/>
          <w:color w:val="auto"/>
        </w:rPr>
      </w:pPr>
      <w:r>
        <w:rPr>
          <w:rFonts w:ascii="Arial" w:cs="Arial" w:eastAsia="Arial" w:hAnsi="Arial"/>
          <w:sz w:val="20"/>
          <w:szCs w:val="20"/>
          <w:color w:val="auto"/>
        </w:rPr>
        <w:t>Securities in a margin account may be sold without the customer’s consent if the customer fails to meet a margin call. Similarly, securities pledged as collateral for a loan may be sold in foreclosure if the borrower defaults on the loan. Because such a sale or foreclosure could occur when you are aware of material non-public information or are otherwise not permitted to trade in SPX securities, you should exercise caution when purchasing SPX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securities on margin, holding SPX securities in a margin account or pledging SPX securities as collateral for a loan. Under SPX’s policy with respect to pledging of SPX securities by directors and officers, directors and officers may not hold SPX securities in a margin account.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 Against Trading in Derivative Securities</w:t>
      </w:r>
    </w:p>
    <w:p>
      <w:pPr>
        <w:spacing w:after="0" w:line="23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No SPX employee may trade in derivative securities relating to SPX securities, such as put and call options or forward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Standing Orders</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Standing orders (except standing orders under approved Rule 10b5-1(c) trading plans, as</w:t>
      </w:r>
    </w:p>
    <w:p>
      <w:pPr>
        <w:spacing w:after="0" w:line="2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described below) should be used only for a brief period of time and, if you are on the SPX Insider List, should be terminated no later than the end of the trading window which you may have been granted. The problem with purchases or sales resulting from standing instructions to a broker is that there is no control over the timing of the transaction. The broker could execute a transaction when you are aware of material non-public information, or do so during the Blackout Period, which would be in violation of this Policy.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10b5-1 Plans</w:t>
      </w:r>
    </w:p>
    <w:p>
      <w:pPr>
        <w:spacing w:after="0" w:line="232" w:lineRule="exact"/>
        <w:rPr>
          <w:sz w:val="20"/>
          <w:szCs w:val="20"/>
          <w:color w:val="auto"/>
        </w:rPr>
      </w:pPr>
    </w:p>
    <w:p>
      <w:pPr>
        <w:jc w:val="both"/>
        <w:ind w:right="140"/>
        <w:spacing w:after="0" w:line="265" w:lineRule="auto"/>
        <w:rPr>
          <w:sz w:val="20"/>
          <w:szCs w:val="20"/>
          <w:color w:val="auto"/>
        </w:rPr>
      </w:pPr>
      <w:r>
        <w:rPr>
          <w:rFonts w:ascii="Arial" w:cs="Arial" w:eastAsia="Arial" w:hAnsi="Arial"/>
          <w:sz w:val="20"/>
          <w:szCs w:val="20"/>
          <w:color w:val="auto"/>
        </w:rPr>
        <w:t>Despite any other contrary guidelines in this Policy, it will not be a violation of this Policy for you to sell or purchase securities (even if you are aware of material non-public information at the time of the trade) if the sale or purchase is in accordance with a pre-arranged trading plan that complies with SEC Rule 10b5-1(c) and applicable state law and has been deemed to conform with the Company’s Trading Program Policy by the Company’s legal department.</w:t>
      </w:r>
    </w:p>
    <w:p>
      <w:pPr>
        <w:spacing w:after="0" w:line="199" w:lineRule="exact"/>
        <w:rPr>
          <w:sz w:val="20"/>
          <w:szCs w:val="20"/>
          <w:color w:val="auto"/>
        </w:rPr>
      </w:pPr>
    </w:p>
    <w:p>
      <w:pPr>
        <w:jc w:val="both"/>
        <w:ind w:right="200"/>
        <w:spacing w:after="0" w:line="261" w:lineRule="auto"/>
        <w:rPr>
          <w:sz w:val="20"/>
          <w:szCs w:val="20"/>
          <w:color w:val="auto"/>
        </w:rPr>
      </w:pPr>
      <w:r>
        <w:rPr>
          <w:rFonts w:ascii="Arial" w:cs="Arial" w:eastAsia="Arial" w:hAnsi="Arial"/>
          <w:sz w:val="20"/>
          <w:szCs w:val="20"/>
          <w:color w:val="auto"/>
        </w:rPr>
        <w:t>In general, for a plan to comply with the requirements of Rule10b5-1(c), it must be in writing and it must be entered into at a time when you are not aware of material non-public information. Once the plan is adopted, you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plan must satisfy all other requirements of Rule 10b5-1(c), which rule is subject to amendment from time to time by the SEC.</w:t>
      </w:r>
    </w:p>
    <w:p>
      <w:pPr>
        <w:spacing w:after="0" w:line="203" w:lineRule="exact"/>
        <w:rPr>
          <w:sz w:val="20"/>
          <w:szCs w:val="20"/>
          <w:color w:val="auto"/>
        </w:rPr>
      </w:pPr>
    </w:p>
    <w:p>
      <w:pPr>
        <w:jc w:val="both"/>
        <w:ind w:right="200"/>
        <w:spacing w:after="0" w:line="286" w:lineRule="auto"/>
        <w:rPr>
          <w:sz w:val="20"/>
          <w:szCs w:val="20"/>
          <w:color w:val="auto"/>
        </w:rPr>
      </w:pPr>
      <w:r>
        <w:rPr>
          <w:rFonts w:ascii="Arial" w:cs="Arial" w:eastAsia="Arial" w:hAnsi="Arial"/>
          <w:sz w:val="20"/>
          <w:szCs w:val="20"/>
          <w:color w:val="auto"/>
        </w:rPr>
        <w:t>For further information about SEC Rule 10b5-1(c), its relationship with this Policy or the Company’s Trading Program Policy, please contact the Company’s Chief Legal Officer.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C</w:t>
      </w:r>
      <w:r>
        <w:rPr>
          <w:rFonts w:ascii="Arial" w:cs="Arial" w:eastAsia="Arial" w:hAnsi="Arial"/>
          <w:sz w:val="16"/>
          <w:szCs w:val="16"/>
          <w:b w:val="1"/>
          <w:bCs w:val="1"/>
          <w:color w:val="004C97"/>
        </w:rPr>
        <w:t>ERTIFICATIONS</w:t>
      </w:r>
    </w:p>
    <w:p>
      <w:pPr>
        <w:spacing w:after="0" w:line="272" w:lineRule="exact"/>
        <w:rPr>
          <w:sz w:val="20"/>
          <w:szCs w:val="20"/>
          <w:color w:val="auto"/>
        </w:rPr>
      </w:pPr>
    </w:p>
    <w:p>
      <w:pPr>
        <w:jc w:val="both"/>
        <w:ind w:right="200"/>
        <w:spacing w:after="0" w:line="286" w:lineRule="auto"/>
        <w:rPr>
          <w:sz w:val="20"/>
          <w:szCs w:val="20"/>
          <w:color w:val="auto"/>
        </w:rPr>
      </w:pPr>
      <w:r>
        <w:rPr>
          <w:rFonts w:ascii="Arial" w:cs="Arial" w:eastAsia="Arial" w:hAnsi="Arial"/>
          <w:sz w:val="20"/>
          <w:szCs w:val="20"/>
          <w:color w:val="auto"/>
        </w:rPr>
        <w:t>You must review this Policy at least annually. Also, all persons on the SPX Insider List must annually sign a certification confirming that they have reviewed, understand and will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180"/>
          </w:cols>
          <w:pgMar w:left="320" w:top="1440" w:right="399" w:bottom="1440" w:gutter="0" w:footer="0" w:header="0"/>
        </w:sectPr>
      </w:pPr>
    </w:p>
    <w:bookmarkStart w:id="138" w:name="page139"/>
    <w:bookmarkEnd w:id="138"/>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4C97"/>
        </w:rPr>
        <w:t>I</w:t>
      </w:r>
      <w:r>
        <w:rPr>
          <w:rFonts w:ascii="Arial" w:cs="Arial" w:eastAsia="Arial" w:hAnsi="Arial"/>
          <w:sz w:val="16"/>
          <w:szCs w:val="16"/>
          <w:b w:val="1"/>
          <w:bCs w:val="1"/>
          <w:color w:val="004C97"/>
        </w:rPr>
        <w:t>NQUIRIES</w:t>
      </w:r>
    </w:p>
    <w:p>
      <w:pPr>
        <w:spacing w:after="0" w:line="27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This Policy is provided to you both for your protection and for that of the Company. This Policy provides general guidance regarding the prohibitions on insider trading but cannot cover all situations that may create a problem. If you have any questions about this Policy or its application to a proposed transaction, please contact the Company’s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Revised February 12, 2025</w:t>
      </w:r>
    </w:p>
    <w:p>
      <w:pPr>
        <w:sectPr>
          <w:pgSz w:w="11900" w:h="16838" w:orient="portrait"/>
          <w:cols w:equalWidth="0" w:num="1">
            <w:col w:w="11180"/>
          </w:cols>
          <w:pgMar w:left="320" w:top="1440" w:right="3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of Subsidiaries as of December 31, 2024</w:t>
            </w:r>
          </w:p>
        </w:tc>
        <w:tc>
          <w:tcPr>
            <w:tcW w:w="3940" w:type="dxa"/>
            <w:vAlign w:val="bottom"/>
          </w:tcPr>
          <w:p>
            <w:pPr>
              <w:spacing w:after="0"/>
              <w:rPr>
                <w:sz w:val="20"/>
                <w:szCs w:val="20"/>
                <w:color w:val="auto"/>
              </w:rPr>
            </w:pPr>
          </w:p>
        </w:tc>
      </w:tr>
      <w:tr>
        <w:trPr>
          <w:trHeight w:val="231"/>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Domestic Jurisdiction</w:t>
            </w:r>
          </w:p>
        </w:tc>
      </w:tr>
      <w:tr>
        <w:trPr>
          <w:trHeight w:val="212"/>
        </w:trPr>
        <w:tc>
          <w:tcPr>
            <w:tcW w:w="65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Accu-Therm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Missouri</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Arrendadora Korco, S.A. de C.V.</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Blocker Corp.</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Financing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Heating Group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Infrared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ASPEQ Investments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ASPEQ Parent Holdings,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Ballantyne Holdings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California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Ballantyne Legacy Holdings,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Beacon Navigation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Bethpage Finance S.a.r.l.</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Luxembourg</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Beyond Vision,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Louisiana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Cincinnati Fan &amp; Ventilator Company,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Ohio</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Communication Technologies Dominican Republic (COMMTECHDR), SRL</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CUES Canada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CUES,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Daniels Fans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DBT Technologies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ELXSI Corporation</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Engineered Air Quality,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Control Systems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Fairbanks Morse India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Fairbanks Morse Pump Corporation</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Kansas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Filtran Equity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Genfare Canada Inc.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Genfare,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Indeeco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Missouri</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Ingénia Technologies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Kiawah Holding Company</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Laser Guidance, Inc.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Washington</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Marley Canadian ULC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Marley Cooling Tower (Holdings)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Marley Engineered Products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Marley Mexicana S.A. de C.V.</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MCT Services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Patterson-Kelley, LLC</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Pinehurst Holding Company</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Pipeline Inspection Partners Corp.</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(Canada) Ltd.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(China) Limited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Hong Kong</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Australia Pty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B.V.</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Netherlands</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Radiodetection Sarl</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Radiodetection, LLC</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Sabik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Sabik Private Limited</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Sealite Asia Pte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Sealite Europe S.L.U.</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Spain</w:t>
            </w:r>
          </w:p>
        </w:tc>
      </w:tr>
      <w:tr>
        <w:trPr>
          <w:trHeight w:val="224"/>
        </w:trPr>
        <w:tc>
          <w:tcPr>
            <w:tcW w:w="652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Sealite Holdings Pty Ltd</w:t>
            </w:r>
          </w:p>
        </w:tc>
        <w:tc>
          <w:tcPr>
            <w:tcW w:w="3940" w:type="dxa"/>
            <w:vAlign w:val="bottom"/>
            <w:shd w:val="clear" w:color="auto" w:fill="BFE4FF"/>
          </w:tcPr>
          <w:p>
            <w:pPr>
              <w:ind w:left="880"/>
              <w:spacing w:after="0"/>
              <w:rPr>
                <w:sz w:val="20"/>
                <w:szCs w:val="20"/>
                <w:color w:val="auto"/>
              </w:rPr>
            </w:pPr>
            <w:r>
              <w:rPr>
                <w:rFonts w:ascii="Times New Roman" w:cs="Times New Roman" w:eastAsia="Times New Roman" w:hAnsi="Times New Roman"/>
                <w:sz w:val="18"/>
                <w:szCs w:val="18"/>
                <w:color w:val="auto"/>
              </w:rPr>
              <w:t>Australia</w:t>
            </w:r>
          </w:p>
        </w:tc>
      </w:tr>
    </w:tbl>
    <w:p>
      <w:pPr>
        <w:spacing w:after="0" w:line="200" w:lineRule="exact"/>
        <w:rPr>
          <w:sz w:val="20"/>
          <w:szCs w:val="20"/>
          <w:color w:val="auto"/>
        </w:rPr>
      </w:pPr>
    </w:p>
    <w:p>
      <w:pPr>
        <w:sectPr>
          <w:pgSz w:w="11900" w:h="16838" w:orient="portrait"/>
          <w:cols w:equalWidth="0" w:num="1">
            <w:col w:w="11240"/>
          </w:cols>
          <w:pgMar w:left="320" w:top="753" w:right="339"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753" w:right="33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2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Sealite Investments,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5"/>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Sensors &amp; Software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(Guangzhou) Cooling Technologies Co.,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Limited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OÜ</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Estonia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Oy</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Finland</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Aids to Navigation Pty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Aids to Navigation,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Canada Holding 2 LP</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Canada Holding Company 1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Canada Partner 1 GP ULC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Canada Partner 99 ULC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 North America,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(Suzhou) Co.,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Canada,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GmbH</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Malaysia Sdn Bhd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Malaysia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Singapore Pte. Ltd.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Cooling Technologies Trading DMCC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Cooling Technologies UK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Enterprises,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European Holding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Future Holding L.P.</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Germany Holding GmbH</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Heat Transfer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Holding Inc.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Connecticut</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Mauritius Ltd.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Mauritius</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Pension Trust Company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Receivables,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Sabik Europe Holdings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SPX Technologies (Pty) Ltd.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SPX Thermal Equipment and Services India Private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Star2M Pty Ltd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Strobic Air Corporation</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T.A. Morrison &amp; Co.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TAMCO USA, Inc.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TCI International,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Tecnología en Espectro y Comunicación AMEX S. de R.L. de C.V.</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The Marley Company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Business Holdings,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Pipeline Robotics LLC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New York</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Robotics International Limited</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ULC Robotics International,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New York</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ULC Technologies,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Vokes Limited</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WM Technologies, LLC</w:t>
            </w:r>
          </w:p>
        </w:tc>
        <w:tc>
          <w:tcPr>
            <w:tcW w:w="4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224"/>
        </w:trPr>
        <w:tc>
          <w:tcPr>
            <w:tcW w:w="6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XCel Erectors, Inc.</w:t>
            </w:r>
          </w:p>
        </w:tc>
        <w:tc>
          <w:tcPr>
            <w:tcW w:w="4300" w:type="dxa"/>
            <w:vAlign w:val="bottom"/>
            <w:shd w:val="clear" w:color="auto" w:fill="BFE4FF"/>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460"/>
          </w:cols>
          <w:pgMar w:left="320" w:top="795" w:right="1119" w:bottom="1440" w:gutter="0" w:footer="0" w:header="0"/>
        </w:sectPr>
      </w:pPr>
    </w:p>
    <w:bookmarkStart w:id="141" w:name="page142"/>
    <w:bookmarkEnd w:id="141"/>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333-29843, 333-29855, 333-69250, 333-69252, 333-70245, 333-82645, 333-106897, 333-109112, 333-139351, 333-139352, 333-186817, 333-206695, 333-231324, and 333-267024 on Form S-8 of our reports dated February 25, 2025, relating to the consolidated financial statements of SPX Technologies, Inc. and subsidiaries (the "Company"), and the effectiveness of the Company's internal control over financial reporting, appearing in this Annual Report on Form 10-K of the Company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Deloitte &amp; Touche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Charlotte, North Carolina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636905</wp:posOffset>
            </wp:positionV>
            <wp:extent cx="71183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Lowe, III, certify that:</w:t>
      </w:r>
    </w:p>
    <w:p>
      <w:pPr>
        <w:spacing w:after="0" w:line="150" w:lineRule="exact"/>
        <w:rPr>
          <w:sz w:val="20"/>
          <w:szCs w:val="20"/>
          <w:color w:val="auto"/>
        </w:rPr>
      </w:pPr>
    </w:p>
    <w:p>
      <w:pPr>
        <w:ind w:left="360" w:hanging="354"/>
        <w:spacing w:after="0"/>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SPX Technologies, Inc;</w:t>
      </w:r>
    </w:p>
    <w:p>
      <w:pPr>
        <w:spacing w:after="0" w:line="149" w:lineRule="exact"/>
        <w:rPr>
          <w:rFonts w:ascii="Times New Roman" w:cs="Times New Roman" w:eastAsia="Times New Roman" w:hAnsi="Times New Roman"/>
          <w:sz w:val="18"/>
          <w:szCs w:val="18"/>
          <w:color w:val="auto"/>
        </w:rPr>
      </w:pPr>
    </w:p>
    <w:p>
      <w:pPr>
        <w:ind w:left="640" w:right="380" w:hanging="634"/>
        <w:spacing w:after="0" w:line="257" w:lineRule="auto"/>
        <w:tabs>
          <w:tab w:leader="none" w:pos="3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660" w:hanging="634"/>
        <w:spacing w:after="0" w:line="270" w:lineRule="auto"/>
        <w:tabs>
          <w:tab w:leader="none" w:pos="3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640" w:right="140" w:hanging="634"/>
        <w:spacing w:after="0" w:line="257" w:lineRule="auto"/>
        <w:tabs>
          <w:tab w:leader="none" w:pos="3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80" w:hanging="641"/>
        <w:spacing w:after="0" w:line="257" w:lineRule="auto"/>
        <w:tabs>
          <w:tab w:leader="none" w:pos="99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1280" w:hanging="641"/>
        <w:spacing w:after="0" w:line="257" w:lineRule="auto"/>
        <w:tabs>
          <w:tab w:leader="none" w:pos="107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280" w:hanging="641"/>
        <w:spacing w:after="0" w:line="270" w:lineRule="auto"/>
        <w:tabs>
          <w:tab w:leader="none" w:pos="10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8"/>
          <w:szCs w:val="18"/>
          <w:color w:val="auto"/>
        </w:rPr>
      </w:pPr>
    </w:p>
    <w:p>
      <w:pPr>
        <w:ind w:left="1280" w:hanging="641"/>
        <w:spacing w:after="0" w:line="257" w:lineRule="auto"/>
        <w:tabs>
          <w:tab w:leader="none" w:pos="10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600" w:hanging="634"/>
        <w:spacing w:after="0" w:line="270" w:lineRule="auto"/>
        <w:tabs>
          <w:tab w:leader="none" w:pos="3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71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26"/>
          <w:szCs w:val="26"/>
          <w:color w:val="auto"/>
          <w:vertAlign w:val="subscript"/>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105410</wp:posOffset>
            </wp:positionV>
            <wp:extent cx="34207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7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Eugene J. Lowe, III</w:t>
      </w:r>
    </w:p>
    <w:p>
      <w:pPr>
        <w:jc w:val="cente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72"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Carano, certify that:</w:t>
      </w:r>
    </w:p>
    <w:p>
      <w:pPr>
        <w:spacing w:after="0" w:line="150" w:lineRule="exact"/>
        <w:rPr>
          <w:sz w:val="20"/>
          <w:szCs w:val="20"/>
          <w:color w:val="auto"/>
        </w:rPr>
      </w:pPr>
    </w:p>
    <w:p>
      <w:pPr>
        <w:ind w:left="320" w:hanging="314"/>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SPX Technologies, Inc;</w:t>
      </w:r>
    </w:p>
    <w:p>
      <w:pPr>
        <w:spacing w:after="0" w:line="149" w:lineRule="exact"/>
        <w:rPr>
          <w:rFonts w:ascii="Times New Roman" w:cs="Times New Roman" w:eastAsia="Times New Roman" w:hAnsi="Times New Roman"/>
          <w:sz w:val="18"/>
          <w:szCs w:val="18"/>
          <w:color w:val="auto"/>
        </w:rPr>
      </w:pPr>
    </w:p>
    <w:p>
      <w:pPr>
        <w:ind w:left="640" w:right="380" w:hanging="634"/>
        <w:spacing w:after="0" w:line="257" w:lineRule="auto"/>
        <w:tabs>
          <w:tab w:leader="none" w:pos="3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660" w:hanging="634"/>
        <w:spacing w:after="0" w:line="270" w:lineRule="auto"/>
        <w:tabs>
          <w:tab w:leader="none" w:pos="3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Times New Roman" w:cs="Times New Roman" w:eastAsia="Times New Roman" w:hAnsi="Times New Roman"/>
          <w:sz w:val="18"/>
          <w:szCs w:val="18"/>
          <w:color w:val="auto"/>
        </w:rPr>
      </w:pPr>
    </w:p>
    <w:p>
      <w:pPr>
        <w:ind w:left="640" w:right="140" w:hanging="634"/>
        <w:spacing w:after="0" w:line="257" w:lineRule="auto"/>
        <w:tabs>
          <w:tab w:leader="none" w:pos="3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80" w:hanging="641"/>
        <w:spacing w:after="0" w:line="257" w:lineRule="auto"/>
        <w:tabs>
          <w:tab w:leader="none" w:pos="10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1280" w:hanging="641"/>
        <w:spacing w:after="0" w:line="257" w:lineRule="auto"/>
        <w:tabs>
          <w:tab w:leader="none" w:pos="108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ind w:left="1280" w:hanging="641"/>
        <w:spacing w:after="0" w:line="270" w:lineRule="auto"/>
        <w:tabs>
          <w:tab w:leader="none" w:pos="11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18"/>
          <w:szCs w:val="18"/>
          <w:color w:val="auto"/>
        </w:rPr>
      </w:pPr>
    </w:p>
    <w:p>
      <w:pPr>
        <w:ind w:left="1280" w:hanging="641"/>
        <w:spacing w:after="0" w:line="257" w:lineRule="auto"/>
        <w:tabs>
          <w:tab w:leader="none" w:pos="101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600" w:hanging="634"/>
        <w:spacing w:after="0" w:line="270" w:lineRule="auto"/>
        <w:tabs>
          <w:tab w:leader="none" w:pos="3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99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718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26"/>
          <w:szCs w:val="26"/>
          <w:color w:val="auto"/>
          <w:vertAlign w:val="subscript"/>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105410</wp:posOffset>
            </wp:positionV>
            <wp:extent cx="34207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52"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Mark A. Carano</w:t>
      </w:r>
    </w:p>
    <w:p>
      <w:pPr>
        <w:jc w:val="center"/>
        <w:ind w:left="48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240"/>
          </w:cols>
          <w:pgMar w:left="320" w:top="172"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17"/>
        <w:spacing w:after="0" w:line="272" w:lineRule="auto"/>
        <w:rPr>
          <w:sz w:val="20"/>
          <w:szCs w:val="20"/>
          <w:color w:val="auto"/>
        </w:rPr>
      </w:pPr>
      <w:r>
        <w:rPr>
          <w:rFonts w:ascii="Times New Roman" w:cs="Times New Roman" w:eastAsia="Times New Roman" w:hAnsi="Times New Roman"/>
          <w:sz w:val="18"/>
          <w:szCs w:val="18"/>
          <w:b w:val="1"/>
          <w:bCs w:val="1"/>
          <w:color w:val="auto"/>
        </w:rPr>
        <w:t>The following statement is being made to the U.S. Securities and Exchange Commission solely for purposes of Section 906 of the Sarbanes-Oxley Act of 2002 (18 U.S.C. 1350), which carries with it certain criminal penalties in the event of a knowing or willful misrepresentation.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SPX Technologies,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accordance with the requirements of Section 906 of the Sarbanes-Oxley Act of 2002 (18 U.S.C. 1350), each of the undersigned hereby certifies that:</w:t>
      </w:r>
    </w:p>
    <w:p>
      <w:pPr>
        <w:spacing w:after="0" w:line="150" w:lineRule="exact"/>
        <w:rPr>
          <w:sz w:val="20"/>
          <w:szCs w:val="20"/>
          <w:color w:val="auto"/>
        </w:rPr>
      </w:pPr>
    </w:p>
    <w:p>
      <w:pPr>
        <w:ind w:left="1280" w:hanging="641"/>
        <w:spacing w:after="0" w:line="270" w:lineRule="auto"/>
        <w:tabs>
          <w:tab w:leader="none" w:pos="10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for the year ended December 31, 2024, fully complies with the requirements of section 13(a) or 15(d) of the Securities Exchange Act of 1934 (15 U.S.C. 78m or 78o(d)); and</w:t>
      </w:r>
    </w:p>
    <w:p>
      <w:pPr>
        <w:spacing w:after="0" w:line="102" w:lineRule="exact"/>
        <w:rPr>
          <w:rFonts w:ascii="Times New Roman" w:cs="Times New Roman" w:eastAsia="Times New Roman" w:hAnsi="Times New Roman"/>
          <w:sz w:val="18"/>
          <w:szCs w:val="18"/>
          <w:color w:val="auto"/>
        </w:rPr>
      </w:pPr>
    </w:p>
    <w:p>
      <w:pPr>
        <w:ind w:left="1280" w:hanging="641"/>
        <w:spacing w:after="0" w:line="270" w:lineRule="auto"/>
        <w:tabs>
          <w:tab w:leader="none" w:pos="11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SPX Technologies, Inc.</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as of this 25th day of February, 2025.</w:t>
            </w:r>
          </w:p>
        </w:tc>
        <w:tc>
          <w:tcPr>
            <w:tcW w:w="4340" w:type="dxa"/>
            <w:vAlign w:val="bottom"/>
          </w:tcPr>
          <w:p>
            <w:pPr>
              <w:spacing w:after="0"/>
              <w:rPr>
                <w:sz w:val="19"/>
                <w:szCs w:val="19"/>
                <w:color w:val="auto"/>
              </w:rPr>
            </w:pPr>
          </w:p>
        </w:tc>
      </w:tr>
      <w:tr>
        <w:trPr>
          <w:trHeight w:val="397"/>
        </w:trPr>
        <w:tc>
          <w:tcPr>
            <w:tcW w:w="440" w:type="dxa"/>
            <w:vAlign w:val="bottom"/>
          </w:tcPr>
          <w:p>
            <w:pPr>
              <w:spacing w:after="0"/>
              <w:rPr>
                <w:sz w:val="24"/>
                <w:szCs w:val="24"/>
                <w:color w:val="auto"/>
              </w:rPr>
            </w:pPr>
          </w:p>
        </w:tc>
        <w:tc>
          <w:tcPr>
            <w:tcW w:w="604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7"/>
              </w:rPr>
              <w:t>/s/ EUGENE J. LOWE, III</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MARK A. CARANO</w:t>
            </w:r>
          </w:p>
        </w:tc>
      </w:tr>
      <w:tr>
        <w:trPr>
          <w:trHeight w:val="165"/>
        </w:trPr>
        <w:tc>
          <w:tcPr>
            <w:tcW w:w="440" w:type="dxa"/>
            <w:vAlign w:val="bottom"/>
          </w:tcPr>
          <w:p>
            <w:pPr>
              <w:spacing w:after="0"/>
              <w:rPr>
                <w:sz w:val="14"/>
                <w:szCs w:val="14"/>
                <w:color w:val="auto"/>
              </w:rPr>
            </w:pPr>
          </w:p>
        </w:tc>
        <w:tc>
          <w:tcPr>
            <w:tcW w:w="4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Eugene J. Lowe, III</w:t>
            </w:r>
          </w:p>
        </w:tc>
        <w:tc>
          <w:tcPr>
            <w:tcW w:w="1760" w:type="dxa"/>
            <w:vAlign w:val="bottom"/>
          </w:tcPr>
          <w:p>
            <w:pPr>
              <w:spacing w:after="0"/>
              <w:rPr>
                <w:sz w:val="14"/>
                <w:szCs w:val="14"/>
                <w:color w:val="auto"/>
              </w:rPr>
            </w:pPr>
          </w:p>
        </w:tc>
        <w:tc>
          <w:tcPr>
            <w:tcW w:w="43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Mark A. Carano</w:t>
            </w:r>
          </w:p>
        </w:tc>
      </w:tr>
      <w:tr>
        <w:trPr>
          <w:trHeight w:val="180"/>
        </w:trPr>
        <w:tc>
          <w:tcPr>
            <w:tcW w:w="440" w:type="dxa"/>
            <w:vAlign w:val="bottom"/>
          </w:tcPr>
          <w:p>
            <w:pPr>
              <w:spacing w:after="0"/>
              <w:rPr>
                <w:sz w:val="15"/>
                <w:szCs w:val="15"/>
                <w:color w:val="auto"/>
              </w:rPr>
            </w:pPr>
          </w:p>
        </w:tc>
        <w:tc>
          <w:tcPr>
            <w:tcW w:w="6040" w:type="dxa"/>
            <w:vAlign w:val="bottom"/>
            <w:gridSpan w:val="2"/>
          </w:tcPr>
          <w:p>
            <w:pPr>
              <w:jc w:val="center"/>
              <w:ind w:right="1760"/>
              <w:spacing w:after="0" w:line="180" w:lineRule="exact"/>
              <w:rPr>
                <w:sz w:val="20"/>
                <w:szCs w:val="20"/>
                <w:color w:val="auto"/>
              </w:rPr>
            </w:pPr>
            <w:r>
              <w:rPr>
                <w:rFonts w:ascii="Times New Roman" w:cs="Times New Roman" w:eastAsia="Times New Roman" w:hAnsi="Times New Roman"/>
                <w:sz w:val="18"/>
                <w:szCs w:val="18"/>
                <w:color w:val="auto"/>
                <w:w w:val="97"/>
              </w:rPr>
              <w:t>President and Chief Executive Officer</w:t>
            </w:r>
          </w:p>
        </w:tc>
        <w:tc>
          <w:tcPr>
            <w:tcW w:w="43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Vice President, Chief Financial Officer</w:t>
            </w:r>
          </w:p>
        </w:tc>
      </w:tr>
      <w:tr>
        <w:trPr>
          <w:trHeight w:val="229"/>
        </w:trPr>
        <w:tc>
          <w:tcPr>
            <w:tcW w:w="4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 Treasurer</w:t>
            </w:r>
          </w:p>
        </w:tc>
      </w:tr>
    </w:tbl>
    <w:p>
      <w:pPr>
        <w:spacing w:after="0" w:line="1" w:lineRule="exact"/>
        <w:rPr>
          <w:sz w:val="20"/>
          <w:szCs w:val="20"/>
          <w:color w:val="auto"/>
        </w:rPr>
      </w:pP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lowerRoman"/>
      <w:start w:val="2"/>
    </w:lvl>
  </w:abstractNum>
  <w:abstractNum w:abstractNumId="10">
    <w:nsid w:val="542289EC"/>
    <w:multiLevelType w:val="hybridMultilevel"/>
    <w:lvl w:ilvl="0">
      <w:lvlJc w:val="left"/>
      <w:lvlText w:val="•"/>
      <w:numFmt w:val="bullet"/>
      <w:start w:val="1"/>
    </w:lvl>
    <w:lvl w:ilvl="1">
      <w:lvlJc w:val="left"/>
      <w:lvlText w:val="◦"/>
      <w:numFmt w:val="bullet"/>
      <w:start w:val="1"/>
    </w:lvl>
  </w:abstractNum>
  <w:abstractNum w:abstractNumId="11">
    <w:nsid w:val="6DE91B18"/>
    <w:multiLevelType w:val="hybridMultilevel"/>
    <w:lvl w:ilvl="0">
      <w:lvlJc w:val="left"/>
      <w:lvlText w:val="•"/>
      <w:numFmt w:val="bullet"/>
      <w:start w:val="1"/>
    </w:lvl>
    <w:lvl w:ilvl="1">
      <w:lvlJc w:val="left"/>
      <w:lvlText w:val="◦"/>
      <w:numFmt w:val="bullet"/>
      <w:start w:val="1"/>
    </w:lvl>
  </w:abstractNum>
  <w:abstractNum w:abstractNumId="12">
    <w:nsid w:val="38437FDB"/>
    <w:multiLevelType w:val="hybridMultilevel"/>
    <w:lvl w:ilvl="0">
      <w:lvlJc w:val="left"/>
      <w:lvlText w:val="•"/>
      <w:numFmt w:val="bullet"/>
      <w:start w:val="1"/>
    </w:lvl>
    <w:lvl w:ilvl="1">
      <w:lvlJc w:val="left"/>
      <w:lvlText w:val="◦"/>
      <w:numFmt w:val="bullet"/>
      <w:start w:val="1"/>
    </w:lvl>
  </w:abstractNum>
  <w:abstractNum w:abstractNumId="13">
    <w:nsid w:val="7644A45C"/>
    <w:multiLevelType w:val="hybridMultilevel"/>
    <w:lvl w:ilvl="0">
      <w:lvlJc w:val="left"/>
      <w:lvlText w:val="•"/>
      <w:numFmt w:val="bullet"/>
      <w:start w:val="1"/>
    </w:lvl>
    <w:lvl w:ilvl="1">
      <w:lvlJc w:val="left"/>
      <w:lvlText w:val="◦"/>
      <w:numFmt w:val="bullet"/>
      <w:start w:val="1"/>
    </w:lvl>
  </w:abstractNum>
  <w:abstractNum w:abstractNumId="14">
    <w:nsid w:val="32FFF902"/>
    <w:multiLevelType w:val="hybridMultilevel"/>
    <w:lvl w:ilvl="0">
      <w:lvlJc w:val="left"/>
      <w:lvlText w:val="•"/>
      <w:numFmt w:val="bullet"/>
      <w:start w:val="1"/>
    </w:lvl>
    <w:lvl w:ilvl="1">
      <w:lvlJc w:val="left"/>
      <w:lvlText w:val="◦"/>
      <w:numFmt w:val="bullet"/>
      <w:start w:val="1"/>
    </w:lvl>
  </w:abstractNum>
  <w:abstractNum w:abstractNumId="15">
    <w:nsid w:val="684A481A"/>
    <w:multiLevelType w:val="hybridMultilevel"/>
    <w:lvl w:ilvl="0">
      <w:lvlJc w:val="left"/>
      <w:lvlText w:val="•"/>
      <w:numFmt w:val="bullet"/>
      <w:start w:val="1"/>
    </w:lvl>
    <w:lvl w:ilvl="1">
      <w:lvlJc w:val="left"/>
      <w:lvlText w:val="◦"/>
      <w:numFmt w:val="bullet"/>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lowerRoman"/>
      <w:start w:val="2"/>
    </w:lvl>
  </w:abstractNum>
  <w:abstractNum w:abstractNumId="18">
    <w:nsid w:val="3DC240FB"/>
    <w:multiLevelType w:val="hybridMultilevel"/>
    <w:lvl w:ilvl="0">
      <w:lvlJc w:val="left"/>
      <w:lvlText w:val="(%1)"/>
      <w:numFmt w:val="lowerRoman"/>
      <w:start w:val="2"/>
    </w:lvl>
  </w:abstractNum>
  <w:abstractNum w:abstractNumId="19">
    <w:nsid w:val="1BA026FA"/>
    <w:multiLevelType w:val="hybridMultilevel"/>
    <w:lvl w:ilvl="0">
      <w:lvlJc w:val="left"/>
      <w:lvlText w:val="(%1)"/>
      <w:numFmt w:val="lowerRoman"/>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lvl w:ilvl="1">
      <w:lvlJc w:val="left"/>
      <w:lvlText w:val="\endash "/>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lowerRoman"/>
      <w:start w:val="2"/>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lvl w:ilvl="1">
      <w:lvlJc w:val="left"/>
      <w:lvlText w:val="(%2)"/>
      <w:numFmt w:val="decimal"/>
      <w:start w:val="2"/>
    </w:lvl>
  </w:abstractNum>
  <w:abstractNum w:abstractNumId="39">
    <w:nsid w:val="10233C99"/>
    <w:multiLevelType w:val="hybridMultilevel"/>
    <w:lvl w:ilvl="0">
      <w:lvlJc w:val="left"/>
      <w:lvlText w:val="(%1)"/>
      <w:numFmt w:val="decimal"/>
      <w:start w:val="8"/>
    </w:lvl>
    <w:lvl w:ilvl="1">
      <w:lvlJc w:val="left"/>
      <w:lvlText w:val="%2"/>
      <w:numFmt w:val="decimal"/>
      <w:start w:val="1"/>
    </w:lvl>
  </w:abstractNum>
  <w:abstractNum w:abstractNumId="40">
    <w:nsid w:val="3F6AB60F"/>
    <w:multiLevelType w:val="hybridMultilevel"/>
    <w:lvl w:ilvl="0">
      <w:lvlJc w:val="left"/>
      <w:lvlText w:val="%1"/>
      <w:numFmt w:val="decimal"/>
      <w:start w:val="1"/>
    </w:lvl>
    <w:lvl w:ilvl="1">
      <w:lvlJc w:val="left"/>
      <w:lvlText w:val="(%2)"/>
      <w:numFmt w:val="decimal"/>
      <w:start w:val="1"/>
    </w:lvl>
  </w:abstractNum>
  <w:abstractNum w:abstractNumId="41">
    <w:nsid w:val="61574095"/>
    <w:multiLevelType w:val="hybridMultilevel"/>
    <w:lvl w:ilvl="0">
      <w:lvlJc w:val="left"/>
      <w:lvlText w:val="(%1)"/>
      <w:numFmt w:val="decimal"/>
      <w:start w:val="9"/>
    </w:lvl>
    <w:lvl w:ilvl="1">
      <w:lvlJc w:val="left"/>
      <w:lvlText w:val="%2"/>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5"/>
    </w:lvl>
  </w:abstractNum>
  <w:abstractNum w:abstractNumId="60">
    <w:nsid w:val="6B94764"/>
    <w:multiLevelType w:val="hybridMultilevel"/>
    <w:lvl w:ilvl="0">
      <w:lvlJc w:val="left"/>
      <w:lvlText w:val="(%1)"/>
      <w:numFmt w:val="decimal"/>
      <w:start w:val="16"/>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Letter"/>
      <w:start w:val="2"/>
    </w:lvl>
  </w:abstractNum>
  <w:abstractNum w:abstractNumId="67">
    <w:nsid w:val="7BD3EE7B"/>
    <w:multiLevelType w:val="hybridMultilevel"/>
    <w:lvl w:ilvl="0">
      <w:lvlJc w:val="left"/>
      <w:lvlText w:val="%1)"/>
      <w:numFmt w:val="lowerLetter"/>
      <w:start w:val="3"/>
    </w:lvl>
  </w:abstractNum>
  <w:abstractNum w:abstractNumId="68">
    <w:nsid w:val="51D9C564"/>
    <w:multiLevelType w:val="hybridMultilevel"/>
    <w:lvl w:ilvl="0">
      <w:lvlJc w:val="left"/>
      <w:lvlText w:val="%1)"/>
      <w:numFmt w:val="lowerLetter"/>
      <w:start w:val="4"/>
    </w:lvl>
  </w:abstractNum>
  <w:abstractNum w:abstractNumId="69">
    <w:nsid w:val="613EFDC5"/>
    <w:multiLevelType w:val="hybridMultilevel"/>
    <w:lvl w:ilvl="0">
      <w:lvlJc w:val="left"/>
      <w:lvlText w:val="%1)"/>
      <w:numFmt w:val="lowerLetter"/>
      <w:start w:val="5"/>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66" Type="http://schemas.openxmlformats.org/officeDocument/2006/relationships/image" Target="media/image143.png"/><Relationship Id="rId186"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jpe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16" Type="http://schemas.openxmlformats.org/officeDocument/2006/relationships/hyperlink" Target="https://www.sec.gov/ix?doc=/Archives/edgar/data/88205/000008820524000008/spxc-20231231.htm" TargetMode="External"/><Relationship Id="rId151" Type="http://schemas.openxmlformats.org/officeDocument/2006/relationships/hyperlink" Target="https://www.sec.gov/Archives/edgar/data/88205/000110465922090642/tm2223002d1_ex2-1.htm" TargetMode="External"/><Relationship Id="rId152" Type="http://schemas.openxmlformats.org/officeDocument/2006/relationships/hyperlink" Target="https://www.sec.gov/Archives/edgar/data/88205/000094787122001139/ss1485867_ex0201.htm" TargetMode="External"/><Relationship Id="rId153" Type="http://schemas.openxmlformats.org/officeDocument/2006/relationships/hyperlink" Target="https://www.sec.gov/Archives/edgar/data/88205/000110465915067759/a15-20300_1ex2d1.htm" TargetMode="External"/><Relationship Id="rId154" Type="http://schemas.openxmlformats.org/officeDocument/2006/relationships/hyperlink" Target="https://www.sec.gov/Archives/edgar/data/88205/000110465921078447/tm2118996d1_ex2-1.htm" TargetMode="External"/><Relationship Id="rId155" Type="http://schemas.openxmlformats.org/officeDocument/2006/relationships/hyperlink" Target="https://www.sec.gov/Archives/edgar/data/88205/000110465923086426/tm2321538d1_ex10-2.htm" TargetMode="External"/><Relationship Id="rId156" Type="http://schemas.openxmlformats.org/officeDocument/2006/relationships/hyperlink" Target="https://www.sec.gov/Archives/edgar/data/88205/000008820524000039/ingeniapurchaseagreement.htm" TargetMode="External"/><Relationship Id="rId157" Type="http://schemas.openxmlformats.org/officeDocument/2006/relationships/hyperlink" Target="https://www.sec.gov/Archives/edgar/data/88205/000008820524000050/spxc_ex31arcertofincorpasa.htm" TargetMode="External"/><Relationship Id="rId158" Type="http://schemas.openxmlformats.org/officeDocument/2006/relationships/hyperlink" Target="https://www.sec.gov/Archives/edgar/data/88205/000008820524000042/ex32bylawsar24.htm" TargetMode="External"/><Relationship Id="rId159" Type="http://schemas.openxmlformats.org/officeDocument/2006/relationships/hyperlink" Target="https://www.sec.gov/Archives/edgar/data/88205/000110465922090642/tm2223002d1_ex10-1.htm" TargetMode="External"/><Relationship Id="rId160" Type="http://schemas.openxmlformats.org/officeDocument/2006/relationships/hyperlink" Target="https://www.sec.gov/Archives/edgar/data/88205/000110465922094048/tm2224408d1_ex10-1.htm" TargetMode="External"/><Relationship Id="rId161" Type="http://schemas.openxmlformats.org/officeDocument/2006/relationships/hyperlink" Target="https://www.sec.gov/Archives/edgar/data/88205/000110465922094048/tm2224408d1_ex10-2.htm" TargetMode="External"/><Relationship Id="rId162" Type="http://schemas.openxmlformats.org/officeDocument/2006/relationships/hyperlink" Target="https://www.sec.gov/Archives/edgar/data/88205/000110465923086426/tm2321538d1_ex10-1.htm" TargetMode="External"/><Relationship Id="rId163" Type="http://schemas.openxmlformats.org/officeDocument/2006/relationships/hyperlink" Target="https://www.sec.gov/Archives/edgar/data/88205/000110465924096375/tm2423191d1_ex10-1.htm" TargetMode="External"/><Relationship Id="rId164" Type="http://schemas.openxmlformats.org/officeDocument/2006/relationships/hyperlink" Target="https://www.sec.gov/Archives/edgar/data/88205/000110465915067759/a15-20300_1ex10d4.htm" TargetMode="External"/><Relationship Id="rId165" Type="http://schemas.openxmlformats.org/officeDocument/2006/relationships/hyperlink" Target="https://www.sec.gov/Archives/edgar/data/88205/000104746906004426/a2168688zdef14a.htm" TargetMode="External"/><Relationship Id="rId167" Type="http://schemas.openxmlformats.org/officeDocument/2006/relationships/hyperlink" Target="https://www.sec.gov/Archives/edgar/data/88205/000110465906070762/a06-21880_1ex10d1.htm" TargetMode="External"/><Relationship Id="rId168" Type="http://schemas.openxmlformats.org/officeDocument/2006/relationships/hyperlink" Target="https://www.sec.gov/Archives/edgar/data/88205/000104746911001138/a2202081zex-10_48.htm" TargetMode="External"/><Relationship Id="rId169" Type="http://schemas.openxmlformats.org/officeDocument/2006/relationships/hyperlink" Target="https://www.sec.gov/Archives/edgar/data/88205/000119312519089372/d653158ddef14a.htm" TargetMode="External"/><Relationship Id="rId170" Type="http://schemas.openxmlformats.org/officeDocument/2006/relationships/hyperlink" Target="https://www.sec.gov/Archives/edgar/data/88205/000008820519000020/form8kexhibit102.htm" TargetMode="External"/><Relationship Id="rId171" Type="http://schemas.openxmlformats.org/officeDocument/2006/relationships/hyperlink" Target="https://www.sec.gov/Archives/edgar/data/88205/000008820519000020/form8kexhibit103.htm" TargetMode="External"/><Relationship Id="rId172" Type="http://schemas.openxmlformats.org/officeDocument/2006/relationships/hyperlink" Target="https://www.sec.gov/Archives/edgar/data/88205/000008820519000020/form8kexhibit104.htm" TargetMode="External"/><Relationship Id="rId173" Type="http://schemas.openxmlformats.org/officeDocument/2006/relationships/hyperlink" Target="https://www.sec.gov/Archives/edgar/data/88205/000008820519000020/form8kexhibit105.htm" TargetMode="External"/><Relationship Id="rId174" Type="http://schemas.openxmlformats.org/officeDocument/2006/relationships/hyperlink" Target="https://www.sec.gov/Archives/edgar/data/88205/000008820519000020/form8kexhibit106.htm" TargetMode="External"/><Relationship Id="rId175" Type="http://schemas.openxmlformats.org/officeDocument/2006/relationships/hyperlink" Target="https://www.sec.gov/Archives/edgar/data/88205/000110465922113989/tm2229459d1_ex10-1.htm" TargetMode="External"/><Relationship Id="rId176" Type="http://schemas.openxmlformats.org/officeDocument/2006/relationships/hyperlink" Target="https://www.sec.gov/Archives/edgar/data/88205/000110465922113989/tm2229459d1_ex10-2.htm" TargetMode="External"/><Relationship Id="rId177" Type="http://schemas.openxmlformats.org/officeDocument/2006/relationships/hyperlink" Target="https://www.sec.gov/Archives/edgar/data/88205/000110465922113989/tm2229459d1_ex10-3.htm" TargetMode="External"/><Relationship Id="rId178" Type="http://schemas.openxmlformats.org/officeDocument/2006/relationships/hyperlink" Target="https://www.sec.gov/Archives/edgar/data/88205/000110465922113989/tm2229459d1_ex10-4.htm" TargetMode="External"/><Relationship Id="rId179" Type="http://schemas.openxmlformats.org/officeDocument/2006/relationships/hyperlink" Target="https://www.sec.gov/Archives/edgar/data/88205/000110465922113989/tm2229459d1_ex10-5.htm" TargetMode="External"/><Relationship Id="rId180" Type="http://schemas.openxmlformats.org/officeDocument/2006/relationships/hyperlink" Target="https://www.sec.gov/Archives/edgar/data/88205/000104746912003079/a2208315zdef14a.htm" TargetMode="External"/><Relationship Id="rId181" Type="http://schemas.openxmlformats.org/officeDocument/2006/relationships/hyperlink" Target="https://www.sec.gov/Archives/edgar/data/88205/000104746915002805/a2223793zdef14a.htm" TargetMode="External"/><Relationship Id="rId182" Type="http://schemas.openxmlformats.org/officeDocument/2006/relationships/hyperlink" Target="https://www.sec.gov/Archives/edgar/data/88205/000008820517000008/q42016exhibit1036.htm" TargetMode="External"/><Relationship Id="rId183" Type="http://schemas.openxmlformats.org/officeDocument/2006/relationships/hyperlink" Target="https://www.sec.gov/Archives/edgar/data/88205/000119312516537892/d91415ddef14a.htm" TargetMode="External"/><Relationship Id="rId184" Type="http://schemas.openxmlformats.org/officeDocument/2006/relationships/hyperlink" Target="https://www.sec.gov/Archives/edgar/data/88205/000008820518000002/q42017exhibit1037.htm" TargetMode="External"/><Relationship Id="rId185" Type="http://schemas.openxmlformats.org/officeDocument/2006/relationships/hyperlink" Target="https://www.sec.gov/Archives/edgar/data/88205/000008820518000002/q42017exhibit1038.htm" TargetMode="External"/><Relationship Id="rId187" Type="http://schemas.openxmlformats.org/officeDocument/2006/relationships/hyperlink" Target="https://www.sec.gov/Archives/edgar/data/88205/000110465922113989/tm2229459d1_ex10-7.htm" TargetMode="External"/><Relationship Id="rId188" Type="http://schemas.openxmlformats.org/officeDocument/2006/relationships/hyperlink" Target="https://www.sec.gov/Archives/edgar/data/88205/000110465922113989/tm2229459d1_ex10-8.htm" TargetMode="External"/><Relationship Id="rId189" Type="http://schemas.openxmlformats.org/officeDocument/2006/relationships/hyperlink" Target="https://www.sec.gov/Archives/edgar/data/88205/000110465922113989/tm2229459d1_ex10-6.htm" TargetMode="External"/><Relationship Id="rId190" Type="http://schemas.openxmlformats.org/officeDocument/2006/relationships/hyperlink" Target="https://www.sec.gov/Archives/edgar/data/88205/000110465915068692/a15-20504_2ex10d1.htm" TargetMode="External"/><Relationship Id="rId191" Type="http://schemas.openxmlformats.org/officeDocument/2006/relationships/hyperlink" Target="https://www.sec.gov/Archives/edgar/data/88205/000110465915068692/a15-20504_2ex10d4.htm" TargetMode="External"/><Relationship Id="rId192" Type="http://schemas.openxmlformats.org/officeDocument/2006/relationships/hyperlink" Target="https://www.sec.gov/Archives/edgar/data/88205/000008820522000044/a102spxc_ex102conformedsig.htm" TargetMode="External"/><Relationship Id="rId193" Type="http://schemas.openxmlformats.org/officeDocument/2006/relationships/hyperlink" Target="https://www.sec.gov/Archives/edgar/data/88205/000110465906065389/a06-20770_1ex10d4.htm" TargetMode="External"/><Relationship Id="rId194" Type="http://schemas.openxmlformats.org/officeDocument/2006/relationships/hyperlink" Target="https://www.sec.gov/Archives/edgar/data/88205/000008820517000008/q42016exhibit104.htm" TargetMode="External"/><Relationship Id="rId195" Type="http://schemas.openxmlformats.org/officeDocument/2006/relationships/hyperlink" Target="https://www.sec.gov/Archives/edgar/data/88205/000110465915068692/a15-20504_2ex10d2.htm" TargetMode="External"/><Relationship Id="rId196" Type="http://schemas.openxmlformats.org/officeDocument/2006/relationships/hyperlink" Target="https://www.sec.gov/Archives/edgar/data/88205/000110465915068692/a15-20504_2ex10d3.htm" TargetMode="External"/><Relationship Id="rId197" Type="http://schemas.openxmlformats.org/officeDocument/2006/relationships/hyperlink" Target="https://www.sec.gov/Archives/edgar/data/88205/000008820522000044/a103projectcanvas-spxformo.htm" TargetMode="External"/><Relationship Id="rId198" Type="http://schemas.openxmlformats.org/officeDocument/2006/relationships/hyperlink" Target="https://www.sec.gov/Archives/edgar/data/88205/000008820522000044/a104canvas-formcicagreemen.htm" TargetMode="External"/><Relationship Id="rId199" Type="http://schemas.openxmlformats.org/officeDocument/2006/relationships/hyperlink" Target="https://www.sec.gov/Archives/edgar/data/88205/000008820522000044/a105canvas-formconfidentia.htm" TargetMode="External"/><Relationship Id="rId200" Type="http://schemas.openxmlformats.org/officeDocument/2006/relationships/hyperlink" Target="https://www.sec.gov/Archives/edgar/data/88205/000008820522000044/a106spxtechnologiesincoffi.htm" TargetMode="External"/><Relationship Id="rId201" Type="http://schemas.openxmlformats.org/officeDocument/2006/relationships/hyperlink" Target="https://www.sec.gov/Archives/edgar/data/88205/000008820524000008/dodd-frank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2025-02-26T05:14:03Z</dcterms:created>
  <dcterms:modified xsi:type="dcterms:W3CDTF">2025-02-26T05:14:03Z</dcterms:modified>
</cp:coreProperties>
</file>