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6.jpeg" ContentType="image/jpeg"/>
  <Override PartName="/word/media/image24.gif" ContentType="image/gif"/>
  <Override PartName="/word/media/image32.jpeg" ContentType="image/jpeg"/>
  <Override PartName="/word/media/image21.jpeg" ContentType="image/jpeg"/>
  <Override PartName="/word/media/image20.jpeg" ContentType="image/jpeg"/>
  <Override PartName="/word/media/image29.jpeg" ContentType="image/jpeg"/>
  <Override PartName="/word/media/image8.jpeg" ContentType="image/jpeg"/>
  <Override PartName="/word/media/image10.jpeg" ContentType="image/jpeg"/>
  <Override PartName="/word/media/image12.jpeg" ContentType="image/jpeg"/>
  <Override PartName="/word/media/image11.jpeg" ContentType="image/jpeg"/>
  <Override PartName="/word/media/image9.jpeg" ContentType="image/jpeg"/>
  <Override PartName="/word/media/image13.jpeg" ContentType="image/jpeg"/>
  <Override PartName="/word/media/image28.jpeg" ContentType="image/jpeg"/>
  <Override PartName="/word/media/image34.jpeg" ContentType="image/jpeg"/>
  <Override PartName="/word/media/image30.jpeg" ContentType="image/jpeg"/>
  <Override PartName="/word/media/image3.jpeg" ContentType="image/jpeg"/>
  <Override PartName="/word/media/image31.jpeg" ContentType="image/jpeg"/>
  <Override PartName="/word/media/image4.jpeg" ContentType="image/jpeg"/>
  <Override PartName="/word/media/image33.jpeg" ContentType="image/jpeg"/>
  <Override PartName="/word/media/image25.gif" ContentType="image/gif"/>
  <Override PartName="/word/media/image6.jpeg" ContentType="image/jpeg"/>
  <Override PartName="/word/media/image27.jpeg" ContentType="image/jpeg"/>
  <Override PartName="/word/media/image7.jpeg" ContentType="image/jpeg"/>
  <Override PartName="/word/media/image5.gif" ContentType="image/gif"/>
  <Override PartName="/word/media/image14.jpeg" ContentType="image/jpeg"/>
  <Override PartName="/word/media/image2.jpeg" ContentType="image/jpeg"/>
  <Override PartName="/word/media/image1.jpeg" ContentType="image/jpeg"/>
  <Override PartName="/word/media/image15.jpeg" ContentType="image/jpeg"/>
  <Override PartName="/word/media/image16.jpeg" ContentType="image/jpeg"/>
  <Override PartName="/word/media/image17.jpeg" ContentType="image/jpeg"/>
  <Override PartName="/word/media/image23.gif" ContentType="image/gif"/>
  <Override PartName="/word/media/image22.gif" ContentType="image/gif"/>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1" w:after="283"/>
        <w:jc w:val="center"/>
        <w:rPr>
          <w:rFonts w:ascii="Arial;sans-serif" w:hAnsi="Arial;sans-serif"/>
          <w:b/>
          <w:color w:val="231F20"/>
          <w:sz w:val="20"/>
        </w:rPr>
      </w:pPr>
      <w:r>
        <w:rPr>
          <w:rFonts w:ascii="Arial;sans-serif" w:hAnsi="Arial;sans-serif"/>
          <w:b/>
          <w:color w:val="231F20"/>
          <w:sz w:val="20"/>
        </w:rPr>
        <w:t>UNITED STATES</w:t>
      </w:r>
    </w:p>
    <w:p>
      <w:pPr>
        <w:pStyle w:val="TextBody"/>
        <w:bidi w:val="0"/>
        <w:spacing w:lineRule="auto" w:line="235" w:before="0" w:after="0"/>
        <w:jc w:val="center"/>
        <w:rPr>
          <w:rFonts w:ascii="Arial;sans-serif" w:hAnsi="Arial;sans-serif"/>
          <w:b/>
          <w:color w:val="231F20"/>
          <w:sz w:val="20"/>
        </w:rPr>
      </w:pPr>
      <w:r>
        <w:rPr>
          <w:rFonts w:ascii="Arial;sans-serif" w:hAnsi="Arial;sans-serif"/>
          <w:b/>
          <w:color w:val="231F20"/>
          <w:sz w:val="20"/>
        </w:rPr>
        <w:t>SECURITIES AND EXCHANGE COMMISSION</w:t>
      </w:r>
    </w:p>
    <w:p>
      <w:pPr>
        <w:pStyle w:val="TextBody"/>
        <w:bidi w:val="0"/>
        <w:spacing w:lineRule="auto" w:line="235" w:before="0" w:after="0"/>
        <w:jc w:val="center"/>
        <w:rPr>
          <w:rFonts w:ascii="Arial;sans-serif" w:hAnsi="Arial;sans-serif"/>
          <w:b/>
          <w:color w:val="231F20"/>
          <w:sz w:val="20"/>
        </w:rPr>
      </w:pPr>
      <w:r>
        <w:rPr>
          <w:rFonts w:ascii="Arial;sans-serif" w:hAnsi="Arial;sans-serif"/>
          <w:b/>
          <w:color w:val="231F20"/>
          <w:sz w:val="20"/>
        </w:rPr>
        <w:t>Washington, D.C. 20549</w:t>
      </w:r>
    </w:p>
    <w:p>
      <w:pPr>
        <w:pStyle w:val="TextBody"/>
        <w:bidi w:val="0"/>
        <w:spacing w:before="0" w:after="0"/>
        <w:jc w:val="center"/>
        <w:rPr/>
      </w:pPr>
      <w:r>
        <w:rPr/>
      </w:r>
    </w:p>
    <w:p>
      <w:pPr>
        <w:pStyle w:val="TextBody"/>
        <w:bidi w:val="0"/>
        <w:spacing w:before="9" w:after="283"/>
        <w:jc w:val="left"/>
        <w:rPr/>
      </w:pPr>
      <w:r>
        <w:rPr/>
      </w:r>
    </w:p>
    <w:p>
      <w:pPr>
        <w:pStyle w:val="TextBody"/>
        <w:bidi w:val="0"/>
        <w:spacing w:lineRule="auto" w:line="240" w:before="0" w:after="0"/>
        <w:jc w:val="center"/>
        <w:rPr>
          <w:rFonts w:ascii="Arial;sans-serif" w:hAnsi="Arial;sans-serif"/>
          <w:b/>
          <w:color w:val="231F20"/>
          <w:sz w:val="20"/>
        </w:rPr>
      </w:pPr>
      <w:r>
        <w:rPr>
          <w:rFonts w:ascii="Arial;sans-serif" w:hAnsi="Arial;sans-serif"/>
          <w:b/>
          <w:color w:val="231F20"/>
          <w:sz w:val="20"/>
        </w:rPr>
        <w:t>SCHEDULE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14a-101)</w:t>
      </w:r>
    </w:p>
    <w:p>
      <w:pPr>
        <w:pStyle w:val="TextBody"/>
        <w:bidi w:val="0"/>
        <w:spacing w:before="0" w:after="0"/>
        <w:jc w:val="center"/>
        <w:rPr/>
      </w:pPr>
      <w:r>
        <w:rPr/>
      </w:r>
    </w:p>
    <w:p>
      <w:pPr>
        <w:pStyle w:val="TextBody"/>
        <w:bidi w:val="0"/>
        <w:spacing w:before="7" w:after="283"/>
        <w:jc w:val="left"/>
        <w:rPr/>
      </w:pPr>
      <w:r>
        <w:rPr/>
      </w:r>
    </w:p>
    <w:p>
      <w:pPr>
        <w:pStyle w:val="TextBody"/>
        <w:bidi w:val="0"/>
        <w:spacing w:lineRule="auto" w:line="273" w:before="0" w:after="0"/>
        <w:jc w:val="center"/>
        <w:rPr>
          <w:rFonts w:ascii="Arial;sans-serif" w:hAnsi="Arial;sans-serif"/>
          <w:b/>
          <w:color w:val="000000"/>
          <w:sz w:val="20"/>
        </w:rPr>
      </w:pPr>
      <w:r>
        <w:rPr>
          <w:rFonts w:ascii="Arial;sans-serif" w:hAnsi="Arial;sans-serif"/>
          <w:b/>
          <w:color w:val="000000"/>
          <w:sz w:val="20"/>
        </w:rPr>
        <w:t>INFORMATION REQUIRED IN PROXY STATEMENT</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SCHEDULE 14A INFORMATION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 xml:space="preserve">Proxy Statement Pursuant to Section 14(a) of the Securities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Exchange Act of 1934 (Amendment No.    )</w:t>
      </w:r>
    </w:p>
    <w:p>
      <w:pPr>
        <w:pStyle w:val="TextBody"/>
        <w:bidi w:val="0"/>
        <w:spacing w:before="10" w:after="283"/>
        <w:jc w:val="left"/>
        <w:rPr/>
      </w:pPr>
      <w:r>
        <w:rPr/>
      </w:r>
    </w:p>
    <w:p>
      <w:pPr>
        <w:pStyle w:val="TextBody"/>
        <w:bidi w:val="0"/>
        <w:spacing w:lineRule="auto" w:line="240" w:before="0" w:after="0"/>
        <w:ind w:left="0" w:right="0" w:hanging="540"/>
        <w:jc w:val="left"/>
        <w:rPr/>
      </w:pPr>
      <w:r>
        <w:rPr>
          <w:rFonts w:ascii="Arial;sans-serif" w:hAnsi="Arial;sans-serif"/>
          <w:b w:val="false"/>
          <w:color w:val="000000"/>
          <w:sz w:val="20"/>
        </w:rPr>
        <w:t xml:space="preserve">Filed by the Registrant </w:t>
      </w:r>
      <w:r>
        <w:rPr>
          <w:rFonts w:ascii="Wingdings 2;sans-serif" w:hAnsi="Wingdings 2;sans-serif"/>
          <w:b w:val="false"/>
          <w:color w:val="000000"/>
          <w:sz w:val="20"/>
        </w:rPr>
        <w:t>Q</w:t>
      </w:r>
    </w:p>
    <w:p>
      <w:pPr>
        <w:pStyle w:val="TextBody"/>
        <w:bidi w:val="0"/>
        <w:spacing w:lineRule="auto" w:line="240" w:before="0" w:after="0"/>
        <w:ind w:left="0" w:right="0" w:hanging="540"/>
        <w:jc w:val="left"/>
        <w:rPr/>
      </w:pPr>
      <w:r>
        <w:rPr>
          <w:rFonts w:ascii="Arial;sans-serif" w:hAnsi="Arial;sans-serif"/>
          <w:b w:val="false"/>
          <w:color w:val="000000"/>
          <w:sz w:val="20"/>
        </w:rPr>
        <w:t xml:space="preserve">Filed by a Party other than the Registrant </w:t>
      </w:r>
      <w:r>
        <w:rPr>
          <w:rFonts w:ascii="Webdings;sans-serif" w:hAnsi="Webdings;sans-serif"/>
          <w:b w:val="false"/>
          <w:color w:val="000000"/>
          <w:sz w:val="14"/>
        </w:rPr>
        <w:t>c</w:t>
      </w:r>
    </w:p>
    <w:p>
      <w:pPr>
        <w:pStyle w:val="TextBody"/>
        <w:bidi w:val="0"/>
        <w:spacing w:before="0" w:after="160"/>
        <w:ind w:left="0" w:right="0" w:hanging="450"/>
        <w:jc w:val="left"/>
        <w:rPr/>
      </w:pPr>
      <w:r>
        <w:rPr/>
      </w:r>
    </w:p>
    <w:p>
      <w:pPr>
        <w:pStyle w:val="TextBody"/>
        <w:bidi w:val="0"/>
        <w:spacing w:lineRule="auto" w:line="240" w:before="0" w:after="160"/>
        <w:ind w:left="0" w:right="0" w:hanging="540"/>
        <w:jc w:val="left"/>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Preliminary Proxy Statement</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color w:val="000000"/>
          <w:sz w:val="20"/>
        </w:rPr>
        <w:t>Confidential, for Use of the Commission Only (as permitted by Rule 14a-6(e)(2))</w:t>
      </w:r>
    </w:p>
    <w:p>
      <w:pPr>
        <w:pStyle w:val="TextBody"/>
        <w:bidi w:val="0"/>
        <w:spacing w:lineRule="auto" w:line="240" w:before="0" w:after="120"/>
        <w:ind w:left="0" w:right="0" w:hanging="547"/>
        <w:jc w:val="left"/>
        <w:rPr/>
      </w:pPr>
      <w:r>
        <w:rPr>
          <w:rFonts w:ascii="Wingdings 2;sans-serif" w:hAnsi="Wingdings 2;sans-serif"/>
          <w:b w:val="false"/>
          <w:color w:val="000000"/>
          <w:sz w:val="20"/>
        </w:rPr>
        <w:t>Q</w:t>
      </w:r>
      <w:r>
        <w:rPr>
          <w:color w:val="000000"/>
        </w:rPr>
        <w:t>    </w:t>
      </w:r>
      <w:r>
        <w:rPr>
          <w:rFonts w:ascii="Arial;sans-serif" w:hAnsi="Arial;sans-serif"/>
          <w:b w:val="false"/>
          <w:color w:val="000000"/>
          <w:sz w:val="20"/>
        </w:rPr>
        <w:t>Definitive Proxy Statement</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Definitive Additional Materials</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Soliciting Material under §240.14a-12</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231F20"/>
          <w:sz w:val="24"/>
        </w:rPr>
      </w:pPr>
      <w:r>
        <w:rPr>
          <w:rFonts w:ascii="Arial;sans-serif" w:hAnsi="Arial;sans-serif"/>
          <w:b/>
          <w:color w:val="231F20"/>
          <w:sz w:val="24"/>
        </w:rPr>
        <w:t>SPX Technologies, Inc.</w:t>
      </w:r>
    </w:p>
    <w:p>
      <w:pPr>
        <w:pStyle w:val="TextBody"/>
        <w:bidi w:val="0"/>
        <w:spacing w:before="34" w:after="283"/>
        <w:jc w:val="center"/>
        <w:rPr/>
      </w:pPr>
      <w:r>
        <w:rPr/>
        <w:drawing>
          <wp:inline distT="0" distB="0" distL="0" distR="0">
            <wp:extent cx="5800725"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0725" cy="19050"/>
                    </a:xfrm>
                    <a:prstGeom prst="rect">
                      <a:avLst/>
                    </a:prstGeom>
                  </pic:spPr>
                </pic:pic>
              </a:graphicData>
            </a:graphic>
          </wp:inline>
        </w:drawing>
      </w:r>
      <w:bookmarkStart w:id="0" w:name="i-1"/>
      <w:bookmarkEnd w:id="0"/>
    </w:p>
    <w:p>
      <w:pPr>
        <w:pStyle w:val="TextBody"/>
        <w:bidi w:val="0"/>
        <w:spacing w:lineRule="auto" w:line="240" w:before="34" w:after="283"/>
        <w:jc w:val="center"/>
        <w:rPr>
          <w:rFonts w:ascii="Arial;sans-serif" w:hAnsi="Arial;sans-serif"/>
          <w:b w:val="false"/>
          <w:color w:val="231F20"/>
          <w:sz w:val="20"/>
        </w:rPr>
      </w:pPr>
      <w:r>
        <w:rPr>
          <w:rFonts w:ascii="Arial;sans-serif" w:hAnsi="Arial;sans-serif"/>
          <w:b w:val="false"/>
          <w:color w:val="231F20"/>
          <w:sz w:val="20"/>
        </w:rPr>
        <w:t>(Name of Registrant as Specified In Its Charter)</w:t>
      </w:r>
    </w:p>
    <w:p>
      <w:pPr>
        <w:pStyle w:val="TextBody"/>
        <w:bidi w:val="0"/>
        <w:spacing w:before="0" w:after="0"/>
        <w:jc w:val="left"/>
        <w:rPr/>
      </w:pPr>
      <w:r>
        <w:rPr/>
      </w:r>
    </w:p>
    <w:p>
      <w:pPr>
        <w:pStyle w:val="TextBody"/>
        <w:bidi w:val="0"/>
        <w:spacing w:before="10" w:after="283"/>
        <w:jc w:val="left"/>
        <w:rPr/>
      </w:pPr>
      <w:r>
        <w:rPr/>
      </w:r>
    </w:p>
    <w:p>
      <w:pPr>
        <w:pStyle w:val="TextBody"/>
        <w:bidi w:val="0"/>
        <w:spacing w:before="34" w:after="283"/>
        <w:jc w:val="center"/>
        <w:rPr/>
      </w:pPr>
      <w:r>
        <w:rPr/>
        <w:drawing>
          <wp:inline distT="0" distB="0" distL="0" distR="0">
            <wp:extent cx="580072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0725" cy="14605"/>
                    </a:xfrm>
                    <a:prstGeom prst="rect">
                      <a:avLst/>
                    </a:prstGeom>
                  </pic:spPr>
                </pic:pic>
              </a:graphicData>
            </a:graphic>
          </wp:inline>
        </w:drawing>
      </w:r>
      <w:bookmarkStart w:id="1" w:name="i-2"/>
      <w:bookmarkEnd w:id="1"/>
    </w:p>
    <w:p>
      <w:pPr>
        <w:pStyle w:val="TextBody"/>
        <w:bidi w:val="0"/>
        <w:spacing w:lineRule="auto" w:line="240" w:before="34" w:after="283"/>
        <w:jc w:val="center"/>
        <w:rPr>
          <w:rFonts w:ascii="Arial;sans-serif" w:hAnsi="Arial;sans-serif"/>
          <w:b w:val="false"/>
          <w:color w:val="231F20"/>
          <w:sz w:val="20"/>
        </w:rPr>
      </w:pPr>
      <w:r>
        <w:rPr>
          <w:rFonts w:ascii="Arial;sans-serif" w:hAnsi="Arial;sans-serif"/>
          <w:b w:val="false"/>
          <w:color w:val="231F20"/>
          <w:sz w:val="20"/>
        </w:rPr>
        <w:t>(Name of Person(s) Filing Proxy Statement, if other than the Registrant)</w:t>
      </w:r>
    </w:p>
    <w:p>
      <w:pPr>
        <w:pStyle w:val="TextBody"/>
        <w:bidi w:val="0"/>
        <w:spacing w:before="10" w:after="283"/>
        <w:jc w:val="left"/>
        <w:rPr/>
      </w:pPr>
      <w:r>
        <w:rPr/>
      </w:r>
    </w:p>
    <w:p>
      <w:pPr>
        <w:pStyle w:val="TextBody"/>
        <w:bidi w:val="0"/>
        <w:spacing w:lineRule="auto" w:line="240" w:before="0" w:after="0"/>
        <w:ind w:left="0" w:right="0" w:firstLine="99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before="0" w:after="0"/>
        <w:ind w:left="0" w:right="0" w:firstLine="990"/>
        <w:jc w:val="left"/>
        <w:rPr/>
      </w:pPr>
      <w:r>
        <w:rPr/>
      </w:r>
    </w:p>
    <w:p>
      <w:pPr>
        <w:pStyle w:val="TextBody"/>
        <w:bidi w:val="0"/>
        <w:spacing w:lineRule="auto" w:line="240" w:before="0" w:after="120"/>
        <w:ind w:left="0" w:right="0" w:hanging="547"/>
        <w:jc w:val="left"/>
        <w:rPr/>
      </w:pPr>
      <w:r>
        <w:rPr>
          <w:rFonts w:ascii="Wingdings 2;sans-serif" w:hAnsi="Wingdings 2;sans-serif"/>
          <w:b w:val="false"/>
          <w:color w:val="000000"/>
          <w:sz w:val="20"/>
        </w:rPr>
        <w:t>Q</w:t>
      </w:r>
      <w:r>
        <w:rPr>
          <w:color w:val="000000"/>
        </w:rPr>
        <w:t>    </w:t>
      </w:r>
      <w:r>
        <w:rPr>
          <w:rFonts w:ascii="Arial;sans-serif" w:hAnsi="Arial;sans-serif"/>
          <w:b w:val="false"/>
          <w:color w:val="000000"/>
          <w:sz w:val="20"/>
        </w:rPr>
        <w:t>No fee required.</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 xml:space="preserve">Fee paid previously with preliminary materials. </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Fee computed on table in exhibit required by Item 25(b) per Exchange Act Rules 14a-(6)(i)(1) and 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5" w:after="240"/>
        <w:jc w:val="center"/>
        <w:rPr/>
      </w:pPr>
      <w:r>
        <w:rPr/>
        <w:drawing>
          <wp:inline distT="0" distB="0" distL="0" distR="0">
            <wp:extent cx="7543800" cy="98298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7543800" cy="9829800"/>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1371600" cy="5048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371600" cy="504825"/>
                    </a:xfrm>
                    <a:prstGeom prst="rect">
                      <a:avLst/>
                    </a:prstGeom>
                  </pic:spPr>
                </pic:pic>
              </a:graphicData>
            </a:graphic>
          </wp:inline>
        </w:drawing>
      </w:r>
      <w:bookmarkStart w:id="3" w:name="i-4"/>
      <w:bookmarkEnd w:id="3"/>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Fellow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behalf of the Board of Directors, we invite you to attend the SPX Technologies, Inc. 2026 Annual Meeting of Stockholders (the “Annual Meeting”) on May 12, 2026, at 8:00 a.m. (Eastern Time). The Annual Meeting will be held in a virtual format, conducted via a live webcast.</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 xml:space="preserve">2025 Review – Marking a Milestone Year with Continued Growth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2025, SPX Technologies (“SPX”) marked its 10th year following the spin-off of SPX Flow, Inc. by delivering another outstanding year of financial and operational performance. Strong organic growth, impactful new product innovation, and multiple strategic acquisitions drove year-over-year increases of 14.2% in revenue and 21.7% in income from continuing operations. We closed the year in a strong financial position, supported by a successful $575 million equity raise and robust performance across our businesses, underscoring the strength and effectiveness of our value creation framework.</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Investments in capacity expansion, continuous improvement, and AI/digital capabilities were aimed at enhancing our capacity, operating efficiency and profitability. With strong cash generation, we maintained disciplined capital deployment and balance sheet flexibility.</w:t>
      </w:r>
    </w:p>
    <w:p>
      <w:pPr>
        <w:pStyle w:val="TextBody"/>
        <w:bidi w:val="0"/>
        <w:spacing w:lineRule="auto" w:line="288" w:before="0" w:after="60"/>
        <w:jc w:val="left"/>
        <w:rPr/>
      </w:pPr>
      <w:r>
        <w:rPr>
          <w:rFonts w:ascii="Arial;sans-serif" w:hAnsi="Arial;sans-serif"/>
          <w:b/>
          <w:color w:val="004C97"/>
          <w:sz w:val="20"/>
        </w:rPr>
        <w:t>Well-Positioned to Continue Value Creation Journey</w:t>
      </w:r>
      <w:r>
        <w:rPr>
          <w:color w:val="000000"/>
        </w:rPr>
        <w:t xml:space="preserv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entered 2026 well positioned to sustain this momentum, supported by healthy backlogs in both our HVAC and Detection &amp; Measurement segments. Customer demand remains healthy across key end markets including data center, healthcare, and institutional markets where accelerating growth is driving our capacity expansion efforts.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Looking ahead, we see significant opportunities for SPX to continue growing and driving shareholder value. We will continue leveraging our business system to drive operational excellence, pursue strategic acquisitions that strengthen our platforms, and advance our sustainability and talent development initiatives. Our recent successful capital raise, including our new $2 billion credit facilities coupled with the $575 million equity raise, provides ample capital to support our strategic organic and inorganic initiatives.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2026 guidance reflects our confidence in the business and includes another double-digit increase in adjusted earnings per share at the midpoint. The goals we have set reflect both the high expectations we hold for our team and our continued commitment to delivering the strong performance our stockholders expect from SPX. </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 xml:space="preserve">Meeting Attendance and Voting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All SPX stockholders of record at the close of business on March 16, 2026 are entitled to vote on the matters listed at the Annual Meeting. To ensure that your shares will be represented, we ask you to vote by telephone, mail, or over the internet as soon as possible. On behalf of the Board of Directors and our leadership team, we would like to express our gratitude to our employees for working tirelessly to achieve our goals, and to you, our stockholders, for your valuable feedback and continued interest in SPX Technologies.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Sincerely,</w:t>
      </w:r>
    </w:p>
    <w:p>
      <w:pPr>
        <w:pStyle w:val="TextBody"/>
        <w:bidi w:val="0"/>
        <w:spacing w:lineRule="auto" w:line="288" w:before="0" w:after="180"/>
        <w:jc w:val="both"/>
        <w:rPr/>
      </w:pPr>
      <w:r>
        <w:rPr>
          <w:rFonts w:ascii="Arial;sans-serif" w:hAnsi="Arial;sans-serif"/>
          <w:b/>
          <w:color w:val="000000"/>
          <w:sz w:val="18"/>
        </w:rPr>
        <w:t>Patrick O’Leary</w:t>
      </w:r>
      <w:r>
        <w:rPr>
          <w:rFonts w:ascii="Arial;sans-serif" w:hAnsi="Arial;sans-serif"/>
          <w:b w:val="false"/>
          <w:color w:val="000000"/>
          <w:sz w:val="18"/>
        </w:rPr>
        <w:br/>
        <w:t>Chairman of the Board of Directors    </w:t>
      </w:r>
    </w:p>
    <w:p>
      <w:pPr>
        <w:pStyle w:val="TextBody"/>
        <w:bidi w:val="0"/>
        <w:spacing w:lineRule="auto" w:line="288" w:before="0" w:after="180"/>
        <w:jc w:val="both"/>
        <w:rPr/>
      </w:pPr>
      <w:r>
        <w:rPr>
          <w:rFonts w:ascii="Arial;sans-serif" w:hAnsi="Arial;sans-serif"/>
          <w:b/>
          <w:color w:val="000000"/>
          <w:sz w:val="18"/>
        </w:rPr>
        <w:t>Gene Lowe</w:t>
      </w:r>
      <w:r>
        <w:rPr>
          <w:rFonts w:ascii="Arial;sans-serif" w:hAnsi="Arial;sans-serif"/>
          <w:b w:val="false"/>
          <w:color w:val="000000"/>
          <w:sz w:val="18"/>
        </w:rPr>
        <w:br/>
        <w:t>President and Chief Executive Officer</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51460"/>
                <wp:effectExtent l="0" t="0" r="0" b="0"/>
                <wp:wrapNone/>
                <wp:docPr id="7"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before="0" w:after="0"/>
        <w:jc w:val="center"/>
        <w:rPr/>
      </w:pPr>
      <w:r>
        <w:rPr/>
        <w:drawing>
          <wp:inline distT="0" distB="0" distL="0" distR="0">
            <wp:extent cx="1371600" cy="5048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371600" cy="504825"/>
                    </a:xfrm>
                    <a:prstGeom prst="rect">
                      <a:avLst/>
                    </a:prstGeom>
                  </pic:spPr>
                </pic:pic>
              </a:graphicData>
            </a:graphic>
          </wp:inline>
        </w:drawing>
      </w:r>
      <w:bookmarkStart w:id="4" w:name="i-5"/>
      <w:bookmarkEnd w:id="4"/>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6325 Ardrey Kell Rd, Suite 400</w:t>
      </w:r>
    </w:p>
    <w:p>
      <w:pPr>
        <w:pStyle w:val="TextBody"/>
        <w:bidi w:val="0"/>
        <w:spacing w:lineRule="auto" w:line="288" w:before="0" w:after="720"/>
        <w:jc w:val="center"/>
        <w:rPr>
          <w:rFonts w:ascii="Arial;sans-serif" w:hAnsi="Arial;sans-serif"/>
          <w:b w:val="false"/>
          <w:color w:val="000000"/>
          <w:sz w:val="18"/>
        </w:rPr>
      </w:pPr>
      <w:r>
        <w:rPr>
          <w:rFonts w:ascii="Arial;sans-serif" w:hAnsi="Arial;sans-serif"/>
          <w:b w:val="false"/>
          <w:color w:val="000000"/>
          <w:sz w:val="18"/>
        </w:rPr>
        <w:t>Charlotte, North Carolina 28277</w:t>
      </w:r>
    </w:p>
    <w:p>
      <w:pPr>
        <w:pStyle w:val="TextBody"/>
        <w:bidi w:val="0"/>
        <w:spacing w:lineRule="auto" w:line="312" w:before="0" w:after="240"/>
        <w:jc w:val="left"/>
        <w:rPr>
          <w:rFonts w:ascii="Arial;sans-serif" w:hAnsi="Arial;sans-serif"/>
          <w:b/>
          <w:color w:val="000000"/>
          <w:sz w:val="42"/>
        </w:rPr>
      </w:pPr>
      <w:r>
        <w:rPr>
          <w:rFonts w:ascii="Arial;sans-serif" w:hAnsi="Arial;sans-serif"/>
          <w:b/>
          <w:color w:val="000000"/>
          <w:sz w:val="42"/>
        </w:rPr>
        <w:t xml:space="preserve">NOTICE OF ANNUAL MEETING </w:t>
        <w:br/>
        <w:t>OF STOCKHOLDERS</w:t>
      </w:r>
    </w:p>
    <w:p>
      <w:pPr>
        <w:pStyle w:val="TextBody"/>
        <w:bidi w:val="0"/>
        <w:spacing w:lineRule="auto" w:line="288" w:before="0" w:after="0"/>
        <w:jc w:val="left"/>
        <w:rPr>
          <w:rFonts w:ascii="Arial;sans-serif" w:hAnsi="Arial;sans-serif"/>
          <w:b w:val="false"/>
          <w:color w:val="004C97"/>
          <w:sz w:val="32"/>
        </w:rPr>
      </w:pPr>
      <w:r>
        <w:rPr>
          <w:rFonts w:ascii="Arial;sans-serif" w:hAnsi="Arial;sans-serif"/>
          <w:b w:val="false"/>
          <w:color w:val="004C97"/>
          <w:sz w:val="32"/>
        </w:rPr>
        <w:t>Tuesday, May 12, 2026</w:t>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8:00 a.m. (Eastern Time)</w:t>
      </w:r>
    </w:p>
    <w:p>
      <w:pPr>
        <w:pStyle w:val="TextBody"/>
        <w:bidi w:val="0"/>
        <w:spacing w:lineRule="auto" w:line="268" w:before="0" w:after="180"/>
        <w:jc w:val="left"/>
        <w:rPr/>
      </w:pPr>
      <w:r>
        <w:rPr>
          <w:rFonts w:ascii="Arial;sans-serif" w:hAnsi="Arial;sans-serif"/>
          <w:b w:val="false"/>
          <w:i/>
          <w:color w:val="000000"/>
          <w:sz w:val="18"/>
        </w:rPr>
        <w:t>Virtual format, conducted via a live webcast at meetnow</w:t>
      </w:r>
      <w:r>
        <w:rPr>
          <w:rFonts w:ascii="Arial;sans-serif" w:hAnsi="Arial;sans-serif"/>
          <w:b w:val="false"/>
          <w:color w:val="000000"/>
          <w:sz w:val="18"/>
        </w:rPr>
        <w:t>.global/</w:t>
      </w:r>
      <w:r>
        <w:rPr>
          <w:rFonts w:ascii="Arial;sans-serif" w:hAnsi="Arial;sans-serif"/>
          <w:b w:val="false"/>
          <w:i/>
          <w:color w:val="000000"/>
          <w:sz w:val="18"/>
        </w:rPr>
        <w:t xml:space="preserve">MHVAZUD.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There is no physical location for the 2026 Annual Meeting of Stockholders. Further information regarding attendance, including how to access the virtual meeting, is set forth in the “Question and Answers” section of the accompanying proxy statement. In this notice and throughout the proxy statement, we refer to SPX Technologies, Inc. as “SPX,” the “Company,” “we” or “us.”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Agenda</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principal business of the Annual Meeting will be to:</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1.Elect the three nominees named in our Proxy Statement to serve as directors until our 2027 Annual Meeting;</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2.Approve our named executive officers’ compensation, on a non-binding advisory basis;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3.Ratify our Audit Committee’s appointment of our independent registered public accounting firm for 2026; and</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4.Transact any other business properly brought before the meeting or any adjournment thereof.</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Record Date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March 16, 2026. You may vote during the virtual Annual Meeting or by proxy if you were a stockholder of record at the close of business on March 16, 2026. You may revoke your proxy at any time prior to its exercise at the Annual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Proxy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year, we are again electronically disseminating Annual Meeting materials to some of our stockholders, as permitted under the “Notice and Access” rules approved by the Securities and Exchange Commission. Stockholders for whom Notice and Access applies will receive a Notice of Internet Availability of Proxy Materials containing instructions on how to access Annual Meeting materials via the internet. The Notice also provides instructions on how to obtain paper copies if preferred.</w:t>
      </w:r>
    </w:p>
    <w:tbl>
      <w:tblPr>
        <w:tblW w:w="4152" w:type="dxa"/>
        <w:jc w:val="left"/>
        <w:tblInd w:w="0" w:type="dxa"/>
        <w:tblLayout w:type="fixed"/>
        <w:tblCellMar>
          <w:top w:w="28" w:type="dxa"/>
          <w:left w:w="28" w:type="dxa"/>
          <w:bottom w:w="28" w:type="dxa"/>
          <w:right w:w="28" w:type="dxa"/>
        </w:tblCellMar>
      </w:tblPr>
      <w:tblGrid>
        <w:gridCol w:w="124"/>
        <w:gridCol w:w="109"/>
        <w:gridCol w:w="109"/>
        <w:gridCol w:w="1116"/>
        <w:gridCol w:w="1116"/>
        <w:gridCol w:w="1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By Order of the Board of Directors,</w:t>
            </w:r>
          </w:p>
          <w:p>
            <w:pPr>
              <w:pStyle w:val="TableContents"/>
              <w:bidi w:val="0"/>
              <w:spacing w:lineRule="auto" w:line="288" w:before="0" w:after="0"/>
              <w:jc w:val="both"/>
              <w:rPr>
                <w:rFonts w:ascii="Arial;sans-serif" w:hAnsi="Arial;sans-serif"/>
                <w:b/>
                <w:color w:val="000000"/>
                <w:sz w:val="18"/>
              </w:rPr>
            </w:pPr>
            <w:r>
              <w:rPr>
                <w:rFonts w:ascii="Arial;sans-serif" w:hAnsi="Arial;sans-serif"/>
                <w:b/>
                <w:color w:val="000000"/>
                <w:sz w:val="18"/>
              </w:rPr>
              <w:t>Daniel J. Whitman</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Vice President, General Counsel &amp; Secretary</w:t>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Approximate Date of Mailing of Proxy Materials or </w:t>
      </w:r>
    </w:p>
    <w:p>
      <w:pPr>
        <w:pStyle w:val="TextBody"/>
        <w:bidi w:val="0"/>
        <w:spacing w:lineRule="auto" w:line="288" w:before="0" w:after="180"/>
        <w:jc w:val="both"/>
        <w:rPr>
          <w:rFonts w:ascii="Arial;sans-serif" w:hAnsi="Arial;sans-serif"/>
          <w:b w:val="false"/>
          <w:i/>
          <w:color w:val="000000"/>
          <w:sz w:val="18"/>
        </w:rPr>
      </w:pPr>
      <w:r>
        <w:rPr>
          <w:rFonts w:ascii="Arial;sans-serif" w:hAnsi="Arial;sans-serif"/>
          <w:b w:val="false"/>
          <w:i/>
          <w:color w:val="000000"/>
          <w:sz w:val="18"/>
        </w:rPr>
        <w:t>Notice of Internet Availability:</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51460"/>
                <wp:effectExtent l="0" t="0" r="0" b="0"/>
                <wp:wrapNone/>
                <wp:docPr id="9"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TABLE OF CONTENTS</w:t>
      </w:r>
    </w:p>
    <w:tbl>
      <w:tblPr>
        <w:tblW w:w="5787" w:type="dxa"/>
        <w:jc w:val="left"/>
        <w:tblInd w:w="0" w:type="dxa"/>
        <w:tblLayout w:type="fixed"/>
        <w:tblCellMar>
          <w:top w:w="28" w:type="dxa"/>
          <w:left w:w="28" w:type="dxa"/>
          <w:bottom w:w="28" w:type="dxa"/>
          <w:right w:w="28" w:type="dxa"/>
        </w:tblCellMar>
      </w:tblPr>
      <w:tblGrid>
        <w:gridCol w:w="1963"/>
        <w:gridCol w:w="1724"/>
        <w:gridCol w:w="1728"/>
        <w:gridCol w:w="109"/>
        <w:gridCol w:w="109"/>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19">
              <w:r>
                <w:rPr>
                  <w:rStyle w:val="InternetLink"/>
                  <w:rFonts w:ascii="Arial;sans-serif" w:hAnsi="Arial;sans-serif"/>
                  <w:b/>
                  <w:strike w:val="false"/>
                  <w:dstrike w:val="false"/>
                  <w:color w:val="004C97"/>
                  <w:sz w:val="18"/>
                  <w:u w:val="none"/>
                  <w:effect w:val="none"/>
                </w:rPr>
                <w:t>PROXY STATEMENT ANNUAL MEETING OF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ca181cbcfd49d9b17550b64a323f51_19">
              <w:r>
                <w:rPr>
                  <w:rStyle w:val="InternetLink"/>
                  <w:rFonts w:ascii="Arial;sans-serif" w:hAnsi="Arial;sans-serif"/>
                  <w:b/>
                  <w:strike w:val="false"/>
                  <w:dstrike w:val="false"/>
                  <w:color w:val="004C97"/>
                  <w:sz w:val="18"/>
                  <w:u w:val="none"/>
                  <w:effect w:val="none"/>
                </w:rPr>
                <w:t>1</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46ca181cbcfd49d9b17550b64a323f51_22">
              <w:r>
                <w:rPr>
                  <w:rStyle w:val="InternetLink"/>
                  <w:rFonts w:ascii="Arial;sans-serif" w:hAnsi="Arial;sans-serif"/>
                  <w:b/>
                  <w:strike w:val="false"/>
                  <w:dstrike w:val="false"/>
                  <w:color w:val="004C97"/>
                  <w:sz w:val="18"/>
                  <w:u w:val="none"/>
                  <w:effect w:val="none"/>
                </w:rPr>
                <w:t>MEETING AND VOTING HIGHLIGHTS</w:t>
              </w:r>
            </w:hyperlink>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6ca181cbcfd49d9b17550b64a323f51_22">
              <w:r>
                <w:rPr>
                  <w:rStyle w:val="InternetLink"/>
                  <w:rFonts w:ascii="Arial;sans-serif" w:hAnsi="Arial;sans-serif"/>
                  <w:b/>
                  <w:strike w:val="false"/>
                  <w:dstrike w:val="false"/>
                  <w:color w:val="004C97"/>
                  <w:sz w:val="18"/>
                  <w:u w:val="none"/>
                  <w:effect w:val="none"/>
                </w:rPr>
                <w:t>2</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46ca181cbcfd49d9b17550b64a323f51_25">
              <w:r>
                <w:rPr>
                  <w:rStyle w:val="InternetLink"/>
                  <w:rFonts w:ascii="Arial;sans-serif" w:hAnsi="Arial;sans-serif"/>
                  <w:b/>
                  <w:strike w:val="false"/>
                  <w:dstrike w:val="false"/>
                  <w:color w:val="004C97"/>
                  <w:sz w:val="18"/>
                  <w:u w:val="none"/>
                  <w:effect w:val="none"/>
                </w:rPr>
                <w:t>CORPORATE GOVERNANCE</w:t>
              </w:r>
            </w:hyperlink>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6ca181cbcfd49d9b17550b64a323f51_25">
              <w:r>
                <w:rPr>
                  <w:rStyle w:val="InternetLink"/>
                  <w:rFonts w:ascii="Arial;sans-serif" w:hAnsi="Arial;sans-serif"/>
                  <w:b/>
                  <w:strike w:val="false"/>
                  <w:dstrike w:val="false"/>
                  <w:color w:val="004C97"/>
                  <w:sz w:val="18"/>
                  <w:u w:val="none"/>
                  <w:effect w:val="none"/>
                </w:rPr>
                <w:t>4</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46ca181cbcfd49d9b17550b64a323f51_28">
              <w:r>
                <w:rPr>
                  <w:rStyle w:val="InternetLink"/>
                  <w:rFonts w:ascii="Arial;sans-serif" w:hAnsi="Arial;sans-serif"/>
                  <w:b/>
                  <w:strike w:val="false"/>
                  <w:dstrike w:val="false"/>
                  <w:color w:val="004C97"/>
                  <w:sz w:val="18"/>
                  <w:u w:val="none"/>
                  <w:effect w:val="none"/>
                </w:rPr>
                <w:t>DIRECTOR COMPENSATION</w:t>
              </w:r>
            </w:hyperlink>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6ca181cbcfd49d9b17550b64a323f51_28">
              <w:r>
                <w:rPr>
                  <w:rStyle w:val="InternetLink"/>
                  <w:rFonts w:ascii="Arial;sans-serif" w:hAnsi="Arial;sans-serif"/>
                  <w:b/>
                  <w:strike w:val="false"/>
                  <w:dstrike w:val="false"/>
                  <w:color w:val="004C97"/>
                  <w:sz w:val="18"/>
                  <w:u w:val="none"/>
                  <w:effect w:val="none"/>
                </w:rPr>
                <w:t>11</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Compensation Table</w:t>
            </w:r>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dc38fcbd4a6a4ce2aa1562cc101e0fe4_4728">
              <w:r>
                <w:rPr>
                  <w:rStyle w:val="InternetLink"/>
                  <w:rFonts w:ascii="Arial;sans-serif" w:hAnsi="Arial;sans-serif"/>
                  <w:b w:val="false"/>
                  <w:strike w:val="false"/>
                  <w:dstrike w:val="false"/>
                  <w:color w:val="000000"/>
                  <w:sz w:val="18"/>
                  <w:u w:val="none"/>
                  <w:effect w:val="none"/>
                </w:rPr>
                <w:t>12</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31">
              <w:r>
                <w:rPr>
                  <w:rStyle w:val="InternetLink"/>
                  <w:rFonts w:ascii="Arial;sans-serif" w:hAnsi="Arial;sans-serif"/>
                  <w:b/>
                  <w:strike w:val="false"/>
                  <w:dstrike w:val="false"/>
                  <w:color w:val="004C97"/>
                  <w:sz w:val="18"/>
                  <w:u w:val="none"/>
                  <w:effect w:val="none"/>
                </w:rPr>
                <w:t>PROPOSAL 1: ELECTION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ca181cbcfd49d9b17550b64a323f51_31">
              <w:r>
                <w:rPr>
                  <w:rStyle w:val="InternetLink"/>
                  <w:rFonts w:ascii="Arial;sans-serif" w:hAnsi="Arial;sans-serif"/>
                  <w:b/>
                  <w:strike w:val="false"/>
                  <w:dstrike w:val="false"/>
                  <w:color w:val="004C97"/>
                  <w:sz w:val="18"/>
                  <w:u w:val="none"/>
                  <w:effect w:val="none"/>
                </w:rPr>
                <w:t>13</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Nominees for Election</w:t>
            </w:r>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6410962d0cc74b6ab48d7735db7b1dae_4810">
              <w:r>
                <w:rPr>
                  <w:rStyle w:val="InternetLink"/>
                  <w:rFonts w:ascii="Arial;sans-serif" w:hAnsi="Arial;sans-serif"/>
                  <w:b w:val="false"/>
                  <w:strike w:val="false"/>
                  <w:dstrike w:val="false"/>
                  <w:color w:val="000000"/>
                  <w:sz w:val="18"/>
                  <w:u w:val="none"/>
                  <w:effect w:val="none"/>
                </w:rPr>
                <w:t>14</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Continuing to Serve Until the 2027 Annual Meeting</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10962d0cc74b6ab48d7735db7b1dae_4813">
              <w:r>
                <w:rPr>
                  <w:rStyle w:val="InternetLink"/>
                  <w:rFonts w:ascii="Arial;sans-serif" w:hAnsi="Arial;sans-serif"/>
                  <w:b w:val="false"/>
                  <w:strike w:val="false"/>
                  <w:dstrike w:val="false"/>
                  <w:color w:val="000000"/>
                  <w:sz w:val="18"/>
                  <w:u w:val="none"/>
                  <w:effect w:val="none"/>
                </w:rPr>
                <w:t>16</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and Nominee Skills and Experience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10962d0cc74b6ab48d7735db7b1dae_4814">
              <w:r>
                <w:rPr>
                  <w:rStyle w:val="InternetLink"/>
                  <w:rFonts w:ascii="Arial;sans-serif" w:hAnsi="Arial;sans-serif"/>
                  <w:b w:val="false"/>
                  <w:strike w:val="false"/>
                  <w:dstrike w:val="false"/>
                  <w:color w:val="000000"/>
                  <w:sz w:val="18"/>
                  <w:u w:val="none"/>
                  <w:effect w:val="none"/>
                </w:rPr>
                <w:t>19</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34">
              <w:r>
                <w:rPr>
                  <w:rStyle w:val="InternetLink"/>
                  <w:rFonts w:ascii="Arial;sans-serif" w:hAnsi="Arial;sans-serif"/>
                  <w:b/>
                  <w:strike w:val="false"/>
                  <w:dstrike w:val="false"/>
                  <w:color w:val="004C97"/>
                  <w:sz w:val="18"/>
                  <w:u w:val="none"/>
                  <w:effect w:val="none"/>
                </w:rPr>
                <w:t>OWNERSHIP OF COMMON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ca181cbcfd49d9b17550b64a323f51_34">
              <w:r>
                <w:rPr>
                  <w:rStyle w:val="InternetLink"/>
                  <w:rFonts w:ascii="Arial;sans-serif" w:hAnsi="Arial;sans-serif"/>
                  <w:b/>
                  <w:strike w:val="false"/>
                  <w:dstrike w:val="false"/>
                  <w:color w:val="004C97"/>
                  <w:sz w:val="18"/>
                  <w:u w:val="none"/>
                  <w:effect w:val="none"/>
                </w:rPr>
                <w:t>21</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Ownership Guidelines</w:t>
            </w:r>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eed307cd4eb8436aa8069ccd8716b0cc_5991">
              <w:r>
                <w:rPr>
                  <w:rStyle w:val="InternetLink"/>
                  <w:rFonts w:ascii="Arial;sans-serif" w:hAnsi="Arial;sans-serif"/>
                  <w:b w:val="false"/>
                  <w:strike w:val="false"/>
                  <w:dstrike w:val="false"/>
                  <w:color w:val="000000"/>
                  <w:sz w:val="18"/>
                  <w:u w:val="none"/>
                  <w:effect w:val="none"/>
                </w:rPr>
                <w:t>21</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34">
              <w:r>
                <w:rPr>
                  <w:rStyle w:val="InternetLink"/>
                  <w:rFonts w:ascii="Arial;sans-serif" w:hAnsi="Arial;sans-serif"/>
                  <w:b w:val="false"/>
                  <w:strike w:val="false"/>
                  <w:dstrike w:val="false"/>
                  <w:color w:val="000000"/>
                  <w:sz w:val="18"/>
                  <w:u w:val="none"/>
                  <w:effect w:val="none"/>
                </w:rPr>
                <w:t>Ownership of Common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and Executive Officers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d307cd4eb8436aa8069ccd8716b0cc_5989">
              <w:r>
                <w:rPr>
                  <w:rStyle w:val="InternetLink"/>
                  <w:rFonts w:ascii="Arial;sans-serif" w:hAnsi="Arial;sans-serif"/>
                  <w:b w:val="false"/>
                  <w:strike w:val="false"/>
                  <w:dstrike w:val="false"/>
                  <w:color w:val="000000"/>
                  <w:sz w:val="18"/>
                  <w:u w:val="none"/>
                  <w:effect w:val="none"/>
                </w:rPr>
                <w:t>22</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Principal Stockholders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d307cd4eb8436aa8069ccd8716b0cc_5992">
              <w:r>
                <w:rPr>
                  <w:rStyle w:val="InternetLink"/>
                  <w:rFonts w:ascii="Arial;sans-serif" w:hAnsi="Arial;sans-serif"/>
                  <w:b w:val="false"/>
                  <w:strike w:val="false"/>
                  <w:dstrike w:val="false"/>
                  <w:color w:val="000000"/>
                  <w:sz w:val="18"/>
                  <w:u w:val="none"/>
                  <w:effect w:val="none"/>
                </w:rPr>
                <w:t>23</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Section 16(a) Reports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d307cd4eb8436aa8069ccd8716b0cc_5990">
              <w:r>
                <w:rPr>
                  <w:rStyle w:val="InternetLink"/>
                  <w:rFonts w:ascii="Arial;sans-serif" w:hAnsi="Arial;sans-serif"/>
                  <w:b w:val="false"/>
                  <w:strike w:val="false"/>
                  <w:dstrike w:val="false"/>
                  <w:color w:val="000000"/>
                  <w:sz w:val="18"/>
                  <w:u w:val="none"/>
                  <w:effect w:val="none"/>
                </w:rPr>
                <w:t>23</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37">
              <w:r>
                <w:rPr>
                  <w:rStyle w:val="InternetLink"/>
                  <w:rFonts w:ascii="Arial;sans-serif" w:hAnsi="Arial;sans-serif"/>
                  <w:b/>
                  <w:strike w:val="false"/>
                  <w:dstrike w:val="false"/>
                  <w:color w:val="004C97"/>
                  <w:sz w:val="18"/>
                  <w:u w:val="none"/>
                  <w:effect w:val="non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ca181cbcfd49d9b17550b64a323f51_37">
              <w:r>
                <w:rPr>
                  <w:rStyle w:val="InternetLink"/>
                  <w:rFonts w:ascii="Arial;sans-serif" w:hAnsi="Arial;sans-serif"/>
                  <w:b/>
                  <w:strike w:val="false"/>
                  <w:dstrike w:val="false"/>
                  <w:color w:val="004C97"/>
                  <w:sz w:val="18"/>
                  <w:u w:val="none"/>
                  <w:effect w:val="none"/>
                </w:rPr>
                <w:t>24</w:t>
              </w:r>
            </w:hyperlink>
          </w:p>
        </w:tc>
      </w:tr>
      <w:tr>
        <w:trPr/>
        <w:tc>
          <w:tcPr>
            <w:tcW w:w="5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Discussion and Analysis</w:t>
            </w:r>
          </w:p>
        </w:tc>
        <w:tc>
          <w:tcPr>
            <w:tcW w:w="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7c01f2ecc4e4a55bb446d8ea7992a12_63405">
              <w:r>
                <w:rPr>
                  <w:rStyle w:val="InternetLink"/>
                  <w:rFonts w:ascii="Arial;sans-serif" w:hAnsi="Arial;sans-serif"/>
                  <w:b w:val="false"/>
                  <w:strike w:val="false"/>
                  <w:dstrike w:val="false"/>
                  <w:color w:val="000000"/>
                  <w:sz w:val="18"/>
                  <w:u w:val="none"/>
                  <w:effect w:val="none"/>
                </w:rPr>
                <w:t>24</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Risk Analysis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97">
              <w:r>
                <w:rPr>
                  <w:rStyle w:val="InternetLink"/>
                  <w:rFonts w:ascii="Arial;sans-serif" w:hAnsi="Arial;sans-serif"/>
                  <w:b w:val="false"/>
                  <w:strike w:val="false"/>
                  <w:dstrike w:val="false"/>
                  <w:color w:val="000000"/>
                  <w:sz w:val="18"/>
                  <w:u w:val="none"/>
                  <w:effect w:val="none"/>
                </w:rPr>
                <w:t>36</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Committee Report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407">
              <w:r>
                <w:rPr>
                  <w:rStyle w:val="InternetLink"/>
                  <w:rFonts w:ascii="Arial;sans-serif" w:hAnsi="Arial;sans-serif"/>
                  <w:b w:val="false"/>
                  <w:strike w:val="false"/>
                  <w:dstrike w:val="false"/>
                  <w:color w:val="000000"/>
                  <w:sz w:val="18"/>
                  <w:u w:val="none"/>
                  <w:effect w:val="none"/>
                </w:rPr>
                <w:t>36</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Tables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78">
              <w:r>
                <w:rPr>
                  <w:rStyle w:val="InternetLink"/>
                  <w:rFonts w:ascii="Arial;sans-serif" w:hAnsi="Arial;sans-serif"/>
                  <w:b w:val="false"/>
                  <w:strike w:val="false"/>
                  <w:dstrike w:val="false"/>
                  <w:color w:val="000000"/>
                  <w:sz w:val="18"/>
                  <w:u w:val="none"/>
                  <w:effect w:val="none"/>
                </w:rPr>
                <w:t>37</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Summary Compensation Table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92">
              <w:r>
                <w:rPr>
                  <w:rStyle w:val="InternetLink"/>
                  <w:rFonts w:ascii="Arial;sans-serif" w:hAnsi="Arial;sans-serif"/>
                  <w:b w:val="false"/>
                  <w:strike w:val="false"/>
                  <w:dstrike w:val="false"/>
                  <w:color w:val="000000"/>
                  <w:sz w:val="18"/>
                  <w:u w:val="none"/>
                  <w:effect w:val="none"/>
                </w:rPr>
                <w:t>37</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Grants of Plan-Based Awards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412">
              <w:r>
                <w:rPr>
                  <w:rStyle w:val="InternetLink"/>
                  <w:rFonts w:ascii="Arial;sans-serif" w:hAnsi="Arial;sans-serif"/>
                  <w:b w:val="false"/>
                  <w:strike w:val="false"/>
                  <w:dstrike w:val="false"/>
                  <w:color w:val="000000"/>
                  <w:sz w:val="18"/>
                  <w:u w:val="none"/>
                  <w:effect w:val="none"/>
                </w:rPr>
                <w:t>39</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Equity Awards at Fiscal Year-End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401">
              <w:r>
                <w:rPr>
                  <w:rStyle w:val="InternetLink"/>
                  <w:rFonts w:ascii="Arial;sans-serif" w:hAnsi="Arial;sans-serif"/>
                  <w:b w:val="false"/>
                  <w:strike w:val="false"/>
                  <w:dstrike w:val="false"/>
                  <w:color w:val="000000"/>
                  <w:sz w:val="18"/>
                  <w:u w:val="none"/>
                  <w:effect w:val="none"/>
                </w:rPr>
                <w:t>40</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Option Exercises and Stock Vested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89">
              <w:r>
                <w:rPr>
                  <w:rStyle w:val="InternetLink"/>
                  <w:rFonts w:ascii="Arial;sans-serif" w:hAnsi="Arial;sans-serif"/>
                  <w:b w:val="false"/>
                  <w:strike w:val="false"/>
                  <w:dstrike w:val="false"/>
                  <w:color w:val="000000"/>
                  <w:sz w:val="18"/>
                  <w:u w:val="none"/>
                  <w:effect w:val="none"/>
                </w:rPr>
                <w:t>42</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Nonqualified Deferred Compensation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85">
              <w:r>
                <w:rPr>
                  <w:rStyle w:val="InternetLink"/>
                  <w:rFonts w:ascii="Arial;sans-serif" w:hAnsi="Arial;sans-serif"/>
                  <w:b w:val="false"/>
                  <w:strike w:val="false"/>
                  <w:dstrike w:val="false"/>
                  <w:color w:val="000000"/>
                  <w:sz w:val="18"/>
                  <w:u w:val="none"/>
                  <w:effect w:val="none"/>
                </w:rPr>
                <w:t>42</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Potential Payments upon Termination or Change-In-Control</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403">
              <w:r>
                <w:rPr>
                  <w:rStyle w:val="InternetLink"/>
                  <w:rFonts w:ascii="Arial;sans-serif" w:hAnsi="Arial;sans-serif"/>
                  <w:b w:val="false"/>
                  <w:strike w:val="false"/>
                  <w:dstrike w:val="false"/>
                  <w:color w:val="000000"/>
                  <w:sz w:val="18"/>
                  <w:u w:val="none"/>
                  <w:effect w:val="none"/>
                </w:rPr>
                <w:t>44</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CEO Pay Ratio</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98">
              <w:r>
                <w:rPr>
                  <w:rStyle w:val="InternetLink"/>
                  <w:rFonts w:ascii="Arial;sans-serif" w:hAnsi="Arial;sans-serif"/>
                  <w:b w:val="false"/>
                  <w:strike w:val="false"/>
                  <w:dstrike w:val="false"/>
                  <w:color w:val="000000"/>
                  <w:sz w:val="18"/>
                  <w:u w:val="none"/>
                  <w:effect w:val="none"/>
                </w:rPr>
                <w:t>46</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 Versus Performance Disclosure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402">
              <w:r>
                <w:rPr>
                  <w:rStyle w:val="InternetLink"/>
                  <w:rFonts w:ascii="Arial;sans-serif" w:hAnsi="Arial;sans-serif"/>
                  <w:b w:val="false"/>
                  <w:strike w:val="false"/>
                  <w:dstrike w:val="false"/>
                  <w:color w:val="000000"/>
                  <w:sz w:val="18"/>
                  <w:u w:val="none"/>
                  <w:effect w:val="none"/>
                </w:rPr>
                <w:t>47</w:t>
              </w:r>
            </w:hyperlink>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 Plan Information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c01f2ecc4e4a55bb446d8ea7992a12_63388">
              <w:r>
                <w:rPr>
                  <w:rStyle w:val="InternetLink"/>
                  <w:rFonts w:ascii="Arial;sans-serif" w:hAnsi="Arial;sans-serif"/>
                  <w:b w:val="false"/>
                  <w:strike w:val="false"/>
                  <w:dstrike w:val="false"/>
                  <w:color w:val="000000"/>
                  <w:sz w:val="18"/>
                  <w:u w:val="none"/>
                  <w:effect w:val="none"/>
                </w:rPr>
                <w:t>50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51460"/>
                <wp:effectExtent l="0" t="0" r="0" b="0"/>
                <wp:wrapNone/>
                <wp:docPr id="10"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92"/>
        <w:gridCol w:w="3083"/>
        <w:gridCol w:w="3096"/>
        <w:gridCol w:w="127"/>
        <w:gridCol w:w="127"/>
        <w:gridCol w:w="180"/>
      </w:tblGrid>
      <w:tr>
        <w:trPr/>
        <w:tc>
          <w:tcPr>
            <w:tcW w:w="3592"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40">
              <w:r>
                <w:rPr>
                  <w:rStyle w:val="InternetLink"/>
                  <w:rFonts w:ascii="Arial;sans-serif" w:hAnsi="Arial;sans-serif"/>
                  <w:b/>
                  <w:strike w:val="false"/>
                  <w:dstrike w:val="false"/>
                  <w:color w:val="004C97"/>
                  <w:sz w:val="18"/>
                  <w:u w:val="none"/>
                  <w:effect w:val="none"/>
                </w:rPr>
                <w:t>PROPOSAL 2: APPROVAL OF NAMED EXECUTIVE OFFICERS’ COMPENSATION, ON A NON-BINDING ADVISORY BASIS (“SAY-ON-PAY”)</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ca181cbcfd49d9b17550b64a323f51_40">
              <w:r>
                <w:rPr>
                  <w:rStyle w:val="InternetLink"/>
                  <w:rFonts w:ascii="Arial;sans-serif" w:hAnsi="Arial;sans-serif"/>
                  <w:b/>
                  <w:strike w:val="false"/>
                  <w:dstrike w:val="false"/>
                  <w:color w:val="004C97"/>
                  <w:sz w:val="18"/>
                  <w:u w:val="none"/>
                  <w:effect w:val="none"/>
                </w:rPr>
                <w:t>51</w:t>
              </w:r>
            </w:hyperlink>
          </w:p>
        </w:tc>
      </w:tr>
      <w:tr>
        <w:trPr/>
        <w:tc>
          <w:tcPr>
            <w:tcW w:w="9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46ca181cbcfd49d9b17550b64a323f51_43">
              <w:r>
                <w:rPr>
                  <w:rStyle w:val="InternetLink"/>
                  <w:rFonts w:ascii="Arial;sans-serif" w:hAnsi="Arial;sans-serif"/>
                  <w:b/>
                  <w:strike w:val="false"/>
                  <w:dstrike w:val="false"/>
                  <w:color w:val="004C97"/>
                  <w:sz w:val="18"/>
                  <w:u w:val="none"/>
                  <w:effect w:val="none"/>
                </w:rPr>
                <w:t>AUDIT MATTERS</w:t>
              </w:r>
            </w:hyperlink>
          </w:p>
        </w:tc>
        <w:tc>
          <w:tcPr>
            <w:tcW w:w="4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6ca181cbcfd49d9b17550b64a323f51_43">
              <w:r>
                <w:rPr>
                  <w:rStyle w:val="InternetLink"/>
                  <w:rFonts w:ascii="Arial;sans-serif" w:hAnsi="Arial;sans-serif"/>
                  <w:b/>
                  <w:strike w:val="false"/>
                  <w:dstrike w:val="false"/>
                  <w:color w:val="004C97"/>
                  <w:sz w:val="18"/>
                  <w:u w:val="none"/>
                  <w:effect w:val="none"/>
                </w:rPr>
                <w:t>52</w:t>
              </w:r>
            </w:hyperlink>
          </w:p>
        </w:tc>
      </w:tr>
      <w:tr>
        <w:trPr/>
        <w:tc>
          <w:tcPr>
            <w:tcW w:w="9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Committee Report</w:t>
            </w:r>
          </w:p>
        </w:tc>
        <w:tc>
          <w:tcPr>
            <w:tcW w:w="4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ee5a0a9442a74ce9bf49b85a78152801_5534">
              <w:r>
                <w:rPr>
                  <w:rStyle w:val="InternetLink"/>
                  <w:rFonts w:ascii="Arial;sans-serif" w:hAnsi="Arial;sans-serif"/>
                  <w:b w:val="false"/>
                  <w:strike w:val="false"/>
                  <w:dstrike w:val="false"/>
                  <w:color w:val="000000"/>
                  <w:sz w:val="18"/>
                  <w:u w:val="none"/>
                  <w:effect w:val="none"/>
                </w:rPr>
                <w:t>52</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Audit Information</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5a0a9442a74ce9bf49b85a78152801_5535">
              <w:r>
                <w:rPr>
                  <w:rStyle w:val="InternetLink"/>
                  <w:rFonts w:ascii="Arial;sans-serif" w:hAnsi="Arial;sans-serif"/>
                  <w:b w:val="false"/>
                  <w:strike w:val="false"/>
                  <w:dstrike w:val="false"/>
                  <w:color w:val="000000"/>
                  <w:sz w:val="18"/>
                  <w:u w:val="none"/>
                  <w:effect w:val="none"/>
                </w:rPr>
                <w:t>53</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and Non-Audit Fee Table</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5a0a9442a74ce9bf49b85a78152801_5536">
              <w:r>
                <w:rPr>
                  <w:rStyle w:val="InternetLink"/>
                  <w:rFonts w:ascii="Arial;sans-serif" w:hAnsi="Arial;sans-serif"/>
                  <w:b w:val="false"/>
                  <w:strike w:val="false"/>
                  <w:dstrike w:val="false"/>
                  <w:color w:val="000000"/>
                  <w:sz w:val="18"/>
                  <w:u w:val="none"/>
                  <w:effect w:val="none"/>
                </w:rPr>
                <w:t>53</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Pre-Approval By Audit Committee</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5a0a9442a74ce9bf49b85a78152801_5537">
              <w:r>
                <w:rPr>
                  <w:rStyle w:val="InternetLink"/>
                  <w:rFonts w:ascii="Arial;sans-serif" w:hAnsi="Arial;sans-serif"/>
                  <w:b w:val="false"/>
                  <w:strike w:val="false"/>
                  <w:dstrike w:val="false"/>
                  <w:color w:val="000000"/>
                  <w:sz w:val="18"/>
                  <w:u w:val="none"/>
                  <w:effect w:val="none"/>
                </w:rPr>
                <w:t>53</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ca181cbcfd49d9b17550b64a323f51_46">
              <w:r>
                <w:rPr>
                  <w:rStyle w:val="InternetLink"/>
                  <w:rFonts w:ascii="Arial;sans-serif" w:hAnsi="Arial;sans-serif"/>
                  <w:b/>
                  <w:strike w:val="false"/>
                  <w:dstrike w:val="false"/>
                  <w:color w:val="000080"/>
                  <w:sz w:val="18"/>
                  <w:u w:val="single"/>
                  <w:effect w:val="none"/>
                </w:rPr>
                <w:t xml:space="preserve">PROPOSAL </w:t>
              </w:r>
            </w:hyperlink>
            <w:hyperlink w:anchor="i46ca181cbcfd49d9b17550b64a323f51_46">
              <w:r>
                <w:rPr>
                  <w:rStyle w:val="InternetLink"/>
                  <w:rFonts w:ascii="Arial;sans-serif" w:hAnsi="Arial;sans-serif"/>
                  <w:b/>
                  <w:strike w:val="false"/>
                  <w:dstrike w:val="false"/>
                  <w:color w:val="000080"/>
                  <w:sz w:val="18"/>
                  <w:u w:val="single"/>
                  <w:effect w:val="none"/>
                </w:rPr>
                <w:t>3</w:t>
              </w:r>
            </w:hyperlink>
            <w:hyperlink w:anchor="i46ca181cbcfd49d9b17550b64a323f51_46">
              <w:r>
                <w:rPr>
                  <w:rStyle w:val="InternetLink"/>
                  <w:rFonts w:ascii="Arial;sans-serif" w:hAnsi="Arial;sans-serif"/>
                  <w:b/>
                  <w:strike w:val="false"/>
                  <w:dstrike w:val="false"/>
                  <w:color w:val="000080"/>
                  <w:sz w:val="18"/>
                  <w:u w:val="single"/>
                  <w:effect w:val="none"/>
                </w:rPr>
                <w:t>: RATIFICATION OF APPOINTMENT OF INDEPENDENT REGISTERED PUBLIC ACCOUNTING FIRM</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ca181cbcfd49d9b17550b64a323f51_46">
              <w:r>
                <w:rPr>
                  <w:rStyle w:val="InternetLink"/>
                  <w:rFonts w:ascii="Arial;sans-serif" w:hAnsi="Arial;sans-serif"/>
                  <w:b/>
                  <w:strike w:val="false"/>
                  <w:dstrike w:val="false"/>
                  <w:color w:val="004C97"/>
                  <w:sz w:val="18"/>
                  <w:u w:val="none"/>
                  <w:effect w:val="none"/>
                </w:rPr>
                <w:t>54</w:t>
              </w:r>
            </w:hyperlink>
          </w:p>
        </w:tc>
      </w:tr>
      <w:tr>
        <w:trPr/>
        <w:tc>
          <w:tcPr>
            <w:tcW w:w="9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46ca181cbcfd49d9b17550b64a323f51_49">
              <w:r>
                <w:rPr>
                  <w:rStyle w:val="InternetLink"/>
                  <w:rFonts w:ascii="Arial;sans-serif" w:hAnsi="Arial;sans-serif"/>
                  <w:b/>
                  <w:strike w:val="false"/>
                  <w:dstrike w:val="false"/>
                  <w:color w:val="004C97"/>
                  <w:sz w:val="18"/>
                  <w:u w:val="none"/>
                  <w:effect w:val="none"/>
                </w:rPr>
                <w:t>QUESTIONS AND ANSWERS</w:t>
              </w:r>
            </w:hyperlink>
          </w:p>
        </w:tc>
        <w:tc>
          <w:tcPr>
            <w:tcW w:w="4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6ca181cbcfd49d9b17550b64a323f51_49">
              <w:r>
                <w:rPr>
                  <w:rStyle w:val="InternetLink"/>
                  <w:rFonts w:ascii="Arial;sans-serif" w:hAnsi="Arial;sans-serif"/>
                  <w:b/>
                  <w:strike w:val="false"/>
                  <w:dstrike w:val="false"/>
                  <w:color w:val="004C97"/>
                  <w:sz w:val="18"/>
                  <w:u w:val="none"/>
                  <w:effect w:val="none"/>
                </w:rPr>
                <w:t>55</w:t>
              </w:r>
            </w:hyperlink>
          </w:p>
        </w:tc>
      </w:tr>
      <w:tr>
        <w:trPr/>
        <w:tc>
          <w:tcPr>
            <w:tcW w:w="9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Proxy Materials</w:t>
            </w:r>
          </w:p>
        </w:tc>
        <w:tc>
          <w:tcPr>
            <w:tcW w:w="4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321ab2ec78824caba5ce7a763437a194_16252">
              <w:r>
                <w:rPr>
                  <w:rStyle w:val="InternetLink"/>
                  <w:rFonts w:ascii="Arial;sans-serif" w:hAnsi="Arial;sans-serif"/>
                  <w:b w:val="false"/>
                  <w:strike w:val="false"/>
                  <w:dstrike w:val="false"/>
                  <w:color w:val="000000"/>
                  <w:sz w:val="18"/>
                  <w:u w:val="none"/>
                  <w:effect w:val="none"/>
                </w:rPr>
                <w:t>55</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Annual Meeting</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1ab2ec78824caba5ce7a763437a194_16253">
              <w:r>
                <w:rPr>
                  <w:rStyle w:val="InternetLink"/>
                  <w:rFonts w:ascii="Arial;sans-serif" w:hAnsi="Arial;sans-serif"/>
                  <w:b w:val="false"/>
                  <w:strike w:val="false"/>
                  <w:dstrike w:val="false"/>
                  <w:color w:val="000000"/>
                  <w:sz w:val="18"/>
                  <w:u w:val="none"/>
                  <w:effect w:val="none"/>
                </w:rPr>
                <w:t>55</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Voting and Quorum</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1ab2ec78824caba5ce7a763437a194_16250">
              <w:r>
                <w:rPr>
                  <w:rStyle w:val="InternetLink"/>
                  <w:rFonts w:ascii="Arial;sans-serif" w:hAnsi="Arial;sans-serif"/>
                  <w:b w:val="false"/>
                  <w:strike w:val="false"/>
                  <w:dstrike w:val="false"/>
                  <w:color w:val="000000"/>
                  <w:sz w:val="18"/>
                  <w:u w:val="none"/>
                  <w:effect w:val="none"/>
                </w:rPr>
                <w:t>57</w:t>
              </w:r>
            </w:hyperlink>
          </w:p>
        </w:tc>
      </w:tr>
      <w:tr>
        <w:trPr/>
        <w:tc>
          <w:tcPr>
            <w:tcW w:w="9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Communications and Stockholder Proposals</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1ab2ec78824caba5ce7a763437a194_16251">
              <w:r>
                <w:rPr>
                  <w:rStyle w:val="InternetLink"/>
                  <w:rFonts w:ascii="Arial;sans-serif" w:hAnsi="Arial;sans-serif"/>
                  <w:b w:val="false"/>
                  <w:strike w:val="false"/>
                  <w:dstrike w:val="false"/>
                  <w:color w:val="000000"/>
                  <w:sz w:val="18"/>
                  <w:u w:val="none"/>
                  <w:effect w:val="none"/>
                </w:rPr>
                <w:t>59</w:t>
              </w:r>
            </w:hyperlink>
          </w:p>
        </w:tc>
      </w:tr>
      <w:tr>
        <w:trPr/>
        <w:tc>
          <w:tcPr>
            <w:tcW w:w="97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pPr>
            <w:hyperlink w:anchor="i46ca181cbcfd49d9b17550b64a323f51_52">
              <w:r>
                <w:rPr>
                  <w:rStyle w:val="InternetLink"/>
                  <w:rFonts w:ascii="Arial;sans-serif" w:hAnsi="Arial;sans-serif"/>
                  <w:b/>
                  <w:strike w:val="false"/>
                  <w:dstrike w:val="false"/>
                  <w:color w:val="000080"/>
                  <w:sz w:val="18"/>
                  <w:u w:val="single"/>
                  <w:effect w:val="none"/>
                </w:rPr>
                <w:t xml:space="preserve">APPENDIX </w:t>
              </w:r>
            </w:hyperlink>
            <w:hyperlink w:anchor="i46ca181cbcfd49d9b17550b64a323f51_52">
              <w:r>
                <w:rPr>
                  <w:rStyle w:val="InternetLink"/>
                  <w:rFonts w:ascii="Arial;sans-serif" w:hAnsi="Arial;sans-serif"/>
                  <w:b/>
                  <w:strike w:val="false"/>
                  <w:dstrike w:val="false"/>
                  <w:color w:val="000080"/>
                  <w:sz w:val="18"/>
                  <w:u w:val="single"/>
                  <w:effect w:val="none"/>
                </w:rPr>
                <w:t>A</w:t>
              </w:r>
            </w:hyperlink>
            <w:hyperlink w:anchor="i46ca181cbcfd49d9b17550b64a323f51_52">
              <w:r>
                <w:rPr>
                  <w:rStyle w:val="InternetLink"/>
                  <w:rFonts w:ascii="Arial;sans-serif" w:hAnsi="Arial;sans-serif"/>
                  <w:b/>
                  <w:strike w:val="false"/>
                  <w:dstrike w:val="false"/>
                  <w:color w:val="000080"/>
                  <w:sz w:val="18"/>
                  <w:u w:val="single"/>
                  <w:effect w:val="none"/>
                </w:rPr>
                <w:t xml:space="preserve"> – RECONCILIATION OF GAAP TO NON-GAAP FINANCIAL MEASURES</w:t>
              </w:r>
            </w:hyperlink>
          </w:p>
        </w:tc>
        <w:tc>
          <w:tcPr>
            <w:tcW w:w="43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Arial;sans-serif" w:hAnsi="Arial;sans-serif"/>
                <w:b/>
                <w:color w:val="004C97"/>
                <w:sz w:val="18"/>
              </w:rPr>
              <w:t>A-</w:t>
            </w:r>
            <w:hyperlink w:anchor="i46ca181cbcfd49d9b17550b64a323f51_52">
              <w:r>
                <w:rPr>
                  <w:rStyle w:val="InternetLink"/>
                  <w:rFonts w:ascii="Arial;sans-serif" w:hAnsi="Arial;sans-serif"/>
                  <w:b/>
                  <w:strike w:val="false"/>
                  <w:dstrike w:val="false"/>
                  <w:color w:val="004C97"/>
                  <w:sz w:val="18"/>
                  <w:u w:val="none"/>
                  <w:effect w:val="none"/>
                </w:rPr>
                <w:t>1</w:t>
              </w:r>
            </w:hyperlink>
          </w:p>
        </w:tc>
      </w:tr>
    </w:tbl>
    <w:p>
      <w:pPr>
        <w:pStyle w:val="TextBody"/>
        <w:bidi w:val="0"/>
        <w:spacing w:lineRule="auto" w:line="288" w:before="0" w:after="180"/>
        <w:jc w:val="both"/>
        <w:rPr/>
      </w:pPr>
      <w:r>
        <w:rPr>
          <w:rFonts w:ascii="Arial;sans-serif" w:hAnsi="Arial;sans-serif"/>
          <w:b/>
          <w:color w:val="000000"/>
          <w:sz w:val="18"/>
        </w:rPr>
        <w:t>Non-GAAP Financial Measures:</w:t>
      </w:r>
      <w:r>
        <w:rPr>
          <w:color w:val="000000"/>
        </w:rPr>
        <w:t xml:space="preserve"> </w:t>
      </w:r>
      <w:r>
        <w:rPr>
          <w:rFonts w:ascii="Arial;sans-serif" w:hAnsi="Arial;sans-serif"/>
          <w:b w:val="false"/>
          <w:color w:val="000000"/>
          <w:sz w:val="18"/>
        </w:rPr>
        <w:t>Our adjusted earnings per share guidance and adjusted EBITDA guidance for full year 2026 are not measures under generally accepted accounting principles in the United States (“GAAP”) and exclude items, which would be included in our comparable GAAP financial measures, that we do not consider indicative of our on-going operating performance; and each is calculated in a manner consistent with the presentation of the similarly titled historical non-GAAP measure presented in our earnings release for the quarter and fiscal year ended December 31, 2025 furnished as Exhibit 99.1 to our Current Report on Form 8-K dated February 24, 2026. These items include, but are not limited to, acquisition and integration-related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The full-year guidance excludes impacts from future acquisitions, dispositions and related transaction costs, restructuring costs, incremental impacts of tariffs and trade tensions on market demand and costs subsequent to February 24, 2026, the impact of foreign exchange rate changes subsequent to December 31, 2025, and environmental and litigation charges. See Appendix A for additional information with respect to certain non-GAAP financial measures used to evaluate performance for the purpose of executive officer incentive compensation, which is discussed elsewhere in this Proxy Statement</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51460"/>
                <wp:effectExtent l="0" t="0" r="0" b="0"/>
                <wp:wrapNone/>
                <wp:docPr id="11"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20"/>
        <w:jc w:val="left"/>
        <w:rPr/>
      </w:pPr>
      <w:r>
        <w:rPr>
          <w:rFonts w:ascii="Arial;sans-serif" w:hAnsi="Arial;sans-serif"/>
          <w:b/>
          <w:color w:val="000000"/>
          <w:sz w:val="32"/>
        </w:rPr>
        <w:t>Proxy Statement Annual Meeting of Stockholders</w:t>
      </w:r>
      <w:r>
        <w:rPr>
          <w:color w:val="000000"/>
        </w:rPr>
        <w:t xml:space="preserv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Meeting of our stockholders will be held at 8:00 a.m. (Eastern Time), on Tuesday, May 12, 2026, in a virtual format, conducted via a live webcast.</w:t>
      </w:r>
    </w:p>
    <w:p>
      <w:pPr>
        <w:pStyle w:val="TextBody"/>
        <w:bidi w:val="0"/>
        <w:spacing w:lineRule="auto" w:line="288" w:before="0" w:after="180"/>
        <w:jc w:val="left"/>
        <w:rPr/>
      </w:pPr>
      <w:r>
        <w:rPr>
          <w:rFonts w:ascii="Arial;sans-serif" w:hAnsi="Arial;sans-serif"/>
          <w:b w:val="false"/>
          <w:color w:val="000000"/>
          <w:sz w:val="18"/>
        </w:rPr>
        <w:t xml:space="preserve">You will be able to attend the Annual Meeting, vote (if you are a stockholder of record) and submit questions during the meeting by visiting </w:t>
      </w:r>
      <w:r>
        <w:rPr>
          <w:rFonts w:ascii="Arial;sans-serif" w:hAnsi="Arial;sans-serif"/>
          <w:b/>
          <w:color w:val="000000"/>
          <w:sz w:val="18"/>
        </w:rPr>
        <w:t>meetnow.global/MHVAZUD.</w:t>
      </w:r>
      <w:r>
        <w:rPr>
          <w:color w:val="000000"/>
        </w:rPr>
        <w:t xml:space="preserve"> </w:t>
      </w:r>
      <w:r>
        <w:rPr>
          <w:rFonts w:ascii="Arial;sans-serif" w:hAnsi="Arial;sans-serif"/>
          <w:b w:val="false"/>
          <w:color w:val="000000"/>
          <w:sz w:val="18"/>
        </w:rPr>
        <w:t>Stockholders who hold shares of our common stock in “street name” may direct the holder of record how to vote their shares at the meeting by following the instructions that they receive from the holder of record.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furnishing this Proxy Statement to our stockholders of record as of the close of business on March 16, 2026 in connection with the solicitation of proxies by our Board of Directors for the 2026 Annual Meeting of Stockholders and any adjournment or postponement of the meeting.</w:t>
      </w:r>
    </w:p>
    <w:p>
      <w:pPr>
        <w:pStyle w:val="TextBody"/>
        <w:bidi w:val="0"/>
        <w:spacing w:lineRule="auto" w:line="288" w:before="0" w:after="160"/>
        <w:jc w:val="both"/>
        <w:rPr>
          <w:rFonts w:ascii="Arial;sans-serif" w:hAnsi="Arial;sans-serif"/>
          <w:b/>
          <w:color w:val="000000"/>
          <w:sz w:val="18"/>
        </w:rPr>
      </w:pPr>
      <w:r>
        <w:rPr>
          <w:rFonts w:ascii="Arial;sans-serif" w:hAnsi="Arial;sans-serif"/>
          <w:b/>
          <w:color w:val="000000"/>
          <w:sz w:val="18"/>
        </w:rPr>
        <w:t>Our 2025 Annual Report to Stockholders, which includes our annual report on Form 10-K without exhibits, accompanies this Proxy Statement. You may obtain a copy of the exhibits described in the Form 10-K for a fee upon request. Please contact Mark A. Carano, Vice President, Chief Financial Officer and Treasurer, SPX Technologies, Inc., 6325 Ardrey Kell Rd, Suite 400, Charlotte, North Carolina 28277.</w:t>
      </w:r>
    </w:p>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4C97"/>
              <w:left w:val="single" w:sz="8" w:space="0" w:color="004C97"/>
              <w:right w:val="single" w:sz="8" w:space="0" w:color="004C97"/>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004C97"/>
              <w:right w:val="single" w:sz="8" w:space="0" w:color="004C97"/>
            </w:tcBorders>
            <w:shd w:fill="E5E5E5" w:val="clear"/>
            <w:tcMar>
              <w:top w:w="0" w:type="dxa"/>
              <w:bottom w:w="0" w:type="dxa"/>
            </w:tcMar>
            <w:vAlign w:val="center"/>
          </w:tcPr>
          <w:p>
            <w:pPr>
              <w:pStyle w:val="TableContents"/>
              <w:bidi w:val="0"/>
              <w:spacing w:lineRule="auto" w:line="288" w:before="0" w:after="100"/>
              <w:jc w:val="center"/>
              <w:rPr>
                <w:rFonts w:ascii="Arial;sans-serif" w:hAnsi="Arial;sans-serif"/>
                <w:b/>
                <w:color w:val="004C97"/>
                <w:sz w:val="18"/>
              </w:rPr>
            </w:pPr>
            <w:r>
              <w:rPr>
                <w:rFonts w:ascii="Arial;sans-serif" w:hAnsi="Arial;sans-serif"/>
                <w:b/>
                <w:color w:val="004C97"/>
                <w:sz w:val="18"/>
              </w:rPr>
              <w:t>Important Notice Regarding the Availability of Proxy Materials for the 2026 Annual Meeting of Stockholders:</w:t>
            </w:r>
          </w:p>
          <w:p>
            <w:pPr>
              <w:pStyle w:val="TableContents"/>
              <w:bidi w:val="0"/>
              <w:spacing w:lineRule="auto" w:line="288" w:before="0" w:after="100"/>
              <w:jc w:val="center"/>
              <w:rPr>
                <w:rFonts w:ascii="Arial;sans-serif" w:hAnsi="Arial;sans-serif"/>
                <w:b/>
                <w:color w:val="004C97"/>
                <w:sz w:val="18"/>
              </w:rPr>
            </w:pPr>
            <w:r>
              <w:rPr>
                <w:rFonts w:ascii="Arial;sans-serif" w:hAnsi="Arial;sans-serif"/>
                <w:b/>
                <w:color w:val="004C97"/>
                <w:sz w:val="18"/>
              </w:rPr>
              <w:t>The Notice of Annual Meeting, Proxy Statement, and our 2025 Annual Report to Stockholders are available electronically at www.envisionreports.com/SPXC (for stockholders of record) or www.edocumentview.com/SPXC (for all other stockholders).</w:t>
            </w:r>
          </w:p>
        </w:tc>
      </w:tr>
      <w:tr>
        <w:trPr/>
        <w:tc>
          <w:tcPr>
            <w:tcW w:w="10205" w:type="dxa"/>
            <w:gridSpan w:val="3"/>
            <w:tcBorders>
              <w:left w:val="single" w:sz="8" w:space="0" w:color="004C97"/>
              <w:bottom w:val="single" w:sz="8" w:space="0" w:color="004C97"/>
              <w:right w:val="single" w:sz="8" w:space="0" w:color="004C97"/>
            </w:tcBorders>
            <w:shd w:fill="E5E5E5"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jc w:val="both"/>
        <w:rPr>
          <w:rFonts w:ascii="Arial;sans-serif" w:hAnsi="Arial;sans-serif"/>
          <w:b w:val="false"/>
          <w:color w:val="000000"/>
          <w:sz w:val="16"/>
        </w:rPr>
      </w:pPr>
      <w:r>
        <w:rPr>
          <w:rFonts w:ascii="Arial;sans-serif" w:hAnsi="Arial;sans-serif"/>
          <w:b w:val="false"/>
          <w:color w:val="000000"/>
          <w:sz w:val="16"/>
        </w:rPr>
        <w:t>Certain statements in this Proxy Statement are forward-looking statements within the meaning of Section 27A of the Securities Act and Section 21E of the Securities Exchange Act of 1934, as amended (the “Exchange Act”), and are subject to the safe harbor created thereby.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In some cases, you can identify forward-looking statements by terminology such as “may,” “could,” “would,” “should,” “expect,” “plan,” “anticipate,” “intend,” “believe,” “estimate,” “predict,” “project,” “potential,” “continue” or “guidance” or the negative of any of those terms or other comparable terminology. Please consider these forward-looking statements in conjunction with the Company’s documents filed with the Securities and Exchange Commission, including the Company’s most recent annual report on Form 10-K, which identify important risk factors and other uncertainties that could cause actual results to differ from those contained in the forward-looking statements, including the following: cyclical changes and specific industry events in the Company’s markets; changes in anticipated capital investment and maintenance expenditures by customers; changes in economic conditions in relevant global and North American markets, including as a result of the imposition, or threat of imposition, of tariffs, including any new or increased tariffs announced by the U.S. government and any retaliatory tariffs announced in response thereto, and other trade barriers, international trade tensions or geopolitical conflicts; availability, limitations or cost increases of raw materials and/or commodities, including as a result of new or increased tariffs, as well as the potential impact of retaliatory tariffs and other penalties, that cannot be recovered in product pricing; the impact of competition on profit margins and the Company’s ability to maintain or increase market share; risks with respect to contracts with the U.S. government, including the government’s ability to terminate contracts prior to completion or failure to appropriate amounts necessary to fund such contracts;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uncertainties with respect to the Company’s ability to complete expansions to or the reconfiguration of its manufacturing footprint within the time periods and at costs it anticipates and whether it will realize the anticipated benefits of these activities; uncertainties with respect to the Company’s ability to identify acceptable acquisition targets; uncertainties surrounding timing and successful completion of acquisition transactions, including with respect to integrating acquisitions and achieving cost savings, synergistic sales or other benefits from acquisitions; uncertainties with respect to the Company’s ability to dispose of non-core businesses on attractive terms, within anticipated time periods, or at all;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the Company’s current complement of businesses, which is subject to change as management selects strategic markets.</w:t>
      </w:r>
    </w:p>
    <w:p>
      <w:pPr>
        <w:pStyle w:val="TextBody"/>
        <w:bidi w:val="0"/>
        <w:spacing w:lineRule="auto" w:line="276" w:before="0" w:after="180"/>
        <w:jc w:val="both"/>
        <w:rPr>
          <w:rFonts w:ascii="Arial;sans-serif" w:hAnsi="Arial;sans-serif"/>
          <w:b w:val="false"/>
          <w:color w:val="000000"/>
          <w:sz w:val="16"/>
        </w:rPr>
      </w:pPr>
      <w:r>
        <w:rPr>
          <w:rFonts w:ascii="Arial;sans-serif" w:hAnsi="Arial;sans-serif"/>
          <w:b w:val="false"/>
          <w:color w:val="000000"/>
          <w:sz w:val="16"/>
        </w:rPr>
        <w:t>Information with respect to our officers and directors presented in this proxy statement for periods prior to the consummation of our holding company reorganization completed on August 15, 2022 includes their respective service, and compensation from, our corporate predecessor, SPX Corporation. For example, although each of the directors was first elected to the Company’s Board of Directors in August 2022 in connection with the reorganization, the biographical and other information herein with respect such directors includes their service as directors of SPX Corporation for periods prior to the consummation of the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39140"/>
                <wp:effectExtent l="0" t="0" r="0" b="0"/>
                <wp:wrapNone/>
                <wp:docPr id="12"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447675" cy="161925"/>
                                                </a:xfrm>
                                                <a:prstGeom prst="rect">
                                                  <a:avLst/>
                                                </a:prstGeom>
                                              </pic:spPr>
                                            </pic:pic>
                                          </a:graphicData>
                                        </a:graphic>
                                      </wp:inline>
                                    </w:drawing>
                                  </w:r>
                                  <w:bookmarkStart w:id="5" w:name="i-6"/>
                                  <w:bookmarkEnd w:id="5"/>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8"/>
                                          <a:stretch>
                                            <a:fillRect/>
                                          </a:stretch>
                                        </pic:blipFill>
                                        <pic:spPr bwMode="auto">
                                          <a:xfrm>
                                            <a:off x="0" y="0"/>
                                            <a:ext cx="447675" cy="161925"/>
                                          </a:xfrm>
                                          <a:prstGeom prst="rect">
                                            <a:avLst/>
                                          </a:prstGeom>
                                        </pic:spPr>
                                      </pic:pic>
                                    </a:graphicData>
                                  </a:graphic>
                                </wp:inline>
                              </w:drawing>
                            </w:r>
                            <w:bookmarkStart w:id="6" w:name="i-6"/>
                            <w:bookmarkEnd w:id="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shd w:fill="E5E5E5" w:val="clear"/>
        </w:rPr>
      </w:pPr>
      <w:r>
        <w:rPr>
          <w:rFonts w:ascii="Arial;sans-serif" w:hAnsi="Arial;sans-serif"/>
          <w:b/>
          <w:color w:val="004C97"/>
          <w:sz w:val="42"/>
          <w:shd w:fill="E5E5E5" w:val="clear"/>
        </w:rPr>
        <w:t>MEETING AND VOTING HIGHLIGHTS</w:t>
      </w:r>
    </w:p>
    <w:p>
      <w:pPr>
        <w:pStyle w:val="TextBody"/>
        <w:bidi w:val="0"/>
        <w:spacing w:lineRule="auto" w:line="288" w:before="0" w:after="12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This summary highlights information about the Company, voting recommendations of our Board of Directors (“Board”), and certain information contained elsewhere in this proxy statement (“Proxy Statement”) for the Company’s 2026 Annual Meeting of Stockholders (“Annual Meeting” or “meeting”). This summary does not contain all of the information that you should consider in voting your shares. Before voting, you should carefully read the entire Proxy Statement and our 2025 Annual Report to Stockholders.</w:t>
      </w:r>
    </w:p>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04" w:type="dxa"/>
        <w:jc w:val="left"/>
        <w:tblInd w:w="0" w:type="dxa"/>
        <w:tblLayout w:type="fixed"/>
        <w:tblCellMar>
          <w:top w:w="28" w:type="dxa"/>
          <w:left w:w="28" w:type="dxa"/>
          <w:bottom w:w="28" w:type="dxa"/>
          <w:right w:w="28" w:type="dxa"/>
        </w:tblCellMar>
      </w:tblPr>
      <w:tblGrid>
        <w:gridCol w:w="511"/>
        <w:gridCol w:w="448"/>
        <w:gridCol w:w="451"/>
        <w:gridCol w:w="1812"/>
        <w:gridCol w:w="1812"/>
        <w:gridCol w:w="257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i/>
                <w:color w:val="000000"/>
                <w:sz w:val="18"/>
              </w:rPr>
            </w:pPr>
            <w:r>
              <w:rPr>
                <w:rFonts w:ascii="Arial;sans-serif" w:hAnsi="Arial;sans-serif"/>
                <w:b/>
                <w:i/>
                <w:color w:val="000000"/>
                <w:sz w:val="18"/>
              </w:rPr>
              <w:t>Time and Date:</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8:00 a.m. (Eastern Time), Tuesday, May 12, 2026</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i/>
                <w:color w:val="000000"/>
                <w:sz w:val="18"/>
              </w:rPr>
            </w:pPr>
            <w:r>
              <w:rPr>
                <w:rFonts w:ascii="Arial;sans-serif" w:hAnsi="Arial;sans-serif"/>
                <w:b/>
                <w:i/>
                <w:color w:val="000000"/>
                <w:sz w:val="18"/>
              </w:rPr>
              <w:t>Place:</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Virtual format, conducted via a live webcast at: meetnow.global/MHVAZUD</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i/>
                <w:color w:val="000000"/>
                <w:sz w:val="18"/>
              </w:rPr>
            </w:pPr>
            <w:r>
              <w:rPr>
                <w:rFonts w:ascii="Arial;sans-serif" w:hAnsi="Arial;sans-serif"/>
                <w:b/>
                <w:i/>
                <w:color w:val="000000"/>
                <w:sz w:val="18"/>
              </w:rPr>
              <w:t>Record Date:</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March 16, 2026</w:t>
            </w:r>
          </w:p>
        </w:tc>
      </w:tr>
    </w:tbl>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Purpose of Meeting and Board Recommendations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8"/>
        <w:gridCol w:w="290"/>
        <w:gridCol w:w="292"/>
        <w:gridCol w:w="1406"/>
        <w:gridCol w:w="1288"/>
        <w:gridCol w:w="1278"/>
        <w:gridCol w:w="505"/>
        <w:gridCol w:w="505"/>
        <w:gridCol w:w="506"/>
        <w:gridCol w:w="1013"/>
        <w:gridCol w:w="920"/>
        <w:gridCol w:w="924"/>
        <w:gridCol w:w="277"/>
        <w:gridCol w:w="277"/>
        <w:gridCol w:w="396"/>
      </w:tblGrid>
      <w:tr>
        <w:trPr/>
        <w:tc>
          <w:tcPr>
            <w:tcW w:w="3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88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Proposals</w:t>
            </w:r>
          </w:p>
        </w:tc>
        <w:tc>
          <w:tcPr>
            <w:tcW w:w="151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Board Vote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Recommendation</w:t>
            </w:r>
          </w:p>
        </w:tc>
        <w:tc>
          <w:tcPr>
            <w:tcW w:w="285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Votes Required for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Approval</w:t>
            </w:r>
          </w:p>
        </w:tc>
        <w:tc>
          <w:tcPr>
            <w:tcW w:w="9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Page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Reference</w:t>
            </w:r>
          </w:p>
        </w:tc>
      </w:tr>
      <w:tr>
        <w:trPr/>
        <w:tc>
          <w:tcPr>
            <w:tcW w:w="910"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1:</w:t>
            </w:r>
          </w:p>
        </w:tc>
        <w:tc>
          <w:tcPr>
            <w:tcW w:w="397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Election of Directors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br/>
              <w:t>each nominee</w:t>
            </w:r>
          </w:p>
        </w:tc>
        <w:tc>
          <w:tcPr>
            <w:tcW w:w="285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votes cast</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pPr>
            <w:hyperlink w:anchor="i46ca181cbcfd49d9b17550b64a323f51_31">
              <w:r>
                <w:rPr>
                  <w:rStyle w:val="InternetLink"/>
                  <w:rFonts w:ascii="Arial;sans-serif" w:hAnsi="Arial;sans-serif"/>
                  <w:b w:val="false"/>
                  <w:strike w:val="false"/>
                  <w:dstrike w:val="false"/>
                  <w:color w:val="000000"/>
                  <w:sz w:val="16"/>
                  <w:u w:val="none"/>
                  <w:effect w:val="none"/>
                </w:rPr>
                <w:t>13</w:t>
              </w:r>
            </w:hyperlink>
          </w:p>
        </w:tc>
      </w:tr>
      <w:tr>
        <w:trPr/>
        <w:tc>
          <w:tcPr>
            <w:tcW w:w="910"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2:</w:t>
            </w:r>
          </w:p>
        </w:tc>
        <w:tc>
          <w:tcPr>
            <w:tcW w:w="397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Named Executive Officers’ Compensation, on a Non-binding Advisory Basis (“Say-on-Pay”)</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85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votes cast</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pPr>
            <w:hyperlink w:anchor="i46ca181cbcfd49d9b17550b64a323f51_40">
              <w:r>
                <w:rPr>
                  <w:rStyle w:val="InternetLink"/>
                  <w:rFonts w:ascii="Arial;sans-serif" w:hAnsi="Arial;sans-serif"/>
                  <w:b w:val="false"/>
                  <w:strike w:val="false"/>
                  <w:dstrike w:val="false"/>
                  <w:color w:val="000000"/>
                  <w:sz w:val="16"/>
                  <w:u w:val="none"/>
                  <w:effect w:val="none"/>
                </w:rPr>
                <w:t>51</w:t>
              </w:r>
            </w:hyperlink>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397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397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397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3972"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3:</w:t>
            </w:r>
          </w:p>
        </w:tc>
        <w:tc>
          <w:tcPr>
            <w:tcW w:w="397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Appointment of Independent Registered Public Accounting Firm</w:t>
            </w:r>
          </w:p>
        </w:tc>
        <w:tc>
          <w:tcPr>
            <w:tcW w:w="151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85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95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pPr>
            <w:hyperlink w:anchor="i46ca181cbcfd49d9b17550b64a323f51_46">
              <w:r>
                <w:rPr>
                  <w:rStyle w:val="InternetLink"/>
                  <w:rFonts w:ascii="Arial;sans-serif" w:hAnsi="Arial;sans-serif"/>
                  <w:b w:val="false"/>
                  <w:strike w:val="false"/>
                  <w:dstrike w:val="false"/>
                  <w:color w:val="000000"/>
                  <w:sz w:val="16"/>
                  <w:u w:val="none"/>
                  <w:effect w:val="none"/>
                </w:rPr>
                <w:t>54</w:t>
              </w:r>
            </w:hyperlink>
          </w:p>
        </w:tc>
      </w:tr>
    </w:tbl>
    <w:p>
      <w:pPr>
        <w:pStyle w:val="TextBody"/>
        <w:bidi w:val="0"/>
        <w:spacing w:lineRule="auto" w:line="288" w:before="0" w:after="180"/>
        <w:jc w:val="both"/>
        <w:rPr>
          <w:rFonts w:ascii="Arial;sans-serif" w:hAnsi="Arial;sans-serif"/>
          <w:b/>
          <w:color w:val="000000"/>
          <w:sz w:val="18"/>
          <w:shd w:fill="E5E5E5" w:val="clear"/>
        </w:rPr>
      </w:pPr>
      <w:r>
        <w:rPr>
          <w:rFonts w:ascii="Arial;sans-serif" w:hAnsi="Arial;sans-serif"/>
          <w:b/>
          <w:color w:val="000000"/>
          <w:sz w:val="18"/>
          <w:shd w:fill="E5E5E5" w:val="clear"/>
        </w:rPr>
        <w:t>The Board strongly encourages you to exercise your right to vote on these matters. Your vote is important.</w:t>
      </w:r>
    </w:p>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Who May 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Holders of SPX common stock whose shares are recorded directly in their names in our stock register (“stockholders of record”) at the close of business on March 16, 2026, may vote their shares on the matters to be acted upon at the meeting. Stockholders who hold shares of our common stock in “street name,” that is, through an account with a broker, bank, trustee, or other holder of record, as of such date may direct the holder of record how to vote their shares at the meeting by following the instructions that they receive from the holder of record.</w:t>
      </w:r>
    </w:p>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A list of stockholders entitled to vote at the meeting will be available for examination at our principal executive offices located at 6325 Ardrey Kell Rd, Suite 400, Charlotte, North Carolina 28277, for a period of at least ten days prior to the Annual Meeting. The stock register will not be closed between the record date and the date of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39140"/>
                <wp:effectExtent l="0" t="0" r="0" b="0"/>
                <wp:wrapNone/>
                <wp:docPr id="15"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9"/>
                                                <a:stretch>
                                                  <a:fillRect/>
                                                </a:stretch>
                                              </pic:blipFill>
                                              <pic:spPr bwMode="auto">
                                                <a:xfrm>
                                                  <a:off x="0" y="0"/>
                                                  <a:ext cx="447675" cy="161925"/>
                                                </a:xfrm>
                                                <a:prstGeom prst="rect">
                                                  <a:avLst/>
                                                </a:prstGeom>
                                              </pic:spPr>
                                            </pic:pic>
                                          </a:graphicData>
                                        </a:graphic>
                                      </wp:inline>
                                    </w:drawing>
                                  </w:r>
                                  <w:bookmarkStart w:id="7" w:name="i-7"/>
                                  <w:bookmarkEnd w:id="7"/>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10"/>
                                          <a:stretch>
                                            <a:fillRect/>
                                          </a:stretch>
                                        </pic:blipFill>
                                        <pic:spPr bwMode="auto">
                                          <a:xfrm>
                                            <a:off x="0" y="0"/>
                                            <a:ext cx="447675" cy="161925"/>
                                          </a:xfrm>
                                          <a:prstGeom prst="rect">
                                            <a:avLst/>
                                          </a:prstGeom>
                                        </pic:spPr>
                                      </pic:pic>
                                    </a:graphicData>
                                  </a:graphic>
                                </wp:inline>
                              </w:drawing>
                            </w:r>
                            <w:bookmarkStart w:id="8" w:name="i-7"/>
                            <w:bookmarkEnd w:id="8"/>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32"/>
          <w:shd w:fill="E5E5E5" w:val="clear"/>
        </w:rPr>
      </w:pPr>
      <w:r>
        <w:rPr>
          <w:rFonts w:ascii="Arial;sans-serif" w:hAnsi="Arial;sans-serif"/>
          <w:b/>
          <w:color w:val="000000"/>
          <w:sz w:val="32"/>
          <w:shd w:fill="E5E5E5" w:val="clear"/>
        </w:rPr>
        <w:t xml:space="preserve">How to Vote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3"/>
        <w:gridCol w:w="352"/>
        <w:gridCol w:w="326"/>
        <w:gridCol w:w="1298"/>
        <w:gridCol w:w="1214"/>
        <w:gridCol w:w="1208"/>
        <w:gridCol w:w="925"/>
        <w:gridCol w:w="925"/>
        <w:gridCol w:w="931"/>
        <w:gridCol w:w="821"/>
        <w:gridCol w:w="786"/>
        <w:gridCol w:w="996"/>
      </w:tblGrid>
      <w:tr>
        <w:trPr/>
        <w:tc>
          <w:tcPr>
            <w:tcW w:w="4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821"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How to Vote</w:t>
            </w:r>
          </w:p>
        </w:tc>
        <w:tc>
          <w:tcPr>
            <w:tcW w:w="278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Stockholders of</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Record*</w:t>
            </w:r>
          </w:p>
        </w:tc>
        <w:tc>
          <w:tcPr>
            <w:tcW w:w="260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Street Name</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Holders†</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266700" cy="4381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1"/>
                          <a:stretch>
                            <a:fillRect/>
                          </a:stretch>
                        </pic:blipFill>
                        <pic:spPr bwMode="auto">
                          <a:xfrm>
                            <a:off x="0" y="0"/>
                            <a:ext cx="266700" cy="438150"/>
                          </a:xfrm>
                          <a:prstGeom prst="rect">
                            <a:avLst/>
                          </a:prstGeom>
                        </pic:spPr>
                      </pic:pic>
                    </a:graphicData>
                  </a:graphic>
                </wp:inline>
              </w:drawing>
            </w:r>
            <w:bookmarkStart w:id="9" w:name="i-8"/>
            <w:bookmarkEnd w:id="9"/>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MOBILE DEVICE</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Scan the QR Code to vote using your mobile device:</w:t>
            </w:r>
          </w:p>
        </w:tc>
        <w:tc>
          <w:tcPr>
            <w:tcW w:w="278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2"/>
                          <a:stretch>
                            <a:fillRect/>
                          </a:stretch>
                        </pic:blipFill>
                        <pic:spPr bwMode="auto">
                          <a:xfrm>
                            <a:off x="0" y="0"/>
                            <a:ext cx="457200" cy="457200"/>
                          </a:xfrm>
                          <a:prstGeom prst="rect">
                            <a:avLst/>
                          </a:prstGeom>
                        </pic:spPr>
                      </pic:pic>
                    </a:graphicData>
                  </a:graphic>
                </wp:inline>
              </w:drawing>
            </w:r>
            <w:bookmarkStart w:id="10" w:name="i-9"/>
            <w:bookmarkEnd w:id="10"/>
          </w:p>
        </w:tc>
        <w:tc>
          <w:tcPr>
            <w:tcW w:w="260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Refer to voting instruction form.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400050" cy="3238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3"/>
                          <a:stretch>
                            <a:fillRect/>
                          </a:stretch>
                        </pic:blipFill>
                        <pic:spPr bwMode="auto">
                          <a:xfrm>
                            <a:off x="0" y="0"/>
                            <a:ext cx="400050" cy="323850"/>
                          </a:xfrm>
                          <a:prstGeom prst="rect">
                            <a:avLst/>
                          </a:prstGeom>
                        </pic:spPr>
                      </pic:pic>
                    </a:graphicData>
                  </a:graphic>
                </wp:inline>
              </w:drawing>
            </w:r>
            <w:bookmarkStart w:id="11" w:name="i-10"/>
            <w:bookmarkEnd w:id="11"/>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INTERNET</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Visit the applicable voting website:</w:t>
            </w:r>
          </w:p>
        </w:tc>
        <w:tc>
          <w:tcPr>
            <w:tcW w:w="27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www.envisionreports.com/ SPXC</w:t>
            </w:r>
          </w:p>
        </w:tc>
        <w:tc>
          <w:tcPr>
            <w:tcW w:w="260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www.proxyvote.com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304800" cy="32385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4"/>
                          <a:stretch>
                            <a:fillRect/>
                          </a:stretch>
                        </pic:blipFill>
                        <pic:spPr bwMode="auto">
                          <a:xfrm>
                            <a:off x="0" y="0"/>
                            <a:ext cx="304800" cy="323850"/>
                          </a:xfrm>
                          <a:prstGeom prst="rect">
                            <a:avLst/>
                          </a:prstGeom>
                        </pic:spPr>
                      </pic:pic>
                    </a:graphicData>
                  </a:graphic>
                </wp:inline>
              </w:drawing>
            </w:r>
            <w:bookmarkStart w:id="12" w:name="i-11"/>
            <w:bookmarkEnd w:id="12"/>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TELEPHONE</w:t>
            </w:r>
          </w:p>
        </w:tc>
        <w:tc>
          <w:tcPr>
            <w:tcW w:w="372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Within the United States, U.S. Territories, and</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Canada, on touch-tone telephone, call toll free:</w:t>
            </w:r>
          </w:p>
        </w:tc>
        <w:tc>
          <w:tcPr>
            <w:tcW w:w="278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1-800-652-VOTE (8683)</w:t>
            </w:r>
          </w:p>
        </w:tc>
        <w:tc>
          <w:tcPr>
            <w:tcW w:w="2603"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Refer to voting instruction form.</w:t>
            </w:r>
          </w:p>
        </w:tc>
      </w:tr>
      <w:tr>
        <w:trPr/>
        <w:tc>
          <w:tcPr>
            <w:tcW w:w="110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center"/>
              <w:rPr/>
            </w:pPr>
            <w:r>
              <w:rPr/>
              <w:drawing>
                <wp:inline distT="0" distB="0" distL="0" distR="0">
                  <wp:extent cx="409575" cy="27622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5"/>
                          <a:stretch>
                            <a:fillRect/>
                          </a:stretch>
                        </pic:blipFill>
                        <pic:spPr bwMode="auto">
                          <a:xfrm>
                            <a:off x="0" y="0"/>
                            <a:ext cx="409575" cy="276225"/>
                          </a:xfrm>
                          <a:prstGeom prst="rect">
                            <a:avLst/>
                          </a:prstGeom>
                        </pic:spPr>
                      </pic:pic>
                    </a:graphicData>
                  </a:graphic>
                </wp:inline>
              </w:drawing>
            </w:r>
            <w:bookmarkStart w:id="13" w:name="i-12"/>
            <w:bookmarkEnd w:id="13"/>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MAIL</w:t>
            </w:r>
          </w:p>
        </w:tc>
        <w:tc>
          <w:tcPr>
            <w:tcW w:w="9104" w:type="dxa"/>
            <w:gridSpan w:val="9"/>
            <w:tcBorders>
              <w:bottom w:val="single" w:sz="4" w:space="0" w:color="000000"/>
              <w:right w:val="single" w:sz="4" w:space="0" w:color="000000"/>
            </w:tcBorders>
            <w:shd w:fill="FFFFFF" w:val="clear"/>
            <w:tcMar>
              <w:top w:w="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Complete, sign, and mail your proxy card or voting instruction form in the self-addressed envelope provided for receipt no later than May 11, 2026.</w:t>
            </w:r>
          </w:p>
        </w:tc>
      </w:tr>
      <w:tr>
        <w:trPr/>
        <w:tc>
          <w:tcPr>
            <w:tcW w:w="110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before="0" w:after="0"/>
              <w:jc w:val="center"/>
              <w:rPr/>
            </w:pPr>
            <w:r>
              <w:rPr/>
              <w:drawing>
                <wp:inline distT="0" distB="0" distL="0" distR="0">
                  <wp:extent cx="266700" cy="352425"/>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6"/>
                          <a:stretch>
                            <a:fillRect/>
                          </a:stretch>
                        </pic:blipFill>
                        <pic:spPr bwMode="auto">
                          <a:xfrm>
                            <a:off x="0" y="0"/>
                            <a:ext cx="266700" cy="352425"/>
                          </a:xfrm>
                          <a:prstGeom prst="rect">
                            <a:avLst/>
                          </a:prstGeom>
                        </pic:spPr>
                      </pic:pic>
                    </a:graphicData>
                  </a:graphic>
                </wp:inline>
              </w:drawing>
            </w:r>
            <w:bookmarkStart w:id="14" w:name="i-13"/>
            <w:bookmarkEnd w:id="14"/>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MEETING</w:t>
            </w:r>
          </w:p>
        </w:tc>
        <w:tc>
          <w:tcPr>
            <w:tcW w:w="9104" w:type="dxa"/>
            <w:gridSpan w:val="9"/>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 instructions on attending and voting during the Annual Meeting, conducted via a live webcast, please see below and page 55.</w:t>
            </w:r>
          </w:p>
        </w:tc>
      </w:tr>
    </w:tbl>
    <w:p>
      <w:pPr>
        <w:pStyle w:val="TextBody"/>
        <w:bidi w:val="0"/>
        <w:spacing w:lineRule="auto" w:line="288" w:before="0" w:after="0"/>
        <w:jc w:val="both"/>
        <w:rPr>
          <w:rFonts w:ascii="Arial;sans-serif" w:hAnsi="Arial;sans-serif"/>
          <w:b w:val="false"/>
          <w:color w:val="000000"/>
          <w:sz w:val="14"/>
          <w:shd w:fill="E5E5E5" w:val="clear"/>
        </w:rPr>
      </w:pPr>
      <w:r>
        <w:rPr>
          <w:rFonts w:ascii="Arial;sans-serif" w:hAnsi="Arial;sans-serif"/>
          <w:b w:val="false"/>
          <w:color w:val="000000"/>
          <w:sz w:val="14"/>
          <w:shd w:fill="E5E5E5" w:val="clear"/>
        </w:rPr>
        <w:t>* You hold shares registered in your name with SPX’s transfer agent, Computershare, or you are an Employee Benefit Plan Participant.</w:t>
      </w:r>
    </w:p>
    <w:p>
      <w:pPr>
        <w:pStyle w:val="TextBody"/>
        <w:bidi w:val="0"/>
        <w:spacing w:lineRule="auto" w:line="288" w:before="0" w:after="180"/>
        <w:jc w:val="both"/>
        <w:rPr>
          <w:color w:val="000000"/>
          <w:shd w:fill="E5E5E5" w:val="clear"/>
        </w:rPr>
      </w:pPr>
      <w:r>
        <w:rPr>
          <w:color w:val="000000"/>
          <w:shd w:fill="E5E5E5" w:val="clear"/>
        </w:rPr>
        <w:t xml:space="preserve">† </w:t>
      </w:r>
      <w:r>
        <w:rPr>
          <w:rFonts w:ascii="Arial;sans-serif" w:hAnsi="Arial;sans-serif"/>
          <w:b w:val="false"/>
          <w:color w:val="000000"/>
          <w:sz w:val="14"/>
          <w:shd w:fill="E5E5E5" w:val="clear"/>
        </w:rPr>
        <w:t>You hold shares held through a broker, bank, trustee, or other holder of record.</w:t>
      </w:r>
    </w:p>
    <w:p>
      <w:pPr>
        <w:pStyle w:val="TextBody"/>
        <w:bidi w:val="0"/>
        <w:spacing w:lineRule="auto" w:line="288" w:before="0" w:after="240"/>
        <w:jc w:val="both"/>
        <w:rPr>
          <w:rFonts w:ascii="Arial;sans-serif" w:hAnsi="Arial;sans-serif"/>
          <w:b/>
          <w:color w:val="000000"/>
          <w:sz w:val="18"/>
          <w:shd w:fill="E5E5E5" w:val="clear"/>
        </w:rPr>
      </w:pPr>
      <w:r>
        <w:rPr>
          <w:rFonts w:ascii="Arial;sans-serif" w:hAnsi="Arial;sans-serif"/>
          <w:b/>
          <w:color w:val="000000"/>
          <w:sz w:val="18"/>
          <w:shd w:fill="E5E5E5" w:val="clear"/>
        </w:rPr>
        <w:t>Your voting instructions must be received prior to the start of the meeting at 8:00 a.m. (Eastern Time), on May 12, 2026, if you are not voting at the meeting. Voting instructions submitted by participants in the KSOP Trust must be received by 9:00 a.m. (Eastern Time) on May 8, 2026.</w:t>
      </w:r>
    </w:p>
    <w:p>
      <w:pPr>
        <w:pStyle w:val="TextBody"/>
        <w:bidi w:val="0"/>
        <w:spacing w:lineRule="auto" w:line="288" w:before="240" w:after="283"/>
        <w:jc w:val="left"/>
        <w:rPr>
          <w:rFonts w:ascii="Arial;sans-serif" w:hAnsi="Arial;sans-serif"/>
          <w:b/>
          <w:color w:val="000000"/>
          <w:sz w:val="32"/>
          <w:shd w:fill="E5E5E5" w:val="clear"/>
        </w:rPr>
      </w:pPr>
      <w:r>
        <w:rPr>
          <w:rFonts w:ascii="Arial;sans-serif" w:hAnsi="Arial;sans-serif"/>
          <w:b/>
          <w:color w:val="000000"/>
          <w:sz w:val="32"/>
          <w:shd w:fill="E5E5E5" w:val="clear"/>
        </w:rPr>
        <w:t>Admission to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The Annual Meeting will be held solely in a virtual format, conducted via a live webcast. You will be able to attend the Annual Meeting by visiting the Company’s virtual meeting website (meetnow.global/MHVAZUD) at the meeting time. Upon visiting the meeting website, you will be prompted to enter your 15-digit control number provided on your Notice of Internet Availability of Proxy Materials or proxy card you received with your proxy materials.</w:t>
      </w:r>
    </w:p>
    <w:p>
      <w:pPr>
        <w:pStyle w:val="TextBody"/>
        <w:bidi w:val="0"/>
        <w:spacing w:lineRule="auto" w:line="288" w:before="0" w:after="180"/>
        <w:jc w:val="both"/>
        <w:rPr>
          <w:shd w:fill="E5E5E5" w:val="clear"/>
        </w:rPr>
      </w:pPr>
      <w:r>
        <w:rPr>
          <w:rFonts w:ascii="Arial;sans-serif" w:hAnsi="Arial;sans-serif"/>
          <w:b w:val="false"/>
          <w:color w:val="000000"/>
          <w:sz w:val="18"/>
          <w:shd w:fill="E5E5E5" w:val="clear"/>
        </w:rPr>
        <w:t>If you hold your shares in street name, in order to join the virtual meeting as a stockholder and be able to vote and submit questions during the Annual Meeting, you will need to contact your broker, bank or other holder to receive proof of your beneficial ownership and submit such proof, along with your name and email information, to Computershare in advance of the Annual Meeting no later than 5:00 p.m.</w:t>
      </w:r>
      <w:r>
        <w:rPr>
          <w:color w:val="000000"/>
          <w:shd w:fill="E5E5E5" w:val="clear"/>
        </w:rPr>
        <w:t xml:space="preserve"> </w:t>
      </w:r>
      <w:r>
        <w:rPr>
          <w:rFonts w:ascii="Arial;sans-serif" w:hAnsi="Arial;sans-serif"/>
          <w:b w:val="false"/>
          <w:color w:val="000000"/>
          <w:sz w:val="18"/>
          <w:shd w:fill="E5E5E5" w:val="clear"/>
        </w:rPr>
        <w:t>(Eastern Time) on May 8, 2026, which may be submitted via email to legalproxy@computershare.com,</w:t>
      </w:r>
      <w:r>
        <w:rPr>
          <w:color w:val="000000"/>
          <w:shd w:fill="E5E5E5" w:val="clear"/>
        </w:rPr>
        <w:t xml:space="preserve"> </w:t>
      </w:r>
      <w:r>
        <w:rPr>
          <w:rFonts w:ascii="Arial;sans-serif" w:hAnsi="Arial;sans-serif"/>
          <w:b w:val="false"/>
          <w:color w:val="000000"/>
          <w:sz w:val="18"/>
          <w:shd w:fill="E5E5E5" w:val="clear"/>
        </w:rPr>
        <w:t>or via mail to Computershare, SPX Technologies, Inc. Legal Proxy, P.O. Box 43001, Providence, Rhode Island 02940-3001.</w:t>
      </w:r>
      <w:r>
        <w:rPr>
          <w:color w:val="000000"/>
          <w:shd w:fill="E5E5E5" w:val="clear"/>
        </w:rPr>
        <w:t xml:space="preserve"> </w:t>
      </w:r>
      <w:r>
        <w:rPr>
          <w:rFonts w:ascii="Arial;sans-serif" w:hAnsi="Arial;sans-serif"/>
          <w:b w:val="false"/>
          <w:color w:val="000000"/>
          <w:sz w:val="18"/>
          <w:shd w:fill="E5E5E5" w:val="clear"/>
        </w:rPr>
        <w:t>Upon receipt of such beneficial ownership proof, Computershare will then register you for attendance at the virtual meeting and provide you with registration information needed to join the meeting as a stockholder.</w:t>
      </w:r>
    </w:p>
    <w:p>
      <w:pPr>
        <w:pStyle w:val="TextBody"/>
        <w:bidi w:val="0"/>
        <w:spacing w:lineRule="auto" w:line="288" w:before="360" w:after="283"/>
        <w:jc w:val="both"/>
        <w:rPr>
          <w:rFonts w:ascii="Arial;sans-serif" w:hAnsi="Arial;sans-serif"/>
          <w:b/>
          <w:color w:val="000000"/>
          <w:sz w:val="32"/>
          <w:shd w:fill="E5E5E5" w:val="clear"/>
        </w:rPr>
      </w:pPr>
      <w:r>
        <w:rPr>
          <w:rFonts w:ascii="Arial;sans-serif" w:hAnsi="Arial;sans-serif"/>
          <w:b/>
          <w:color w:val="000000"/>
          <w:sz w:val="32"/>
          <w:shd w:fill="E5E5E5" w:val="clear"/>
        </w:rPr>
        <w:t>Additional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More detailed information about the Annual Meeting and voting can be found in “Questions and Answers” beginning on page 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39140"/>
                <wp:effectExtent l="0" t="0" r="0" b="0"/>
                <wp:wrapNone/>
                <wp:docPr id="24"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7"/>
                                                <a:stretch>
                                                  <a:fillRect/>
                                                </a:stretch>
                                              </pic:blipFill>
                                              <pic:spPr bwMode="auto">
                                                <a:xfrm>
                                                  <a:off x="0" y="0"/>
                                                  <a:ext cx="447675" cy="161925"/>
                                                </a:xfrm>
                                                <a:prstGeom prst="rect">
                                                  <a:avLst/>
                                                </a:prstGeom>
                                              </pic:spPr>
                                            </pic:pic>
                                          </a:graphicData>
                                        </a:graphic>
                                      </wp:inline>
                                    </w:drawing>
                                  </w:r>
                                  <w:bookmarkStart w:id="15" w:name="i-14"/>
                                  <w:bookmarkEnd w:id="15"/>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8"/>
                                          <a:stretch>
                                            <a:fillRect/>
                                          </a:stretch>
                                        </pic:blipFill>
                                        <pic:spPr bwMode="auto">
                                          <a:xfrm>
                                            <a:off x="0" y="0"/>
                                            <a:ext cx="447675" cy="161925"/>
                                          </a:xfrm>
                                          <a:prstGeom prst="rect">
                                            <a:avLst/>
                                          </a:prstGeom>
                                        </pic:spPr>
                                      </pic:pic>
                                    </a:graphicData>
                                  </a:graphic>
                                </wp:inline>
                              </w:drawing>
                            </w:r>
                            <w:bookmarkStart w:id="16" w:name="i-14"/>
                            <w:bookmarkEnd w:id="1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180"/>
        <w:jc w:val="left"/>
        <w:rPr>
          <w:rFonts w:ascii="Arial;sans-serif" w:hAnsi="Arial;sans-serif"/>
          <w:b/>
          <w:color w:val="004C97"/>
          <w:sz w:val="42"/>
        </w:rPr>
      </w:pPr>
      <w:r>
        <w:rPr>
          <w:rFonts w:ascii="Arial;sans-serif" w:hAnsi="Arial;sans-serif"/>
          <w:b/>
          <w:color w:val="004C97"/>
          <w:sz w:val="42"/>
        </w:rPr>
        <w:t>CORPORATE GOVERNANCE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CODE OF ETHICS AND BUSINESS CONDUCT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CORPORATE GOVERNANCE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part of its ongoing commitment to good corporate governance, the Board has codified its corporate governance practices into a set of Corporate Governance Guidelines. These guidelines are reviewed annually by the Governance &amp; Sustainability Committee and approved by the full Board to maintain the most up-to-date governance practices. These guidelines assist the Board in the exercise of its responsibilities and may be amended by the Board from time to time. Our Corporate Governance Guidelines are available on our website (www.spx.com) under the heading “Investor Relations—Corporate Governance—Corporate Governance Guidelines.”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STRUCTURE OF THE BOARD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of Directors is currently classified into three separate classes. At our 2024 annual meeting of stockholders, the Company’s stockholders approved an amendment to the Company’s Certificate of Incorporation providing for the elimination of the classified board structure over a three-year period (the “Declassification Amendment”). As a result of the approval of the Declassification Amendment, our classified board structure is being phased out, and the annual election of the entire Board of Directors is being phased in over a three-year period concluding at the 2027 annual meeting of stockholders.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DIRECTOR INDEPENDENCE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Corporate Governance Guidelines require that a substantial majority of the Board meet the independence requirements of the listing standards of the New York Stock Exchange (“NYSE”). At least annually, our Board reviews whether each of our directors is independent. The Board has adopted Independence Standards to help guide it in this process. Our Independence Standards are available on our website (www.spx.com) under the heading “Investor Relations—Corporate Governance.” Based on its most recent annual review, the Board has concluded that Patrick J. O’Leary, Ricky D. Puckett, David A. Roberts, Meenal A. Sethna, Ruth G. Shaw, Robert B. Toth, Tana L. Utley, and Angel Shelton Willis are independent, as defined in our Independence Standards and the listing standards of the NYSE. The Board has concluded that Eugene J. Lowe, SPX’s President and Chief Executive Officer (“CEO”), is not independent as defined in our Independence Standards and the listing standards of the NYSE.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non-employee members of the Board meet regularly in executive session without management. In addition, the non-employee members of the Board meet in executive session on a regular basis with the CEO and such other management as the Board deems appropriate.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SUSTAINABILITY MATTERS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addition to our Corporate Governance Guidelines, we have implemented programs to incorporate sustainability practices both in the products we make and how we make them. The Governance &amp; Sustainability Committee of the Board oversees the governance of SPX’s sustainability program. At the direction of the Board, the Company has formed a Sustainability Steering Committee, a management committee that provides periodic reports to the Governance &amp; Sustainability Committee on the Company’s sustainability initiatives and efforts. In December 2025, SPX published its Eighth Annual Sustainability Report reflecting significant progress across several measures and initiatives, including reaching our 2030 Greenhouse Gas emissions intensity target ahead of plan. A copy of this Sustainability Report can be found on our website (www.spx.com), under the heading “Investor Relations—Sustainability—Sustainability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39140"/>
                <wp:effectExtent l="0" t="0" r="0" b="0"/>
                <wp:wrapNone/>
                <wp:docPr id="27"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9"/>
                                                <a:stretch>
                                                  <a:fillRect/>
                                                </a:stretch>
                                              </pic:blipFill>
                                              <pic:spPr bwMode="auto">
                                                <a:xfrm>
                                                  <a:off x="0" y="0"/>
                                                  <a:ext cx="447675" cy="161925"/>
                                                </a:xfrm>
                                                <a:prstGeom prst="rect">
                                                  <a:avLst/>
                                                </a:prstGeom>
                                              </pic:spPr>
                                            </pic:pic>
                                          </a:graphicData>
                                        </a:graphic>
                                      </wp:inline>
                                    </w:drawing>
                                  </w:r>
                                  <w:bookmarkStart w:id="17" w:name="i-15"/>
                                  <w:bookmarkEnd w:id="17"/>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20"/>
                                          <a:stretch>
                                            <a:fillRect/>
                                          </a:stretch>
                                        </pic:blipFill>
                                        <pic:spPr bwMode="auto">
                                          <a:xfrm>
                                            <a:off x="0" y="0"/>
                                            <a:ext cx="447675" cy="161925"/>
                                          </a:xfrm>
                                          <a:prstGeom prst="rect">
                                            <a:avLst/>
                                          </a:prstGeom>
                                        </pic:spPr>
                                      </pic:pic>
                                    </a:graphicData>
                                  </a:graphic>
                                </wp:inline>
                              </w:drawing>
                            </w:r>
                            <w:bookmarkStart w:id="18" w:name="i-15"/>
                            <w:bookmarkEnd w:id="18"/>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RISK OVERSIGHT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exercises overall risk governance at SPX, with committees taking the lead in discrete areas of risk oversight. For example, the Audit Committee is primarily responsible for risk oversight relating to financial statements and cybersecurity; the Compensation Committee is primarily responsible for risk oversight relating to executive compensation; and the Governance &amp; Sustainability Committee is primarily responsible for risk oversight relating to corporate governance, including with respect to sustainability matters. Committees report to the Board on risk management matters on a regular basis.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presents to the Audit Committee its view of the principal risks facing SPX in a dedicated “enterprise risk management” presentation at least once a year. Matters such as risk tolerance and management of risk are also discussed at this meeting. Further, management periodically reviews with the Audit Committee our major risk exposures, identified through the enterprise risk management process, as well as the steps management has taken to monitor and control such exposures.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of Directors provides oversight of the Company’s strategy, including the responsible use of digital technologies such as artificial intelligence. Management is responsible for developing and executing the company’s AI strategy in alignment with business objectives, applicable laws and regulations, and the Company’s risk management framework.</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addition, the Board explicitly addresses risk in a wide range of discussions, including those relating to segment or business unit activities, specific corporate functions (such as treasury, tax, capital allocation, legal, etc.), cybersecurity, ongoing litigation, and consideration of extraordinary transactions. In particular, the Audit Committee reviews cybersecurity risk mitigation each quarter and conducts a bi-annual in-depth review of our material cybersecurity risks and our defensive posture with management and SPX’s Chief Information Officer and Chief Information Security Officer. In addition to the Board’s active role in these discussions, the Board has full access to management, as well as the ability to engage advisors, in order to assist in its risk oversight role.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CHARITABLE CONTRIBUTIONS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It is the policy of the Board that no officer or director shall solicit contributions for charities from other officers or directors or directly from SPX if the director or officer soliciting the contributions personally controls the charity. In addition, no officer or director shall solicit contributions from other officers or directors for charities controlled by SPX.</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From time to time, SPX may make contributions to charitable organizations for which a member of our Board or one of our executive officers serves as a director or officer. In the past three fiscal years, however, the amount of any of these contributions in any single fiscal year has not exceeded the greater of $1 million or 2% of the charitable organization’s consolidated gross revenues.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STRATEGIC PLANNING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meets regularly to discuss the strategic direction and the issues and opportunities facing our Company. Our Board has been instrumental in determining our next steps as we focus on growth with an emphasis on strengthening our current complement of businesses while living up to our values and our commitment to sustainability principles.</w:t>
      </w:r>
    </w:p>
    <w:p>
      <w:pPr>
        <w:pStyle w:val="TextBody"/>
        <w:bidi w:val="0"/>
        <w:spacing w:lineRule="auto" w:line="288" w:before="0" w:after="180"/>
        <w:ind w:left="0" w:right="0" w:hanging="216"/>
        <w:jc w:val="both"/>
        <w:rPr/>
      </w:pPr>
      <w:r>
        <w:rPr>
          <w:color w:val="000000"/>
        </w:rPr>
        <w:t>•</w:t>
      </w:r>
      <w:r>
        <w:rPr>
          <w:rFonts w:ascii="Arial;sans-serif" w:hAnsi="Arial;sans-serif"/>
          <w:b w:val="false"/>
          <w:i/>
          <w:color w:val="000000"/>
          <w:sz w:val="18"/>
        </w:rPr>
        <w:t xml:space="preserve">Constant Focus on Strategy: </w:t>
      </w:r>
      <w:r>
        <w:rPr>
          <w:rFonts w:ascii="Arial;sans-serif" w:hAnsi="Arial;sans-serif"/>
          <w:b w:val="false"/>
          <w:color w:val="000000"/>
          <w:sz w:val="18"/>
        </w:rPr>
        <w:t>Throughout the year, our Board provides guidance to management on strategy and helps to refine business plans to implement the strategy.</w:t>
      </w:r>
    </w:p>
    <w:p>
      <w:pPr>
        <w:pStyle w:val="TextBody"/>
        <w:bidi w:val="0"/>
        <w:spacing w:lineRule="auto" w:line="288" w:before="0" w:after="180"/>
        <w:ind w:left="0" w:right="0" w:hanging="216"/>
        <w:jc w:val="both"/>
        <w:rPr/>
      </w:pPr>
      <w:r>
        <w:rPr>
          <w:color w:val="000000"/>
        </w:rPr>
        <w:t>•</w:t>
      </w:r>
      <w:r>
        <w:rPr>
          <w:rFonts w:ascii="Arial;sans-serif" w:hAnsi="Arial;sans-serif"/>
          <w:b w:val="false"/>
          <w:i/>
          <w:color w:val="000000"/>
          <w:sz w:val="18"/>
        </w:rPr>
        <w:t>Detailed Annual Review of Strategy:</w:t>
      </w:r>
      <w:r>
        <w:rPr>
          <w:color w:val="000000"/>
        </w:rPr>
        <w:t xml:space="preserve"> </w:t>
      </w:r>
      <w:r>
        <w:rPr>
          <w:rFonts w:ascii="Arial;sans-serif" w:hAnsi="Arial;sans-serif"/>
          <w:b w:val="false"/>
          <w:color w:val="000000"/>
          <w:sz w:val="18"/>
        </w:rPr>
        <w:t>Each year, typically during the third quarter, the Board holds an extensive meeting with senior management dedicated to discussing and reviewing our long-term business plans and overall corporate strategy. As part of this meeting, our CEO leads a discussion of potential growth opportunities, key risks to the plans and strategy, and risk mitigation plans and activities.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Furthermore, in setting our business strategy, the Board plays a critical role in determining the types and appropriate levels of risk undertaken by the Company.</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COMMUNICATIONS WITH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Interested parties may communicate with any of our non-employee directors by writing to the director in care of our Corporate Secretary at our address shown on the Notice of Annual Meeting of Stockholders accompanying this Proxy Statement. In accordance with the policy adopted by our non-employee directors, our Corporate Secretary will promptly relay to the addressee all communications that he determines require prompt attention by a non-employee director and will regularly provide the non-employee directors with a summary of all substantive communications.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39140"/>
                <wp:effectExtent l="0" t="0" r="0" b="0"/>
                <wp:wrapNone/>
                <wp:docPr id="30"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21"/>
                                                <a:stretch>
                                                  <a:fillRect/>
                                                </a:stretch>
                                              </pic:blipFill>
                                              <pic:spPr bwMode="auto">
                                                <a:xfrm>
                                                  <a:off x="0" y="0"/>
                                                  <a:ext cx="447675" cy="161925"/>
                                                </a:xfrm>
                                                <a:prstGeom prst="rect">
                                                  <a:avLst/>
                                                </a:prstGeom>
                                              </pic:spPr>
                                            </pic:pic>
                                          </a:graphicData>
                                        </a:graphic>
                                      </wp:inline>
                                    </w:drawing>
                                  </w:r>
                                  <w:bookmarkStart w:id="19" w:name="i-16"/>
                                  <w:bookmarkEnd w:id="19"/>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22"/>
                                          <a:stretch>
                                            <a:fillRect/>
                                          </a:stretch>
                                        </pic:blipFill>
                                        <pic:spPr bwMode="auto">
                                          <a:xfrm>
                                            <a:off x="0" y="0"/>
                                            <a:ext cx="447675" cy="161925"/>
                                          </a:xfrm>
                                          <a:prstGeom prst="rect">
                                            <a:avLst/>
                                          </a:prstGeom>
                                        </pic:spPr>
                                      </pic:pic>
                                    </a:graphicData>
                                  </a:graphic>
                                </wp:inline>
                              </w:drawing>
                            </w:r>
                            <w:bookmarkStart w:id="20" w:name="i-16"/>
                            <w:bookmarkEnd w:id="20"/>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DIRECTOR NOMINEES AND QUALIFICATIONS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is responsible for proposing director nominees and will consider director nominee recommendations offered by stockholders in accordance with our By-laws. The Governance &amp; Sustainability Committee selects individuals as director nominees based on the following:</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Integrity;</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Business and professional accomplishments;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Ability to understand our businesses;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Willingness to devote the necessary time to Board duties;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Demonstrated ability to make independent analytical inquiries;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Absence of conflicts of interest; and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Alignment of skills with those identified by the Board as desirable for the advancement of the Company; for more details on such identified areas, see our skills matrix under “Director and Nominee Skills and Experience” on page 19.</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and the Governance &amp; Sustainability Committee require each director to have a proven record of success and leadership. In order to maintain appropriate flexibility to adjust to evolving needs, neither the Board nor the Governance &amp; Sustainability Committee has set minimum requirements with respect to age, education, or years of business experience or has designated specific expertise required for directors. Rather, the Governance &amp; Sustainability Committee seeks to structure the Board so that it consists of a diverse group of individuals, each with a unique combination of skills, experience, and background. The Governance &amp; Sustainability Committee has no set diversity policy or targets, but places what it believes to be appropriate emphasis on certain skills, experience, and background that it determines adds, or would add, value to our Board. Knowledge of our industries and strategic perspective, as well as financial expertise, operational experience, and expertise with strategy development (including mergers and acquisitions) are examples of attributes that our Board and the Governance &amp; Sustainability Committee consider important. The Governance &amp; Sustainability Committee also considers effective interaction among Board members and between the Board and management to be crucial factors in considering individuals for nomination.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regularly reviews the participation of individual directors to ensure that each director is devoting adequate time and attention to Company matters. In addition, our Corporate Governance Guidelines provide that: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 xml:space="preserve">Non-management directors should not serve on more than four public company boards, including the Company’s Board, and are required to notify the Governance &amp; Sustainability Committee prior to accepting an invitation to serve on the board, audit committee or compensation committee of another public company; </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Directors who are also full-time executives either at the Company or another entity, including without limitation, the Company’s Chief Executive Officer, should not serve on more than two public company boards, including the Company’s Board;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 xml:space="preserve">Committee chairs should not serve as the chair of more than three public company board committees, including his or her role as chair of a Company Board committee; and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chair of the Audit Committee should not serve as the chair of more than three audit committees (including the Company Audit Committee, but excluding the audit committees of any non-profit organizations).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considers the criteria listed in the paragraphs above at least each time a director is re-nominated for Board membership or when considering additions to the Board. At such times as the Board and the Governance &amp; Sustainability Committee determine there is a need to add or replace a director, the Governance &amp; Sustainability Committee identifies director candidates through references from its members, other directors, management, or, if appropriate, outside search firms. The Governance &amp; Sustainability Committee applies the same process and standards to the evaluation of each potential director nominee, regardless of whether he or she is recommended by one or more stockholders or is identified by some other method. The Board does not mandate director retirement based on age.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Any stockholder who wishes to recommend an individual for consideration by the Governance &amp; Sustainability Committee should provide written notice of the recommendation to our Corporate Secretary at our address shown on the Notice of Annual Meeting of Stockholders accompanying this Proxy Statement. Such notice must be accompanied by certain disclosures, including written information about the recommended nominee’s business experience and background, and documentation required under our By-laws for stockholder nominations of directors, as well as a consent in writing signed by the recommended nominee that he or she is willing to be considered as a nominee and, if nominated and elected, that he or she will serve as a director. In addition, any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39140"/>
                <wp:effectExtent l="0" t="0" r="0" b="0"/>
                <wp:wrapNone/>
                <wp:docPr id="33"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23"/>
                                                <a:stretch>
                                                  <a:fillRect/>
                                                </a:stretch>
                                              </pic:blipFill>
                                              <pic:spPr bwMode="auto">
                                                <a:xfrm>
                                                  <a:off x="0" y="0"/>
                                                  <a:ext cx="447675" cy="161925"/>
                                                </a:xfrm>
                                                <a:prstGeom prst="rect">
                                                  <a:avLst/>
                                                </a:prstGeom>
                                              </pic:spPr>
                                            </pic:pic>
                                          </a:graphicData>
                                        </a:graphic>
                                      </wp:inline>
                                    </w:drawing>
                                  </w:r>
                                  <w:bookmarkStart w:id="21" w:name="i-17"/>
                                  <w:bookmarkEnd w:id="21"/>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24"/>
                                          <a:stretch>
                                            <a:fillRect/>
                                          </a:stretch>
                                        </pic:blipFill>
                                        <pic:spPr bwMode="auto">
                                          <a:xfrm>
                                            <a:off x="0" y="0"/>
                                            <a:ext cx="447675" cy="161925"/>
                                          </a:xfrm>
                                          <a:prstGeom prst="rect">
                                            <a:avLst/>
                                          </a:prstGeom>
                                        </pic:spPr>
                                      </pic:pic>
                                    </a:graphicData>
                                  </a:graphic>
                                </wp:inline>
                              </w:drawing>
                            </w:r>
                            <w:bookmarkStart w:id="22" w:name="i-17"/>
                            <w:bookmarkEnd w:id="22"/>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nominee must provide information we may reasonably request in order for us to determine the eligibility of such nominee to serve as an independent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Once the Governance &amp; Sustainability Committee identifies a director candidate, directors and members of management interview the candidate. Following that process, the Governance &amp; Sustainability Committee and the Board determine whether to nominate the candidate for election at an annual meeting of stockholders or, if applicable, to appoint the candidate as a director. Any such nomination or appointment is subject to acceptance by the candidate. Our By-Laws require that any director appointed to the Board other than at an annual meeting of stockholders be submitted for election by our stockholders at the next annual meeting.</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DIRECTOR ELECTION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uncontested elections, we elect directors by majority vote. Under this voting standard, the number of shares voted “for” a director must exceed the number of shares voted “against” that director. In a contested election, directors are elected by a plurality of the votes represented in person or by proxy at the meeting. An election is contested if the number of nominees exceeds the number of directors to be elected. Whether or not an election is contested is determined ten days in advance of the date we file our definitive proxy statement with the Securities and Exchange Commission (“SEC”). This year’s election is uncontested. Accordingly, the majority vote standard will apply.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a nominee already serving as a director is not elected at an annual meeting, then the law of the State of Delaware (SPX’s state of organization) provides that the director will continue to serve on the Board as a “holdover director” until his or her successor is elected. Our Governance &amp; Sustainability Committee, however, has established procedures in our Corporate Governance Guidelines requiring directors to tender to the Board advance resignations. The Board will nominate for election or re-election as a director only those candidates who agree to tender, promptly following each annual meeting of stockholders at which they are subject to re-election as a director, irrevocable resignations that will be effective only if (1) the director fails to receive a sufficient number of votes for re-election at the next annual meeting of stockholders at which he or she faces re-election, and (2) the Board accepts the resignation. In addition, the Board will fill director vacancies and new directorships only with candidates who agree to tender, promptly following their appointment to the Board, the same form of resignation tendered by other directors in accordance with this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the event a resignation is triggered as a result of a director failing to receive sufficient votes, the Governance &amp; Sustainability Committee will consider the resignation and make a recommendation to the Board on whether to accept or reject it, or whether other action should be taken. The Board will consider the Governance &amp; Sustainability Committee’s recommendation and publicly disclose its decision and the rationale behind it in a Current Report on Form 8-K filed with the SEC within 90 days from the date of certification of the election results.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ATTENDANCE AT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It is our policy to invite all members of our Board to attend our Annual Meeting. While their attendance is not required, all of our directors attended our 2025 annual meeting of stockholders.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CONSIDERATION OF RELATED-PARTY TRANSACTIONS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Pursuant to its charter and a written related-party policy, the Audit Committee is charged with reviewing and approving any related-party transactions. A related-party transaction is a transaction involving SPX and any of the following persons: a director, director nominee, or executive officer of SPX; a holder of more than 5% of SPX common stock; or an immediate family member or person sharing the household of any of these persons. When considering a transaction, the Audit Committee is required to review all relevant factors, including whether the transaction is in the best interest of our Company; our Company’s rationale for entering into the transaction; alternatives to the transaction; whether the transaction is on terms at least as fair to our Company as would be the case were the transaction entered into with an unrelated third party; potential for an actual or apparent conflict of interest; and the extent of the related party’s interest in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39140"/>
                <wp:effectExtent l="0" t="0" r="0" b="0"/>
                <wp:wrapNone/>
                <wp:docPr id="36"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25"/>
                                                <a:stretch>
                                                  <a:fillRect/>
                                                </a:stretch>
                                              </pic:blipFill>
                                              <pic:spPr bwMode="auto">
                                                <a:xfrm>
                                                  <a:off x="0" y="0"/>
                                                  <a:ext cx="447675" cy="161925"/>
                                                </a:xfrm>
                                                <a:prstGeom prst="rect">
                                                  <a:avLst/>
                                                </a:prstGeom>
                                              </pic:spPr>
                                            </pic:pic>
                                          </a:graphicData>
                                        </a:graphic>
                                      </wp:inline>
                                    </w:drawing>
                                  </w:r>
                                  <w:bookmarkStart w:id="23" w:name="i-18"/>
                                  <w:bookmarkEnd w:id="23"/>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26"/>
                                          <a:stretch>
                                            <a:fillRect/>
                                          </a:stretch>
                                        </pic:blipFill>
                                        <pic:spPr bwMode="auto">
                                          <a:xfrm>
                                            <a:off x="0" y="0"/>
                                            <a:ext cx="447675" cy="161925"/>
                                          </a:xfrm>
                                          <a:prstGeom prst="rect">
                                            <a:avLst/>
                                          </a:prstGeom>
                                        </pic:spPr>
                                      </pic:pic>
                                    </a:graphicData>
                                  </a:graphic>
                                </wp:inline>
                              </w:drawing>
                            </w:r>
                            <w:bookmarkStart w:id="24" w:name="i-18"/>
                            <w:bookmarkEnd w:id="24"/>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BOARD LEADERSHIP STRUCTURE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governance documents provide the Board with flexibility to select the leadership structure that is most appropriate for the Company and its stockholders in consideration of then-current circumstances. The Board regularly evaluates the Company’s leadership structure and has concluded that the Company and its stockholders are best served by not having a formal policy regarding whether the same individual should serve as both Chairman of the Board and CEO. This approach allows the Board to elect the most qualified director as Chairman of the Board while also maintaining the ability to combine or separate the Chairman of the Board and CEO roles when necessary or appropriate. We currently separate the positions of Chairman of the Board and CEO.</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Currently, Eugene J. Lowe, III, serves as our President and CEO, a position he has held since September 26, 2015. In this role, Mr. Lowe is responsible for managing the day-to-day operations of the Company and for planning, formulating, and coordinating the development and execution of our corporate strategy, policies, goals, and objectives. Mr. Lowe is accountable for Company performance and reports directly to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Patrick J. O’Leary has served as our non-employee Chairman of the Board since September 26, 2015. In this role, Mr. O’Leary’s responsibilities include the following:</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Serving as a resource to the President and CEO in connection with strategic planning and other matters of strategic importance to the Company;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Receiving reports from the President and CEO, organizing and facilitating the President and CEO evaluation process, and providing ongoing, constructive feedback to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Consulting with the President and CEO regarding the Company’s relations and communications with stockholders of the Company, analysts, and the investor community;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Chairing meetings of the Board;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Setting the schedule and agenda for Board meetings in consultation with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Determining the information that is sent to the Board in consultation with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Presiding over the executive sessions and other meetings of the non-employee directors;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Communicating the results of meetings of the non-employee directors to the President and CEO and other members of management, as appropriate.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Corporate Governance Guidelines provide that in the event the Board determines that the same individual should again serve as both Chairman of the Board and CEO, the Board will appoint an independent director to serve as Lead Director. In that circumstance, the Lead Director would serve as the principal liaison between the non-employee directors and the Chairman and CEO; chair meetings of non-employee directors; develop the Board’s agenda in collaboration with the Chairman and CEO; and review and advise on the quality of the information provided to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small size of our Board and the relationship between management and non-employee directors put each director in a position to influence agendas, the flow of information, and other matters. Our non-employee directors meet regularly in private session, without management, as part of our Board meetings and can also call additional meetings of the non-employee directors at their discretion. The Board believes that its current leadership structure provides an appropriate balance among strategy development, operational execution, and independent oversight, and that this structure is currently in the best interests of the Company and its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39140"/>
                <wp:effectExtent l="0" t="0" r="0" b="0"/>
                <wp:wrapNone/>
                <wp:docPr id="39"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7"/>
                                                <a:stretch>
                                                  <a:fillRect/>
                                                </a:stretch>
                                              </pic:blipFill>
                                              <pic:spPr bwMode="auto">
                                                <a:xfrm>
                                                  <a:off x="0" y="0"/>
                                                  <a:ext cx="447675" cy="161925"/>
                                                </a:xfrm>
                                                <a:prstGeom prst="rect">
                                                  <a:avLst/>
                                                </a:prstGeom>
                                              </pic:spPr>
                                            </pic:pic>
                                          </a:graphicData>
                                        </a:graphic>
                                      </wp:inline>
                                    </w:drawing>
                                  </w:r>
                                  <w:bookmarkStart w:id="25" w:name="i-19"/>
                                  <w:bookmarkEnd w:id="25"/>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8"/>
                                          <a:stretch>
                                            <a:fillRect/>
                                          </a:stretch>
                                        </pic:blipFill>
                                        <pic:spPr bwMode="auto">
                                          <a:xfrm>
                                            <a:off x="0" y="0"/>
                                            <a:ext cx="447675" cy="161925"/>
                                          </a:xfrm>
                                          <a:prstGeom prst="rect">
                                            <a:avLst/>
                                          </a:prstGeom>
                                        </pic:spPr>
                                      </pic:pic>
                                    </a:graphicData>
                                  </a:graphic>
                                </wp:inline>
                              </w:drawing>
                            </w:r>
                            <w:bookmarkStart w:id="26" w:name="i-19"/>
                            <w:bookmarkEnd w:id="26"/>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BOARD COMMITTEES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met five times in 2025. The Board currently has a standing Audit Committee, Compensation Committee, and Governance &amp; Sustainability Committee. All directors attended at least 75% of the meetings of the Board and of the committees on which they served in 2025, during his or her period of service. Each committee has adopted a charter that specifies the composition and responsibilities of the committee. Each committee charter is posted on our website (www.spx.com) under the heading “Investor Relations—Corporate Governance—Board Committees.”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provides the member and 2025 meeting information for each of the Board committees.</w:t>
      </w:r>
    </w:p>
    <w:tbl>
      <w:tblPr>
        <w:tblW w:w="6286" w:type="dxa"/>
        <w:jc w:val="left"/>
        <w:tblInd w:w="0" w:type="dxa"/>
        <w:tblLayout w:type="fixed"/>
        <w:tblCellMar>
          <w:top w:w="28" w:type="dxa"/>
          <w:left w:w="28" w:type="dxa"/>
          <w:bottom w:w="28" w:type="dxa"/>
          <w:right w:w="28" w:type="dxa"/>
        </w:tblCellMar>
      </w:tblPr>
      <w:tblGrid>
        <w:gridCol w:w="575"/>
        <w:gridCol w:w="506"/>
        <w:gridCol w:w="509"/>
        <w:gridCol w:w="325"/>
        <w:gridCol w:w="325"/>
        <w:gridCol w:w="326"/>
        <w:gridCol w:w="425"/>
        <w:gridCol w:w="425"/>
        <w:gridCol w:w="426"/>
        <w:gridCol w:w="716"/>
        <w:gridCol w:w="716"/>
        <w:gridCol w:w="1012"/>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Directors</w:t>
            </w:r>
          </w:p>
        </w:tc>
        <w:tc>
          <w:tcPr>
            <w:tcW w:w="9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Audit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c>
          <w:tcPr>
            <w:tcW w:w="2444"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Governance &amp; Sustainability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r>
      <w:tr>
        <w:trPr/>
        <w:tc>
          <w:tcPr>
            <w:tcW w:w="1590"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O’Leary</w:t>
            </w:r>
          </w:p>
        </w:tc>
        <w:tc>
          <w:tcPr>
            <w:tcW w:w="97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Chair</w:t>
            </w:r>
          </w:p>
        </w:tc>
        <w:tc>
          <w:tcPr>
            <w:tcW w:w="244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97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Chair</w:t>
            </w:r>
          </w:p>
        </w:tc>
        <w:tc>
          <w:tcPr>
            <w:tcW w:w="127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97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Chair</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97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bottom w:val="single" w:sz="4" w:space="0" w:color="000000"/>
            </w:tcBorders>
            <w:shd w:fill="E5E5E5"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Number of Meetings</w:t>
            </w:r>
          </w:p>
        </w:tc>
        <w:tc>
          <w:tcPr>
            <w:tcW w:w="976"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276"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2444"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AUDIT COMMITTEE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Audit Committee is independent in accordance with our Audit Committee Charter, Corporate Governance Guidelines, and Independence Standards, as well as with the rules of the SEC and the listing standards of the NYSE. In addition, the Board has determined that each member of the Audit Committee has a working familiarity with basic finance and accounting practices, including the ability to read and understand financial statements. Finally, the Board has determined that each of Mr. Puckett and Ms. Sethna is an “audit committee financial expert” under the rules of the SEC and has accounting and/or related financial management expertise, as required by the listing standards of the NYSE.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is responsible for ensuring the integrity of the financial information reported by our Company. The Audit Committee appoints the independent registered public accounting firm, approves the scope of audits performed by it and by the internal audit staff, and reviews the results of those audits. The Audit Committee also meets with management, the Company’s independent registered public accounting firm, and the internal audit staff to review audit and non-audit results, as well as financial, cybersecurity, accounting, compliance, and internal control matters. In addition, the Board has delegated oversight of the Company’s enterprise risk management program and cybersecurity risk management program to the Audit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Additional information on the Audit Committee and its activities is set forth in the “Audit Committee Report” on page 52.</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COMPENSATION COMMITTEE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Compensation Committee is independent in accordance with our Compensation Committee Charter, Corporate Governance Guidelines, and Independence Standards, as well as with the rules of the SEC and the listing standards of the NYSE. In addition, the Board has determined that each member of the Compensation Committee meets the “non-employee director” requirements as defined under Section 16(a)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39140"/>
                <wp:effectExtent l="0" t="0" r="0" b="0"/>
                <wp:wrapNone/>
                <wp:docPr id="42"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0" descr=""/>
                                                <pic:cNvPicPr>
                                                  <a:picLocks noChangeAspect="1" noChangeArrowheads="1"/>
                                                </pic:cNvPicPr>
                                              </pic:nvPicPr>
                                              <pic:blipFill>
                                                <a:blip r:embed="rId29"/>
                                                <a:stretch>
                                                  <a:fillRect/>
                                                </a:stretch>
                                              </pic:blipFill>
                                              <pic:spPr bwMode="auto">
                                                <a:xfrm>
                                                  <a:off x="0" y="0"/>
                                                  <a:ext cx="447675" cy="161925"/>
                                                </a:xfrm>
                                                <a:prstGeom prst="rect">
                                                  <a:avLst/>
                                                </a:prstGeom>
                                              </pic:spPr>
                                            </pic:pic>
                                          </a:graphicData>
                                        </a:graphic>
                                      </wp:inline>
                                    </w:drawing>
                                  </w:r>
                                  <w:bookmarkStart w:id="27" w:name="i-20"/>
                                  <w:bookmarkEnd w:id="2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 descr=""/>
                                          <pic:cNvPicPr>
                                            <a:picLocks noChangeAspect="1" noChangeArrowheads="1"/>
                                          </pic:cNvPicPr>
                                        </pic:nvPicPr>
                                        <pic:blipFill>
                                          <a:blip r:embed="rId30"/>
                                          <a:stretch>
                                            <a:fillRect/>
                                          </a:stretch>
                                        </pic:blipFill>
                                        <pic:spPr bwMode="auto">
                                          <a:xfrm>
                                            <a:off x="0" y="0"/>
                                            <a:ext cx="447675" cy="161925"/>
                                          </a:xfrm>
                                          <a:prstGeom prst="rect">
                                            <a:avLst/>
                                          </a:prstGeom>
                                        </pic:spPr>
                                      </pic:pic>
                                    </a:graphicData>
                                  </a:graphic>
                                </wp:inline>
                              </w:drawing>
                            </w:r>
                            <w:bookmarkStart w:id="28" w:name="i-20"/>
                            <w:bookmarkEnd w:id="28"/>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sets the compensation for our executive officers, including agreements with our executive officers, equity grants, and other awards, and makes recommendations to the Board on these same matters for our CEO. The Committee also exercises risk oversight of the Company’s executive compensation program, reviews and approves any Company clawback policy and adopts and monitors compliance with any Company stock ownership and holding guidelines that are applicable to executive officers. The Committee Chair conducts the annual review of performance and objectives of the CEO. The Compensation Committee receives input regarding compensation for our executive officers, including proposed compensation, from its independent compensation consultant, as well as from our CEO for his direct reports. The Compensation Committee has delegated to our CEO the authority to issue one-time equity grants of up to $50,000 per individual and $250,000 in the aggregate annually to non-officer employees.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has the authority under its charter to retain, terminate, and set fees and retention terms for its independent compensation consultant or such other outside advisors as it deems necessary or appropriate in its sole discretion. The Compensation Committee reviews outside consultants and advisors on at least an annual basis to determine objectivity and review performance, including a review of the total fees paid to such consultants and advisors.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Additional information on the Compensation Committee, its activities, and its relationship with its independent compensation consultant, and on management’s role in setting compensation, is set forth in “Compensation Discussion and Analysis,” beginning on page 24.</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GOVERNANCE &amp; SUSTAINABILITY COMMITTEE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Governance &amp; Sustainability Committee is independent in accordance with our Governance &amp; Sustainability Committee Charter, Corporate Governance Guidelines, and Independence Standards, as well as with the listing standards of the NYSE.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assists the Board in identifying qualified individuals to become Board members and recommending director nominees to the Board; develops and recommends to the Board our Corporate Governance Guidelines; leads the Board in its annual review of the Board’s performance; and makes recommendations to the Board regarding the compensation of non-employee directors (including equity awards) and the assignment of individual Board members to various committees. Pursuant to its charter, the Governance &amp; Sustainability Committee also oversees sustainability risk management and strategies, including the assessment of climate risks; reviews and approves our sustainability goals and targets; monitors performance against those goals and targets; and reviews our annual sustainability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39140"/>
                <wp:effectExtent l="0" t="0" r="0" b="0"/>
                <wp:wrapNone/>
                <wp:docPr id="45"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 descr=""/>
                                                <pic:cNvPicPr>
                                                  <a:picLocks noChangeAspect="1" noChangeArrowheads="1"/>
                                                </pic:cNvPicPr>
                                              </pic:nvPicPr>
                                              <pic:blipFill>
                                                <a:blip r:embed="rId31"/>
                                                <a:stretch>
                                                  <a:fillRect/>
                                                </a:stretch>
                                              </pic:blipFill>
                                              <pic:spPr bwMode="auto">
                                                <a:xfrm>
                                                  <a:off x="0" y="0"/>
                                                  <a:ext cx="447675" cy="161925"/>
                                                </a:xfrm>
                                                <a:prstGeom prst="rect">
                                                  <a:avLst/>
                                                </a:prstGeom>
                                              </pic:spPr>
                                            </pic:pic>
                                          </a:graphicData>
                                        </a:graphic>
                                      </wp:inline>
                                    </w:drawing>
                                  </w:r>
                                  <w:bookmarkStart w:id="29" w:name="i-21"/>
                                  <w:bookmarkEnd w:id="29"/>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1" descr=""/>
                                          <pic:cNvPicPr>
                                            <a:picLocks noChangeAspect="1" noChangeArrowheads="1"/>
                                          </pic:cNvPicPr>
                                        </pic:nvPicPr>
                                        <pic:blipFill>
                                          <a:blip r:embed="rId32"/>
                                          <a:stretch>
                                            <a:fillRect/>
                                          </a:stretch>
                                        </pic:blipFill>
                                        <pic:spPr bwMode="auto">
                                          <a:xfrm>
                                            <a:off x="0" y="0"/>
                                            <a:ext cx="447675" cy="161925"/>
                                          </a:xfrm>
                                          <a:prstGeom prst="rect">
                                            <a:avLst/>
                                          </a:prstGeom>
                                        </pic:spPr>
                                      </pic:pic>
                                    </a:graphicData>
                                  </a:graphic>
                                </wp:inline>
                              </w:drawing>
                            </w:r>
                            <w:bookmarkStart w:id="30" w:name="i-21"/>
                            <w:bookmarkEnd w:id="30"/>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DIRECTOR COMPENSATION</w:t>
      </w:r>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Annual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non-employee directors receive the following compensation: </w:t>
      </w:r>
    </w:p>
    <w:tbl>
      <w:tblPr>
        <w:tblW w:w="4260" w:type="dxa"/>
        <w:jc w:val="left"/>
        <w:tblInd w:w="0" w:type="dxa"/>
        <w:tblLayout w:type="fixed"/>
        <w:tblCellMar>
          <w:top w:w="28" w:type="dxa"/>
          <w:left w:w="28" w:type="dxa"/>
          <w:bottom w:w="28" w:type="dxa"/>
          <w:right w:w="28" w:type="dxa"/>
        </w:tblCellMar>
      </w:tblPr>
      <w:tblGrid>
        <w:gridCol w:w="1241"/>
        <w:gridCol w:w="1092"/>
        <w:gridCol w:w="1101"/>
        <w:gridCol w:w="241"/>
        <w:gridCol w:w="241"/>
        <w:gridCol w:w="344"/>
      </w:tblGrid>
      <w:tr>
        <w:trPr/>
        <w:tc>
          <w:tcPr>
            <w:tcW w:w="124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939598"/>
              <w:left w:val="single" w:sz="4" w:space="0" w:color="939598"/>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Retainer of Cash</w:t>
            </w:r>
          </w:p>
        </w:tc>
        <w:tc>
          <w:tcPr>
            <w:tcW w:w="826" w:type="dxa"/>
            <w:gridSpan w:val="3"/>
            <w:tcBorders>
              <w:top w:val="single" w:sz="4" w:space="0" w:color="939598"/>
              <w:left w:val="single" w:sz="4" w:space="0" w:color="939598"/>
              <w:right w:val="single" w:sz="4" w:space="0" w:color="939598"/>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$ 90,000</w:t>
            </w:r>
          </w:p>
        </w:tc>
      </w:tr>
      <w:tr>
        <w:trPr/>
        <w:tc>
          <w:tcPr>
            <w:tcW w:w="3434" w:type="dxa"/>
            <w:gridSpan w:val="3"/>
            <w:tcBorders>
              <w:top w:val="single" w:sz="4" w:space="0" w:color="939598"/>
              <w:left w:val="single" w:sz="4" w:space="0" w:color="939598"/>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Equity Grant of Restricted Stock Units</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$140,000</w:t>
            </w:r>
          </w:p>
        </w:tc>
      </w:tr>
      <w:tr>
        <w:trPr/>
        <w:tc>
          <w:tcPr>
            <w:tcW w:w="3434" w:type="dxa"/>
            <w:gridSpan w:val="3"/>
            <w:tcBorders>
              <w:top w:val="single" w:sz="4" w:space="0" w:color="939598"/>
              <w:left w:val="single" w:sz="4" w:space="0" w:color="939598"/>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Annual Fees:</w:t>
            </w:r>
          </w:p>
        </w:tc>
        <w:tc>
          <w:tcPr>
            <w:tcW w:w="826" w:type="dxa"/>
            <w:gridSpan w:val="3"/>
            <w:tcBorders>
              <w:top w:val="single" w:sz="4" w:space="0" w:color="939598"/>
              <w:left w:val="single" w:sz="4" w:space="0" w:color="939598"/>
              <w:right w:val="single" w:sz="4" w:space="0" w:color="939598"/>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939598"/>
              <w:left w:val="single" w:sz="4" w:space="0" w:color="939598"/>
            </w:tcBorders>
            <w:shd w:fill="FFFFFF"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Chairman of the Board</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w:t>
            </w:r>
          </w:p>
        </w:tc>
      </w:tr>
      <w:tr>
        <w:trPr/>
        <w:tc>
          <w:tcPr>
            <w:tcW w:w="3434" w:type="dxa"/>
            <w:gridSpan w:val="3"/>
            <w:tcBorders>
              <w:top w:val="single" w:sz="4" w:space="0" w:color="939598"/>
              <w:left w:val="single" w:sz="4" w:space="0" w:color="939598"/>
            </w:tcBorders>
            <w:shd w:fill="E5E5E5"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Audit Committee Chair</w:t>
            </w:r>
          </w:p>
        </w:tc>
        <w:tc>
          <w:tcPr>
            <w:tcW w:w="826" w:type="dxa"/>
            <w:gridSpan w:val="3"/>
            <w:tcBorders>
              <w:top w:val="single" w:sz="4" w:space="0" w:color="939598"/>
              <w:left w:val="single" w:sz="4" w:space="0" w:color="939598"/>
              <w:right w:val="single" w:sz="4" w:space="0" w:color="939598"/>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$ 20,000</w:t>
            </w:r>
          </w:p>
        </w:tc>
      </w:tr>
      <w:tr>
        <w:trPr/>
        <w:tc>
          <w:tcPr>
            <w:tcW w:w="3434" w:type="dxa"/>
            <w:gridSpan w:val="3"/>
            <w:tcBorders>
              <w:top w:val="single" w:sz="4" w:space="0" w:color="939598"/>
              <w:left w:val="single" w:sz="4" w:space="0" w:color="939598"/>
            </w:tcBorders>
            <w:shd w:fill="FFFFFF"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Compensation Committee Chair</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$ 15,000</w:t>
            </w:r>
          </w:p>
        </w:tc>
      </w:tr>
      <w:tr>
        <w:trPr/>
        <w:tc>
          <w:tcPr>
            <w:tcW w:w="3434" w:type="dxa"/>
            <w:gridSpan w:val="3"/>
            <w:tcBorders>
              <w:top w:val="single" w:sz="4" w:space="0" w:color="939598"/>
              <w:left w:val="single" w:sz="4" w:space="0" w:color="939598"/>
              <w:bottom w:val="single" w:sz="4" w:space="0" w:color="939598"/>
            </w:tcBorders>
            <w:shd w:fill="E5E5E5" w:val="clear"/>
            <w:tcMar>
              <w:top w:w="30" w:type="dxa"/>
              <w:left w:w="38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Governance &amp; Sustainability Committee Chair</w:t>
            </w:r>
          </w:p>
        </w:tc>
        <w:tc>
          <w:tcPr>
            <w:tcW w:w="826" w:type="dxa"/>
            <w:gridSpan w:val="3"/>
            <w:tcBorders>
              <w:top w:val="single" w:sz="4" w:space="0" w:color="939598"/>
              <w:left w:val="single" w:sz="4" w:space="0" w:color="939598"/>
              <w:bottom w:val="single" w:sz="4" w:space="0" w:color="939598"/>
              <w:right w:val="single" w:sz="4" w:space="0" w:color="939598"/>
            </w:tcBorders>
            <w:shd w:fill="E5E5E5"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$ 15,000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pay the annual cash retainer and any applicable additional cash fees to our non-employee directors in equal quarterly installments, paid in arrears. The portion of cash compensation for a director who has a partial quarter of service (due to joining or leaving the Board, or beginning or ending service as Chairman or a Committee Chair, during the quarter) is pro-rated. We do not pay meeting fees or additional compensation to directors for special meetings.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equity grant of restricted stock units (“RSU”) is made under the SPX 2019 Stock Compensation Plan (the “2019 Stock Plan”). The number of RSUs awarded is calculated by dividing the $140,000 annual equity retainer by the closing price of the Company’s stock on the date of grant and rounding up to a full share. The RSU award is granted in connection with our Annual Meeting and vests the day before the following annual meeting. Vesting is subject to the director’s continued service on our Board through such vesting date. The annual equity grant for a director who has a partial year of service (due to joining the Board during the year) is pro-rated.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non-employee directors have the option to defer settlement and payout of vested RSU grants until six months after separating from service on our Board (or, if earlier, a Change in Control as defined in the 2019 Stock Plan). A non-employee director must generally make such deferral election in the year prior to the grant of the RSU award.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do not currently pay dividends or dividend equivalents with respect to the RSUs.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Directors who are SPX employees receive no compensation for their service as directors. Mr. Lowe, our President and CEO, received no compensation for his service as a director in 2025.</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OTHER BENEFITS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Matching Gifts Program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make matching donations for qualified charitable contributions for any non-employee director up to a total of $10,000 per year.</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Travel Reimbursements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reimburse non-employee directors for the reasonable expenses of attending Board and committee meetings and for expenses associated with director training and development. From time to time, a director’s spouse may accompany the director to certain business functions, including on our corporate aircraft; in such instances, the value of the spouse’s travel is imputed for income tax purposes as income to the director (determined under the U.S. Department of Transportation’s standard industry fare level (“SIFL”)) and the incremental cost to SPX, if any, is included as other compensation in our Director Compensation Table if it, together with any other personal benefits, exceeds the threshold specified under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39140"/>
                <wp:effectExtent l="0" t="0" r="0" b="0"/>
                <wp:wrapNone/>
                <wp:docPr id="48"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33"/>
                                                <a:stretch>
                                                  <a:fillRect/>
                                                </a:stretch>
                                              </pic:blipFill>
                                              <pic:spPr bwMode="auto">
                                                <a:xfrm>
                                                  <a:off x="0" y="0"/>
                                                  <a:ext cx="447675" cy="161925"/>
                                                </a:xfrm>
                                                <a:prstGeom prst="rect">
                                                  <a:avLst/>
                                                </a:prstGeom>
                                              </pic:spPr>
                                            </pic:pic>
                                          </a:graphicData>
                                        </a:graphic>
                                      </wp:inline>
                                    </w:drawing>
                                  </w:r>
                                  <w:bookmarkStart w:id="31" w:name="i-22"/>
                                  <w:bookmarkEnd w:id="3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34"/>
                                          <a:stretch>
                                            <a:fillRect/>
                                          </a:stretch>
                                        </pic:blipFill>
                                        <pic:spPr bwMode="auto">
                                          <a:xfrm>
                                            <a:off x="0" y="0"/>
                                            <a:ext cx="447675" cy="161925"/>
                                          </a:xfrm>
                                          <a:prstGeom prst="rect">
                                            <a:avLst/>
                                          </a:prstGeom>
                                        </pic:spPr>
                                      </pic:pic>
                                    </a:graphicData>
                                  </a:graphic>
                                </wp:inline>
                              </w:drawing>
                            </w:r>
                            <w:bookmarkStart w:id="32" w:name="i-22"/>
                            <w:bookmarkEnd w:id="3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v:textbox>
                <w10:wrap type="none"/>
              </v:rect>
            </w:pict>
          </mc:Fallback>
        </mc:AlternateContent>
      </w:r>
    </w:p>
    <w:tbl>
      <w:tblPr>
        <w:tblW w:w="2415" w:type="dxa"/>
        <w:jc w:val="left"/>
        <w:tblInd w:w="0" w:type="dxa"/>
        <w:tblLayout w:type="fixed"/>
        <w:tblCellMar>
          <w:top w:w="28" w:type="dxa"/>
          <w:left w:w="28" w:type="dxa"/>
          <w:bottom w:w="28" w:type="dxa"/>
          <w:right w:w="28" w:type="dxa"/>
        </w:tblCellMar>
      </w:tblPr>
      <w:tblGrid>
        <w:gridCol w:w="772"/>
        <w:gridCol w:w="679"/>
        <w:gridCol w:w="964"/>
      </w:tblGrid>
      <w:tr>
        <w:trPr/>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DIRECTOR COMPENSATION</w:t>
            </w:r>
          </w:p>
        </w:tc>
      </w:tr>
    </w:tbl>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COMPENSATION EVALUATION PRACTICES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periodically reviews non-employee director compensation and makes recommendations to the Board. The Governance &amp; Sustainability Committee evaluates our non-employee director compensation against our peer companies and consults with our independent compensation consultant when reviewing compensation amounts and structure.</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STOCK OWNERSHIP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Stock Ownership Guidelines are designed to help ensure that our directors are engaged and have interests closely aligned with those of our long-term stockholders. We request that all non-employee directors achieve holdings in Company stock of five times the annual cash retainer within five years of his or her date of initial election to the Board. All of our directors were in compliance with these requirements as of March 16, 2026. For additional information on our Stock Ownership Guidelines, see “Stock Ownership Guidelines,” beginning on page 21.</w:t>
      </w:r>
    </w:p>
    <w:p>
      <w:pPr>
        <w:pStyle w:val="TextBody"/>
        <w:bidi w:val="0"/>
        <w:spacing w:lineRule="auto" w:line="288" w:before="360" w:after="283"/>
        <w:jc w:val="left"/>
        <w:rPr>
          <w:rFonts w:ascii="Arial;sans-serif" w:hAnsi="Arial;sans-serif"/>
          <w:b/>
          <w:color w:val="000000"/>
          <w:sz w:val="32"/>
        </w:rPr>
      </w:pPr>
      <w:bookmarkStart w:id="33" w:name="idc38fcbd4a6a4ce2aa1562cc101e0fe4_4728"/>
      <w:bookmarkEnd w:id="33"/>
      <w:r>
        <w:rPr>
          <w:rFonts w:ascii="Arial;sans-serif" w:hAnsi="Arial;sans-serif"/>
          <w:b/>
          <w:color w:val="000000"/>
          <w:sz w:val="32"/>
        </w:rPr>
        <w:t>Director Compensation Table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following table summarizes the compensation of our non-employee directors who served during 2025. </w:t>
      </w:r>
    </w:p>
    <w:tbl>
      <w:tblPr>
        <w:tblW w:w="6357" w:type="dxa"/>
        <w:jc w:val="left"/>
        <w:tblInd w:w="0" w:type="dxa"/>
        <w:tblLayout w:type="fixed"/>
        <w:tblCellMar>
          <w:top w:w="28" w:type="dxa"/>
          <w:left w:w="28" w:type="dxa"/>
          <w:bottom w:w="28" w:type="dxa"/>
          <w:right w:w="28" w:type="dxa"/>
        </w:tblCellMar>
      </w:tblPr>
      <w:tblGrid>
        <w:gridCol w:w="547"/>
        <w:gridCol w:w="483"/>
        <w:gridCol w:w="484"/>
        <w:gridCol w:w="444"/>
        <w:gridCol w:w="444"/>
        <w:gridCol w:w="446"/>
        <w:gridCol w:w="249"/>
        <w:gridCol w:w="249"/>
        <w:gridCol w:w="251"/>
        <w:gridCol w:w="674"/>
        <w:gridCol w:w="674"/>
        <w:gridCol w:w="676"/>
        <w:gridCol w:w="214"/>
        <w:gridCol w:w="214"/>
        <w:gridCol w:w="308"/>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Directors</w:t>
            </w:r>
          </w:p>
        </w:tc>
        <w:tc>
          <w:tcPr>
            <w:tcW w:w="13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Fees Earned or </w:t>
            </w:r>
          </w:p>
          <w:p>
            <w:pPr>
              <w:pStyle w:val="TableContents"/>
              <w:bidi w:val="0"/>
              <w:spacing w:lineRule="auto" w:line="288" w:before="0" w:after="0"/>
              <w:jc w:val="center"/>
              <w:rPr/>
            </w:pPr>
            <w:r>
              <w:rPr>
                <w:rFonts w:ascii="Arial;sans-serif" w:hAnsi="Arial;sans-serif"/>
                <w:b/>
                <w:color w:val="FFFFFF"/>
                <w:sz w:val="16"/>
              </w:rPr>
              <w:t>Paid in Cash</w:t>
              <w:br/>
              <w:t>($)</w:t>
            </w:r>
            <w:r>
              <w:rPr>
                <w:rFonts w:ascii="Arial;sans-serif" w:hAnsi="Arial;sans-serif"/>
                <w:b/>
                <w:color w:val="FFFFFF"/>
                <w:sz w:val="10"/>
              </w:rPr>
              <w:t>(1)</w:t>
            </w:r>
          </w:p>
        </w:tc>
        <w:tc>
          <w:tcPr>
            <w:tcW w:w="74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Awards </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(2)</w:t>
            </w:r>
          </w:p>
        </w:tc>
        <w:tc>
          <w:tcPr>
            <w:tcW w:w="20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All Other Compensation</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(3)</w:t>
            </w:r>
          </w:p>
        </w:tc>
        <w:tc>
          <w:tcPr>
            <w:tcW w:w="73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514"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J. O’Leary</w:t>
            </w:r>
          </w:p>
        </w:tc>
        <w:tc>
          <w:tcPr>
            <w:tcW w:w="13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215,000</w:t>
            </w:r>
            <w:r>
              <w:rPr>
                <w:rFonts w:ascii="Arial;sans-serif" w:hAnsi="Arial;sans-serif"/>
                <w:b w:val="false"/>
                <w:color w:val="000000"/>
                <w:sz w:val="10"/>
              </w:rPr>
              <w:t>(a)</w:t>
            </w:r>
          </w:p>
        </w:tc>
        <w:tc>
          <w:tcPr>
            <w:tcW w:w="74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365,098</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105,000</w:t>
            </w:r>
            <w:r>
              <w:rPr>
                <w:rFonts w:ascii="Arial;sans-serif" w:hAnsi="Arial;sans-serif"/>
                <w:b w:val="false"/>
                <w:color w:val="000000"/>
                <w:sz w:val="10"/>
              </w:rPr>
              <w:t>(b)</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255,098</w:t>
            </w:r>
          </w:p>
        </w:tc>
      </w:tr>
      <w:tr>
        <w:trPr/>
        <w:tc>
          <w:tcPr>
            <w:tcW w:w="1514"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13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240,098</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110,000</w:t>
            </w:r>
            <w:r>
              <w:rPr>
                <w:rFonts w:ascii="Arial;sans-serif" w:hAnsi="Arial;sans-serif"/>
                <w:b w:val="false"/>
                <w:color w:val="000000"/>
                <w:sz w:val="10"/>
              </w:rPr>
              <w:t>(c)</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8,960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259,058</w:t>
            </w:r>
          </w:p>
        </w:tc>
      </w:tr>
      <w:tr>
        <w:trPr/>
        <w:tc>
          <w:tcPr>
            <w:tcW w:w="1514"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13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105,000</w:t>
            </w:r>
            <w:r>
              <w:rPr>
                <w:rFonts w:ascii="Arial;sans-serif" w:hAnsi="Arial;sans-serif"/>
                <w:b w:val="false"/>
                <w:color w:val="000000"/>
                <w:sz w:val="10"/>
              </w:rPr>
              <w:t>(d)</w:t>
            </w:r>
          </w:p>
        </w:tc>
        <w:tc>
          <w:tcPr>
            <w:tcW w:w="74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255,098</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232,098</w:t>
            </w:r>
          </w:p>
        </w:tc>
      </w:tr>
      <w:tr>
        <w:trPr/>
        <w:tc>
          <w:tcPr>
            <w:tcW w:w="1514"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13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5,000</w:t>
            </w:r>
          </w:p>
        </w:tc>
        <w:tc>
          <w:tcPr>
            <w:tcW w:w="736"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235,098</w:t>
            </w:r>
          </w:p>
        </w:tc>
      </w:tr>
      <w:tr>
        <w:trPr/>
        <w:tc>
          <w:tcPr>
            <w:tcW w:w="1514"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133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140,098</w:t>
            </w:r>
          </w:p>
        </w:tc>
        <w:tc>
          <w:tcPr>
            <w:tcW w:w="2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8,250</w:t>
            </w:r>
          </w:p>
        </w:tc>
        <w:tc>
          <w:tcPr>
            <w:tcW w:w="73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238,348</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(1)Represents annual retainer of $90,000. In addition: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(a)Mr. O’Leary’s fees include $125,000, representing the additional fee for serving as Chairman of the Board.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(b)Mr. Puckett’s fees include $15,000, representing the additional fee for serving as Compensation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(c)Ms. Sethna’s fees include $20,000, representing the additional fee for serving as Audit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(d)Dr. Shaw’s fees include $15,000, representing the additional fee for serving as Governance &amp; Sustainability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(2)On May 13, 2025, each non-employee director received a RSU grant with a grant date fair value of $140,098 (892 RSUs) that vests the day before the next annual meeting following the grant date.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(3)Represents matching donations for qualified charitable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39140"/>
                <wp:effectExtent l="0" t="0" r="0" b="0"/>
                <wp:wrapNone/>
                <wp:docPr id="51"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3" descr=""/>
                                                <pic:cNvPicPr>
                                                  <a:picLocks noChangeAspect="1" noChangeArrowheads="1"/>
                                                </pic:cNvPicPr>
                                              </pic:nvPicPr>
                                              <pic:blipFill>
                                                <a:blip r:embed="rId35"/>
                                                <a:stretch>
                                                  <a:fillRect/>
                                                </a:stretch>
                                              </pic:blipFill>
                                              <pic:spPr bwMode="auto">
                                                <a:xfrm>
                                                  <a:off x="0" y="0"/>
                                                  <a:ext cx="447675" cy="161925"/>
                                                </a:xfrm>
                                                <a:prstGeom prst="rect">
                                                  <a:avLst/>
                                                </a:prstGeom>
                                              </pic:spPr>
                                            </pic:pic>
                                          </a:graphicData>
                                        </a:graphic>
                                      </wp:inline>
                                    </w:drawing>
                                  </w:r>
                                  <w:bookmarkStart w:id="34" w:name="i-23"/>
                                  <w:bookmarkEnd w:id="34"/>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36"/>
                                          <a:stretch>
                                            <a:fillRect/>
                                          </a:stretch>
                                        </pic:blipFill>
                                        <pic:spPr bwMode="auto">
                                          <a:xfrm>
                                            <a:off x="0" y="0"/>
                                            <a:ext cx="447675" cy="161925"/>
                                          </a:xfrm>
                                          <a:prstGeom prst="rect">
                                            <a:avLst/>
                                          </a:prstGeom>
                                        </pic:spPr>
                                      </pic:pic>
                                    </a:graphicData>
                                  </a:graphic>
                                </wp:inline>
                              </w:drawing>
                            </w:r>
                            <w:bookmarkStart w:id="35" w:name="i-23"/>
                            <w:bookmarkEnd w:id="35"/>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1: ELECTION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currently consists of nine directors. The directors are currently divided into three classes and there are three directors in each of three classes.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Following approval by our stockholders at the 2024 annual meeting of stockholders, we filed an Amended and Restated Certificate of Incorporation (the “Amended and Restated Certificate”) to implement a gradual declassification of the Board of Directors over a three-year period. Pursuant to the Declassification Amendment, the Amended and Restated Certificate provides that, at this Annual Meeting, the successors of the class of directors whose terms expire at this Annual Meeting will be elected to hold office for a term expiring at the annual meeting of stockholders to be held in 2027 (the “2027 Annual Meeting”). At the conclusion of this Annual Meeting, the terms of all directors, including those elected at the 2024 and 2025 annual meetings of stockholders, will have terms expiring at the 2027 Annual Meeting. After the 2027 Annual Meeting, directors will no longer be divided into classes and all directors will be elected for terms expiring at the next succeeding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At this Annual Meeting, you will be asked to elect three directors, Mr. Puckett, Ms. Sethna, and Ms. Utley, for a one-year term expiring at the 2027 Annual Meeting. Each of the director nominees is a current SPX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Dr. Shaw, Mr. Toth, and Ms. Willis were each elected to a three-year term by our stockholders at our 2024 Annual Meeting of Stockholders, and Mr. Lowe, Mr. O’Leary, and Mr. Roberts were each elected to a two-year term by our stockholders at our 2025 Annual Meeting of Stockholders, and they will continue to serve on the Board as described below.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director has agreed to tender, promptly following his or her election, an irrevocable resignation effective upon his or her failure to receive the required vote for re-election at the next meeting at which he or she would face re-election and the acceptance of such resignation by the Board, in accordance with our Corporate Governance Guidelines.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Your shares will be voted as you specify on the proxy card that accompanies this Proxy Statement. If you do not specify how you want your shares voted, then we will vote them FOR the election of each of Mr. Puckett, Ms. Sethna, and Ms. Utley. If unforeseen circumstances (such as death or disability of the nominee) make it necessary for the Board to substitute another person for any of the nominees, then your shares will be voted FOR that other person. The Board does not anticipate that any of the nominees will be unable to serve.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39140"/>
                <wp:effectExtent l="0" t="0" r="0" b="0"/>
                <wp:wrapNone/>
                <wp:docPr id="54"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4" descr=""/>
                                                <pic:cNvPicPr>
                                                  <a:picLocks noChangeAspect="1" noChangeArrowheads="1"/>
                                                </pic:cNvPicPr>
                                              </pic:nvPicPr>
                                              <pic:blipFill>
                                                <a:blip r:embed="rId37"/>
                                                <a:stretch>
                                                  <a:fillRect/>
                                                </a:stretch>
                                              </pic:blipFill>
                                              <pic:spPr bwMode="auto">
                                                <a:xfrm>
                                                  <a:off x="0" y="0"/>
                                                  <a:ext cx="447675" cy="161925"/>
                                                </a:xfrm>
                                                <a:prstGeom prst="rect">
                                                  <a:avLst/>
                                                </a:prstGeom>
                                              </pic:spPr>
                                            </pic:pic>
                                          </a:graphicData>
                                        </a:graphic>
                                      </wp:inline>
                                    </w:drawing>
                                  </w:r>
                                  <w:bookmarkStart w:id="36" w:name="i-24"/>
                                  <w:bookmarkEnd w:id="3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4" descr=""/>
                                          <pic:cNvPicPr>
                                            <a:picLocks noChangeAspect="1" noChangeArrowheads="1"/>
                                          </pic:cNvPicPr>
                                        </pic:nvPicPr>
                                        <pic:blipFill>
                                          <a:blip r:embed="rId38"/>
                                          <a:stretch>
                                            <a:fillRect/>
                                          </a:stretch>
                                        </pic:blipFill>
                                        <pic:spPr bwMode="auto">
                                          <a:xfrm>
                                            <a:off x="0" y="0"/>
                                            <a:ext cx="447675" cy="161925"/>
                                          </a:xfrm>
                                          <a:prstGeom prst="rect">
                                            <a:avLst/>
                                          </a:prstGeom>
                                        </pic:spPr>
                                      </pic:pic>
                                    </a:graphicData>
                                  </a:graphic>
                                </wp:inline>
                              </w:drawing>
                            </w:r>
                            <w:bookmarkStart w:id="37" w:name="i-24"/>
                            <w:bookmarkEnd w:id="3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1: Election of Directors</w:t>
            </w:r>
          </w:p>
        </w:tc>
      </w:tr>
    </w:tbl>
    <w:p>
      <w:pPr>
        <w:pStyle w:val="TextBody"/>
        <w:bidi w:val="0"/>
        <w:spacing w:lineRule="auto" w:line="288" w:before="360" w:after="300"/>
        <w:jc w:val="left"/>
        <w:rPr>
          <w:rFonts w:ascii="Arial;sans-serif" w:hAnsi="Arial;sans-serif"/>
          <w:b/>
          <w:color w:val="000000"/>
          <w:sz w:val="32"/>
        </w:rPr>
      </w:pPr>
      <w:bookmarkStart w:id="38" w:name="i6410962d0cc74b6ab48d7735db7b1dae_4810"/>
      <w:bookmarkEnd w:id="38"/>
      <w:r>
        <w:rPr>
          <w:rFonts w:ascii="Arial;sans-serif" w:hAnsi="Arial;sans-serif"/>
          <w:b/>
          <w:color w:val="000000"/>
          <w:sz w:val="32"/>
        </w:rPr>
        <w:t>Nominees for Election to Serve Until 2027 Annual Meeting</w:t>
      </w:r>
    </w:p>
    <w:tbl>
      <w:tblPr>
        <w:tblW w:w="10205" w:type="dxa"/>
        <w:jc w:val="center"/>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39"/>
                          <a:stretch>
                            <a:fillRect/>
                          </a:stretch>
                        </pic:blipFill>
                        <pic:spPr bwMode="auto">
                          <a:xfrm>
                            <a:off x="0" y="0"/>
                            <a:ext cx="1333500" cy="1666875"/>
                          </a:xfrm>
                          <a:prstGeom prst="rect">
                            <a:avLst/>
                          </a:prstGeom>
                        </pic:spPr>
                      </pic:pic>
                    </a:graphicData>
                  </a:graphic>
                </wp:inline>
              </w:drawing>
            </w:r>
            <w:bookmarkStart w:id="39" w:name="i-25"/>
            <w:bookmarkEnd w:id="39"/>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Rick Puckett</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Executive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Vice President, CFO,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Treasurer and Chief</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Administrative Officer,</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Snyder’s-Lance,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72</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 (Chair)</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Ricky D. Puckett</w:t>
            </w:r>
            <w:r>
              <w:rPr>
                <w:color w:val="000000"/>
              </w:rPr>
              <w:t xml:space="preserve"> </w:t>
            </w:r>
            <w:r>
              <w:rPr>
                <w:rFonts w:ascii="Arial;sans-serif" w:hAnsi="Arial;sans-serif"/>
                <w:b w:val="false"/>
                <w:color w:val="000000"/>
                <w:sz w:val="18"/>
              </w:rPr>
              <w:t>retired in December 2017 from Snyder’s-Lance, Inc., a snack foods manufacturer, where he had served as Executive Vice President, Chief Financial Officer and Treasurer since December 2010, adding the role of Chief Administrative Officer, with responsibility for Human Resources and Legal, in 2014. Mr. Puckett served as Executive Vice President, Chief Financial Officer and Treasurer of Lance, Inc., from 2006 until its merger with Snyder’s-Lance, Inc. in 2010. Prior to joining Lance, Inc., Mr. Puckett served as Executive Vice President, Chief Financial Officer, Secretary and Treasurer of United Natural Foods, Inc., a wholesale distributor of natural and organic products, from 2005 to 2006; and as Senior Vice President, Chief Financial Officer and Treasurer of United Natural Foods, Inc., from 2003 to 2005. Mr. Puckett is a director of, and serves as audit committee chair of, each of Whitehorse Finance, Inc. and Driven Brands Inc. He has served on the board of the North Carolina Blumenthal Performing Arts Center and the Wake Forest Graduate School in Charlotte. He received his BA in Accounting and his MBA from the University of Kentucky and is a Certified Public Accountant in New Jersey.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Puckett brings extensive accounting and financial experience, including financial strategy and governance to our Board. In addition, he offers a deep understanding of mergers and acquisitions; strategic planning and analysis; commodity risk management; strategic information technology; organizational development; human resources, compensation management; and investor relations.</w:t>
            </w:r>
          </w:p>
        </w:tc>
      </w:tr>
    </w:tbl>
    <w:tbl>
      <w:tblPr>
        <w:tblW w:w="10205" w:type="dxa"/>
        <w:jc w:val="center"/>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 descr=""/>
                          <pic:cNvPicPr>
                            <a:picLocks noChangeAspect="1" noChangeArrowheads="1"/>
                          </pic:cNvPicPr>
                        </pic:nvPicPr>
                        <pic:blipFill>
                          <a:blip r:embed="rId40"/>
                          <a:stretch>
                            <a:fillRect/>
                          </a:stretch>
                        </pic:blipFill>
                        <pic:spPr bwMode="auto">
                          <a:xfrm>
                            <a:off x="0" y="0"/>
                            <a:ext cx="1333500" cy="1666875"/>
                          </a:xfrm>
                          <a:prstGeom prst="rect">
                            <a:avLst/>
                          </a:prstGeom>
                        </pic:spPr>
                      </pic:pic>
                    </a:graphicData>
                  </a:graphic>
                </wp:inline>
              </w:drawing>
            </w:r>
            <w:bookmarkStart w:id="40" w:name="i-26"/>
            <w:bookmarkEnd w:id="40"/>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Meenal Sethna</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Executive Vice President</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and Chief Financial Officer,</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Option Care Health,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2019</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 (Chair)</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Meenal A. Sethna</w:t>
            </w:r>
            <w:r>
              <w:rPr>
                <w:color w:val="000000"/>
              </w:rPr>
              <w:t xml:space="preserve"> </w:t>
            </w:r>
            <w:r>
              <w:rPr>
                <w:rFonts w:ascii="Arial;sans-serif" w:hAnsi="Arial;sans-serif"/>
                <w:b w:val="false"/>
                <w:color w:val="000000"/>
                <w:sz w:val="18"/>
              </w:rPr>
              <w:t>has served as Executive Vice President and Chief Financial Officer of Option Care Health, Inc., a provider of home and alternate site infusion services, since October 2025 and is responsible for finance and accounting, tax and treasury, investor relations, digital and information technology and internal audit. She served as Executive Vice President and Chief Financial Officer of Littelfuse, Inc., a diversified, industrial technology manufacturing company, from 2016 to September 2025. Prior to joining Littelfuse in May 2015, Ms. Sethna spent four years at Illinois Tool Works as Vice President and Corporate Controller. Previous to that, she worked at Motorola Inc., most recently as Vice President, Finance. She began her career at Baxter International, holding a variety of finance roles during her tenure. Ms. Sethna is a graduate of the Kellogg School of Management at Northwestern University and the University of Illinois-Urbana, and is a Certified Public Accountant in Illinois.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Sethna brings a rich background in accounting and finance to our Board. In addition, she has deep experience in strategic planning; mergers &amp; acquisitions; business growth; investor relations; risk management; and information technology.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39140"/>
                <wp:effectExtent l="0" t="0" r="0" b="0"/>
                <wp:wrapNone/>
                <wp:docPr id="59"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41"/>
                                                <a:stretch>
                                                  <a:fillRect/>
                                                </a:stretch>
                                              </pic:blipFill>
                                              <pic:spPr bwMode="auto">
                                                <a:xfrm>
                                                  <a:off x="0" y="0"/>
                                                  <a:ext cx="447675" cy="161925"/>
                                                </a:xfrm>
                                                <a:prstGeom prst="rect">
                                                  <a:avLst/>
                                                </a:prstGeom>
                                              </pic:spPr>
                                            </pic:pic>
                                          </a:graphicData>
                                        </a:graphic>
                                      </wp:inline>
                                    </w:drawing>
                                  </w:r>
                                  <w:bookmarkStart w:id="41" w:name="i-27"/>
                                  <w:bookmarkEnd w:id="41"/>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7" descr=""/>
                                          <pic:cNvPicPr>
                                            <a:picLocks noChangeAspect="1" noChangeArrowheads="1"/>
                                          </pic:cNvPicPr>
                                        </pic:nvPicPr>
                                        <pic:blipFill>
                                          <a:blip r:embed="rId42"/>
                                          <a:stretch>
                                            <a:fillRect/>
                                          </a:stretch>
                                        </pic:blipFill>
                                        <pic:spPr bwMode="auto">
                                          <a:xfrm>
                                            <a:off x="0" y="0"/>
                                            <a:ext cx="447675" cy="161925"/>
                                          </a:xfrm>
                                          <a:prstGeom prst="rect">
                                            <a:avLst/>
                                          </a:prstGeom>
                                        </pic:spPr>
                                      </pic:pic>
                                    </a:graphicData>
                                  </a:graphic>
                                </wp:inline>
                              </w:drawing>
                            </w:r>
                            <w:bookmarkStart w:id="42" w:name="i-27"/>
                            <w:bookmarkEnd w:id="42"/>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1: Election of Directors</w:t>
            </w:r>
          </w:p>
        </w:tc>
      </w:tr>
    </w:tbl>
    <w:tbl>
      <w:tblPr>
        <w:tblW w:w="10205" w:type="dxa"/>
        <w:jc w:val="center"/>
        <w:tblInd w:w="0" w:type="dxa"/>
        <w:tblLayout w:type="fixed"/>
        <w:tblCellMar>
          <w:top w:w="28" w:type="dxa"/>
          <w:left w:w="28" w:type="dxa"/>
          <w:bottom w:w="28" w:type="dxa"/>
          <w:right w:w="28" w:type="dxa"/>
        </w:tblCellMar>
      </w:tblPr>
      <w:tblGrid>
        <w:gridCol w:w="804"/>
        <w:gridCol w:w="706"/>
        <w:gridCol w:w="707"/>
        <w:gridCol w:w="2339"/>
        <w:gridCol w:w="2339"/>
        <w:gridCol w:w="3310"/>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221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43"/>
                          <a:stretch>
                            <a:fillRect/>
                          </a:stretch>
                        </pic:blipFill>
                        <pic:spPr bwMode="auto">
                          <a:xfrm>
                            <a:off x="0" y="0"/>
                            <a:ext cx="1333500" cy="1666875"/>
                          </a:xfrm>
                          <a:prstGeom prst="rect">
                            <a:avLst/>
                          </a:prstGeom>
                        </pic:spPr>
                      </pic:pic>
                    </a:graphicData>
                  </a:graphic>
                </wp:inline>
              </w:drawing>
            </w:r>
            <w:bookmarkStart w:id="43" w:name="i-28"/>
            <w:bookmarkEnd w:id="43"/>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Tana Utley</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Vice President of</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Large Power Systems Division,</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Caterpillar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62</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tc>
        <w:tc>
          <w:tcPr>
            <w:tcW w:w="7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vMerge w:val="continue"/>
            <w:tcBorders/>
            <w:tcMar>
              <w:top w:w="0" w:type="dxa"/>
              <w:left w:w="0" w:type="dxa"/>
              <w:bottom w:w="0" w:type="dxa"/>
              <w:right w:w="0" w:type="dxa"/>
            </w:tcMar>
            <w:vAlign w:val="center"/>
          </w:tcPr>
          <w:p>
            <w:pPr>
              <w:pStyle w:val="Normal"/>
              <w:bidi w:val="0"/>
              <w:jc w:val="left"/>
              <w:rPr/>
            </w:pPr>
            <w:r>
              <w:rPr/>
            </w:r>
          </w:p>
        </w:tc>
        <w:tc>
          <w:tcPr>
            <w:tcW w:w="798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Tana L. Utley</w:t>
            </w:r>
            <w:r>
              <w:rPr>
                <w:color w:val="000000"/>
              </w:rPr>
              <w:t xml:space="preserve"> </w:t>
            </w:r>
            <w:r>
              <w:rPr>
                <w:rFonts w:ascii="Arial;sans-serif" w:hAnsi="Arial;sans-serif"/>
                <w:b w:val="false"/>
                <w:color w:val="000000"/>
                <w:sz w:val="18"/>
              </w:rPr>
              <w:t>is a retired Vice President for Caterpillar Inc., a manufacturer of construction and mining equipment, engines, turbines, and locomotives. She was an officer for the company for over 13 years of her 36 year tenure. She was appointed an officer and as Chief Technology Officer of Caterpillar in 2007, having joined that company in 1986. Previously, she held a number of roles with Caterpillar, including a variety of engineering and general management positions. Ms. Utley has served in key engineering and leadership roles in the development of near zero-emissions engines, and she has held general management positions in Caterpillar’s components and engines businesses. Ms. Utley also serves as a director of Woodward, Inc. She earned her bachelor’s degree in Mechanical Engineering from Bradley University and her M.S. in Management from the Massachusetts Institute of Technology.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Utley brings a wealth of knowledge in engineering, operations, continuous improvement, and implementation of new programs to our Board. Ms. Utley also brings a depth of understanding of technology and cybersecurity, multi-industrial manufacturing, and how to minimize the environmental impact of manufacturing companies.</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4D89"/>
              <w:left w:val="single" w:sz="8" w:space="0" w:color="0D4D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D4D89"/>
              <w:right w:val="single" w:sz="8" w:space="0" w:color="0D4D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D4D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9" descr=""/>
                          <pic:cNvPicPr>
                            <a:picLocks noChangeAspect="1" noChangeArrowheads="1"/>
                          </pic:cNvPicPr>
                        </pic:nvPicPr>
                        <pic:blipFill>
                          <a:blip r:embed="rId44"/>
                          <a:stretch>
                            <a:fillRect/>
                          </a:stretch>
                        </pic:blipFill>
                        <pic:spPr bwMode="auto">
                          <a:xfrm>
                            <a:off x="0" y="0"/>
                            <a:ext cx="542925" cy="542925"/>
                          </a:xfrm>
                          <a:prstGeom prst="rect">
                            <a:avLst/>
                          </a:prstGeom>
                        </pic:spPr>
                      </pic:pic>
                    </a:graphicData>
                  </a:graphic>
                </wp:inline>
              </w:drawing>
            </w:r>
            <w:bookmarkStart w:id="44" w:name="i-29"/>
            <w:bookmarkEnd w:id="44"/>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THE ELECTION OF MR. PUCKETT, MS. SETHNA AND MS. UTLEY AS DIRECTORS FOR A ONE-YEAR TERM EXPIRING AT THE ANNUAL MEETING OF STOCKHOLDERS IN 2027.</w:t>
            </w:r>
          </w:p>
        </w:tc>
        <w:tc>
          <w:tcPr>
            <w:tcW w:w="373" w:type="dxa"/>
            <w:gridSpan w:val="3"/>
            <w:tcBorders>
              <w:right w:val="single" w:sz="8" w:space="0" w:color="0D4D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D4D89"/>
              <w:bottom w:val="single" w:sz="8" w:space="0" w:color="0D4D89"/>
            </w:tcBorders>
            <w:tcMar>
              <w:top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D4D89"/>
              <w:right w:val="single" w:sz="8" w:space="0" w:color="0D4D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3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39140"/>
                <wp:effectExtent l="0" t="0" r="0" b="0"/>
                <wp:wrapNone/>
                <wp:docPr id="64"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45"/>
                                                <a:stretch>
                                                  <a:fillRect/>
                                                </a:stretch>
                                              </pic:blipFill>
                                              <pic:spPr bwMode="auto">
                                                <a:xfrm>
                                                  <a:off x="0" y="0"/>
                                                  <a:ext cx="447675" cy="161925"/>
                                                </a:xfrm>
                                                <a:prstGeom prst="rect">
                                                  <a:avLst/>
                                                </a:prstGeom>
                                              </pic:spPr>
                                            </pic:pic>
                                          </a:graphicData>
                                        </a:graphic>
                                      </wp:inline>
                                    </w:drawing>
                                  </w:r>
                                  <w:bookmarkStart w:id="45" w:name="i-30"/>
                                  <w:bookmarkEnd w:id="45"/>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0" descr=""/>
                                          <pic:cNvPicPr>
                                            <a:picLocks noChangeAspect="1" noChangeArrowheads="1"/>
                                          </pic:cNvPicPr>
                                        </pic:nvPicPr>
                                        <pic:blipFill>
                                          <a:blip r:embed="rId46"/>
                                          <a:stretch>
                                            <a:fillRect/>
                                          </a:stretch>
                                        </pic:blipFill>
                                        <pic:spPr bwMode="auto">
                                          <a:xfrm>
                                            <a:off x="0" y="0"/>
                                            <a:ext cx="447675" cy="161925"/>
                                          </a:xfrm>
                                          <a:prstGeom prst="rect">
                                            <a:avLst/>
                                          </a:prstGeom>
                                        </pic:spPr>
                                      </pic:pic>
                                    </a:graphicData>
                                  </a:graphic>
                                </wp:inline>
                              </w:drawing>
                            </w:r>
                            <w:bookmarkStart w:id="46" w:name="i-30"/>
                            <w:bookmarkEnd w:id="4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1: Election of Directors</w:t>
            </w:r>
          </w:p>
        </w:tc>
      </w:tr>
    </w:tbl>
    <w:p>
      <w:pPr>
        <w:pStyle w:val="TextBody"/>
        <w:bidi w:val="0"/>
        <w:spacing w:lineRule="auto" w:line="288" w:before="360" w:after="300"/>
        <w:jc w:val="left"/>
        <w:rPr>
          <w:rFonts w:ascii="Arial;sans-serif" w:hAnsi="Arial;sans-serif"/>
          <w:b/>
          <w:color w:val="000000"/>
          <w:sz w:val="32"/>
        </w:rPr>
      </w:pPr>
      <w:bookmarkStart w:id="47" w:name="i6410962d0cc74b6ab48d7735db7b1dae_4813"/>
      <w:bookmarkEnd w:id="47"/>
      <w:r>
        <w:rPr>
          <w:rFonts w:ascii="Arial;sans-serif" w:hAnsi="Arial;sans-serif"/>
          <w:b/>
          <w:color w:val="000000"/>
          <w:sz w:val="32"/>
        </w:rPr>
        <w:t xml:space="preserve">Directors Continuing to Serve Until 2027 Annual Meeting </w:t>
      </w:r>
    </w:p>
    <w:tbl>
      <w:tblPr>
        <w:tblW w:w="10205" w:type="dxa"/>
        <w:jc w:val="center"/>
        <w:tblInd w:w="0" w:type="dxa"/>
        <w:tblLayout w:type="fixed"/>
        <w:tblCellMar>
          <w:top w:w="28" w:type="dxa"/>
          <w:left w:w="28" w:type="dxa"/>
          <w:bottom w:w="28" w:type="dxa"/>
          <w:right w:w="28" w:type="dxa"/>
        </w:tblCellMar>
      </w:tblPr>
      <w:tblGrid>
        <w:gridCol w:w="415"/>
        <w:gridCol w:w="365"/>
        <w:gridCol w:w="365"/>
        <w:gridCol w:w="365"/>
        <w:gridCol w:w="365"/>
        <w:gridCol w:w="369"/>
        <w:gridCol w:w="2330"/>
        <w:gridCol w:w="2330"/>
        <w:gridCol w:w="3301"/>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244"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1" descr=""/>
                          <pic:cNvPicPr>
                            <a:picLocks noChangeAspect="1" noChangeArrowheads="1"/>
                          </pic:cNvPicPr>
                        </pic:nvPicPr>
                        <pic:blipFill>
                          <a:blip r:embed="rId47"/>
                          <a:stretch>
                            <a:fillRect/>
                          </a:stretch>
                        </pic:blipFill>
                        <pic:spPr bwMode="auto">
                          <a:xfrm>
                            <a:off x="0" y="0"/>
                            <a:ext cx="1333500" cy="1666875"/>
                          </a:xfrm>
                          <a:prstGeom prst="rect">
                            <a:avLst/>
                          </a:prstGeom>
                        </pic:spPr>
                      </pic:pic>
                    </a:graphicData>
                  </a:graphic>
                </wp:inline>
              </w:drawing>
            </w:r>
            <w:bookmarkStart w:id="48" w:name="i-31"/>
            <w:bookmarkEnd w:id="48"/>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Ruth Shaw</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Retired Group Executive</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for Public Policy and</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President of</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Duke Nuclear, Duke Energy Corporation</w:t>
            </w:r>
          </w:p>
          <w:p>
            <w:pPr>
              <w:pStyle w:val="TableContents"/>
              <w:bidi w:val="0"/>
              <w:spacing w:lineRule="auto" w:line="288" w:before="0" w:after="0"/>
              <w:jc w:val="left"/>
              <w:rPr/>
            </w:pPr>
            <w:r>
              <w:rPr>
                <w:rFonts w:ascii="Arial;sans-serif" w:hAnsi="Arial;sans-serif"/>
                <w:b/>
                <w:color w:val="004C97"/>
                <w:sz w:val="16"/>
              </w:rPr>
              <w:t>Age:</w:t>
            </w:r>
            <w:r>
              <w:rPr>
                <w:color w:val="004C97"/>
              </w:rPr>
              <w:t xml:space="preserve"> </w:t>
            </w:r>
            <w:r>
              <w:rPr>
                <w:rFonts w:ascii="Arial;sans-serif" w:hAnsi="Arial;sans-serif"/>
                <w:b w:val="false"/>
                <w:color w:val="004C97"/>
                <w:sz w:val="16"/>
              </w:rPr>
              <w:t>78</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rFonts w:ascii="Arial;sans-serif" w:hAnsi="Arial;sans-serif"/>
                <w:b/>
                <w:color w:val="004C97"/>
                <w:sz w:val="16"/>
              </w:rPr>
            </w:pPr>
            <w:r>
              <w:rPr>
                <w:rFonts w:ascii="Arial;sans-serif" w:hAnsi="Arial;sans-serif"/>
                <w:b/>
                <w:color w:val="004C97"/>
                <w:sz w:val="16"/>
              </w:rPr>
              <w:t>Committees:</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 (Chair)</w:t>
            </w:r>
          </w:p>
        </w:tc>
        <w:tc>
          <w:tcPr>
            <w:tcW w:w="7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6"/>
            <w:vMerge w:val="continue"/>
            <w:tcBorders/>
            <w:tcMar>
              <w:top w:w="0" w:type="dxa"/>
              <w:left w:w="0" w:type="dxa"/>
              <w:bottom w:w="0" w:type="dxa"/>
              <w:right w:w="0" w:type="dxa"/>
            </w:tcMar>
            <w:vAlign w:val="center"/>
          </w:tcPr>
          <w:p>
            <w:pPr>
              <w:pStyle w:val="Normal"/>
              <w:bidi w:val="0"/>
              <w:jc w:val="left"/>
              <w:rPr/>
            </w:pPr>
            <w:r>
              <w:rPr/>
            </w:r>
          </w:p>
        </w:tc>
        <w:tc>
          <w:tcPr>
            <w:tcW w:w="79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Ruth G. Shaw</w:t>
            </w:r>
            <w:r>
              <w:rPr>
                <w:color w:val="000000"/>
              </w:rPr>
              <w:t xml:space="preserve"> </w:t>
            </w:r>
            <w:r>
              <w:rPr>
                <w:rFonts w:ascii="Arial;sans-serif" w:hAnsi="Arial;sans-serif"/>
                <w:b w:val="false"/>
                <w:color w:val="000000"/>
                <w:sz w:val="18"/>
              </w:rPr>
              <w:t>retired in 2007 from Duke Energy Corporation, an electricity and natural gas provider, and remained an Executive Advisor to the company until 2009. At Duke, she served as Group Executive for Public Policy and President, Duke Nuclear, from 2006 to 2007; President and Chief Executive Officer, Duke Power Company, from 2003 to 2006; Executive Vice President and Chief Administrative Officer from 1997 to 2003; and in various other roles from 1992 to 1997. She was also President of The Duke Energy Foundation from 1994 to 2003. Dr. Shaw has extensive corporate board experience, including as lead director at DTE Energy; and serving as a board committee chair at Dow, Inc, Wachovia, Southwire and others. She has been a director and chair of the boards of the University of North Carolina Charlotte; the UNCC Charlotte Foundation; the Foundation for the Carolinas; The Carolina Thread Trail; the United Way of Central Carolinas; and the Arts &amp; Science Council. She is a former member of the executive committees of the Nuclear Energy Institute and the Institute of Nuclear Power Operations. Throughout her years of service, Dr. Shaw has chaired Sustainability Committees, Compensation Committees, Governance Committees, and served on Audit, Finance and Risk Committees. She earned her bachelor’s degree and M.A. from East Carolina University and her Ph.D. from the University of Texas at Austin.</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Dr. Shaw contributes a deep understanding of multiple industries; corporate governance; human resources management; executive compensation; information technology; communications and public relations; environment, health and safety management; sustainability; procurement; and diversity to our Board.</w:t>
            </w:r>
          </w:p>
        </w:tc>
      </w:tr>
    </w:tbl>
    <w:tbl>
      <w:tblPr>
        <w:tblW w:w="10205" w:type="dxa"/>
        <w:jc w:val="center"/>
        <w:tblInd w:w="0" w:type="dxa"/>
        <w:tblLayout w:type="fixed"/>
        <w:tblCellMar>
          <w:top w:w="28" w:type="dxa"/>
          <w:left w:w="28" w:type="dxa"/>
          <w:bottom w:w="28" w:type="dxa"/>
          <w:right w:w="28" w:type="dxa"/>
        </w:tblCellMar>
      </w:tblPr>
      <w:tblGrid>
        <w:gridCol w:w="407"/>
        <w:gridCol w:w="358"/>
        <w:gridCol w:w="358"/>
        <w:gridCol w:w="358"/>
        <w:gridCol w:w="358"/>
        <w:gridCol w:w="362"/>
        <w:gridCol w:w="2344"/>
        <w:gridCol w:w="2344"/>
        <w:gridCol w:w="3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2" descr=""/>
                          <pic:cNvPicPr>
                            <a:picLocks noChangeAspect="1" noChangeArrowheads="1"/>
                          </pic:cNvPicPr>
                        </pic:nvPicPr>
                        <pic:blipFill>
                          <a:blip r:embed="rId48"/>
                          <a:stretch>
                            <a:fillRect/>
                          </a:stretch>
                        </pic:blipFill>
                        <pic:spPr bwMode="auto">
                          <a:xfrm>
                            <a:off x="0" y="0"/>
                            <a:ext cx="1333500" cy="1666875"/>
                          </a:xfrm>
                          <a:prstGeom prst="rect">
                            <a:avLst/>
                          </a:prstGeom>
                        </pic:spPr>
                      </pic:pic>
                    </a:graphicData>
                  </a:graphic>
                </wp:inline>
              </w:drawing>
            </w:r>
            <w:bookmarkStart w:id="49" w:name="i-32"/>
            <w:bookmarkEnd w:id="49"/>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Bob Toth</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Former Chairman, Chief</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Executive Officer and</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President, Polypore</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International,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65</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2017</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 xml:space="preserve">Robert B. Toth </w:t>
            </w:r>
            <w:r>
              <w:rPr>
                <w:rFonts w:ascii="Arial;sans-serif" w:hAnsi="Arial;sans-serif"/>
                <w:b w:val="false"/>
                <w:color w:val="000000"/>
                <w:sz w:val="18"/>
              </w:rPr>
              <w:t>currently serves as an independent advisor to several private equity firms. Mr. Toth has more than 30 years of experience in leadership roles at global industrial and manufacturing companies, as well as in private equity, most recently as a Managing Director at CCMP Capital Advisors, LLC from 2016 until 2019. Prior to CCMP, Mr. Toth served as the Chairman, Chief Executive Officer and President of Polypore International, Inc., a leading global high technology filtration company, where he optimized the business portfolio and positioned the company for accelerated growth, resulting in a substantial increase in enterprise value. Prior to Polypore, Mr. Toth served as President, Chief Executive Officer and Board Director of CP Kelco ApS, where he led the business through a comprehensive turnaround and successful sale. He also spent 19 years at Monsanto Company and its spin-off, Solutia Inc., where he held a variety of executive and managerial roles. Mr. Toth is currently a Director at Materion Corporation. He earned a bachelor’s degree in Industrial Management with a field of study in Industrial Engineering from Purdue University and MBA from the John M. Olin School of Business at Washington University, St. Louis, Missouri.</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Toth contributes significant insight on mergers and acquisitions and on strategic portfolio management and related strategic and operational issues. Mr. Toth also brings extensive experience leading companies in the manufacturing sector, including knowledge and skills in senior management, finance, and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39140"/>
                <wp:effectExtent l="0" t="0" r="0" b="0"/>
                <wp:wrapNone/>
                <wp:docPr id="69"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3" descr=""/>
                                                <pic:cNvPicPr>
                                                  <a:picLocks noChangeAspect="1" noChangeArrowheads="1"/>
                                                </pic:cNvPicPr>
                                              </pic:nvPicPr>
                                              <pic:blipFill>
                                                <a:blip r:embed="rId49"/>
                                                <a:stretch>
                                                  <a:fillRect/>
                                                </a:stretch>
                                              </pic:blipFill>
                                              <pic:spPr bwMode="auto">
                                                <a:xfrm>
                                                  <a:off x="0" y="0"/>
                                                  <a:ext cx="447675" cy="161925"/>
                                                </a:xfrm>
                                                <a:prstGeom prst="rect">
                                                  <a:avLst/>
                                                </a:prstGeom>
                                              </pic:spPr>
                                            </pic:pic>
                                          </a:graphicData>
                                        </a:graphic>
                                      </wp:inline>
                                    </w:drawing>
                                  </w:r>
                                  <w:bookmarkStart w:id="50" w:name="i-33"/>
                                  <w:bookmarkEnd w:id="50"/>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3" descr=""/>
                                          <pic:cNvPicPr>
                                            <a:picLocks noChangeAspect="1" noChangeArrowheads="1"/>
                                          </pic:cNvPicPr>
                                        </pic:nvPicPr>
                                        <pic:blipFill>
                                          <a:blip r:embed="rId50"/>
                                          <a:stretch>
                                            <a:fillRect/>
                                          </a:stretch>
                                        </pic:blipFill>
                                        <pic:spPr bwMode="auto">
                                          <a:xfrm>
                                            <a:off x="0" y="0"/>
                                            <a:ext cx="447675" cy="161925"/>
                                          </a:xfrm>
                                          <a:prstGeom prst="rect">
                                            <a:avLst/>
                                          </a:prstGeom>
                                        </pic:spPr>
                                      </pic:pic>
                                    </a:graphicData>
                                  </a:graphic>
                                </wp:inline>
                              </w:drawing>
                            </w:r>
                            <w:bookmarkStart w:id="51" w:name="i-33"/>
                            <w:bookmarkEnd w:id="51"/>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1: Election of Directors</w:t>
            </w:r>
          </w:p>
        </w:tc>
      </w:tr>
    </w:tbl>
    <w:tbl>
      <w:tblPr>
        <w:tblW w:w="10205" w:type="dxa"/>
        <w:jc w:val="center"/>
        <w:tblInd w:w="0" w:type="dxa"/>
        <w:tblLayout w:type="fixed"/>
        <w:tblCellMar>
          <w:top w:w="28" w:type="dxa"/>
          <w:left w:w="28" w:type="dxa"/>
          <w:bottom w:w="28" w:type="dxa"/>
          <w:right w:w="28" w:type="dxa"/>
        </w:tblCellMar>
      </w:tblPr>
      <w:tblGrid>
        <w:gridCol w:w="471"/>
        <w:gridCol w:w="414"/>
        <w:gridCol w:w="414"/>
        <w:gridCol w:w="414"/>
        <w:gridCol w:w="414"/>
        <w:gridCol w:w="419"/>
        <w:gridCol w:w="2241"/>
        <w:gridCol w:w="2241"/>
        <w:gridCol w:w="3177"/>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2546"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51"/>
                          <a:stretch>
                            <a:fillRect/>
                          </a:stretch>
                        </pic:blipFill>
                        <pic:spPr bwMode="auto">
                          <a:xfrm>
                            <a:off x="0" y="0"/>
                            <a:ext cx="1333500" cy="1666875"/>
                          </a:xfrm>
                          <a:prstGeom prst="rect">
                            <a:avLst/>
                          </a:prstGeom>
                        </pic:spPr>
                      </pic:pic>
                    </a:graphicData>
                  </a:graphic>
                </wp:inline>
              </w:drawing>
            </w:r>
            <w:bookmarkStart w:id="52" w:name="i-34"/>
            <w:bookmarkEnd w:id="52"/>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Angel Shelton Willis</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Executive Vice President, Global General Counsel &amp; Corporate Affairs Officer, The Kraft Heinz Company</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55</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2021</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7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6"/>
            <w:vMerge w:val="continue"/>
            <w:tcBorders/>
            <w:tcMar>
              <w:top w:w="0" w:type="dxa"/>
              <w:left w:w="0" w:type="dxa"/>
              <w:bottom w:w="0" w:type="dxa"/>
              <w:right w:w="0" w:type="dxa"/>
            </w:tcMar>
            <w:vAlign w:val="center"/>
          </w:tcPr>
          <w:p>
            <w:pPr>
              <w:pStyle w:val="Normal"/>
              <w:bidi w:val="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Angel Shelton Willis</w:t>
            </w:r>
            <w:r>
              <w:rPr>
                <w:color w:val="000000"/>
              </w:rPr>
              <w:t xml:space="preserve"> </w:t>
            </w:r>
            <w:r>
              <w:rPr>
                <w:rFonts w:ascii="Arial;sans-serif" w:hAnsi="Arial;sans-serif"/>
                <w:b w:val="false"/>
                <w:color w:val="000000"/>
                <w:sz w:val="18"/>
              </w:rPr>
              <w:t>has served as Executive Vice President, Global General Counsel and Corporate Affairs Officer of The Kraft Heinz Company, a global food and beverage producer, since November 2024. She is responsible for leading the Global Legal and Corporate Affairs teams, which include Ethics &amp; Compliance, Government Affairs, Regulatory and Communications. Before joining Kraft Heinz, Ms. Willis served as Vice President, General Counsel and Secretary of Sealed Air Corporation from 2019 to 2024. Prior to Sealed Air, Ms. Willis spent 14 years at Ingersoll Rand Company (now Trane Technologies) in several leadership roles from 2005 to 2019, including as Vice President &amp; Deputy General Counsel, M&amp;A and General Counsel, Trane Commercial. Prior to Ingersoll Rand, she was Corporate Counsel at Cummins, Inc., from 2002 to 2005, and began her legal career as Associate at Ice Miller from 1996 to 2002. Ms. Willis holds a bachelor’s degree in political science and economics and a master’s degree in business administration from Clemson University. She also earned a Juris Doctor degree from the University of Illinois Urbana-Champaign.</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to Ms. Willis’s extensive legal background, she brings deep experience in global industrial and manufacturing sectors, mergers and acquisitions, regulatory, tax, risk management, communications, crisis management, and corporate governance.</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5" descr=""/>
                          <pic:cNvPicPr>
                            <a:picLocks noChangeAspect="1" noChangeArrowheads="1"/>
                          </pic:cNvPicPr>
                        </pic:nvPicPr>
                        <pic:blipFill>
                          <a:blip r:embed="rId52"/>
                          <a:stretch>
                            <a:fillRect/>
                          </a:stretch>
                        </pic:blipFill>
                        <pic:spPr bwMode="auto">
                          <a:xfrm>
                            <a:off x="0" y="0"/>
                            <a:ext cx="1333500" cy="1666875"/>
                          </a:xfrm>
                          <a:prstGeom prst="rect">
                            <a:avLst/>
                          </a:prstGeom>
                        </pic:spPr>
                      </pic:pic>
                    </a:graphicData>
                  </a:graphic>
                </wp:inline>
              </w:drawing>
            </w:r>
            <w:bookmarkStart w:id="53" w:name="i-35"/>
            <w:bookmarkEnd w:id="53"/>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Gene Lowe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President and CEO,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SPX Technologies,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58</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None</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Eugene J. Lowe, III</w:t>
            </w:r>
            <w:r>
              <w:rPr>
                <w:color w:val="000000"/>
              </w:rPr>
              <w:t xml:space="preserve"> </w:t>
            </w:r>
            <w:r>
              <w:rPr>
                <w:rFonts w:ascii="Arial;sans-serif" w:hAnsi="Arial;sans-serif"/>
                <w:b w:val="false"/>
                <w:color w:val="000000"/>
                <w:sz w:val="18"/>
              </w:rPr>
              <w:t>has served as President and Chief Executive Officer of SPX since September 2015. He was appointed an officer of SPX in 2014 and previously served as Segment President, Thermal Equipment and Services, from 2013 to 2015; President, Global Evaporative Cooling, from 2010 to 2013; and Vice President of Global Business Development and Marketing, Thermal Equipment and Services, from 2008 to 2010. Prior to joining SPX, Mr. Lowe held positions with Milliken &amp; Company, Lazard Technology Partners, Bain &amp; Company, and Andersen Consulting. Mr. Lowe is currently a director of Federal Signal Corporation. He earned his bachelor’s degree in Management Science from Virginia Tech and his MBA from Dartmouth’s Tuck School of Business.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brings valuable operations, strategic planning, marketing, and business development experience to our Board. As the only member of SPX management to serve on the Board, Mr. Lowe also contributes a level of understanding of our Company not easily attained by an outside 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39140"/>
                <wp:effectExtent l="0" t="0" r="0" b="0"/>
                <wp:wrapNone/>
                <wp:docPr id="74"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6" descr=""/>
                                                <pic:cNvPicPr>
                                                  <a:picLocks noChangeAspect="1" noChangeArrowheads="1"/>
                                                </pic:cNvPicPr>
                                              </pic:nvPicPr>
                                              <pic:blipFill>
                                                <a:blip r:embed="rId53"/>
                                                <a:stretch>
                                                  <a:fillRect/>
                                                </a:stretch>
                                              </pic:blipFill>
                                              <pic:spPr bwMode="auto">
                                                <a:xfrm>
                                                  <a:off x="0" y="0"/>
                                                  <a:ext cx="447675" cy="161925"/>
                                                </a:xfrm>
                                                <a:prstGeom prst="rect">
                                                  <a:avLst/>
                                                </a:prstGeom>
                                              </pic:spPr>
                                            </pic:pic>
                                          </a:graphicData>
                                        </a:graphic>
                                      </wp:inline>
                                    </w:drawing>
                                  </w:r>
                                  <w:bookmarkStart w:id="54" w:name="i-36"/>
                                  <w:bookmarkEnd w:id="54"/>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54"/>
                                          <a:stretch>
                                            <a:fillRect/>
                                          </a:stretch>
                                        </pic:blipFill>
                                        <pic:spPr bwMode="auto">
                                          <a:xfrm>
                                            <a:off x="0" y="0"/>
                                            <a:ext cx="447675" cy="161925"/>
                                          </a:xfrm>
                                          <a:prstGeom prst="rect">
                                            <a:avLst/>
                                          </a:prstGeom>
                                        </pic:spPr>
                                      </pic:pic>
                                    </a:graphicData>
                                  </a:graphic>
                                </wp:inline>
                              </w:drawing>
                            </w:r>
                            <w:bookmarkStart w:id="55" w:name="i-36"/>
                            <w:bookmarkEnd w:id="55"/>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1: Election of Directors</w:t>
            </w:r>
          </w:p>
        </w:tc>
      </w:tr>
    </w:tbl>
    <w:tbl>
      <w:tblPr>
        <w:tblW w:w="10205" w:type="dxa"/>
        <w:jc w:val="center"/>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55"/>
                          <a:stretch>
                            <a:fillRect/>
                          </a:stretch>
                        </pic:blipFill>
                        <pic:spPr bwMode="auto">
                          <a:xfrm>
                            <a:off x="0" y="0"/>
                            <a:ext cx="1333500" cy="1666875"/>
                          </a:xfrm>
                          <a:prstGeom prst="rect">
                            <a:avLst/>
                          </a:prstGeom>
                        </pic:spPr>
                      </pic:pic>
                    </a:graphicData>
                  </a:graphic>
                </wp:inline>
              </w:drawing>
            </w:r>
            <w:bookmarkStart w:id="56" w:name="i-37"/>
            <w:bookmarkEnd w:id="56"/>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Patrick O’Leary</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Executive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Vice President, Finance,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Treasurer and CFO,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SPX Corporation</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68</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Patrick J. O’Leary</w:t>
            </w:r>
            <w:r>
              <w:rPr>
                <w:color w:val="000000"/>
              </w:rPr>
              <w:t xml:space="preserve"> </w:t>
            </w:r>
            <w:r>
              <w:rPr>
                <w:rFonts w:ascii="Arial;sans-serif" w:hAnsi="Arial;sans-serif"/>
                <w:b w:val="false"/>
                <w:color w:val="000000"/>
                <w:sz w:val="18"/>
              </w:rPr>
              <w:t>retired in August 2012 from SPX, having served as Vice President, Finance, Treasurer and Chief Financial Officer from 1996, and later as Executive Vice President in 2004. During his more than 15 years with SPX, he was a principal architect of the Company’s transformation until his retirement. Prior to joining SPX, Mr. O’Leary served as Chief Financial Officer and a director of Carlisle Plastics, Inc., from 1994 to 1996. He began his career with Deloitte &amp; Touche LLP, where he held various roles of increasing responsibility from 1978 to 1994, including Partner in the firm’s Boston office from 1988 to 1994. Mr. O’Leary is currently a director of Avanos Medical Inc. He earned his bachelor’s degree in Accountancy and Law from the University of Southampton, England and is a Certified Public Accountant in Massachusetts.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O’Leary contributes a deep understanding of SPX history and businesses to our Board. In addition, he brings broad financial strategy expertise, including strong financial acumen, and mergers and acquisition and governance experience. Mr. O’Leary also contributes leadership skills developed through his experience serving on various public company boards.</w:t>
            </w:r>
          </w:p>
        </w:tc>
      </w:tr>
    </w:tbl>
    <w:tbl>
      <w:tblPr>
        <w:tblW w:w="10205" w:type="dxa"/>
        <w:jc w:val="center"/>
        <w:tblInd w:w="0" w:type="dxa"/>
        <w:tblLayout w:type="fixed"/>
        <w:tblCellMar>
          <w:top w:w="28" w:type="dxa"/>
          <w:left w:w="28" w:type="dxa"/>
          <w:bottom w:w="28" w:type="dxa"/>
          <w:right w:w="28" w:type="dxa"/>
        </w:tblCellMar>
      </w:tblPr>
      <w:tblGrid>
        <w:gridCol w:w="802"/>
        <w:gridCol w:w="705"/>
        <w:gridCol w:w="706"/>
        <w:gridCol w:w="2340"/>
        <w:gridCol w:w="2340"/>
        <w:gridCol w:w="3312"/>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2213"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56"/>
                          <a:stretch>
                            <a:fillRect/>
                          </a:stretch>
                        </pic:blipFill>
                        <pic:spPr bwMode="auto">
                          <a:xfrm>
                            <a:off x="0" y="0"/>
                            <a:ext cx="1333500" cy="1666875"/>
                          </a:xfrm>
                          <a:prstGeom prst="rect">
                            <a:avLst/>
                          </a:prstGeom>
                        </pic:spPr>
                      </pic:pic>
                    </a:graphicData>
                  </a:graphic>
                </wp:inline>
              </w:drawing>
            </w:r>
            <w:bookmarkStart w:id="57" w:name="i-38"/>
            <w:bookmarkEnd w:id="57"/>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Dave Roberts</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 xml:space="preserve">Retired Chairman of the Board </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and Executive Chairman,</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President and CEO,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Carlisle Companies,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78</w:t>
            </w:r>
          </w:p>
          <w:p>
            <w:pPr>
              <w:pStyle w:val="TableContents"/>
              <w:bidi w:val="0"/>
              <w:spacing w:lineRule="auto" w:line="288" w:before="0" w:after="0"/>
              <w:jc w:val="left"/>
              <w:rPr>
                <w:rFonts w:ascii="Arial;sans-serif" w:hAnsi="Arial;sans-serif"/>
                <w:b/>
                <w:color w:val="004C97"/>
                <w:sz w:val="16"/>
              </w:rPr>
            </w:pPr>
            <w:r>
              <w:rPr>
                <w:rFonts w:ascii="Arial;sans-serif" w:hAnsi="Arial;sans-serif"/>
                <w:b/>
                <w:color w:val="004C97"/>
                <w:sz w:val="16"/>
              </w:rPr>
              <w:t>Director since: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7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vMerge w:val="continue"/>
            <w:tcBorders/>
            <w:tcMar>
              <w:top w:w="0" w:type="dxa"/>
              <w:left w:w="0" w:type="dxa"/>
              <w:bottom w:w="0" w:type="dxa"/>
              <w:right w:w="0" w:type="dxa"/>
            </w:tcMar>
            <w:vAlign w:val="center"/>
          </w:tcPr>
          <w:p>
            <w:pPr>
              <w:pStyle w:val="Normal"/>
              <w:bidi w:val="0"/>
              <w:jc w:val="left"/>
              <w:rPr/>
            </w:pPr>
            <w:r>
              <w:rPr/>
            </w:r>
          </w:p>
        </w:tc>
        <w:tc>
          <w:tcPr>
            <w:tcW w:w="799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David A. Roberts</w:t>
            </w:r>
            <w:r>
              <w:rPr>
                <w:color w:val="000000"/>
              </w:rPr>
              <w:t xml:space="preserve"> </w:t>
            </w:r>
            <w:r>
              <w:rPr>
                <w:rFonts w:ascii="Arial;sans-serif" w:hAnsi="Arial;sans-serif"/>
                <w:b w:val="false"/>
                <w:color w:val="000000"/>
                <w:sz w:val="18"/>
              </w:rPr>
              <w:t>retired in 2020 as Chairman of the Board of Carlisle Companies, Inc., a diversified manufacturing company, a position he held since 2017. He previously served as Carlisle’s Executive Chairman of the Board, in 2016; its Chairman and Chief Executive Officer, from 2014 to 2015; and its Chairman, President and Chief Executive Officer, from 2007 to 2014. Prior to joining Carlisle, Mr. Roberts served as Chairman, President and Chief Executive Officer of Graco, Inc., a fluid handling system provider, from 2001 to 2007. Prior to that, Mr. Roberts served as a Group Vice President of The Marmon Group, LLC, a diversified industrial holding company, from 1995 to 2001. He began his career serving in a variety of manufacturing, engineering, and general management positions with The Budd Company, Pitney Bowes, and FMC Corporation. Mr. Roberts previously served as a director of Franklin Electric Co., Inc. and Horizon Global Corporation. He earned his bachelor’s degree from Purdue University and his MBA from Indiana University.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Roberts brings extensive experience in senior management of multinational companies, including expertise in the industrial and manufacturing sectors, and mergers and acquisitions, to our Board. Mr. Roberts also contributes strong financial acumen and experience from his service on various public company boards.</w:t>
            </w:r>
          </w:p>
        </w:tc>
      </w:tr>
    </w:tbl>
    <w:p>
      <w:pPr>
        <w:pStyle w:val="TextBody"/>
        <w:bidi w:val="0"/>
        <w:spacing w:before="0" w:after="420"/>
        <w:jc w:val="left"/>
        <w:rPr/>
      </w:pPr>
      <w:r>
        <w:rPr/>
      </w:r>
    </w:p>
    <w:p>
      <w:pPr>
        <w:pStyle w:val="TextBody"/>
        <w:bidi w:val="0"/>
        <w:spacing w:before="0" w:after="420"/>
        <w:jc w:val="left"/>
        <w:rPr/>
      </w:pPr>
      <w:r>
        <w:rPr/>
      </w:r>
    </w:p>
    <w:p>
      <w:pPr>
        <w:pStyle w:val="TextBody"/>
        <w:bidi w:val="0"/>
        <w:spacing w:before="0" w:after="4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39140"/>
                <wp:effectExtent l="0" t="0" r="0" b="0"/>
                <wp:wrapNone/>
                <wp:docPr id="79"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9" descr=""/>
                                                <pic:cNvPicPr>
                                                  <a:picLocks noChangeAspect="1" noChangeArrowheads="1"/>
                                                </pic:cNvPicPr>
                                              </pic:nvPicPr>
                                              <pic:blipFill>
                                                <a:blip r:embed="rId57"/>
                                                <a:stretch>
                                                  <a:fillRect/>
                                                </a:stretch>
                                              </pic:blipFill>
                                              <pic:spPr bwMode="auto">
                                                <a:xfrm>
                                                  <a:off x="0" y="0"/>
                                                  <a:ext cx="447675" cy="161925"/>
                                                </a:xfrm>
                                                <a:prstGeom prst="rect">
                                                  <a:avLst/>
                                                </a:prstGeom>
                                              </pic:spPr>
                                            </pic:pic>
                                          </a:graphicData>
                                        </a:graphic>
                                      </wp:inline>
                                    </w:drawing>
                                  </w:r>
                                  <w:bookmarkStart w:id="58" w:name="i-39"/>
                                  <w:bookmarkEnd w:id="58"/>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58"/>
                                          <a:stretch>
                                            <a:fillRect/>
                                          </a:stretch>
                                        </pic:blipFill>
                                        <pic:spPr bwMode="auto">
                                          <a:xfrm>
                                            <a:off x="0" y="0"/>
                                            <a:ext cx="447675" cy="161925"/>
                                          </a:xfrm>
                                          <a:prstGeom prst="rect">
                                            <a:avLst/>
                                          </a:prstGeom>
                                        </pic:spPr>
                                      </pic:pic>
                                    </a:graphicData>
                                  </a:graphic>
                                </wp:inline>
                              </w:drawing>
                            </w:r>
                            <w:bookmarkStart w:id="59" w:name="i-39"/>
                            <w:bookmarkEnd w:id="59"/>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1: Election of Directors</w:t>
            </w:r>
          </w:p>
        </w:tc>
      </w:tr>
    </w:tbl>
    <w:p>
      <w:pPr>
        <w:pStyle w:val="TextBody"/>
        <w:bidi w:val="0"/>
        <w:spacing w:lineRule="auto" w:line="268" w:before="360" w:after="283"/>
        <w:jc w:val="left"/>
        <w:rPr>
          <w:rFonts w:ascii="Arial;sans-serif" w:hAnsi="Arial;sans-serif"/>
          <w:b/>
          <w:color w:val="000000"/>
          <w:sz w:val="32"/>
        </w:rPr>
      </w:pPr>
      <w:bookmarkStart w:id="60" w:name="i6410962d0cc74b6ab48d7735db7b1dae_4814"/>
      <w:bookmarkEnd w:id="60"/>
      <w:r>
        <w:rPr>
          <w:rFonts w:ascii="Arial;sans-serif" w:hAnsi="Arial;sans-serif"/>
          <w:b/>
          <w:color w:val="000000"/>
          <w:sz w:val="32"/>
        </w:rPr>
        <w:t>Director and Nominee Skills and Experience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leadership of our Governance &amp; Sustainability Committee, our Board developed and maintains a list of key areas of expertise and experience that the Board believes contribute to an effective and well-functioning board and that the Board as a whole should possess.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Governance &amp; Sustainability Committee and the Board use this information to identify areas for director training and as a tool to maintain a balanced and well-rounded board. In addition, the Governance &amp; Sustainability Committee considers these and other criteria as a guide, but not as a minimum set of requirements, when evaluating potential candidates for the Board. Together, this variety of skill sets, experiences, and personal backgrounds allows our directors to provide the diversity of thought that is critical to the Board’s decision-making and oversight process. The following chart indicates the number of directors who have gained experience in each attribute through a current or prior position other than his or her service on the SPX Board. For a better understanding of our Board qualifications and diversity, we encourage you to read “Director Nominees and Qualifications” beginning on page 6.</w:t>
      </w:r>
    </w:p>
    <w:tbl>
      <w:tblPr>
        <w:tblW w:w="9624" w:type="dxa"/>
        <w:jc w:val="center"/>
        <w:tblInd w:w="0" w:type="dxa"/>
        <w:tblLayout w:type="fixed"/>
        <w:tblCellMar>
          <w:top w:w="28" w:type="dxa"/>
          <w:left w:w="28" w:type="dxa"/>
          <w:bottom w:w="28" w:type="dxa"/>
          <w:right w:w="28" w:type="dxa"/>
        </w:tblCellMar>
      </w:tblPr>
      <w:tblGrid>
        <w:gridCol w:w="1504"/>
        <w:gridCol w:w="1322"/>
        <w:gridCol w:w="1329"/>
        <w:gridCol w:w="180"/>
        <w:gridCol w:w="180"/>
        <w:gridCol w:w="181"/>
        <w:gridCol w:w="240"/>
        <w:gridCol w:w="240"/>
        <w:gridCol w:w="241"/>
        <w:gridCol w:w="235"/>
        <w:gridCol w:w="235"/>
        <w:gridCol w:w="236"/>
        <w:gridCol w:w="245"/>
        <w:gridCol w:w="245"/>
        <w:gridCol w:w="246"/>
        <w:gridCol w:w="220"/>
        <w:gridCol w:w="220"/>
        <w:gridCol w:w="221"/>
        <w:gridCol w:w="180"/>
        <w:gridCol w:w="180"/>
        <w:gridCol w:w="181"/>
        <w:gridCol w:w="160"/>
        <w:gridCol w:w="160"/>
        <w:gridCol w:w="161"/>
        <w:gridCol w:w="170"/>
        <w:gridCol w:w="170"/>
        <w:gridCol w:w="171"/>
        <w:gridCol w:w="167"/>
        <w:gridCol w:w="167"/>
        <w:gridCol w:w="237"/>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Lowe</w:t>
            </w:r>
          </w:p>
        </w:tc>
        <w:tc>
          <w:tcPr>
            <w:tcW w:w="72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O'Leary</w:t>
            </w:r>
          </w:p>
        </w:tc>
        <w:tc>
          <w:tcPr>
            <w:tcW w:w="706"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Puckett</w:t>
            </w:r>
          </w:p>
        </w:tc>
        <w:tc>
          <w:tcPr>
            <w:tcW w:w="736"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Roberts</w:t>
            </w:r>
          </w:p>
        </w:tc>
        <w:tc>
          <w:tcPr>
            <w:tcW w:w="66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Sethna</w:t>
            </w:r>
          </w:p>
        </w:tc>
        <w:tc>
          <w:tcPr>
            <w:tcW w:w="54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Shaw</w:t>
            </w:r>
          </w:p>
        </w:tc>
        <w:tc>
          <w:tcPr>
            <w:tcW w:w="48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Toth</w:t>
            </w:r>
          </w:p>
        </w:tc>
        <w:tc>
          <w:tcPr>
            <w:tcW w:w="51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Utley</w:t>
            </w:r>
          </w:p>
        </w:tc>
        <w:tc>
          <w:tcPr>
            <w:tcW w:w="571" w:type="dxa"/>
            <w:gridSpan w:val="3"/>
            <w:tcBorders>
              <w:left w:val="single" w:sz="8" w:space="0" w:color="FFFFFF"/>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Willis</w:t>
            </w:r>
          </w:p>
        </w:tc>
      </w:tr>
      <w:tr>
        <w:trPr/>
        <w:tc>
          <w:tcPr>
            <w:tcW w:w="415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FFFFFF"/>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CEO or Senior P&amp;L Leadership</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59"/>
                          <a:stretch>
                            <a:fillRect/>
                          </a:stretch>
                        </pic:blipFill>
                        <pic:spPr bwMode="auto">
                          <a:xfrm>
                            <a:off x="0" y="0"/>
                            <a:ext cx="104775" cy="104775"/>
                          </a:xfrm>
                          <a:prstGeom prst="rect">
                            <a:avLst/>
                          </a:prstGeom>
                        </pic:spPr>
                      </pic:pic>
                    </a:graphicData>
                  </a:graphic>
                </wp:inline>
              </w:drawing>
            </w:r>
            <w:bookmarkStart w:id="61" w:name="i-40"/>
            <w:bookmarkEnd w:id="61"/>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1" descr=""/>
                          <pic:cNvPicPr>
                            <a:picLocks noChangeAspect="1" noChangeArrowheads="1"/>
                          </pic:cNvPicPr>
                        </pic:nvPicPr>
                        <pic:blipFill>
                          <a:blip r:embed="rId60"/>
                          <a:stretch>
                            <a:fillRect/>
                          </a:stretch>
                        </pic:blipFill>
                        <pic:spPr bwMode="auto">
                          <a:xfrm>
                            <a:off x="0" y="0"/>
                            <a:ext cx="104775" cy="104775"/>
                          </a:xfrm>
                          <a:prstGeom prst="rect">
                            <a:avLst/>
                          </a:prstGeom>
                        </pic:spPr>
                      </pic:pic>
                    </a:graphicData>
                  </a:graphic>
                </wp:inline>
              </w:drawing>
            </w:r>
            <w:bookmarkStart w:id="62" w:name="i-41"/>
            <w:bookmarkEnd w:id="62"/>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 descr=""/>
                          <pic:cNvPicPr>
                            <a:picLocks noChangeAspect="1" noChangeArrowheads="1"/>
                          </pic:cNvPicPr>
                        </pic:nvPicPr>
                        <pic:blipFill>
                          <a:blip r:embed="rId61"/>
                          <a:stretch>
                            <a:fillRect/>
                          </a:stretch>
                        </pic:blipFill>
                        <pic:spPr bwMode="auto">
                          <a:xfrm>
                            <a:off x="0" y="0"/>
                            <a:ext cx="104775" cy="104775"/>
                          </a:xfrm>
                          <a:prstGeom prst="rect">
                            <a:avLst/>
                          </a:prstGeom>
                        </pic:spPr>
                      </pic:pic>
                    </a:graphicData>
                  </a:graphic>
                </wp:inline>
              </w:drawing>
            </w:r>
            <w:bookmarkStart w:id="63" w:name="i-42"/>
            <w:bookmarkEnd w:id="63"/>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3" descr=""/>
                          <pic:cNvPicPr>
                            <a:picLocks noChangeAspect="1" noChangeArrowheads="1"/>
                          </pic:cNvPicPr>
                        </pic:nvPicPr>
                        <pic:blipFill>
                          <a:blip r:embed="rId62"/>
                          <a:stretch>
                            <a:fillRect/>
                          </a:stretch>
                        </pic:blipFill>
                        <pic:spPr bwMode="auto">
                          <a:xfrm>
                            <a:off x="0" y="0"/>
                            <a:ext cx="104775" cy="104775"/>
                          </a:xfrm>
                          <a:prstGeom prst="rect">
                            <a:avLst/>
                          </a:prstGeom>
                        </pic:spPr>
                      </pic:pic>
                    </a:graphicData>
                  </a:graphic>
                </wp:inline>
              </w:drawing>
            </w:r>
            <w:bookmarkStart w:id="64" w:name="i-43"/>
            <w:bookmarkEnd w:id="64"/>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4" descr=""/>
                          <pic:cNvPicPr>
                            <a:picLocks noChangeAspect="1" noChangeArrowheads="1"/>
                          </pic:cNvPicPr>
                        </pic:nvPicPr>
                        <pic:blipFill>
                          <a:blip r:embed="rId63"/>
                          <a:stretch>
                            <a:fillRect/>
                          </a:stretch>
                        </pic:blipFill>
                        <pic:spPr bwMode="auto">
                          <a:xfrm>
                            <a:off x="0" y="0"/>
                            <a:ext cx="104775" cy="104775"/>
                          </a:xfrm>
                          <a:prstGeom prst="rect">
                            <a:avLst/>
                          </a:prstGeom>
                        </pic:spPr>
                      </pic:pic>
                    </a:graphicData>
                  </a:graphic>
                </wp:inline>
              </w:drawing>
            </w:r>
            <w:bookmarkStart w:id="65" w:name="i-44"/>
            <w:bookmarkEnd w:id="65"/>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5" descr=""/>
                          <pic:cNvPicPr>
                            <a:picLocks noChangeAspect="1" noChangeArrowheads="1"/>
                          </pic:cNvPicPr>
                        </pic:nvPicPr>
                        <pic:blipFill>
                          <a:blip r:embed="rId64"/>
                          <a:stretch>
                            <a:fillRect/>
                          </a:stretch>
                        </pic:blipFill>
                        <pic:spPr bwMode="auto">
                          <a:xfrm>
                            <a:off x="0" y="0"/>
                            <a:ext cx="104775" cy="104775"/>
                          </a:xfrm>
                          <a:prstGeom prst="rect">
                            <a:avLst/>
                          </a:prstGeom>
                        </pic:spPr>
                      </pic:pic>
                    </a:graphicData>
                  </a:graphic>
                </wp:inline>
              </w:drawing>
            </w:r>
            <w:bookmarkStart w:id="66" w:name="i-45"/>
            <w:bookmarkEnd w:id="66"/>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6" descr=""/>
                          <pic:cNvPicPr>
                            <a:picLocks noChangeAspect="1" noChangeArrowheads="1"/>
                          </pic:cNvPicPr>
                        </pic:nvPicPr>
                        <pic:blipFill>
                          <a:blip r:embed="rId65"/>
                          <a:stretch>
                            <a:fillRect/>
                          </a:stretch>
                        </pic:blipFill>
                        <pic:spPr bwMode="auto">
                          <a:xfrm>
                            <a:off x="0" y="0"/>
                            <a:ext cx="104775" cy="104775"/>
                          </a:xfrm>
                          <a:prstGeom prst="rect">
                            <a:avLst/>
                          </a:prstGeom>
                        </pic:spPr>
                      </pic:pic>
                    </a:graphicData>
                  </a:graphic>
                </wp:inline>
              </w:drawing>
            </w:r>
            <w:bookmarkStart w:id="67" w:name="i-46"/>
            <w:bookmarkEnd w:id="67"/>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8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7" descr=""/>
                          <pic:cNvPicPr>
                            <a:picLocks noChangeAspect="1" noChangeArrowheads="1"/>
                          </pic:cNvPicPr>
                        </pic:nvPicPr>
                        <pic:blipFill>
                          <a:blip r:embed="rId66"/>
                          <a:stretch>
                            <a:fillRect/>
                          </a:stretch>
                        </pic:blipFill>
                        <pic:spPr bwMode="auto">
                          <a:xfrm>
                            <a:off x="0" y="0"/>
                            <a:ext cx="104775" cy="104775"/>
                          </a:xfrm>
                          <a:prstGeom prst="rect">
                            <a:avLst/>
                          </a:prstGeom>
                        </pic:spPr>
                      </pic:pic>
                    </a:graphicData>
                  </a:graphic>
                </wp:inline>
              </w:drawing>
            </w:r>
            <w:bookmarkStart w:id="68" w:name="i-47"/>
            <w:bookmarkEnd w:id="68"/>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9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8" descr=""/>
                          <pic:cNvPicPr>
                            <a:picLocks noChangeAspect="1" noChangeArrowheads="1"/>
                          </pic:cNvPicPr>
                        </pic:nvPicPr>
                        <pic:blipFill>
                          <a:blip r:embed="rId67"/>
                          <a:stretch>
                            <a:fillRect/>
                          </a:stretch>
                        </pic:blipFill>
                        <pic:spPr bwMode="auto">
                          <a:xfrm>
                            <a:off x="0" y="0"/>
                            <a:ext cx="104775" cy="104775"/>
                          </a:xfrm>
                          <a:prstGeom prst="rect">
                            <a:avLst/>
                          </a:prstGeom>
                        </pic:spPr>
                      </pic:pic>
                    </a:graphicData>
                  </a:graphic>
                </wp:inline>
              </w:drawing>
            </w:r>
            <w:bookmarkStart w:id="69" w:name="i-48"/>
            <w:bookmarkEnd w:id="69"/>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Mergers &amp; Acquisitions / Strategy</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9" descr=""/>
                          <pic:cNvPicPr>
                            <a:picLocks noChangeAspect="1" noChangeArrowheads="1"/>
                          </pic:cNvPicPr>
                        </pic:nvPicPr>
                        <pic:blipFill>
                          <a:blip r:embed="rId68"/>
                          <a:stretch>
                            <a:fillRect/>
                          </a:stretch>
                        </pic:blipFill>
                        <pic:spPr bwMode="auto">
                          <a:xfrm>
                            <a:off x="0" y="0"/>
                            <a:ext cx="104775" cy="104775"/>
                          </a:xfrm>
                          <a:prstGeom prst="rect">
                            <a:avLst/>
                          </a:prstGeom>
                        </pic:spPr>
                      </pic:pic>
                    </a:graphicData>
                  </a:graphic>
                </wp:inline>
              </w:drawing>
            </w:r>
            <w:bookmarkStart w:id="70" w:name="i-49"/>
            <w:bookmarkEnd w:id="70"/>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0" descr=""/>
                          <pic:cNvPicPr>
                            <a:picLocks noChangeAspect="1" noChangeArrowheads="1"/>
                          </pic:cNvPicPr>
                        </pic:nvPicPr>
                        <pic:blipFill>
                          <a:blip r:embed="rId69"/>
                          <a:stretch>
                            <a:fillRect/>
                          </a:stretch>
                        </pic:blipFill>
                        <pic:spPr bwMode="auto">
                          <a:xfrm>
                            <a:off x="0" y="0"/>
                            <a:ext cx="104775" cy="104775"/>
                          </a:xfrm>
                          <a:prstGeom prst="rect">
                            <a:avLst/>
                          </a:prstGeom>
                        </pic:spPr>
                      </pic:pic>
                    </a:graphicData>
                  </a:graphic>
                </wp:inline>
              </w:drawing>
            </w:r>
            <w:bookmarkStart w:id="71" w:name="i-50"/>
            <w:bookmarkEnd w:id="71"/>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1" descr=""/>
                          <pic:cNvPicPr>
                            <a:picLocks noChangeAspect="1" noChangeArrowheads="1"/>
                          </pic:cNvPicPr>
                        </pic:nvPicPr>
                        <pic:blipFill>
                          <a:blip r:embed="rId70"/>
                          <a:stretch>
                            <a:fillRect/>
                          </a:stretch>
                        </pic:blipFill>
                        <pic:spPr bwMode="auto">
                          <a:xfrm>
                            <a:off x="0" y="0"/>
                            <a:ext cx="104775" cy="104775"/>
                          </a:xfrm>
                          <a:prstGeom prst="rect">
                            <a:avLst/>
                          </a:prstGeom>
                        </pic:spPr>
                      </pic:pic>
                    </a:graphicData>
                  </a:graphic>
                </wp:inline>
              </w:drawing>
            </w:r>
            <w:bookmarkStart w:id="72" w:name="i-51"/>
            <w:bookmarkEnd w:id="72"/>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 descr=""/>
                          <pic:cNvPicPr>
                            <a:picLocks noChangeAspect="1" noChangeArrowheads="1"/>
                          </pic:cNvPicPr>
                        </pic:nvPicPr>
                        <pic:blipFill>
                          <a:blip r:embed="rId71"/>
                          <a:stretch>
                            <a:fillRect/>
                          </a:stretch>
                        </pic:blipFill>
                        <pic:spPr bwMode="auto">
                          <a:xfrm>
                            <a:off x="0" y="0"/>
                            <a:ext cx="104775" cy="104775"/>
                          </a:xfrm>
                          <a:prstGeom prst="rect">
                            <a:avLst/>
                          </a:prstGeom>
                        </pic:spPr>
                      </pic:pic>
                    </a:graphicData>
                  </a:graphic>
                </wp:inline>
              </w:drawing>
            </w:r>
            <w:bookmarkStart w:id="73" w:name="i-52"/>
            <w:bookmarkEnd w:id="73"/>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3" descr=""/>
                          <pic:cNvPicPr>
                            <a:picLocks noChangeAspect="1" noChangeArrowheads="1"/>
                          </pic:cNvPicPr>
                        </pic:nvPicPr>
                        <pic:blipFill>
                          <a:blip r:embed="rId72"/>
                          <a:stretch>
                            <a:fillRect/>
                          </a:stretch>
                        </pic:blipFill>
                        <pic:spPr bwMode="auto">
                          <a:xfrm>
                            <a:off x="0" y="0"/>
                            <a:ext cx="104775" cy="104775"/>
                          </a:xfrm>
                          <a:prstGeom prst="rect">
                            <a:avLst/>
                          </a:prstGeom>
                        </pic:spPr>
                      </pic:pic>
                    </a:graphicData>
                  </a:graphic>
                </wp:inline>
              </w:drawing>
            </w:r>
            <w:bookmarkStart w:id="74" w:name="i-53"/>
            <w:bookmarkEnd w:id="74"/>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4" descr=""/>
                          <pic:cNvPicPr>
                            <a:picLocks noChangeAspect="1" noChangeArrowheads="1"/>
                          </pic:cNvPicPr>
                        </pic:nvPicPr>
                        <pic:blipFill>
                          <a:blip r:embed="rId73"/>
                          <a:stretch>
                            <a:fillRect/>
                          </a:stretch>
                        </pic:blipFill>
                        <pic:spPr bwMode="auto">
                          <a:xfrm>
                            <a:off x="0" y="0"/>
                            <a:ext cx="104775" cy="104775"/>
                          </a:xfrm>
                          <a:prstGeom prst="rect">
                            <a:avLst/>
                          </a:prstGeom>
                        </pic:spPr>
                      </pic:pic>
                    </a:graphicData>
                  </a:graphic>
                </wp:inline>
              </w:drawing>
            </w:r>
            <w:bookmarkStart w:id="75" w:name="i-54"/>
            <w:bookmarkEnd w:id="75"/>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 descr=""/>
                          <pic:cNvPicPr>
                            <a:picLocks noChangeAspect="1" noChangeArrowheads="1"/>
                          </pic:cNvPicPr>
                        </pic:nvPicPr>
                        <pic:blipFill>
                          <a:blip r:embed="rId74"/>
                          <a:stretch>
                            <a:fillRect/>
                          </a:stretch>
                        </pic:blipFill>
                        <pic:spPr bwMode="auto">
                          <a:xfrm>
                            <a:off x="0" y="0"/>
                            <a:ext cx="104775" cy="104775"/>
                          </a:xfrm>
                          <a:prstGeom prst="rect">
                            <a:avLst/>
                          </a:prstGeom>
                        </pic:spPr>
                      </pic:pic>
                    </a:graphicData>
                  </a:graphic>
                </wp:inline>
              </w:drawing>
            </w:r>
            <w:bookmarkStart w:id="76" w:name="i-55"/>
            <w:bookmarkEnd w:id="76"/>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9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6" descr=""/>
                          <pic:cNvPicPr>
                            <a:picLocks noChangeAspect="1" noChangeArrowheads="1"/>
                          </pic:cNvPicPr>
                        </pic:nvPicPr>
                        <pic:blipFill>
                          <a:blip r:embed="rId75"/>
                          <a:stretch>
                            <a:fillRect/>
                          </a:stretch>
                        </pic:blipFill>
                        <pic:spPr bwMode="auto">
                          <a:xfrm>
                            <a:off x="0" y="0"/>
                            <a:ext cx="104775" cy="104775"/>
                          </a:xfrm>
                          <a:prstGeom prst="rect">
                            <a:avLst/>
                          </a:prstGeom>
                        </pic:spPr>
                      </pic:pic>
                    </a:graphicData>
                  </a:graphic>
                </wp:inline>
              </w:drawing>
            </w:r>
            <w:bookmarkStart w:id="77" w:name="i-56"/>
            <w:bookmarkEnd w:id="77"/>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9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7" descr=""/>
                          <pic:cNvPicPr>
                            <a:picLocks noChangeAspect="1" noChangeArrowheads="1"/>
                          </pic:cNvPicPr>
                        </pic:nvPicPr>
                        <pic:blipFill>
                          <a:blip r:embed="rId76"/>
                          <a:stretch>
                            <a:fillRect/>
                          </a:stretch>
                        </pic:blipFill>
                        <pic:spPr bwMode="auto">
                          <a:xfrm>
                            <a:off x="0" y="0"/>
                            <a:ext cx="104775" cy="104775"/>
                          </a:xfrm>
                          <a:prstGeom prst="rect">
                            <a:avLst/>
                          </a:prstGeom>
                        </pic:spPr>
                      </pic:pic>
                    </a:graphicData>
                  </a:graphic>
                </wp:inline>
              </w:drawing>
            </w:r>
            <w:bookmarkStart w:id="78" w:name="i-57"/>
            <w:bookmarkEnd w:id="78"/>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Finance and Risk Management</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8" descr=""/>
                          <pic:cNvPicPr>
                            <a:picLocks noChangeAspect="1" noChangeArrowheads="1"/>
                          </pic:cNvPicPr>
                        </pic:nvPicPr>
                        <pic:blipFill>
                          <a:blip r:embed="rId77"/>
                          <a:stretch>
                            <a:fillRect/>
                          </a:stretch>
                        </pic:blipFill>
                        <pic:spPr bwMode="auto">
                          <a:xfrm>
                            <a:off x="0" y="0"/>
                            <a:ext cx="104775" cy="104775"/>
                          </a:xfrm>
                          <a:prstGeom prst="rect">
                            <a:avLst/>
                          </a:prstGeom>
                        </pic:spPr>
                      </pic:pic>
                    </a:graphicData>
                  </a:graphic>
                </wp:inline>
              </w:drawing>
            </w:r>
            <w:bookmarkStart w:id="79" w:name="i-58"/>
            <w:bookmarkEnd w:id="79"/>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9" descr=""/>
                          <pic:cNvPicPr>
                            <a:picLocks noChangeAspect="1" noChangeArrowheads="1"/>
                          </pic:cNvPicPr>
                        </pic:nvPicPr>
                        <pic:blipFill>
                          <a:blip r:embed="rId78"/>
                          <a:stretch>
                            <a:fillRect/>
                          </a:stretch>
                        </pic:blipFill>
                        <pic:spPr bwMode="auto">
                          <a:xfrm>
                            <a:off x="0" y="0"/>
                            <a:ext cx="104775" cy="104775"/>
                          </a:xfrm>
                          <a:prstGeom prst="rect">
                            <a:avLst/>
                          </a:prstGeom>
                        </pic:spPr>
                      </pic:pic>
                    </a:graphicData>
                  </a:graphic>
                </wp:inline>
              </w:drawing>
            </w:r>
            <w:bookmarkStart w:id="80" w:name="i-59"/>
            <w:bookmarkEnd w:id="80"/>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0" descr=""/>
                          <pic:cNvPicPr>
                            <a:picLocks noChangeAspect="1" noChangeArrowheads="1"/>
                          </pic:cNvPicPr>
                        </pic:nvPicPr>
                        <pic:blipFill>
                          <a:blip r:embed="rId79"/>
                          <a:stretch>
                            <a:fillRect/>
                          </a:stretch>
                        </pic:blipFill>
                        <pic:spPr bwMode="auto">
                          <a:xfrm>
                            <a:off x="0" y="0"/>
                            <a:ext cx="104775" cy="104775"/>
                          </a:xfrm>
                          <a:prstGeom prst="rect">
                            <a:avLst/>
                          </a:prstGeom>
                        </pic:spPr>
                      </pic:pic>
                    </a:graphicData>
                  </a:graphic>
                </wp:inline>
              </w:drawing>
            </w:r>
            <w:bookmarkStart w:id="81" w:name="i-60"/>
            <w:bookmarkEnd w:id="81"/>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1" descr=""/>
                          <pic:cNvPicPr>
                            <a:picLocks noChangeAspect="1" noChangeArrowheads="1"/>
                          </pic:cNvPicPr>
                        </pic:nvPicPr>
                        <pic:blipFill>
                          <a:blip r:embed="rId80"/>
                          <a:stretch>
                            <a:fillRect/>
                          </a:stretch>
                        </pic:blipFill>
                        <pic:spPr bwMode="auto">
                          <a:xfrm>
                            <a:off x="0" y="0"/>
                            <a:ext cx="104775" cy="104775"/>
                          </a:xfrm>
                          <a:prstGeom prst="rect">
                            <a:avLst/>
                          </a:prstGeom>
                        </pic:spPr>
                      </pic:pic>
                    </a:graphicData>
                  </a:graphic>
                </wp:inline>
              </w:drawing>
            </w:r>
            <w:bookmarkStart w:id="82" w:name="i-61"/>
            <w:bookmarkEnd w:id="82"/>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2" descr=""/>
                          <pic:cNvPicPr>
                            <a:picLocks noChangeAspect="1" noChangeArrowheads="1"/>
                          </pic:cNvPicPr>
                        </pic:nvPicPr>
                        <pic:blipFill>
                          <a:blip r:embed="rId81"/>
                          <a:stretch>
                            <a:fillRect/>
                          </a:stretch>
                        </pic:blipFill>
                        <pic:spPr bwMode="auto">
                          <a:xfrm>
                            <a:off x="0" y="0"/>
                            <a:ext cx="104775" cy="104775"/>
                          </a:xfrm>
                          <a:prstGeom prst="rect">
                            <a:avLst/>
                          </a:prstGeom>
                        </pic:spPr>
                      </pic:pic>
                    </a:graphicData>
                  </a:graphic>
                </wp:inline>
              </w:drawing>
            </w:r>
            <w:bookmarkStart w:id="83" w:name="i-62"/>
            <w:bookmarkEnd w:id="83"/>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3" descr=""/>
                          <pic:cNvPicPr>
                            <a:picLocks noChangeAspect="1" noChangeArrowheads="1"/>
                          </pic:cNvPicPr>
                        </pic:nvPicPr>
                        <pic:blipFill>
                          <a:blip r:embed="rId82"/>
                          <a:stretch>
                            <a:fillRect/>
                          </a:stretch>
                        </pic:blipFill>
                        <pic:spPr bwMode="auto">
                          <a:xfrm>
                            <a:off x="0" y="0"/>
                            <a:ext cx="104775" cy="104775"/>
                          </a:xfrm>
                          <a:prstGeom prst="rect">
                            <a:avLst/>
                          </a:prstGeom>
                        </pic:spPr>
                      </pic:pic>
                    </a:graphicData>
                  </a:graphic>
                </wp:inline>
              </w:drawing>
            </w:r>
            <w:bookmarkStart w:id="84" w:name="i-63"/>
            <w:bookmarkEnd w:id="84"/>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4" descr=""/>
                          <pic:cNvPicPr>
                            <a:picLocks noChangeAspect="1" noChangeArrowheads="1"/>
                          </pic:cNvPicPr>
                        </pic:nvPicPr>
                        <pic:blipFill>
                          <a:blip r:embed="rId83"/>
                          <a:stretch>
                            <a:fillRect/>
                          </a:stretch>
                        </pic:blipFill>
                        <pic:spPr bwMode="auto">
                          <a:xfrm>
                            <a:off x="0" y="0"/>
                            <a:ext cx="104775" cy="104775"/>
                          </a:xfrm>
                          <a:prstGeom prst="rect">
                            <a:avLst/>
                          </a:prstGeom>
                        </pic:spPr>
                      </pic:pic>
                    </a:graphicData>
                  </a:graphic>
                </wp:inline>
              </w:drawing>
            </w:r>
            <w:bookmarkStart w:id="85" w:name="i-64"/>
            <w:bookmarkEnd w:id="85"/>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5" descr=""/>
                          <pic:cNvPicPr>
                            <a:picLocks noChangeAspect="1" noChangeArrowheads="1"/>
                          </pic:cNvPicPr>
                        </pic:nvPicPr>
                        <pic:blipFill>
                          <a:blip r:embed="rId84"/>
                          <a:stretch>
                            <a:fillRect/>
                          </a:stretch>
                        </pic:blipFill>
                        <pic:spPr bwMode="auto">
                          <a:xfrm>
                            <a:off x="0" y="0"/>
                            <a:ext cx="104775" cy="104775"/>
                          </a:xfrm>
                          <a:prstGeom prst="rect">
                            <a:avLst/>
                          </a:prstGeom>
                        </pic:spPr>
                      </pic:pic>
                    </a:graphicData>
                  </a:graphic>
                </wp:inline>
              </w:drawing>
            </w:r>
            <w:bookmarkStart w:id="86" w:name="i-65"/>
            <w:bookmarkEnd w:id="86"/>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0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6" descr=""/>
                          <pic:cNvPicPr>
                            <a:picLocks noChangeAspect="1" noChangeArrowheads="1"/>
                          </pic:cNvPicPr>
                        </pic:nvPicPr>
                        <pic:blipFill>
                          <a:blip r:embed="rId85"/>
                          <a:stretch>
                            <a:fillRect/>
                          </a:stretch>
                        </pic:blipFill>
                        <pic:spPr bwMode="auto">
                          <a:xfrm>
                            <a:off x="0" y="0"/>
                            <a:ext cx="104775" cy="104775"/>
                          </a:xfrm>
                          <a:prstGeom prst="rect">
                            <a:avLst/>
                          </a:prstGeom>
                        </pic:spPr>
                      </pic:pic>
                    </a:graphicData>
                  </a:graphic>
                </wp:inline>
              </w:drawing>
            </w:r>
            <w:bookmarkStart w:id="87" w:name="i-66"/>
            <w:bookmarkEnd w:id="87"/>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Industry Experience (Manufacturing)</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0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7" descr=""/>
                          <pic:cNvPicPr>
                            <a:picLocks noChangeAspect="1" noChangeArrowheads="1"/>
                          </pic:cNvPicPr>
                        </pic:nvPicPr>
                        <pic:blipFill>
                          <a:blip r:embed="rId86"/>
                          <a:stretch>
                            <a:fillRect/>
                          </a:stretch>
                        </pic:blipFill>
                        <pic:spPr bwMode="auto">
                          <a:xfrm>
                            <a:off x="0" y="0"/>
                            <a:ext cx="104775" cy="104775"/>
                          </a:xfrm>
                          <a:prstGeom prst="rect">
                            <a:avLst/>
                          </a:prstGeom>
                        </pic:spPr>
                      </pic:pic>
                    </a:graphicData>
                  </a:graphic>
                </wp:inline>
              </w:drawing>
            </w:r>
            <w:bookmarkStart w:id="88" w:name="i-67"/>
            <w:bookmarkEnd w:id="88"/>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8" descr=""/>
                          <pic:cNvPicPr>
                            <a:picLocks noChangeAspect="1" noChangeArrowheads="1"/>
                          </pic:cNvPicPr>
                        </pic:nvPicPr>
                        <pic:blipFill>
                          <a:blip r:embed="rId87"/>
                          <a:stretch>
                            <a:fillRect/>
                          </a:stretch>
                        </pic:blipFill>
                        <pic:spPr bwMode="auto">
                          <a:xfrm>
                            <a:off x="0" y="0"/>
                            <a:ext cx="104775" cy="104775"/>
                          </a:xfrm>
                          <a:prstGeom prst="rect">
                            <a:avLst/>
                          </a:prstGeom>
                        </pic:spPr>
                      </pic:pic>
                    </a:graphicData>
                  </a:graphic>
                </wp:inline>
              </w:drawing>
            </w:r>
            <w:bookmarkStart w:id="89" w:name="i-68"/>
            <w:bookmarkEnd w:id="89"/>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9" descr=""/>
                          <pic:cNvPicPr>
                            <a:picLocks noChangeAspect="1" noChangeArrowheads="1"/>
                          </pic:cNvPicPr>
                        </pic:nvPicPr>
                        <pic:blipFill>
                          <a:blip r:embed="rId88"/>
                          <a:stretch>
                            <a:fillRect/>
                          </a:stretch>
                        </pic:blipFill>
                        <pic:spPr bwMode="auto">
                          <a:xfrm>
                            <a:off x="0" y="0"/>
                            <a:ext cx="104775" cy="104775"/>
                          </a:xfrm>
                          <a:prstGeom prst="rect">
                            <a:avLst/>
                          </a:prstGeom>
                        </pic:spPr>
                      </pic:pic>
                    </a:graphicData>
                  </a:graphic>
                </wp:inline>
              </w:drawing>
            </w:r>
            <w:bookmarkStart w:id="90" w:name="i-69"/>
            <w:bookmarkEnd w:id="90"/>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0" descr=""/>
                          <pic:cNvPicPr>
                            <a:picLocks noChangeAspect="1" noChangeArrowheads="1"/>
                          </pic:cNvPicPr>
                        </pic:nvPicPr>
                        <pic:blipFill>
                          <a:blip r:embed="rId89"/>
                          <a:stretch>
                            <a:fillRect/>
                          </a:stretch>
                        </pic:blipFill>
                        <pic:spPr bwMode="auto">
                          <a:xfrm>
                            <a:off x="0" y="0"/>
                            <a:ext cx="104775" cy="104775"/>
                          </a:xfrm>
                          <a:prstGeom prst="rect">
                            <a:avLst/>
                          </a:prstGeom>
                        </pic:spPr>
                      </pic:pic>
                    </a:graphicData>
                  </a:graphic>
                </wp:inline>
              </w:drawing>
            </w:r>
            <w:bookmarkStart w:id="91" w:name="i-70"/>
            <w:bookmarkEnd w:id="91"/>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1" descr=""/>
                          <pic:cNvPicPr>
                            <a:picLocks noChangeAspect="1" noChangeArrowheads="1"/>
                          </pic:cNvPicPr>
                        </pic:nvPicPr>
                        <pic:blipFill>
                          <a:blip r:embed="rId90"/>
                          <a:stretch>
                            <a:fillRect/>
                          </a:stretch>
                        </pic:blipFill>
                        <pic:spPr bwMode="auto">
                          <a:xfrm>
                            <a:off x="0" y="0"/>
                            <a:ext cx="104775" cy="104775"/>
                          </a:xfrm>
                          <a:prstGeom prst="rect">
                            <a:avLst/>
                          </a:prstGeom>
                        </pic:spPr>
                      </pic:pic>
                    </a:graphicData>
                  </a:graphic>
                </wp:inline>
              </w:drawing>
            </w:r>
            <w:bookmarkStart w:id="92" w:name="i-71"/>
            <w:bookmarkEnd w:id="92"/>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2" descr=""/>
                          <pic:cNvPicPr>
                            <a:picLocks noChangeAspect="1" noChangeArrowheads="1"/>
                          </pic:cNvPicPr>
                        </pic:nvPicPr>
                        <pic:blipFill>
                          <a:blip r:embed="rId91"/>
                          <a:stretch>
                            <a:fillRect/>
                          </a:stretch>
                        </pic:blipFill>
                        <pic:spPr bwMode="auto">
                          <a:xfrm>
                            <a:off x="0" y="0"/>
                            <a:ext cx="104775" cy="104775"/>
                          </a:xfrm>
                          <a:prstGeom prst="rect">
                            <a:avLst/>
                          </a:prstGeom>
                        </pic:spPr>
                      </pic:pic>
                    </a:graphicData>
                  </a:graphic>
                </wp:inline>
              </w:drawing>
            </w:r>
            <w:bookmarkStart w:id="93" w:name="i-72"/>
            <w:bookmarkEnd w:id="93"/>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3" descr=""/>
                          <pic:cNvPicPr>
                            <a:picLocks noChangeAspect="1" noChangeArrowheads="1"/>
                          </pic:cNvPicPr>
                        </pic:nvPicPr>
                        <pic:blipFill>
                          <a:blip r:embed="rId92"/>
                          <a:stretch>
                            <a:fillRect/>
                          </a:stretch>
                        </pic:blipFill>
                        <pic:spPr bwMode="auto">
                          <a:xfrm>
                            <a:off x="0" y="0"/>
                            <a:ext cx="104775" cy="104775"/>
                          </a:xfrm>
                          <a:prstGeom prst="rect">
                            <a:avLst/>
                          </a:prstGeom>
                        </pic:spPr>
                      </pic:pic>
                    </a:graphicData>
                  </a:graphic>
                </wp:inline>
              </w:drawing>
            </w:r>
            <w:bookmarkStart w:id="94" w:name="i-73"/>
            <w:bookmarkEnd w:id="94"/>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4" descr=""/>
                          <pic:cNvPicPr>
                            <a:picLocks noChangeAspect="1" noChangeArrowheads="1"/>
                          </pic:cNvPicPr>
                        </pic:nvPicPr>
                        <pic:blipFill>
                          <a:blip r:embed="rId93"/>
                          <a:stretch>
                            <a:fillRect/>
                          </a:stretch>
                        </pic:blipFill>
                        <pic:spPr bwMode="auto">
                          <a:xfrm>
                            <a:off x="0" y="0"/>
                            <a:ext cx="104775" cy="104775"/>
                          </a:xfrm>
                          <a:prstGeom prst="rect">
                            <a:avLst/>
                          </a:prstGeom>
                        </pic:spPr>
                      </pic:pic>
                    </a:graphicData>
                  </a:graphic>
                </wp:inline>
              </w:drawing>
            </w:r>
            <w:bookmarkStart w:id="95" w:name="i-74"/>
            <w:bookmarkEnd w:id="95"/>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1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5" descr=""/>
                          <pic:cNvPicPr>
                            <a:picLocks noChangeAspect="1" noChangeArrowheads="1"/>
                          </pic:cNvPicPr>
                        </pic:nvPicPr>
                        <pic:blipFill>
                          <a:blip r:embed="rId94"/>
                          <a:stretch>
                            <a:fillRect/>
                          </a:stretch>
                        </pic:blipFill>
                        <pic:spPr bwMode="auto">
                          <a:xfrm>
                            <a:off x="0" y="0"/>
                            <a:ext cx="104775" cy="104775"/>
                          </a:xfrm>
                          <a:prstGeom prst="rect">
                            <a:avLst/>
                          </a:prstGeom>
                        </pic:spPr>
                      </pic:pic>
                    </a:graphicData>
                  </a:graphic>
                </wp:inline>
              </w:drawing>
            </w:r>
            <w:bookmarkStart w:id="96" w:name="i-75"/>
            <w:bookmarkEnd w:id="96"/>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Information Technology (Cybersecurity, AI, Digital)</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6" descr=""/>
                          <pic:cNvPicPr>
                            <a:picLocks noChangeAspect="1" noChangeArrowheads="1"/>
                          </pic:cNvPicPr>
                        </pic:nvPicPr>
                        <pic:blipFill>
                          <a:blip r:embed="rId95"/>
                          <a:stretch>
                            <a:fillRect/>
                          </a:stretch>
                        </pic:blipFill>
                        <pic:spPr bwMode="auto">
                          <a:xfrm>
                            <a:off x="0" y="0"/>
                            <a:ext cx="104775" cy="104775"/>
                          </a:xfrm>
                          <a:prstGeom prst="rect">
                            <a:avLst/>
                          </a:prstGeom>
                        </pic:spPr>
                      </pic:pic>
                    </a:graphicData>
                  </a:graphic>
                </wp:inline>
              </w:drawing>
            </w:r>
            <w:bookmarkStart w:id="97" w:name="i-76"/>
            <w:bookmarkEnd w:id="97"/>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1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7" descr=""/>
                          <pic:cNvPicPr>
                            <a:picLocks noChangeAspect="1" noChangeArrowheads="1"/>
                          </pic:cNvPicPr>
                        </pic:nvPicPr>
                        <pic:blipFill>
                          <a:blip r:embed="rId96"/>
                          <a:stretch>
                            <a:fillRect/>
                          </a:stretch>
                        </pic:blipFill>
                        <pic:spPr bwMode="auto">
                          <a:xfrm>
                            <a:off x="0" y="0"/>
                            <a:ext cx="104775" cy="104775"/>
                          </a:xfrm>
                          <a:prstGeom prst="rect">
                            <a:avLst/>
                          </a:prstGeom>
                        </pic:spPr>
                      </pic:pic>
                    </a:graphicData>
                  </a:graphic>
                </wp:inline>
              </w:drawing>
            </w:r>
            <w:bookmarkStart w:id="98" w:name="i-77"/>
            <w:bookmarkEnd w:id="98"/>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8" descr=""/>
                          <pic:cNvPicPr>
                            <a:picLocks noChangeAspect="1" noChangeArrowheads="1"/>
                          </pic:cNvPicPr>
                        </pic:nvPicPr>
                        <pic:blipFill>
                          <a:blip r:embed="rId97"/>
                          <a:stretch>
                            <a:fillRect/>
                          </a:stretch>
                        </pic:blipFill>
                        <pic:spPr bwMode="auto">
                          <a:xfrm>
                            <a:off x="0" y="0"/>
                            <a:ext cx="104775" cy="104775"/>
                          </a:xfrm>
                          <a:prstGeom prst="rect">
                            <a:avLst/>
                          </a:prstGeom>
                        </pic:spPr>
                      </pic:pic>
                    </a:graphicData>
                  </a:graphic>
                </wp:inline>
              </w:drawing>
            </w:r>
            <w:bookmarkStart w:id="99" w:name="i-78"/>
            <w:bookmarkEnd w:id="99"/>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9" descr=""/>
                          <pic:cNvPicPr>
                            <a:picLocks noChangeAspect="1" noChangeArrowheads="1"/>
                          </pic:cNvPicPr>
                        </pic:nvPicPr>
                        <pic:blipFill>
                          <a:blip r:embed="rId98"/>
                          <a:stretch>
                            <a:fillRect/>
                          </a:stretch>
                        </pic:blipFill>
                        <pic:spPr bwMode="auto">
                          <a:xfrm>
                            <a:off x="0" y="0"/>
                            <a:ext cx="104775" cy="104775"/>
                          </a:xfrm>
                          <a:prstGeom prst="rect">
                            <a:avLst/>
                          </a:prstGeom>
                        </pic:spPr>
                      </pic:pic>
                    </a:graphicData>
                  </a:graphic>
                </wp:inline>
              </w:drawing>
            </w:r>
            <w:bookmarkStart w:id="100" w:name="i-79"/>
            <w:bookmarkEnd w:id="100"/>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0" descr=""/>
                          <pic:cNvPicPr>
                            <a:picLocks noChangeAspect="1" noChangeArrowheads="1"/>
                          </pic:cNvPicPr>
                        </pic:nvPicPr>
                        <pic:blipFill>
                          <a:blip r:embed="rId99"/>
                          <a:stretch>
                            <a:fillRect/>
                          </a:stretch>
                        </pic:blipFill>
                        <pic:spPr bwMode="auto">
                          <a:xfrm>
                            <a:off x="0" y="0"/>
                            <a:ext cx="104775" cy="104775"/>
                          </a:xfrm>
                          <a:prstGeom prst="rect">
                            <a:avLst/>
                          </a:prstGeom>
                        </pic:spPr>
                      </pic:pic>
                    </a:graphicData>
                  </a:graphic>
                </wp:inline>
              </w:drawing>
            </w:r>
            <w:bookmarkStart w:id="101" w:name="i-80"/>
            <w:bookmarkEnd w:id="101"/>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1" descr=""/>
                          <pic:cNvPicPr>
                            <a:picLocks noChangeAspect="1" noChangeArrowheads="1"/>
                          </pic:cNvPicPr>
                        </pic:nvPicPr>
                        <pic:blipFill>
                          <a:blip r:embed="rId100"/>
                          <a:stretch>
                            <a:fillRect/>
                          </a:stretch>
                        </pic:blipFill>
                        <pic:spPr bwMode="auto">
                          <a:xfrm>
                            <a:off x="0" y="0"/>
                            <a:ext cx="104775" cy="104775"/>
                          </a:xfrm>
                          <a:prstGeom prst="rect">
                            <a:avLst/>
                          </a:prstGeom>
                        </pic:spPr>
                      </pic:pic>
                    </a:graphicData>
                  </a:graphic>
                </wp:inline>
              </w:drawing>
            </w:r>
            <w:bookmarkStart w:id="102" w:name="i-81"/>
            <w:bookmarkEnd w:id="102"/>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2" descr=""/>
                          <pic:cNvPicPr>
                            <a:picLocks noChangeAspect="1" noChangeArrowheads="1"/>
                          </pic:cNvPicPr>
                        </pic:nvPicPr>
                        <pic:blipFill>
                          <a:blip r:embed="rId101"/>
                          <a:stretch>
                            <a:fillRect/>
                          </a:stretch>
                        </pic:blipFill>
                        <pic:spPr bwMode="auto">
                          <a:xfrm>
                            <a:off x="0" y="0"/>
                            <a:ext cx="104775" cy="104775"/>
                          </a:xfrm>
                          <a:prstGeom prst="rect">
                            <a:avLst/>
                          </a:prstGeom>
                        </pic:spPr>
                      </pic:pic>
                    </a:graphicData>
                  </a:graphic>
                </wp:inline>
              </w:drawing>
            </w:r>
            <w:bookmarkStart w:id="103" w:name="i-82"/>
            <w:bookmarkEnd w:id="103"/>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3" descr=""/>
                          <pic:cNvPicPr>
                            <a:picLocks noChangeAspect="1" noChangeArrowheads="1"/>
                          </pic:cNvPicPr>
                        </pic:nvPicPr>
                        <pic:blipFill>
                          <a:blip r:embed="rId102"/>
                          <a:stretch>
                            <a:fillRect/>
                          </a:stretch>
                        </pic:blipFill>
                        <pic:spPr bwMode="auto">
                          <a:xfrm>
                            <a:off x="0" y="0"/>
                            <a:ext cx="104775" cy="104775"/>
                          </a:xfrm>
                          <a:prstGeom prst="rect">
                            <a:avLst/>
                          </a:prstGeom>
                        </pic:spPr>
                      </pic:pic>
                    </a:graphicData>
                  </a:graphic>
                </wp:inline>
              </w:drawing>
            </w:r>
            <w:bookmarkStart w:id="104" w:name="i-83"/>
            <w:bookmarkEnd w:id="104"/>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2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4" descr=""/>
                          <pic:cNvPicPr>
                            <a:picLocks noChangeAspect="1" noChangeArrowheads="1"/>
                          </pic:cNvPicPr>
                        </pic:nvPicPr>
                        <pic:blipFill>
                          <a:blip r:embed="rId103"/>
                          <a:stretch>
                            <a:fillRect/>
                          </a:stretch>
                        </pic:blipFill>
                        <pic:spPr bwMode="auto">
                          <a:xfrm>
                            <a:off x="0" y="0"/>
                            <a:ext cx="104775" cy="104775"/>
                          </a:xfrm>
                          <a:prstGeom prst="rect">
                            <a:avLst/>
                          </a:prstGeom>
                        </pic:spPr>
                      </pic:pic>
                    </a:graphicData>
                  </a:graphic>
                </wp:inline>
              </w:drawing>
            </w:r>
            <w:bookmarkStart w:id="105" w:name="i-84"/>
            <w:bookmarkEnd w:id="105"/>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Talent Management / Executive Compensation</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5" descr=""/>
                          <pic:cNvPicPr>
                            <a:picLocks noChangeAspect="1" noChangeArrowheads="1"/>
                          </pic:cNvPicPr>
                        </pic:nvPicPr>
                        <pic:blipFill>
                          <a:blip r:embed="rId104"/>
                          <a:stretch>
                            <a:fillRect/>
                          </a:stretch>
                        </pic:blipFill>
                        <pic:spPr bwMode="auto">
                          <a:xfrm>
                            <a:off x="0" y="0"/>
                            <a:ext cx="104775" cy="104775"/>
                          </a:xfrm>
                          <a:prstGeom prst="rect">
                            <a:avLst/>
                          </a:prstGeom>
                        </pic:spPr>
                      </pic:pic>
                    </a:graphicData>
                  </a:graphic>
                </wp:inline>
              </w:drawing>
            </w:r>
            <w:bookmarkStart w:id="106" w:name="i-85"/>
            <w:bookmarkEnd w:id="106"/>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6" descr=""/>
                          <pic:cNvPicPr>
                            <a:picLocks noChangeAspect="1" noChangeArrowheads="1"/>
                          </pic:cNvPicPr>
                        </pic:nvPicPr>
                        <pic:blipFill>
                          <a:blip r:embed="rId105"/>
                          <a:stretch>
                            <a:fillRect/>
                          </a:stretch>
                        </pic:blipFill>
                        <pic:spPr bwMode="auto">
                          <a:xfrm>
                            <a:off x="0" y="0"/>
                            <a:ext cx="104775" cy="104775"/>
                          </a:xfrm>
                          <a:prstGeom prst="rect">
                            <a:avLst/>
                          </a:prstGeom>
                        </pic:spPr>
                      </pic:pic>
                    </a:graphicData>
                  </a:graphic>
                </wp:inline>
              </w:drawing>
            </w:r>
            <w:bookmarkStart w:id="107" w:name="i-86"/>
            <w:bookmarkEnd w:id="107"/>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2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7" descr=""/>
                          <pic:cNvPicPr>
                            <a:picLocks noChangeAspect="1" noChangeArrowheads="1"/>
                          </pic:cNvPicPr>
                        </pic:nvPicPr>
                        <pic:blipFill>
                          <a:blip r:embed="rId106"/>
                          <a:stretch>
                            <a:fillRect/>
                          </a:stretch>
                        </pic:blipFill>
                        <pic:spPr bwMode="auto">
                          <a:xfrm>
                            <a:off x="0" y="0"/>
                            <a:ext cx="104775" cy="104775"/>
                          </a:xfrm>
                          <a:prstGeom prst="rect">
                            <a:avLst/>
                          </a:prstGeom>
                        </pic:spPr>
                      </pic:pic>
                    </a:graphicData>
                  </a:graphic>
                </wp:inline>
              </w:drawing>
            </w:r>
            <w:bookmarkStart w:id="108" w:name="i-87"/>
            <w:bookmarkEnd w:id="108"/>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8" descr=""/>
                          <pic:cNvPicPr>
                            <a:picLocks noChangeAspect="1" noChangeArrowheads="1"/>
                          </pic:cNvPicPr>
                        </pic:nvPicPr>
                        <pic:blipFill>
                          <a:blip r:embed="rId107"/>
                          <a:stretch>
                            <a:fillRect/>
                          </a:stretch>
                        </pic:blipFill>
                        <pic:spPr bwMode="auto">
                          <a:xfrm>
                            <a:off x="0" y="0"/>
                            <a:ext cx="104775" cy="104775"/>
                          </a:xfrm>
                          <a:prstGeom prst="rect">
                            <a:avLst/>
                          </a:prstGeom>
                        </pic:spPr>
                      </pic:pic>
                    </a:graphicData>
                  </a:graphic>
                </wp:inline>
              </w:drawing>
            </w:r>
            <w:bookmarkStart w:id="109" w:name="i-88"/>
            <w:bookmarkEnd w:id="109"/>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9" descr=""/>
                          <pic:cNvPicPr>
                            <a:picLocks noChangeAspect="1" noChangeArrowheads="1"/>
                          </pic:cNvPicPr>
                        </pic:nvPicPr>
                        <pic:blipFill>
                          <a:blip r:embed="rId108"/>
                          <a:stretch>
                            <a:fillRect/>
                          </a:stretch>
                        </pic:blipFill>
                        <pic:spPr bwMode="auto">
                          <a:xfrm>
                            <a:off x="0" y="0"/>
                            <a:ext cx="104775" cy="104775"/>
                          </a:xfrm>
                          <a:prstGeom prst="rect">
                            <a:avLst/>
                          </a:prstGeom>
                        </pic:spPr>
                      </pic:pic>
                    </a:graphicData>
                  </a:graphic>
                </wp:inline>
              </w:drawing>
            </w:r>
            <w:bookmarkStart w:id="110" w:name="i-89"/>
            <w:bookmarkEnd w:id="110"/>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0" descr=""/>
                          <pic:cNvPicPr>
                            <a:picLocks noChangeAspect="1" noChangeArrowheads="1"/>
                          </pic:cNvPicPr>
                        </pic:nvPicPr>
                        <pic:blipFill>
                          <a:blip r:embed="rId109"/>
                          <a:stretch>
                            <a:fillRect/>
                          </a:stretch>
                        </pic:blipFill>
                        <pic:spPr bwMode="auto">
                          <a:xfrm>
                            <a:off x="0" y="0"/>
                            <a:ext cx="104775" cy="104775"/>
                          </a:xfrm>
                          <a:prstGeom prst="rect">
                            <a:avLst/>
                          </a:prstGeom>
                        </pic:spPr>
                      </pic:pic>
                    </a:graphicData>
                  </a:graphic>
                </wp:inline>
              </w:drawing>
            </w:r>
            <w:bookmarkStart w:id="111" w:name="i-90"/>
            <w:bookmarkEnd w:id="111"/>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1" descr=""/>
                          <pic:cNvPicPr>
                            <a:picLocks noChangeAspect="1" noChangeArrowheads="1"/>
                          </pic:cNvPicPr>
                        </pic:nvPicPr>
                        <pic:blipFill>
                          <a:blip r:embed="rId110"/>
                          <a:stretch>
                            <a:fillRect/>
                          </a:stretch>
                        </pic:blipFill>
                        <pic:spPr bwMode="auto">
                          <a:xfrm>
                            <a:off x="0" y="0"/>
                            <a:ext cx="104775" cy="104775"/>
                          </a:xfrm>
                          <a:prstGeom prst="rect">
                            <a:avLst/>
                          </a:prstGeom>
                        </pic:spPr>
                      </pic:pic>
                    </a:graphicData>
                  </a:graphic>
                </wp:inline>
              </w:drawing>
            </w:r>
            <w:bookmarkStart w:id="112" w:name="i-91"/>
            <w:bookmarkEnd w:id="112"/>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2" descr=""/>
                          <pic:cNvPicPr>
                            <a:picLocks noChangeAspect="1" noChangeArrowheads="1"/>
                          </pic:cNvPicPr>
                        </pic:nvPicPr>
                        <pic:blipFill>
                          <a:blip r:embed="rId111"/>
                          <a:stretch>
                            <a:fillRect/>
                          </a:stretch>
                        </pic:blipFill>
                        <pic:spPr bwMode="auto">
                          <a:xfrm>
                            <a:off x="0" y="0"/>
                            <a:ext cx="104775" cy="104775"/>
                          </a:xfrm>
                          <a:prstGeom prst="rect">
                            <a:avLst/>
                          </a:prstGeom>
                        </pic:spPr>
                      </pic:pic>
                    </a:graphicData>
                  </a:graphic>
                </wp:inline>
              </w:drawing>
            </w:r>
            <w:bookmarkStart w:id="113" w:name="i-92"/>
            <w:bookmarkEnd w:id="113"/>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3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3" descr=""/>
                          <pic:cNvPicPr>
                            <a:picLocks noChangeAspect="1" noChangeArrowheads="1"/>
                          </pic:cNvPicPr>
                        </pic:nvPicPr>
                        <pic:blipFill>
                          <a:blip r:embed="rId112"/>
                          <a:stretch>
                            <a:fillRect/>
                          </a:stretch>
                        </pic:blipFill>
                        <pic:spPr bwMode="auto">
                          <a:xfrm>
                            <a:off x="0" y="0"/>
                            <a:ext cx="104775" cy="104775"/>
                          </a:xfrm>
                          <a:prstGeom prst="rect">
                            <a:avLst/>
                          </a:prstGeom>
                        </pic:spPr>
                      </pic:pic>
                    </a:graphicData>
                  </a:graphic>
                </wp:inline>
              </w:drawing>
            </w:r>
            <w:bookmarkStart w:id="114" w:name="i-93"/>
            <w:bookmarkEnd w:id="114"/>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Innovation and Technology Development</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4" descr=""/>
                          <pic:cNvPicPr>
                            <a:picLocks noChangeAspect="1" noChangeArrowheads="1"/>
                          </pic:cNvPicPr>
                        </pic:nvPicPr>
                        <pic:blipFill>
                          <a:blip r:embed="rId113"/>
                          <a:stretch>
                            <a:fillRect/>
                          </a:stretch>
                        </pic:blipFill>
                        <pic:spPr bwMode="auto">
                          <a:xfrm>
                            <a:off x="0" y="0"/>
                            <a:ext cx="104775" cy="104775"/>
                          </a:xfrm>
                          <a:prstGeom prst="rect">
                            <a:avLst/>
                          </a:prstGeom>
                        </pic:spPr>
                      </pic:pic>
                    </a:graphicData>
                  </a:graphic>
                </wp:inline>
              </w:drawing>
            </w:r>
            <w:bookmarkStart w:id="115" w:name="i-94"/>
            <w:bookmarkEnd w:id="115"/>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5" descr=""/>
                          <pic:cNvPicPr>
                            <a:picLocks noChangeAspect="1" noChangeArrowheads="1"/>
                          </pic:cNvPicPr>
                        </pic:nvPicPr>
                        <pic:blipFill>
                          <a:blip r:embed="rId114"/>
                          <a:stretch>
                            <a:fillRect/>
                          </a:stretch>
                        </pic:blipFill>
                        <pic:spPr bwMode="auto">
                          <a:xfrm>
                            <a:off x="0" y="0"/>
                            <a:ext cx="104775" cy="104775"/>
                          </a:xfrm>
                          <a:prstGeom prst="rect">
                            <a:avLst/>
                          </a:prstGeom>
                        </pic:spPr>
                      </pic:pic>
                    </a:graphicData>
                  </a:graphic>
                </wp:inline>
              </w:drawing>
            </w:r>
            <w:bookmarkStart w:id="116" w:name="i-95"/>
            <w:bookmarkEnd w:id="116"/>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6" descr=""/>
                          <pic:cNvPicPr>
                            <a:picLocks noChangeAspect="1" noChangeArrowheads="1"/>
                          </pic:cNvPicPr>
                        </pic:nvPicPr>
                        <pic:blipFill>
                          <a:blip r:embed="rId115"/>
                          <a:stretch>
                            <a:fillRect/>
                          </a:stretch>
                        </pic:blipFill>
                        <pic:spPr bwMode="auto">
                          <a:xfrm>
                            <a:off x="0" y="0"/>
                            <a:ext cx="104775" cy="104775"/>
                          </a:xfrm>
                          <a:prstGeom prst="rect">
                            <a:avLst/>
                          </a:prstGeom>
                        </pic:spPr>
                      </pic:pic>
                    </a:graphicData>
                  </a:graphic>
                </wp:inline>
              </w:drawing>
            </w:r>
            <w:bookmarkStart w:id="117" w:name="i-96"/>
            <w:bookmarkEnd w:id="117"/>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3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7" descr=""/>
                          <pic:cNvPicPr>
                            <a:picLocks noChangeAspect="1" noChangeArrowheads="1"/>
                          </pic:cNvPicPr>
                        </pic:nvPicPr>
                        <pic:blipFill>
                          <a:blip r:embed="rId116"/>
                          <a:stretch>
                            <a:fillRect/>
                          </a:stretch>
                        </pic:blipFill>
                        <pic:spPr bwMode="auto">
                          <a:xfrm>
                            <a:off x="0" y="0"/>
                            <a:ext cx="104775" cy="104775"/>
                          </a:xfrm>
                          <a:prstGeom prst="rect">
                            <a:avLst/>
                          </a:prstGeom>
                        </pic:spPr>
                      </pic:pic>
                    </a:graphicData>
                  </a:graphic>
                </wp:inline>
              </w:drawing>
            </w:r>
            <w:bookmarkStart w:id="118" w:name="i-97"/>
            <w:bookmarkEnd w:id="118"/>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8" descr=""/>
                          <pic:cNvPicPr>
                            <a:picLocks noChangeAspect="1" noChangeArrowheads="1"/>
                          </pic:cNvPicPr>
                        </pic:nvPicPr>
                        <pic:blipFill>
                          <a:blip r:embed="rId117"/>
                          <a:stretch>
                            <a:fillRect/>
                          </a:stretch>
                        </pic:blipFill>
                        <pic:spPr bwMode="auto">
                          <a:xfrm>
                            <a:off x="0" y="0"/>
                            <a:ext cx="104775" cy="104775"/>
                          </a:xfrm>
                          <a:prstGeom prst="rect">
                            <a:avLst/>
                          </a:prstGeom>
                        </pic:spPr>
                      </pic:pic>
                    </a:graphicData>
                  </a:graphic>
                </wp:inline>
              </w:drawing>
            </w:r>
            <w:bookmarkStart w:id="119" w:name="i-98"/>
            <w:bookmarkEnd w:id="119"/>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9" descr=""/>
                          <pic:cNvPicPr>
                            <a:picLocks noChangeAspect="1" noChangeArrowheads="1"/>
                          </pic:cNvPicPr>
                        </pic:nvPicPr>
                        <pic:blipFill>
                          <a:blip r:embed="rId118"/>
                          <a:stretch>
                            <a:fillRect/>
                          </a:stretch>
                        </pic:blipFill>
                        <pic:spPr bwMode="auto">
                          <a:xfrm>
                            <a:off x="0" y="0"/>
                            <a:ext cx="104775" cy="104775"/>
                          </a:xfrm>
                          <a:prstGeom prst="rect">
                            <a:avLst/>
                          </a:prstGeom>
                        </pic:spPr>
                      </pic:pic>
                    </a:graphicData>
                  </a:graphic>
                </wp:inline>
              </w:drawing>
            </w:r>
            <w:bookmarkStart w:id="120" w:name="i-99"/>
            <w:bookmarkEnd w:id="120"/>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0" descr=""/>
                          <pic:cNvPicPr>
                            <a:picLocks noChangeAspect="1" noChangeArrowheads="1"/>
                          </pic:cNvPicPr>
                        </pic:nvPicPr>
                        <pic:blipFill>
                          <a:blip r:embed="rId119"/>
                          <a:stretch>
                            <a:fillRect/>
                          </a:stretch>
                        </pic:blipFill>
                        <pic:spPr bwMode="auto">
                          <a:xfrm>
                            <a:off x="0" y="0"/>
                            <a:ext cx="104775" cy="104775"/>
                          </a:xfrm>
                          <a:prstGeom prst="rect">
                            <a:avLst/>
                          </a:prstGeom>
                        </pic:spPr>
                      </pic:pic>
                    </a:graphicData>
                  </a:graphic>
                </wp:inline>
              </w:drawing>
            </w:r>
            <w:bookmarkStart w:id="121" w:name="i-100"/>
            <w:bookmarkEnd w:id="121"/>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1" descr=""/>
                          <pic:cNvPicPr>
                            <a:picLocks noChangeAspect="1" noChangeArrowheads="1"/>
                          </pic:cNvPicPr>
                        </pic:nvPicPr>
                        <pic:blipFill>
                          <a:blip r:embed="rId120"/>
                          <a:stretch>
                            <a:fillRect/>
                          </a:stretch>
                        </pic:blipFill>
                        <pic:spPr bwMode="auto">
                          <a:xfrm>
                            <a:off x="0" y="0"/>
                            <a:ext cx="104775" cy="104775"/>
                          </a:xfrm>
                          <a:prstGeom prst="rect">
                            <a:avLst/>
                          </a:prstGeom>
                        </pic:spPr>
                      </pic:pic>
                    </a:graphicData>
                  </a:graphic>
                </wp:inline>
              </w:drawing>
            </w:r>
            <w:bookmarkStart w:id="122" w:name="i-101"/>
            <w:bookmarkEnd w:id="122"/>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4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2" descr=""/>
                          <pic:cNvPicPr>
                            <a:picLocks noChangeAspect="1" noChangeArrowheads="1"/>
                          </pic:cNvPicPr>
                        </pic:nvPicPr>
                        <pic:blipFill>
                          <a:blip r:embed="rId121"/>
                          <a:stretch>
                            <a:fillRect/>
                          </a:stretch>
                        </pic:blipFill>
                        <pic:spPr bwMode="auto">
                          <a:xfrm>
                            <a:off x="0" y="0"/>
                            <a:ext cx="104775" cy="104775"/>
                          </a:xfrm>
                          <a:prstGeom prst="rect">
                            <a:avLst/>
                          </a:prstGeom>
                        </pic:spPr>
                      </pic:pic>
                    </a:graphicData>
                  </a:graphic>
                </wp:inline>
              </w:drawing>
            </w:r>
            <w:bookmarkStart w:id="123" w:name="i-102"/>
            <w:bookmarkEnd w:id="123"/>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International Business Experience</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3" descr=""/>
                          <pic:cNvPicPr>
                            <a:picLocks noChangeAspect="1" noChangeArrowheads="1"/>
                          </pic:cNvPicPr>
                        </pic:nvPicPr>
                        <pic:blipFill>
                          <a:blip r:embed="rId122"/>
                          <a:stretch>
                            <a:fillRect/>
                          </a:stretch>
                        </pic:blipFill>
                        <pic:spPr bwMode="auto">
                          <a:xfrm>
                            <a:off x="0" y="0"/>
                            <a:ext cx="104775" cy="104775"/>
                          </a:xfrm>
                          <a:prstGeom prst="rect">
                            <a:avLst/>
                          </a:prstGeom>
                        </pic:spPr>
                      </pic:pic>
                    </a:graphicData>
                  </a:graphic>
                </wp:inline>
              </w:drawing>
            </w:r>
            <w:bookmarkStart w:id="124" w:name="i-103"/>
            <w:bookmarkEnd w:id="124"/>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4" descr=""/>
                          <pic:cNvPicPr>
                            <a:picLocks noChangeAspect="1" noChangeArrowheads="1"/>
                          </pic:cNvPicPr>
                        </pic:nvPicPr>
                        <pic:blipFill>
                          <a:blip r:embed="rId123"/>
                          <a:stretch>
                            <a:fillRect/>
                          </a:stretch>
                        </pic:blipFill>
                        <pic:spPr bwMode="auto">
                          <a:xfrm>
                            <a:off x="0" y="0"/>
                            <a:ext cx="104775" cy="104775"/>
                          </a:xfrm>
                          <a:prstGeom prst="rect">
                            <a:avLst/>
                          </a:prstGeom>
                        </pic:spPr>
                      </pic:pic>
                    </a:graphicData>
                  </a:graphic>
                </wp:inline>
              </w:drawing>
            </w:r>
            <w:bookmarkStart w:id="125" w:name="i-104"/>
            <w:bookmarkEnd w:id="125"/>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5" descr=""/>
                          <pic:cNvPicPr>
                            <a:picLocks noChangeAspect="1" noChangeArrowheads="1"/>
                          </pic:cNvPicPr>
                        </pic:nvPicPr>
                        <pic:blipFill>
                          <a:blip r:embed="rId124"/>
                          <a:stretch>
                            <a:fillRect/>
                          </a:stretch>
                        </pic:blipFill>
                        <pic:spPr bwMode="auto">
                          <a:xfrm>
                            <a:off x="0" y="0"/>
                            <a:ext cx="104775" cy="104775"/>
                          </a:xfrm>
                          <a:prstGeom prst="rect">
                            <a:avLst/>
                          </a:prstGeom>
                        </pic:spPr>
                      </pic:pic>
                    </a:graphicData>
                  </a:graphic>
                </wp:inline>
              </w:drawing>
            </w:r>
            <w:bookmarkStart w:id="126" w:name="i-105"/>
            <w:bookmarkEnd w:id="126"/>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6" descr=""/>
                          <pic:cNvPicPr>
                            <a:picLocks noChangeAspect="1" noChangeArrowheads="1"/>
                          </pic:cNvPicPr>
                        </pic:nvPicPr>
                        <pic:blipFill>
                          <a:blip r:embed="rId125"/>
                          <a:stretch>
                            <a:fillRect/>
                          </a:stretch>
                        </pic:blipFill>
                        <pic:spPr bwMode="auto">
                          <a:xfrm>
                            <a:off x="0" y="0"/>
                            <a:ext cx="104775" cy="104775"/>
                          </a:xfrm>
                          <a:prstGeom prst="rect">
                            <a:avLst/>
                          </a:prstGeom>
                        </pic:spPr>
                      </pic:pic>
                    </a:graphicData>
                  </a:graphic>
                </wp:inline>
              </w:drawing>
            </w:r>
            <w:bookmarkStart w:id="127" w:name="i-106"/>
            <w:bookmarkEnd w:id="127"/>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4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7" descr=""/>
                          <pic:cNvPicPr>
                            <a:picLocks noChangeAspect="1" noChangeArrowheads="1"/>
                          </pic:cNvPicPr>
                        </pic:nvPicPr>
                        <pic:blipFill>
                          <a:blip r:embed="rId126"/>
                          <a:stretch>
                            <a:fillRect/>
                          </a:stretch>
                        </pic:blipFill>
                        <pic:spPr bwMode="auto">
                          <a:xfrm>
                            <a:off x="0" y="0"/>
                            <a:ext cx="104775" cy="104775"/>
                          </a:xfrm>
                          <a:prstGeom prst="rect">
                            <a:avLst/>
                          </a:prstGeom>
                        </pic:spPr>
                      </pic:pic>
                    </a:graphicData>
                  </a:graphic>
                </wp:inline>
              </w:drawing>
            </w:r>
            <w:bookmarkStart w:id="128" w:name="i-107"/>
            <w:bookmarkEnd w:id="128"/>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8" descr=""/>
                          <pic:cNvPicPr>
                            <a:picLocks noChangeAspect="1" noChangeArrowheads="1"/>
                          </pic:cNvPicPr>
                        </pic:nvPicPr>
                        <pic:blipFill>
                          <a:blip r:embed="rId127"/>
                          <a:stretch>
                            <a:fillRect/>
                          </a:stretch>
                        </pic:blipFill>
                        <pic:spPr bwMode="auto">
                          <a:xfrm>
                            <a:off x="0" y="0"/>
                            <a:ext cx="104775" cy="104775"/>
                          </a:xfrm>
                          <a:prstGeom prst="rect">
                            <a:avLst/>
                          </a:prstGeom>
                        </pic:spPr>
                      </pic:pic>
                    </a:graphicData>
                  </a:graphic>
                </wp:inline>
              </w:drawing>
            </w:r>
            <w:bookmarkStart w:id="129" w:name="i-108"/>
            <w:bookmarkEnd w:id="129"/>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9" descr=""/>
                          <pic:cNvPicPr>
                            <a:picLocks noChangeAspect="1" noChangeArrowheads="1"/>
                          </pic:cNvPicPr>
                        </pic:nvPicPr>
                        <pic:blipFill>
                          <a:blip r:embed="rId128"/>
                          <a:stretch>
                            <a:fillRect/>
                          </a:stretch>
                        </pic:blipFill>
                        <pic:spPr bwMode="auto">
                          <a:xfrm>
                            <a:off x="0" y="0"/>
                            <a:ext cx="104775" cy="104775"/>
                          </a:xfrm>
                          <a:prstGeom prst="rect">
                            <a:avLst/>
                          </a:prstGeom>
                        </pic:spPr>
                      </pic:pic>
                    </a:graphicData>
                  </a:graphic>
                </wp:inline>
              </w:drawing>
            </w:r>
            <w:bookmarkStart w:id="130" w:name="i-109"/>
            <w:bookmarkEnd w:id="130"/>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0" descr=""/>
                          <pic:cNvPicPr>
                            <a:picLocks noChangeAspect="1" noChangeArrowheads="1"/>
                          </pic:cNvPicPr>
                        </pic:nvPicPr>
                        <pic:blipFill>
                          <a:blip r:embed="rId129"/>
                          <a:stretch>
                            <a:fillRect/>
                          </a:stretch>
                        </pic:blipFill>
                        <pic:spPr bwMode="auto">
                          <a:xfrm>
                            <a:off x="0" y="0"/>
                            <a:ext cx="104775" cy="104775"/>
                          </a:xfrm>
                          <a:prstGeom prst="rect">
                            <a:avLst/>
                          </a:prstGeom>
                        </pic:spPr>
                      </pic:pic>
                    </a:graphicData>
                  </a:graphic>
                </wp:inline>
              </w:drawing>
            </w:r>
            <w:bookmarkStart w:id="131" w:name="i-110"/>
            <w:bookmarkEnd w:id="131"/>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5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1" descr=""/>
                          <pic:cNvPicPr>
                            <a:picLocks noChangeAspect="1" noChangeArrowheads="1"/>
                          </pic:cNvPicPr>
                        </pic:nvPicPr>
                        <pic:blipFill>
                          <a:blip r:embed="rId130"/>
                          <a:stretch>
                            <a:fillRect/>
                          </a:stretch>
                        </pic:blipFill>
                        <pic:spPr bwMode="auto">
                          <a:xfrm>
                            <a:off x="0" y="0"/>
                            <a:ext cx="104775" cy="104775"/>
                          </a:xfrm>
                          <a:prstGeom prst="rect">
                            <a:avLst/>
                          </a:prstGeom>
                        </pic:spPr>
                      </pic:pic>
                    </a:graphicData>
                  </a:graphic>
                </wp:inline>
              </w:drawing>
            </w:r>
            <w:bookmarkStart w:id="132" w:name="i-111"/>
            <w:bookmarkEnd w:id="132"/>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left w:val="single" w:sz="4"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Ethics and Compliance / Corporate Governance</w:t>
            </w:r>
          </w:p>
        </w:tc>
        <w:tc>
          <w:tcPr>
            <w:tcW w:w="54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2" descr=""/>
                          <pic:cNvPicPr>
                            <a:picLocks noChangeAspect="1" noChangeArrowheads="1"/>
                          </pic:cNvPicPr>
                        </pic:nvPicPr>
                        <pic:blipFill>
                          <a:blip r:embed="rId131"/>
                          <a:stretch>
                            <a:fillRect/>
                          </a:stretch>
                        </pic:blipFill>
                        <pic:spPr bwMode="auto">
                          <a:xfrm>
                            <a:off x="0" y="0"/>
                            <a:ext cx="104775" cy="104775"/>
                          </a:xfrm>
                          <a:prstGeom prst="rect">
                            <a:avLst/>
                          </a:prstGeom>
                        </pic:spPr>
                      </pic:pic>
                    </a:graphicData>
                  </a:graphic>
                </wp:inline>
              </w:drawing>
            </w:r>
            <w:bookmarkStart w:id="133" w:name="i-112"/>
            <w:bookmarkEnd w:id="133"/>
          </w:p>
        </w:tc>
        <w:tc>
          <w:tcPr>
            <w:tcW w:w="72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3" descr=""/>
                          <pic:cNvPicPr>
                            <a:picLocks noChangeAspect="1" noChangeArrowheads="1"/>
                          </pic:cNvPicPr>
                        </pic:nvPicPr>
                        <pic:blipFill>
                          <a:blip r:embed="rId132"/>
                          <a:stretch>
                            <a:fillRect/>
                          </a:stretch>
                        </pic:blipFill>
                        <pic:spPr bwMode="auto">
                          <a:xfrm>
                            <a:off x="0" y="0"/>
                            <a:ext cx="104775" cy="104775"/>
                          </a:xfrm>
                          <a:prstGeom prst="rect">
                            <a:avLst/>
                          </a:prstGeom>
                        </pic:spPr>
                      </pic:pic>
                    </a:graphicData>
                  </a:graphic>
                </wp:inline>
              </w:drawing>
            </w:r>
            <w:bookmarkStart w:id="134" w:name="i-113"/>
            <w:bookmarkEnd w:id="134"/>
          </w:p>
        </w:tc>
        <w:tc>
          <w:tcPr>
            <w:tcW w:w="706"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4" descr=""/>
                          <pic:cNvPicPr>
                            <a:picLocks noChangeAspect="1" noChangeArrowheads="1"/>
                          </pic:cNvPicPr>
                        </pic:nvPicPr>
                        <pic:blipFill>
                          <a:blip r:embed="rId133"/>
                          <a:stretch>
                            <a:fillRect/>
                          </a:stretch>
                        </pic:blipFill>
                        <pic:spPr bwMode="auto">
                          <a:xfrm>
                            <a:off x="0" y="0"/>
                            <a:ext cx="104775" cy="104775"/>
                          </a:xfrm>
                          <a:prstGeom prst="rect">
                            <a:avLst/>
                          </a:prstGeom>
                        </pic:spPr>
                      </pic:pic>
                    </a:graphicData>
                  </a:graphic>
                </wp:inline>
              </w:drawing>
            </w:r>
            <w:bookmarkStart w:id="135" w:name="i-114"/>
            <w:bookmarkEnd w:id="135"/>
          </w:p>
        </w:tc>
        <w:tc>
          <w:tcPr>
            <w:tcW w:w="736"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5" descr=""/>
                          <pic:cNvPicPr>
                            <a:picLocks noChangeAspect="1" noChangeArrowheads="1"/>
                          </pic:cNvPicPr>
                        </pic:nvPicPr>
                        <pic:blipFill>
                          <a:blip r:embed="rId134"/>
                          <a:stretch>
                            <a:fillRect/>
                          </a:stretch>
                        </pic:blipFill>
                        <pic:spPr bwMode="auto">
                          <a:xfrm>
                            <a:off x="0" y="0"/>
                            <a:ext cx="104775" cy="104775"/>
                          </a:xfrm>
                          <a:prstGeom prst="rect">
                            <a:avLst/>
                          </a:prstGeom>
                        </pic:spPr>
                      </pic:pic>
                    </a:graphicData>
                  </a:graphic>
                </wp:inline>
              </w:drawing>
            </w:r>
            <w:bookmarkStart w:id="136" w:name="i-115"/>
            <w:bookmarkEnd w:id="136"/>
          </w:p>
        </w:tc>
        <w:tc>
          <w:tcPr>
            <w:tcW w:w="66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6" descr=""/>
                          <pic:cNvPicPr>
                            <a:picLocks noChangeAspect="1" noChangeArrowheads="1"/>
                          </pic:cNvPicPr>
                        </pic:nvPicPr>
                        <pic:blipFill>
                          <a:blip r:embed="rId135"/>
                          <a:stretch>
                            <a:fillRect/>
                          </a:stretch>
                        </pic:blipFill>
                        <pic:spPr bwMode="auto">
                          <a:xfrm>
                            <a:off x="0" y="0"/>
                            <a:ext cx="104775" cy="104775"/>
                          </a:xfrm>
                          <a:prstGeom prst="rect">
                            <a:avLst/>
                          </a:prstGeom>
                        </pic:spPr>
                      </pic:pic>
                    </a:graphicData>
                  </a:graphic>
                </wp:inline>
              </w:drawing>
            </w:r>
            <w:bookmarkStart w:id="137" w:name="i-116"/>
            <w:bookmarkEnd w:id="137"/>
          </w:p>
        </w:tc>
        <w:tc>
          <w:tcPr>
            <w:tcW w:w="54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5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7" descr=""/>
                          <pic:cNvPicPr>
                            <a:picLocks noChangeAspect="1" noChangeArrowheads="1"/>
                          </pic:cNvPicPr>
                        </pic:nvPicPr>
                        <pic:blipFill>
                          <a:blip r:embed="rId136"/>
                          <a:stretch>
                            <a:fillRect/>
                          </a:stretch>
                        </pic:blipFill>
                        <pic:spPr bwMode="auto">
                          <a:xfrm>
                            <a:off x="0" y="0"/>
                            <a:ext cx="104775" cy="104775"/>
                          </a:xfrm>
                          <a:prstGeom prst="rect">
                            <a:avLst/>
                          </a:prstGeom>
                        </pic:spPr>
                      </pic:pic>
                    </a:graphicData>
                  </a:graphic>
                </wp:inline>
              </w:drawing>
            </w:r>
            <w:bookmarkStart w:id="138" w:name="i-117"/>
            <w:bookmarkEnd w:id="138"/>
          </w:p>
        </w:tc>
        <w:tc>
          <w:tcPr>
            <w:tcW w:w="481" w:type="dxa"/>
            <w:gridSpan w:val="3"/>
            <w:tcBorders>
              <w:left w:val="single" w:sz="4" w:space="0" w:color="000000"/>
            </w:tcBorders>
            <w:shd w:fill="E5E5E5" w:val="clear"/>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6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8" descr=""/>
                          <pic:cNvPicPr>
                            <a:picLocks noChangeAspect="1" noChangeArrowheads="1"/>
                          </pic:cNvPicPr>
                        </pic:nvPicPr>
                        <pic:blipFill>
                          <a:blip r:embed="rId137"/>
                          <a:stretch>
                            <a:fillRect/>
                          </a:stretch>
                        </pic:blipFill>
                        <pic:spPr bwMode="auto">
                          <a:xfrm>
                            <a:off x="0" y="0"/>
                            <a:ext cx="104775" cy="104775"/>
                          </a:xfrm>
                          <a:prstGeom prst="rect">
                            <a:avLst/>
                          </a:prstGeom>
                        </pic:spPr>
                      </pic:pic>
                    </a:graphicData>
                  </a:graphic>
                </wp:inline>
              </w:drawing>
            </w:r>
            <w:bookmarkStart w:id="139" w:name="i-118"/>
            <w:bookmarkEnd w:id="139"/>
          </w:p>
        </w:tc>
        <w:tc>
          <w:tcPr>
            <w:tcW w:w="511"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6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9" descr=""/>
                          <pic:cNvPicPr>
                            <a:picLocks noChangeAspect="1" noChangeArrowheads="1"/>
                          </pic:cNvPicPr>
                        </pic:nvPicPr>
                        <pic:blipFill>
                          <a:blip r:embed="rId138"/>
                          <a:stretch>
                            <a:fillRect/>
                          </a:stretch>
                        </pic:blipFill>
                        <pic:spPr bwMode="auto">
                          <a:xfrm>
                            <a:off x="0" y="0"/>
                            <a:ext cx="104775" cy="104775"/>
                          </a:xfrm>
                          <a:prstGeom prst="rect">
                            <a:avLst/>
                          </a:prstGeom>
                        </pic:spPr>
                      </pic:pic>
                    </a:graphicData>
                  </a:graphic>
                </wp:inline>
              </w:drawing>
            </w:r>
            <w:bookmarkStart w:id="140" w:name="i-119"/>
            <w:bookmarkEnd w:id="140"/>
          </w:p>
        </w:tc>
        <w:tc>
          <w:tcPr>
            <w:tcW w:w="57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before="0" w:after="0"/>
              <w:jc w:val="center"/>
              <w:rPr/>
            </w:pPr>
            <w:r>
              <w:rPr/>
              <w:drawing>
                <wp:inline distT="0" distB="0" distL="0" distR="0">
                  <wp:extent cx="104775" cy="104775"/>
                  <wp:effectExtent l="0" t="0" r="0" b="0"/>
                  <wp:docPr id="16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0" descr=""/>
                          <pic:cNvPicPr>
                            <a:picLocks noChangeAspect="1" noChangeArrowheads="1"/>
                          </pic:cNvPicPr>
                        </pic:nvPicPr>
                        <pic:blipFill>
                          <a:blip r:embed="rId139"/>
                          <a:stretch>
                            <a:fillRect/>
                          </a:stretch>
                        </pic:blipFill>
                        <pic:spPr bwMode="auto">
                          <a:xfrm>
                            <a:off x="0" y="0"/>
                            <a:ext cx="104775" cy="104775"/>
                          </a:xfrm>
                          <a:prstGeom prst="rect">
                            <a:avLst/>
                          </a:prstGeom>
                        </pic:spPr>
                      </pic:pic>
                    </a:graphicData>
                  </a:graphic>
                </wp:inline>
              </w:drawing>
            </w:r>
            <w:bookmarkStart w:id="141" w:name="i-120"/>
            <w:bookmarkEnd w:id="141"/>
          </w:p>
        </w:tc>
      </w:tr>
      <w:tr>
        <w:trPr/>
        <w:tc>
          <w:tcPr>
            <w:tcW w:w="4155"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bottom w:val="single" w:sz="4" w:space="0" w:color="000000"/>
            </w:tcBorders>
            <w:shd w:fill="E5E5E5" w:val="clear"/>
            <w:tcMar>
              <w:top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4" w:space="0" w:color="000000"/>
              <w:bottom w:val="single" w:sz="4" w:space="0" w:color="000000"/>
            </w:tcBorders>
            <w:shd w:fill="E5E5E5" w:val="clear"/>
            <w:tcMar>
              <w:top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single" w:sz="4" w:space="0" w:color="000000"/>
              <w:bottom w:val="single" w:sz="4" w:space="0" w:color="000000"/>
            </w:tcBorders>
            <w:shd w:fill="E5E5E5" w:val="clear"/>
            <w:tcMar>
              <w:top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left w:val="single" w:sz="4" w:space="0" w:color="000000"/>
              <w:bottom w:val="single" w:sz="4" w:space="0" w:color="000000"/>
            </w:tcBorders>
            <w:shd w:fill="E5E5E5" w:val="clear"/>
            <w:tcMar>
              <w:top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4" w:space="0" w:color="000000"/>
              <w:bottom w:val="single" w:sz="4" w:space="0" w:color="000000"/>
              <w:right w:val="single" w:sz="4" w:space="0" w:color="000000"/>
            </w:tcBorders>
            <w:shd w:fill="E5E5E5" w:val="clear"/>
            <w:tcMar>
              <w:top w:w="0" w:type="dxa"/>
            </w:tcMar>
            <w:vAlign w:val="center"/>
          </w:tcPr>
          <w:p>
            <w:pPr>
              <w:pStyle w:val="TableContents"/>
              <w:bidi w:val="0"/>
              <w:spacing w:before="0" w:after="283"/>
              <w:jc w:val="left"/>
              <w:rPr>
                <w:sz w:val="4"/>
                <w:szCs w:val="4"/>
              </w:rPr>
            </w:pPr>
            <w:r>
              <w:rPr>
                <w:sz w:val="4"/>
                <w:szCs w:val="4"/>
              </w:rPr>
            </w:r>
          </w:p>
        </w:tc>
      </w:tr>
    </w:tbl>
    <w:tbl>
      <w:tblPr>
        <w:tblW w:w="8159" w:type="dxa"/>
        <w:jc w:val="center"/>
        <w:tblInd w:w="0" w:type="dxa"/>
        <w:tblLayout w:type="fixed"/>
        <w:tblCellMar>
          <w:top w:w="28" w:type="dxa"/>
          <w:left w:w="28" w:type="dxa"/>
          <w:bottom w:w="28" w:type="dxa"/>
          <w:right w:w="28" w:type="dxa"/>
        </w:tblCellMar>
      </w:tblPr>
      <w:tblGrid>
        <w:gridCol w:w="251"/>
        <w:gridCol w:w="221"/>
        <w:gridCol w:w="221"/>
        <w:gridCol w:w="2331"/>
        <w:gridCol w:w="2331"/>
        <w:gridCol w:w="2432"/>
        <w:gridCol w:w="109"/>
        <w:gridCol w:w="109"/>
        <w:gridCol w:w="154"/>
      </w:tblGrid>
      <w:tr>
        <w:trPr/>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op w:val="single" w:sz="4" w:space="0" w:color="000000"/>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right w:val="single" w:sz="4" w:space="0" w:color="000000"/>
            </w:tcBorders>
            <w:shd w:fill="004C97"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787" w:type="dxa"/>
            <w:gridSpan w:val="6"/>
            <w:tcBorders>
              <w:left w:val="single" w:sz="4" w:space="0" w:color="000000"/>
            </w:tcBorders>
            <w:shd w:fill="004C97"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RATING SCALE</w:t>
            </w:r>
          </w:p>
        </w:tc>
        <w:tc>
          <w:tcPr>
            <w:tcW w:w="372" w:type="dxa"/>
            <w:gridSpan w:val="3"/>
            <w:tcBorders>
              <w:right w:val="single" w:sz="4" w:space="0" w:color="000000"/>
            </w:tcBorders>
            <w:shd w:fill="004C97"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shd w:fill="004C97"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6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1" descr=""/>
                          <pic:cNvPicPr>
                            <a:picLocks noChangeAspect="1" noChangeArrowheads="1"/>
                          </pic:cNvPicPr>
                        </pic:nvPicPr>
                        <pic:blipFill>
                          <a:blip r:embed="rId140"/>
                          <a:stretch>
                            <a:fillRect/>
                          </a:stretch>
                        </pic:blipFill>
                        <pic:spPr bwMode="auto">
                          <a:xfrm>
                            <a:off x="0" y="0"/>
                            <a:ext cx="104775" cy="104775"/>
                          </a:xfrm>
                          <a:prstGeom prst="rect">
                            <a:avLst/>
                          </a:prstGeom>
                        </pic:spPr>
                      </pic:pic>
                    </a:graphicData>
                  </a:graphic>
                </wp:inline>
              </w:drawing>
            </w:r>
            <w:bookmarkStart w:id="142" w:name="i-121"/>
            <w:bookmarkEnd w:id="142"/>
          </w:p>
        </w:tc>
        <w:tc>
          <w:tcPr>
            <w:tcW w:w="709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Technical Expertise (e.g., direct hands-on experience and subject matter expert during career)</w:t>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6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2" descr=""/>
                          <pic:cNvPicPr>
                            <a:picLocks noChangeAspect="1" noChangeArrowheads="1"/>
                          </pic:cNvPicPr>
                        </pic:nvPicPr>
                        <pic:blipFill>
                          <a:blip r:embed="rId141"/>
                          <a:stretch>
                            <a:fillRect/>
                          </a:stretch>
                        </pic:blipFill>
                        <pic:spPr bwMode="auto">
                          <a:xfrm>
                            <a:off x="0" y="0"/>
                            <a:ext cx="104775" cy="104775"/>
                          </a:xfrm>
                          <a:prstGeom prst="rect">
                            <a:avLst/>
                          </a:prstGeom>
                        </pic:spPr>
                      </pic:pic>
                    </a:graphicData>
                  </a:graphic>
                </wp:inline>
              </w:drawing>
            </w:r>
            <w:bookmarkStart w:id="143" w:name="i-122"/>
            <w:bookmarkEnd w:id="143"/>
          </w:p>
        </w:tc>
        <w:tc>
          <w:tcPr>
            <w:tcW w:w="709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Managerial Knowledge (e.g., experience derived through general managerial experience)</w:t>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6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3" descr=""/>
                          <pic:cNvPicPr>
                            <a:picLocks noChangeAspect="1" noChangeArrowheads="1"/>
                          </pic:cNvPicPr>
                        </pic:nvPicPr>
                        <pic:blipFill>
                          <a:blip r:embed="rId142"/>
                          <a:stretch>
                            <a:fillRect/>
                          </a:stretch>
                        </pic:blipFill>
                        <pic:spPr bwMode="auto">
                          <a:xfrm>
                            <a:off x="0" y="0"/>
                            <a:ext cx="104775" cy="104775"/>
                          </a:xfrm>
                          <a:prstGeom prst="rect">
                            <a:avLst/>
                          </a:prstGeom>
                        </pic:spPr>
                      </pic:pic>
                    </a:graphicData>
                  </a:graphic>
                </wp:inline>
              </w:drawing>
            </w:r>
            <w:bookmarkStart w:id="144" w:name="i-123"/>
            <w:bookmarkEnd w:id="144"/>
          </w:p>
        </w:tc>
        <w:tc>
          <w:tcPr>
            <w:tcW w:w="709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Working Knowledge (e.g., exposure as a Board committee member at SPX or another company)</w:t>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16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4" descr=""/>
                          <pic:cNvPicPr>
                            <a:picLocks noChangeAspect="1" noChangeArrowheads="1"/>
                          </pic:cNvPicPr>
                        </pic:nvPicPr>
                        <pic:blipFill>
                          <a:blip r:embed="rId143"/>
                          <a:stretch>
                            <a:fillRect/>
                          </a:stretch>
                        </pic:blipFill>
                        <pic:spPr bwMode="auto">
                          <a:xfrm>
                            <a:off x="0" y="0"/>
                            <a:ext cx="104775" cy="104775"/>
                          </a:xfrm>
                          <a:prstGeom prst="rect">
                            <a:avLst/>
                          </a:prstGeom>
                        </pic:spPr>
                      </pic:pic>
                    </a:graphicData>
                  </a:graphic>
                </wp:inline>
              </w:drawing>
            </w:r>
            <w:bookmarkStart w:id="145" w:name="i-124"/>
            <w:bookmarkEnd w:id="145"/>
          </w:p>
        </w:tc>
        <w:tc>
          <w:tcPr>
            <w:tcW w:w="709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Knowledge (e.g., exposure comes from Board committee report outs only)</w:t>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While each director has had involvement in the management of Technology and Software, Mr. Lowe and Ms. Utley have additionally completed specific certification coursework in Cybersecurity with the National Association of Corporate Directors. In addition, Mr. Puckett and Ms. Sethna either had or currently have direct responsibility for their organization’s Information Technology functions, including oversight of Cybersecurity Risks.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Dr. Shaw, Ms. Sethna, and Ms. Willis all have extensive experience working with their organization’s sustainability programs.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167"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5" descr=""/>
                                                <pic:cNvPicPr>
                                                  <a:picLocks noChangeAspect="1" noChangeArrowheads="1"/>
                                                </pic:cNvPicPr>
                                              </pic:nvPicPr>
                                              <pic:blipFill>
                                                <a:blip r:embed="rId144"/>
                                                <a:stretch>
                                                  <a:fillRect/>
                                                </a:stretch>
                                              </pic:blipFill>
                                              <pic:spPr bwMode="auto">
                                                <a:xfrm>
                                                  <a:off x="0" y="0"/>
                                                  <a:ext cx="447675" cy="161925"/>
                                                </a:xfrm>
                                                <a:prstGeom prst="rect">
                                                  <a:avLst/>
                                                </a:prstGeom>
                                              </pic:spPr>
                                            </pic:pic>
                                          </a:graphicData>
                                        </a:graphic>
                                      </wp:inline>
                                    </w:drawing>
                                  </w:r>
                                  <w:bookmarkStart w:id="146" w:name="i-125"/>
                                  <w:bookmarkEnd w:id="14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5" descr=""/>
                                          <pic:cNvPicPr>
                                            <a:picLocks noChangeAspect="1" noChangeArrowheads="1"/>
                                          </pic:cNvPicPr>
                                        </pic:nvPicPr>
                                        <pic:blipFill>
                                          <a:blip r:embed="rId145"/>
                                          <a:stretch>
                                            <a:fillRect/>
                                          </a:stretch>
                                        </pic:blipFill>
                                        <pic:spPr bwMode="auto">
                                          <a:xfrm>
                                            <a:off x="0" y="0"/>
                                            <a:ext cx="447675" cy="161925"/>
                                          </a:xfrm>
                                          <a:prstGeom prst="rect">
                                            <a:avLst/>
                                          </a:prstGeom>
                                        </pic:spPr>
                                      </pic:pic>
                                    </a:graphicData>
                                  </a:graphic>
                                </wp:inline>
                              </w:drawing>
                            </w:r>
                            <w:bookmarkStart w:id="147" w:name="i-125"/>
                            <w:bookmarkEnd w:id="14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v:textbox>
                <w10:wrap type="none"/>
              </v:rect>
            </w:pict>
          </mc:Fallback>
        </mc:AlternateContent>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1: Election of Directors</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Board Diversity</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noted under “Director Nominees and Qualifications” on page 6, our Board believes individuals with diverse backgrounds and experience will be best suited for providing balanced leadership for the Company. The following charts show the diverse makeup of the Board.</w:t>
      </w:r>
    </w:p>
    <w:p>
      <w:pPr>
        <w:pStyle w:val="TextBody"/>
        <w:bidi w:val="0"/>
        <w:spacing w:before="0" w:after="180"/>
        <w:jc w:val="center"/>
        <w:rPr/>
      </w:pPr>
      <w:r>
        <w:rPr/>
        <w:drawing>
          <wp:inline distT="0" distB="0" distL="0" distR="0">
            <wp:extent cx="6629400" cy="1866900"/>
            <wp:effectExtent l="0" t="0" r="0" b="0"/>
            <wp:docPr id="17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6" descr=""/>
                    <pic:cNvPicPr>
                      <a:picLocks noChangeAspect="1" noChangeArrowheads="1"/>
                    </pic:cNvPicPr>
                  </pic:nvPicPr>
                  <pic:blipFill>
                    <a:blip r:embed="rId146"/>
                    <a:stretch>
                      <a:fillRect/>
                    </a:stretch>
                  </pic:blipFill>
                  <pic:spPr bwMode="auto">
                    <a:xfrm>
                      <a:off x="0" y="0"/>
                      <a:ext cx="6629400" cy="1866900"/>
                    </a:xfrm>
                    <a:prstGeom prst="rect">
                      <a:avLst/>
                    </a:prstGeom>
                  </pic:spPr>
                </pic:pic>
              </a:graphicData>
            </a:graphic>
          </wp:inline>
        </w:drawing>
      </w:r>
      <w:bookmarkStart w:id="148" w:name="i-126"/>
      <w:bookmarkEnd w:id="14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171"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7" descr=""/>
                                                <pic:cNvPicPr>
                                                  <a:picLocks noChangeAspect="1" noChangeArrowheads="1"/>
                                                </pic:cNvPicPr>
                                              </pic:nvPicPr>
                                              <pic:blipFill>
                                                <a:blip r:embed="rId147"/>
                                                <a:stretch>
                                                  <a:fillRect/>
                                                </a:stretch>
                                              </pic:blipFill>
                                              <pic:spPr bwMode="auto">
                                                <a:xfrm>
                                                  <a:off x="0" y="0"/>
                                                  <a:ext cx="447675" cy="161925"/>
                                                </a:xfrm>
                                                <a:prstGeom prst="rect">
                                                  <a:avLst/>
                                                </a:prstGeom>
                                              </pic:spPr>
                                            </pic:pic>
                                          </a:graphicData>
                                        </a:graphic>
                                      </wp:inline>
                                    </w:drawing>
                                  </w:r>
                                  <w:bookmarkStart w:id="149" w:name="i-127"/>
                                  <w:bookmarkEnd w:id="149"/>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7" descr=""/>
                                          <pic:cNvPicPr>
                                            <a:picLocks noChangeAspect="1" noChangeArrowheads="1"/>
                                          </pic:cNvPicPr>
                                        </pic:nvPicPr>
                                        <pic:blipFill>
                                          <a:blip r:embed="rId148"/>
                                          <a:stretch>
                                            <a:fillRect/>
                                          </a:stretch>
                                        </pic:blipFill>
                                        <pic:spPr bwMode="auto">
                                          <a:xfrm>
                                            <a:off x="0" y="0"/>
                                            <a:ext cx="447675" cy="161925"/>
                                          </a:xfrm>
                                          <a:prstGeom prst="rect">
                                            <a:avLst/>
                                          </a:prstGeom>
                                        </pic:spPr>
                                      </pic:pic>
                                    </a:graphicData>
                                  </a:graphic>
                                </wp:inline>
                              </w:drawing>
                            </w:r>
                            <w:bookmarkStart w:id="150" w:name="i-127"/>
                            <w:bookmarkEnd w:id="150"/>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OWNERSHIP OF COMMON STOCK</w:t>
      </w:r>
    </w:p>
    <w:p>
      <w:pPr>
        <w:pStyle w:val="TextBody"/>
        <w:bidi w:val="0"/>
        <w:spacing w:lineRule="auto" w:line="288" w:before="360" w:after="283"/>
        <w:jc w:val="left"/>
        <w:rPr>
          <w:rFonts w:ascii="Arial;sans-serif" w:hAnsi="Arial;sans-serif"/>
          <w:b/>
          <w:color w:val="000000"/>
          <w:sz w:val="32"/>
        </w:rPr>
      </w:pPr>
      <w:bookmarkStart w:id="151" w:name="ieed307cd4eb8436aa8069ccd8716b0cc_5991"/>
      <w:bookmarkEnd w:id="151"/>
      <w:r>
        <w:rPr>
          <w:rFonts w:ascii="Arial;sans-serif" w:hAnsi="Arial;sans-serif"/>
          <w:b/>
          <w:color w:val="000000"/>
          <w:sz w:val="32"/>
        </w:rPr>
        <w:t>Stock Ownership Guidelines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maintain Stock Ownership Guidelines to emphasize the importance of substantive, long-term share ownership by our directors and executive officers to align their financial interests with those of our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guidelines are:</w:t>
      </w:r>
    </w:p>
    <w:tbl>
      <w:tblPr>
        <w:tblW w:w="3720" w:type="dxa"/>
        <w:jc w:val="left"/>
        <w:tblInd w:w="0" w:type="dxa"/>
        <w:tblLayout w:type="fixed"/>
        <w:tblCellMar>
          <w:top w:w="28" w:type="dxa"/>
          <w:left w:w="28" w:type="dxa"/>
          <w:bottom w:w="28" w:type="dxa"/>
          <w:right w:w="28" w:type="dxa"/>
        </w:tblCellMar>
      </w:tblPr>
      <w:tblGrid>
        <w:gridCol w:w="820"/>
        <w:gridCol w:w="719"/>
        <w:gridCol w:w="726"/>
        <w:gridCol w:w="425"/>
        <w:gridCol w:w="425"/>
        <w:gridCol w:w="605"/>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Position</w:t>
            </w:r>
          </w:p>
        </w:tc>
        <w:tc>
          <w:tcPr>
            <w:tcW w:w="145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 Value</w:t>
            </w:r>
          </w:p>
        </w:tc>
      </w:tr>
      <w:tr>
        <w:trPr/>
        <w:tc>
          <w:tcPr>
            <w:tcW w:w="2265"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Non-Employee Directors</w:t>
            </w:r>
          </w:p>
        </w:tc>
        <w:tc>
          <w:tcPr>
            <w:tcW w:w="1455" w:type="dxa"/>
            <w:gridSpan w:val="3"/>
            <w:tcBorders>
              <w:top w:val="single" w:sz="4" w:space="0" w:color="000000"/>
              <w:left w:val="single" w:sz="4" w:space="0" w:color="000000"/>
              <w:right w:val="single" w:sz="4" w:space="0" w:color="000000"/>
            </w:tcBorders>
            <w:shd w:fill="E5E5E5"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5x annual retainer</w:t>
            </w:r>
          </w:p>
        </w:tc>
      </w:tr>
      <w:tr>
        <w:trPr/>
        <w:tc>
          <w:tcPr>
            <w:tcW w:w="226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1455"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5x annual salary</w:t>
            </w:r>
          </w:p>
        </w:tc>
      </w:tr>
      <w:tr>
        <w:trPr/>
        <w:tc>
          <w:tcPr>
            <w:tcW w:w="2265"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Operating Officer*</w:t>
            </w:r>
          </w:p>
        </w:tc>
        <w:tc>
          <w:tcPr>
            <w:tcW w:w="1455" w:type="dxa"/>
            <w:gridSpan w:val="3"/>
            <w:tcBorders>
              <w:top w:val="single" w:sz="4" w:space="0" w:color="000000"/>
              <w:left w:val="single" w:sz="4" w:space="0" w:color="000000"/>
              <w:right w:val="single" w:sz="4" w:space="0" w:color="000000"/>
            </w:tcBorders>
            <w:shd w:fill="E5E5E5"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4x annual salary</w:t>
            </w:r>
          </w:p>
        </w:tc>
      </w:tr>
      <w:tr>
        <w:trPr/>
        <w:tc>
          <w:tcPr>
            <w:tcW w:w="226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Executive Officers</w:t>
            </w:r>
          </w:p>
        </w:tc>
        <w:tc>
          <w:tcPr>
            <w:tcW w:w="1455"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3x annual salary</w:t>
            </w:r>
          </w:p>
        </w:tc>
      </w:tr>
      <w:tr>
        <w:trPr/>
        <w:tc>
          <w:tcPr>
            <w:tcW w:w="2265" w:type="dxa"/>
            <w:gridSpan w:val="3"/>
            <w:tcBorders>
              <w:top w:val="single" w:sz="4" w:space="0" w:color="000000"/>
              <w:left w:val="single" w:sz="4" w:space="0" w:color="000000"/>
              <w:bottom w:val="single" w:sz="4" w:space="0" w:color="000000"/>
            </w:tcBorders>
            <w:shd w:fill="E5E5E5"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Designated Executives</w:t>
            </w:r>
          </w:p>
        </w:tc>
        <w:tc>
          <w:tcPr>
            <w:tcW w:w="1455" w:type="dxa"/>
            <w:gridSpan w:val="3"/>
            <w:tcBorders>
              <w:top w:val="single" w:sz="4" w:space="0" w:color="000000"/>
              <w:left w:val="single" w:sz="4" w:space="0" w:color="000000"/>
              <w:bottom w:val="single" w:sz="4" w:space="0" w:color="000000"/>
              <w:right w:val="single" w:sz="4" w:space="0" w:color="000000"/>
            </w:tcBorders>
            <w:shd w:fill="E5E5E5" w:val="clear"/>
            <w:tcMar>
              <w:top w:w="30" w:type="dxa"/>
              <w:left w:w="20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1x annual salary</w:t>
            </w:r>
          </w:p>
        </w:tc>
      </w:tr>
    </w:tbl>
    <w:p>
      <w:pPr>
        <w:pStyle w:val="TextBody"/>
        <w:bidi w:val="0"/>
        <w:spacing w:lineRule="auto" w:line="288" w:before="0" w:after="60"/>
        <w:jc w:val="both"/>
        <w:rPr>
          <w:rFonts w:ascii="Arial;sans-serif" w:hAnsi="Arial;sans-serif"/>
          <w:b w:val="false"/>
          <w:color w:val="000000"/>
          <w:sz w:val="14"/>
        </w:rPr>
      </w:pPr>
      <w:r>
        <w:rPr>
          <w:rFonts w:ascii="Arial;sans-serif" w:hAnsi="Arial;sans-serif"/>
          <w:b w:val="false"/>
          <w:color w:val="000000"/>
          <w:sz w:val="14"/>
        </w:rPr>
        <w:t>* SPX does not currently have the COO position.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Shares held in family trusts and shares held in retirement plan accounts are deemed to be owned shares for purposes of these guidelines. Unvested time-based stock (and stock unit awards) is deemed to be owned shares for purposes of these guidelines. Unexercised stock options and unvested performance-based stock (and stock unit awards) are excluded for purposes of these guidelines. We ask non-employee directors and executive leaders to attain the desired level of stock ownership within five years of initial election as a director or appointment to the executive officer position.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Once a non-employee director or executive leader attains the desired level of share ownership, he or she will continue to be in compliance with these guidelines even if he or she later falls below the guideline, as long as he or she retains at least 50% of the net shares acquired upon exercise of stock options and at least 50% of the net shares acquired pursuant to vested restricted equity awards and vested restricted stock unit grants until he or she again meets or exceeds the guidelines. “Net shares” means the shares remaining after disposition of shares necessary to pay the related tax liability and, if applicable, the stock option exercise price.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Each non-employee director and named executive officer was in compliance with these requirements as of March 16,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9140"/>
                <wp:effectExtent l="0" t="0" r="0" b="0"/>
                <wp:wrapNone/>
                <wp:docPr id="174"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8" descr=""/>
                                                <pic:cNvPicPr>
                                                  <a:picLocks noChangeAspect="1" noChangeArrowheads="1"/>
                                                </pic:cNvPicPr>
                                              </pic:nvPicPr>
                                              <pic:blipFill>
                                                <a:blip r:embed="rId149"/>
                                                <a:stretch>
                                                  <a:fillRect/>
                                                </a:stretch>
                                              </pic:blipFill>
                                              <pic:spPr bwMode="auto">
                                                <a:xfrm>
                                                  <a:off x="0" y="0"/>
                                                  <a:ext cx="447675" cy="161925"/>
                                                </a:xfrm>
                                                <a:prstGeom prst="rect">
                                                  <a:avLst/>
                                                </a:prstGeom>
                                              </pic:spPr>
                                            </pic:pic>
                                          </a:graphicData>
                                        </a:graphic>
                                      </wp:inline>
                                    </w:drawing>
                                  </w:r>
                                  <w:bookmarkStart w:id="152" w:name="i-128"/>
                                  <w:bookmarkEnd w:id="15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8" descr=""/>
                                          <pic:cNvPicPr>
                                            <a:picLocks noChangeAspect="1" noChangeArrowheads="1"/>
                                          </pic:cNvPicPr>
                                        </pic:nvPicPr>
                                        <pic:blipFill>
                                          <a:blip r:embed="rId150"/>
                                          <a:stretch>
                                            <a:fillRect/>
                                          </a:stretch>
                                        </pic:blipFill>
                                        <pic:spPr bwMode="auto">
                                          <a:xfrm>
                                            <a:off x="0" y="0"/>
                                            <a:ext cx="447675" cy="161925"/>
                                          </a:xfrm>
                                          <a:prstGeom prst="rect">
                                            <a:avLst/>
                                          </a:prstGeom>
                                        </pic:spPr>
                                      </pic:pic>
                                    </a:graphicData>
                                  </a:graphic>
                                </wp:inline>
                              </w:drawing>
                            </w:r>
                            <w:bookmarkStart w:id="153" w:name="i-128"/>
                            <w:bookmarkEnd w:id="153"/>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v:textbox>
                <w10:wrap type="none"/>
              </v:rect>
            </w:pict>
          </mc:Fallback>
        </mc:AlternateContent>
      </w:r>
    </w:p>
    <w:tbl>
      <w:tblPr>
        <w:tblW w:w="2894" w:type="dxa"/>
        <w:jc w:val="right"/>
        <w:tblInd w:w="0" w:type="dxa"/>
        <w:tblLayout w:type="fixed"/>
        <w:tblCellMar>
          <w:top w:w="28" w:type="dxa"/>
          <w:left w:w="28" w:type="dxa"/>
          <w:bottom w:w="28" w:type="dxa"/>
          <w:right w:w="28" w:type="dxa"/>
        </w:tblCellMar>
      </w:tblPr>
      <w:tblGrid>
        <w:gridCol w:w="927"/>
        <w:gridCol w:w="813"/>
        <w:gridCol w:w="1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OWNERSHIP OF COMMON STOCK</w:t>
            </w:r>
          </w:p>
        </w:tc>
      </w:tr>
    </w:tbl>
    <w:p>
      <w:pPr>
        <w:pStyle w:val="TextBody"/>
        <w:bidi w:val="0"/>
        <w:spacing w:lineRule="auto" w:line="288" w:before="0" w:after="0"/>
        <w:jc w:val="left"/>
        <w:rPr>
          <w:rFonts w:ascii="Arial;sans-serif" w:hAnsi="Arial;sans-serif"/>
          <w:b/>
          <w:color w:val="000000"/>
          <w:sz w:val="32"/>
        </w:rPr>
      </w:pPr>
      <w:bookmarkStart w:id="154" w:name="ieed307cd4eb8436aa8069ccd8716b0cc_5993"/>
      <w:bookmarkEnd w:id="154"/>
      <w:r>
        <w:rPr>
          <w:rFonts w:ascii="Arial;sans-serif" w:hAnsi="Arial;sans-serif"/>
          <w:b/>
          <w:color w:val="000000"/>
          <w:sz w:val="32"/>
        </w:rPr>
        <w:t>Ownership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155" w:name="ieed307cd4eb8436aa8069ccd8716b0cc_5989"/>
      <w:bookmarkEnd w:id="155"/>
      <w:r>
        <w:rPr>
          <w:rFonts w:ascii="Arial;sans-serif" w:hAnsi="Arial;sans-serif"/>
          <w:b/>
          <w:color w:val="000000"/>
          <w:sz w:val="22"/>
        </w:rPr>
        <w:t>DIRECTORS AND EXECUTIVE OFFICERS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includes information about how much of our common stock (our only outstanding class of equity securities) is beneficially owned by: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Each director;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Each named executive officer included in the Summary Compensation Table on page 37;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 directors and executive officers as a group.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Unless otherwise noted, amounts and percentages are as of March 16, 2026.</w:t>
      </w:r>
    </w:p>
    <w:tbl>
      <w:tblPr>
        <w:tblW w:w="10205" w:type="dxa"/>
        <w:jc w:val="left"/>
        <w:tblInd w:w="0" w:type="dxa"/>
        <w:tblLayout w:type="fixed"/>
        <w:tblCellMar>
          <w:top w:w="28" w:type="dxa"/>
          <w:left w:w="28" w:type="dxa"/>
          <w:bottom w:w="28" w:type="dxa"/>
          <w:right w:w="28" w:type="dxa"/>
        </w:tblCellMar>
      </w:tblPr>
      <w:tblGrid>
        <w:gridCol w:w="764"/>
        <w:gridCol w:w="569"/>
        <w:gridCol w:w="466"/>
        <w:gridCol w:w="633"/>
        <w:gridCol w:w="465"/>
        <w:gridCol w:w="466"/>
        <w:gridCol w:w="848"/>
        <w:gridCol w:w="848"/>
        <w:gridCol w:w="850"/>
        <w:gridCol w:w="612"/>
        <w:gridCol w:w="603"/>
        <w:gridCol w:w="605"/>
        <w:gridCol w:w="643"/>
        <w:gridCol w:w="451"/>
        <w:gridCol w:w="452"/>
        <w:gridCol w:w="240"/>
        <w:gridCol w:w="241"/>
        <w:gridCol w:w="449"/>
      </w:tblGrid>
      <w:tr>
        <w:trPr/>
        <w:tc>
          <w:tcPr>
            <w:tcW w:w="7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left w:val="single" w:sz="4" w:space="0" w:color="000000"/>
              <w:bottom w:val="single" w:sz="4" w:space="0" w:color="000000"/>
            </w:tcBorders>
            <w:shd w:fill="004C97" w:val="clear"/>
            <w:tcMar>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Number of Shares of Common Stock </w:t>
            </w:r>
          </w:p>
          <w:p>
            <w:pPr>
              <w:pStyle w:val="TableContents"/>
              <w:bidi w:val="0"/>
              <w:spacing w:lineRule="auto" w:line="288" w:before="0" w:after="0"/>
              <w:jc w:val="center"/>
              <w:rPr/>
            </w:pPr>
            <w:r>
              <w:rPr>
                <w:rFonts w:ascii="Arial;sans-serif" w:hAnsi="Arial;sans-serif"/>
                <w:b/>
                <w:color w:val="FFFFFF"/>
                <w:sz w:val="16"/>
              </w:rPr>
              <w:t>Beneficially Owned</w:t>
            </w:r>
            <w:r>
              <w:rPr>
                <w:rFonts w:ascii="Arial;sans-serif" w:hAnsi="Arial;sans-serif"/>
                <w:b/>
                <w:color w:val="FFFFFF"/>
                <w:sz w:val="10"/>
              </w:rPr>
              <w:t>(1)</w:t>
            </w:r>
          </w:p>
        </w:tc>
        <w:tc>
          <w:tcPr>
            <w:tcW w:w="2546"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Right to Acquire Beneficial Ownership Under Options Exercisable/ Stock Units Distributable Within 60 Days</w:t>
            </w:r>
            <w:r>
              <w:rPr>
                <w:rFonts w:ascii="Arial;sans-serif" w:hAnsi="Arial;sans-serif"/>
                <w:b/>
                <w:color w:val="FFFFFF"/>
                <w:sz w:val="10"/>
              </w:rPr>
              <w:t>(2)(3)</w:t>
            </w:r>
          </w:p>
        </w:tc>
        <w:tc>
          <w:tcPr>
            <w:tcW w:w="1820"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Right to Acquire Beneficial Ownership Under Vested Deferred Stock </w:t>
            </w:r>
          </w:p>
          <w:p>
            <w:pPr>
              <w:pStyle w:val="TableContents"/>
              <w:bidi w:val="0"/>
              <w:spacing w:lineRule="auto" w:line="288" w:before="0" w:after="0"/>
              <w:jc w:val="center"/>
              <w:rPr/>
            </w:pPr>
            <w:r>
              <w:rPr>
                <w:rFonts w:ascii="Arial;sans-serif" w:hAnsi="Arial;sans-serif"/>
                <w:b/>
                <w:color w:val="FFFFFF"/>
                <w:sz w:val="16"/>
              </w:rPr>
              <w:t>Units</w:t>
            </w:r>
            <w:r>
              <w:rPr>
                <w:rFonts w:ascii="Arial;sans-serif" w:hAnsi="Arial;sans-serif"/>
                <w:b/>
                <w:color w:val="FFFFFF"/>
                <w:sz w:val="10"/>
              </w:rPr>
              <w:t>(4)</w:t>
            </w:r>
          </w:p>
        </w:tc>
        <w:tc>
          <w:tcPr>
            <w:tcW w:w="1546"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Total Ownership of Common Stock</w:t>
            </w:r>
            <w:r>
              <w:rPr>
                <w:rFonts w:ascii="Arial;sans-serif" w:hAnsi="Arial;sans-serif"/>
                <w:b/>
                <w:color w:val="FFFFFF"/>
                <w:sz w:val="10"/>
              </w:rPr>
              <w:t>(5)</w:t>
            </w:r>
          </w:p>
        </w:tc>
        <w:tc>
          <w:tcPr>
            <w:tcW w:w="930" w:type="dxa"/>
            <w:gridSpan w:val="3"/>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Percent </w:t>
              <w:br/>
              <w:t>of Class</w:t>
            </w:r>
          </w:p>
        </w:tc>
      </w:tr>
      <w:tr>
        <w:trPr/>
        <w:tc>
          <w:tcPr>
            <w:tcW w:w="10205" w:type="dxa"/>
            <w:gridSpan w:val="18"/>
            <w:tcBorders>
              <w:left w:val="single" w:sz="4" w:space="0" w:color="000000"/>
              <w:right w:val="single" w:sz="4" w:space="0" w:color="000000"/>
            </w:tcBorders>
            <w:shd w:fill="E6E7E8" w:val="clear"/>
            <w:tcMar>
              <w:top w:w="0" w:type="dxa"/>
              <w:left w:w="11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DIRECTORS WHO ARE NOT NAMED EXECUTIVE OFFICERS</w:t>
            </w:r>
          </w:p>
        </w:tc>
      </w:tr>
      <w:tr>
        <w:trPr/>
        <w:tc>
          <w:tcPr>
            <w:tcW w:w="179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J. O’Leary</w:t>
            </w:r>
          </w:p>
        </w:tc>
        <w:tc>
          <w:tcPr>
            <w:tcW w:w="10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15,382 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25,211 </w:t>
            </w:r>
          </w:p>
        </w:tc>
        <w:tc>
          <w:tcPr>
            <w:tcW w:w="6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40,593 </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10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20,343 </w:t>
            </w:r>
          </w:p>
        </w:tc>
        <w:tc>
          <w:tcPr>
            <w:tcW w:w="466"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13,427 </w:t>
            </w:r>
          </w:p>
        </w:tc>
        <w:tc>
          <w:tcPr>
            <w:tcW w:w="605"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33,770 </w:t>
            </w:r>
          </w:p>
        </w:tc>
        <w:tc>
          <w:tcPr>
            <w:tcW w:w="45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10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31,945 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8,648 </w:t>
            </w:r>
          </w:p>
        </w:tc>
        <w:tc>
          <w:tcPr>
            <w:tcW w:w="6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40,593 </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10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6,542 </w:t>
            </w:r>
          </w:p>
        </w:tc>
        <w:tc>
          <w:tcPr>
            <w:tcW w:w="466"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85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7,672 </w:t>
            </w:r>
          </w:p>
        </w:tc>
        <w:tc>
          <w:tcPr>
            <w:tcW w:w="605"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14,214 </w:t>
            </w:r>
          </w:p>
        </w:tc>
        <w:tc>
          <w:tcPr>
            <w:tcW w:w="45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10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38,525 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2,068 </w:t>
            </w:r>
          </w:p>
        </w:tc>
        <w:tc>
          <w:tcPr>
            <w:tcW w:w="6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40,593 </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10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24,892 </w:t>
            </w:r>
          </w:p>
        </w:tc>
        <w:tc>
          <w:tcPr>
            <w:tcW w:w="466"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85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24,892 </w:t>
            </w:r>
          </w:p>
        </w:tc>
        <w:tc>
          <w:tcPr>
            <w:tcW w:w="45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10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15,382 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25,211 </w:t>
            </w:r>
          </w:p>
        </w:tc>
        <w:tc>
          <w:tcPr>
            <w:tcW w:w="6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40,593 </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1098"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8,610 </w:t>
            </w:r>
          </w:p>
        </w:tc>
        <w:tc>
          <w:tcPr>
            <w:tcW w:w="466"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850"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8,610 </w:t>
            </w:r>
          </w:p>
        </w:tc>
        <w:tc>
          <w:tcPr>
            <w:tcW w:w="452"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05" w:type="dxa"/>
            <w:gridSpan w:val="18"/>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NAMED EXECUTIVE OFFICERS</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0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1,111,087 </w:t>
            </w:r>
          </w:p>
        </w:tc>
        <w:tc>
          <w:tcPr>
            <w:tcW w:w="466"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355,936 </w:t>
            </w:r>
          </w:p>
        </w:tc>
        <w:tc>
          <w:tcPr>
            <w:tcW w:w="85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1,111,087 </w:t>
            </w:r>
          </w:p>
        </w:tc>
        <w:tc>
          <w:tcPr>
            <w:tcW w:w="45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4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0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17,557 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9,409 </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17,557 </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0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44,788 </w:t>
            </w:r>
          </w:p>
        </w:tc>
        <w:tc>
          <w:tcPr>
            <w:tcW w:w="466"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31,454 </w:t>
            </w:r>
          </w:p>
        </w:tc>
        <w:tc>
          <w:tcPr>
            <w:tcW w:w="85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44,788 </w:t>
            </w:r>
          </w:p>
        </w:tc>
        <w:tc>
          <w:tcPr>
            <w:tcW w:w="45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0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73,322 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17,929 </w:t>
            </w:r>
          </w:p>
        </w:tc>
        <w:tc>
          <w:tcPr>
            <w:tcW w:w="8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73,322 </w:t>
            </w:r>
          </w:p>
        </w:tc>
        <w:tc>
          <w:tcPr>
            <w:tcW w:w="4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0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47,308 </w:t>
            </w:r>
          </w:p>
        </w:tc>
        <w:tc>
          <w:tcPr>
            <w:tcW w:w="466"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14,143 </w:t>
            </w:r>
          </w:p>
        </w:tc>
        <w:tc>
          <w:tcPr>
            <w:tcW w:w="85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47,308 </w:t>
            </w:r>
          </w:p>
        </w:tc>
        <w:tc>
          <w:tcPr>
            <w:tcW w:w="45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9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All directors and executive officers as a group (15 persons)</w:t>
            </w:r>
          </w:p>
        </w:tc>
        <w:tc>
          <w:tcPr>
            <w:tcW w:w="1098"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1,455,683</w:t>
            </w:r>
            <w:r>
              <w:rPr>
                <w:color w:val="000000"/>
              </w:rPr>
              <w:t> </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434,852</w:t>
            </w:r>
            <w:r>
              <w:rPr>
                <w:color w:val="000000"/>
              </w:rPr>
              <w:t> </w:t>
            </w:r>
          </w:p>
        </w:tc>
        <w:tc>
          <w:tcPr>
            <w:tcW w:w="85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82,237</w:t>
            </w:r>
            <w:r>
              <w:rPr>
                <w:color w:val="000000"/>
              </w:rPr>
              <w:t> </w:t>
            </w:r>
          </w:p>
        </w:tc>
        <w:tc>
          <w:tcPr>
            <w:tcW w:w="60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1,537,920</w:t>
            </w:r>
            <w:r>
              <w:rPr>
                <w:color w:val="000000"/>
              </w:rPr>
              <w:t> </w:t>
            </w:r>
          </w:p>
        </w:tc>
        <w:tc>
          <w:tcPr>
            <w:tcW w:w="45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2.88</w:t>
            </w:r>
            <w:r>
              <w:rPr>
                <w:color w:val="000000"/>
              </w:rPr>
              <w:t> </w:t>
            </w:r>
          </w:p>
        </w:tc>
        <w:tc>
          <w:tcPr>
            <w:tcW w:w="449"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 Less than 1.0%</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(1)Beneficial ownership is a technical term broadly defined by the SEC to mean more than ownership in the usual sense. In general, beneficial ownership includes any shares a director or executive officer can vote or transfer, stock options that are exercisable or would become exercisable within 60 days, and other shares a director or executive officer would have the right to acquire within 60 days. The number of our shares beneficially owned by each of the named executive officers and by all directors and executive officers as a group also includes shares represented as held under the individual’s account under the SPX Retirement Savings and Stock Ownership Plan (“401(k) Plan”). The stockholders named in this table have sole voting and investment power for all shares shown as beneficially owned by them. Director RSUs that were electively deferred until six months following separation from service are not included as beneficially owned.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9140"/>
                <wp:effectExtent l="0" t="0" r="0" b="0"/>
                <wp:wrapNone/>
                <wp:docPr id="177"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9" descr=""/>
                                                <pic:cNvPicPr>
                                                  <a:picLocks noChangeAspect="1" noChangeArrowheads="1"/>
                                                </pic:cNvPicPr>
                                              </pic:nvPicPr>
                                              <pic:blipFill>
                                                <a:blip r:embed="rId151"/>
                                                <a:stretch>
                                                  <a:fillRect/>
                                                </a:stretch>
                                              </pic:blipFill>
                                              <pic:spPr bwMode="auto">
                                                <a:xfrm>
                                                  <a:off x="0" y="0"/>
                                                  <a:ext cx="447675" cy="161925"/>
                                                </a:xfrm>
                                                <a:prstGeom prst="rect">
                                                  <a:avLst/>
                                                </a:prstGeom>
                                              </pic:spPr>
                                            </pic:pic>
                                          </a:graphicData>
                                        </a:graphic>
                                      </wp:inline>
                                    </w:drawing>
                                  </w:r>
                                  <w:bookmarkStart w:id="156" w:name="i-129"/>
                                  <w:bookmarkEnd w:id="156"/>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9" descr=""/>
                                          <pic:cNvPicPr>
                                            <a:picLocks noChangeAspect="1" noChangeArrowheads="1"/>
                                          </pic:cNvPicPr>
                                        </pic:nvPicPr>
                                        <pic:blipFill>
                                          <a:blip r:embed="rId152"/>
                                          <a:stretch>
                                            <a:fillRect/>
                                          </a:stretch>
                                        </pic:blipFill>
                                        <pic:spPr bwMode="auto">
                                          <a:xfrm>
                                            <a:off x="0" y="0"/>
                                            <a:ext cx="447675" cy="161925"/>
                                          </a:xfrm>
                                          <a:prstGeom prst="rect">
                                            <a:avLst/>
                                          </a:prstGeom>
                                        </pic:spPr>
                                      </pic:pic>
                                    </a:graphicData>
                                  </a:graphic>
                                </wp:inline>
                              </w:drawing>
                            </w:r>
                            <w:bookmarkStart w:id="157" w:name="i-129"/>
                            <w:bookmarkEnd w:id="157"/>
                          </w:p>
                        </w:tc>
                      </w:tr>
                    </w:tbl>
                    <w:p>
                      <w:pPr>
                        <w:pStyle w:val="TextBody"/>
                        <w:bidi w:val="0"/>
                        <w:spacing w:before="0" w:after="283"/>
                        <w:jc w:val="left"/>
                        <w:rPr/>
                      </w:pPr>
                      <w:r>
                        <w:rPr/>
                      </w:r>
                    </w:p>
                  </w:txbxContent>
                </v:textbox>
                <w10:wrap type="none"/>
              </v:rect>
            </w:pict>
          </mc:Fallback>
        </mc:AlternateContent>
      </w:r>
    </w:p>
    <w:tbl>
      <w:tblPr>
        <w:tblW w:w="2894" w:type="dxa"/>
        <w:jc w:val="right"/>
        <w:tblInd w:w="0" w:type="dxa"/>
        <w:tblLayout w:type="fixed"/>
        <w:tblCellMar>
          <w:top w:w="28" w:type="dxa"/>
          <w:left w:w="28" w:type="dxa"/>
          <w:bottom w:w="28" w:type="dxa"/>
          <w:right w:w="28" w:type="dxa"/>
        </w:tblCellMar>
      </w:tblPr>
      <w:tblGrid>
        <w:gridCol w:w="927"/>
        <w:gridCol w:w="813"/>
        <w:gridCol w:w="1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OWNERSHIP OF COMMON STOCK</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shares of our common stock issuable under options that are exercisable or become exercisable within 60 days of March 16, 2026 and RSUs that vest within 60 days of March 16, 2026. Such shares are included in the number of shares of common stock beneficially owned as presented in the preceding column on this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(3)Includes shares beneficially owned through the 401(k) Plan on March 16, 2026 for each of the following: Mr. Lowe, 5,074 shares; Mr. Carano,469 shares; Mr. McClenaghan, 538 shares; Mr. Swann, 4,266 shares; Mr. Data, 3,835 shares; and all directors and executive officers as a group, 14,323 shares. Non-employee directors do not participate in our 401(k) Plan.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(4)Includes vested RSUs issuable under the Director Deferral Election Program which are delivered six months following separation from Board service.</w:t>
      </w:r>
    </w:p>
    <w:p>
      <w:pPr>
        <w:pStyle w:val="TextBody"/>
        <w:bidi w:val="0"/>
        <w:spacing w:lineRule="auto" w:line="288" w:before="0" w:after="240"/>
        <w:ind w:left="0" w:right="0" w:hanging="360"/>
        <w:jc w:val="both"/>
        <w:rPr>
          <w:rFonts w:ascii="Arial;sans-serif" w:hAnsi="Arial;sans-serif"/>
          <w:b w:val="false"/>
          <w:color w:val="000000"/>
          <w:sz w:val="14"/>
        </w:rPr>
      </w:pPr>
      <w:r>
        <w:rPr>
          <w:rFonts w:ascii="Arial;sans-serif" w:hAnsi="Arial;sans-serif"/>
          <w:b w:val="false"/>
          <w:color w:val="000000"/>
          <w:sz w:val="14"/>
        </w:rPr>
        <w:t>(5)Includes total shares held by the participant.</w:t>
      </w:r>
    </w:p>
    <w:p>
      <w:pPr>
        <w:pStyle w:val="TextBody"/>
        <w:bidi w:val="0"/>
        <w:spacing w:lineRule="auto" w:line="288" w:before="0" w:after="60"/>
        <w:jc w:val="left"/>
        <w:rPr>
          <w:rFonts w:ascii="Arial;sans-serif" w:hAnsi="Arial;sans-serif"/>
          <w:b/>
          <w:color w:val="000000"/>
          <w:sz w:val="22"/>
        </w:rPr>
      </w:pPr>
      <w:bookmarkStart w:id="158" w:name="ieed307cd4eb8436aa8069ccd8716b0cc_5992"/>
      <w:bookmarkEnd w:id="158"/>
      <w:r>
        <w:rPr>
          <w:rFonts w:ascii="Arial;sans-serif" w:hAnsi="Arial;sans-serif"/>
          <w:b/>
          <w:color w:val="000000"/>
          <w:sz w:val="22"/>
        </w:rPr>
        <w:t>PRINCIPAL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following table includes certain information about each person or entity known to us to be the beneficial owner of more than five percent of the issued and outstanding shares of our common stock. </w:t>
      </w:r>
    </w:p>
    <w:tbl>
      <w:tblPr>
        <w:tblW w:w="6660" w:type="dxa"/>
        <w:jc w:val="left"/>
        <w:tblInd w:w="0" w:type="dxa"/>
        <w:tblLayout w:type="fixed"/>
        <w:tblCellMar>
          <w:top w:w="28" w:type="dxa"/>
          <w:left w:w="28" w:type="dxa"/>
          <w:bottom w:w="28" w:type="dxa"/>
          <w:right w:w="28" w:type="dxa"/>
        </w:tblCellMar>
      </w:tblPr>
      <w:tblGrid>
        <w:gridCol w:w="696"/>
        <w:gridCol w:w="610"/>
        <w:gridCol w:w="614"/>
        <w:gridCol w:w="1274"/>
        <w:gridCol w:w="1274"/>
        <w:gridCol w:w="1277"/>
        <w:gridCol w:w="268"/>
        <w:gridCol w:w="268"/>
        <w:gridCol w:w="379"/>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 and Address</w:t>
            </w:r>
          </w:p>
        </w:tc>
        <w:tc>
          <w:tcPr>
            <w:tcW w:w="382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Shares of Common Stock Beneficially Owned</w:t>
            </w:r>
            <w:r>
              <w:rPr>
                <w:rFonts w:ascii="Arial;sans-serif" w:hAnsi="Arial;sans-serif"/>
                <w:b/>
                <w:color w:val="FFFFFF"/>
                <w:sz w:val="10"/>
              </w:rPr>
              <w:t>(1)</w:t>
            </w:r>
          </w:p>
        </w:tc>
        <w:tc>
          <w:tcPr>
            <w:tcW w:w="91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Percent </w:t>
            </w:r>
          </w:p>
          <w:p>
            <w:pPr>
              <w:pStyle w:val="TableContents"/>
              <w:bidi w:val="0"/>
              <w:spacing w:lineRule="auto" w:line="288" w:before="0" w:after="0"/>
              <w:jc w:val="center"/>
              <w:rPr/>
            </w:pPr>
            <w:r>
              <w:rPr>
                <w:rFonts w:ascii="Arial;sans-serif" w:hAnsi="Arial;sans-serif"/>
                <w:b/>
                <w:color w:val="FFFFFF"/>
                <w:sz w:val="16"/>
              </w:rPr>
              <w:t>of Class</w:t>
            </w:r>
            <w:r>
              <w:rPr>
                <w:rFonts w:ascii="Arial;sans-serif" w:hAnsi="Arial;sans-serif"/>
                <w:b/>
                <w:color w:val="FFFFFF"/>
                <w:sz w:val="10"/>
              </w:rPr>
              <w:t>(1)</w:t>
            </w:r>
          </w:p>
        </w:tc>
      </w:tr>
      <w:tr>
        <w:trPr/>
        <w:tc>
          <w:tcPr>
            <w:tcW w:w="192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BlackRock, Inc.</w:t>
            </w:r>
            <w:r>
              <w:rPr>
                <w:rFonts w:ascii="Arial;sans-serif" w:hAnsi="Arial;sans-serif"/>
                <w:b w:val="false"/>
                <w:color w:val="000000"/>
                <w:sz w:val="10"/>
              </w:rPr>
              <w:t>(2)</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Hudson Yards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New York, NY 10001</w:t>
            </w:r>
          </w:p>
        </w:tc>
        <w:tc>
          <w:tcPr>
            <w:tcW w:w="382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5,747,408</w:t>
            </w:r>
          </w:p>
        </w:tc>
        <w:tc>
          <w:tcPr>
            <w:tcW w:w="915"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11.45%</w:t>
            </w:r>
          </w:p>
        </w:tc>
      </w:tr>
      <w:tr>
        <w:trPr/>
        <w:tc>
          <w:tcPr>
            <w:tcW w:w="192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The Vanguard Group</w:t>
            </w:r>
            <w:r>
              <w:rPr>
                <w:rFonts w:ascii="Arial;sans-serif" w:hAnsi="Arial;sans-serif"/>
                <w:b w:val="false"/>
                <w:color w:val="000000"/>
                <w:sz w:val="10"/>
              </w:rPr>
              <w:t>(3)</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100 Vanguard Boulevard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Malvern, PA 19355</w:t>
            </w:r>
          </w:p>
        </w:tc>
        <w:tc>
          <w:tcPr>
            <w:tcW w:w="3825" w:type="dxa"/>
            <w:gridSpan w:val="3"/>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5,000,918</w:t>
            </w:r>
          </w:p>
        </w:tc>
        <w:tc>
          <w:tcPr>
            <w:tcW w:w="915" w:type="dxa"/>
            <w:gridSpan w:val="3"/>
            <w:tcBorders>
              <w:top w:val="single" w:sz="8" w:space="0" w:color="6D6D6D"/>
              <w:left w:val="single" w:sz="8" w:space="0" w:color="6D6D6D"/>
              <w:bottom w:val="single" w:sz="8" w:space="0" w:color="6D6D6D"/>
              <w:right w:val="single" w:sz="8" w:space="0" w:color="6D6D6D"/>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9.97%</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(1)Ownership amounts are based on the assumption that each of the principal stockholders continued to beneficially own, as of March 16, 2026, the amounts reflected in its most recent beneficial ownership report filed with the SEC. Percentage ownership is based on the number of shares of our common stock outstanding on March 16, 2026.</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(2)Based on information provided in a Schedule 13G/A filed with the SEC on January 21, 2026 by BlackRock, Inc., and certain affiliated entities (“BlackRock”) reporting beneficial ownership as of December 31, 2025. BlackRock reports having sole voting power with respect to 5,624,343, of the shares and sole dispositive power with respect to all the shares. The Schedule 13G/A indicates that Blackrock Fund Advisors beneficially owns five percent or more of our outstanding stock.</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(3)Based on information provided in the Schedule 13G/A filed with the SEC on February 13, 2024, by The Vanguard Group (“Vanguard”) reporting beneficial ownership as of December 29, 2023. Vanguard reports having shared voting power with respect to 72,424 of the shares; sole dispositive power with respect to 4,880,092 of the shares; and shared dispositive power with respect to 120,826 of the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32"/>
        </w:rPr>
      </w:pPr>
      <w:bookmarkStart w:id="159" w:name="ieed307cd4eb8436aa8069ccd8716b0cc_5990"/>
      <w:bookmarkEnd w:id="159"/>
      <w:r>
        <w:rPr>
          <w:rFonts w:ascii="Arial;sans-serif" w:hAnsi="Arial;sans-serif"/>
          <w:b w:val="false"/>
          <w:color w:val="000000"/>
          <w:sz w:val="32"/>
        </w:rPr>
        <w:t>Section 16(a) Reports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16(a) of the Securities Exchange Act of 1934, as amended, requires our directors, executive officers, and beneficial owners of more than 10% of our outstanding common stock to file with the SEC reports of ownership and changes in ownership. Based solely upon a review of Section 16(a) reports (including amendments) filed with the SEC, no director, executive officer, or beneficial owner of more than 10% of our outstanding common stock failed to file on a timely basis during 2025 any reports required by Section 16(a).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39140"/>
                <wp:effectExtent l="0" t="0" r="0" b="0"/>
                <wp:wrapNone/>
                <wp:docPr id="180"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0" descr=""/>
                                                <pic:cNvPicPr>
                                                  <a:picLocks noChangeAspect="1" noChangeArrowheads="1"/>
                                                </pic:cNvPicPr>
                                              </pic:nvPicPr>
                                              <pic:blipFill>
                                                <a:blip r:embed="rId153"/>
                                                <a:stretch>
                                                  <a:fillRect/>
                                                </a:stretch>
                                              </pic:blipFill>
                                              <pic:spPr bwMode="auto">
                                                <a:xfrm>
                                                  <a:off x="0" y="0"/>
                                                  <a:ext cx="447675" cy="161925"/>
                                                </a:xfrm>
                                                <a:prstGeom prst="rect">
                                                  <a:avLst/>
                                                </a:prstGeom>
                                              </pic:spPr>
                                            </pic:pic>
                                          </a:graphicData>
                                        </a:graphic>
                                      </wp:inline>
                                    </w:drawing>
                                  </w:r>
                                  <w:bookmarkStart w:id="160" w:name="i-130"/>
                                  <w:bookmarkEnd w:id="160"/>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0" descr=""/>
                                          <pic:cNvPicPr>
                                            <a:picLocks noChangeAspect="1" noChangeArrowheads="1"/>
                                          </pic:cNvPicPr>
                                        </pic:nvPicPr>
                                        <pic:blipFill>
                                          <a:blip r:embed="rId154"/>
                                          <a:stretch>
                                            <a:fillRect/>
                                          </a:stretch>
                                        </pic:blipFill>
                                        <pic:spPr bwMode="auto">
                                          <a:xfrm>
                                            <a:off x="0" y="0"/>
                                            <a:ext cx="447675" cy="161925"/>
                                          </a:xfrm>
                                          <a:prstGeom prst="rect">
                                            <a:avLst/>
                                          </a:prstGeom>
                                        </pic:spPr>
                                      </pic:pic>
                                    </a:graphicData>
                                  </a:graphic>
                                </wp:inline>
                              </w:drawing>
                            </w:r>
                            <w:bookmarkStart w:id="161" w:name="i-130"/>
                            <w:bookmarkEnd w:id="16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EXECUTIVE COMPENSATION</w:t>
      </w:r>
    </w:p>
    <w:p>
      <w:pPr>
        <w:pStyle w:val="TextBody"/>
        <w:bidi w:val="0"/>
        <w:spacing w:lineRule="auto" w:line="288" w:before="0" w:after="0"/>
        <w:jc w:val="left"/>
        <w:rPr>
          <w:rFonts w:ascii="Arial;sans-serif" w:hAnsi="Arial;sans-serif"/>
          <w:b w:val="false"/>
          <w:color w:val="000000"/>
          <w:sz w:val="32"/>
        </w:rPr>
      </w:pPr>
      <w:bookmarkStart w:id="162" w:name="i47c01f2ecc4e4a55bb446d8ea7992a12_63405"/>
      <w:bookmarkEnd w:id="162"/>
      <w:r>
        <w:rPr>
          <w:rFonts w:ascii="Arial;sans-serif" w:hAnsi="Arial;sans-serif"/>
          <w:b w:val="false"/>
          <w:color w:val="000000"/>
          <w:sz w:val="32"/>
        </w:rPr>
        <w:t>Compensation Discussion and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INTRODUCTION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Compensation Discussion and Analysis (“CD&amp;A”) provides information about our executive compensation program and the factors considered in making compensation decisions for the current and former executive officers listed in our Summary Compensation Table set forth below (the “named executive officers” or “NEOs”).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for 2025 and their respective titles are listed in the table below:</w:t>
      </w:r>
    </w:p>
    <w:tbl>
      <w:tblPr>
        <w:tblW w:w="6855" w:type="dxa"/>
        <w:jc w:val="left"/>
        <w:tblInd w:w="0" w:type="dxa"/>
        <w:tblLayout w:type="fixed"/>
        <w:tblCellMar>
          <w:top w:w="28" w:type="dxa"/>
          <w:left w:w="28" w:type="dxa"/>
          <w:bottom w:w="28" w:type="dxa"/>
          <w:right w:w="28" w:type="dxa"/>
        </w:tblCellMar>
      </w:tblPr>
      <w:tblGrid>
        <w:gridCol w:w="750"/>
        <w:gridCol w:w="659"/>
        <w:gridCol w:w="661"/>
        <w:gridCol w:w="1396"/>
        <w:gridCol w:w="1396"/>
        <w:gridCol w:w="1993"/>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47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Title</w:t>
            </w:r>
          </w:p>
        </w:tc>
      </w:tr>
      <w:tr>
        <w:trPr/>
        <w:tc>
          <w:tcPr>
            <w:tcW w:w="2070"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4785" w:type="dxa"/>
            <w:gridSpan w:val="3"/>
            <w:tcBorders>
              <w:top w:val="single" w:sz="4" w:space="0" w:color="000000"/>
              <w:left w:val="single" w:sz="4" w:space="0" w:color="000000"/>
              <w:right w:val="single" w:sz="4" w:space="0" w:color="000000"/>
            </w:tcBorders>
            <w:shd w:fill="E5E5E5"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4785"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 Vice President and Treasurer</w:t>
            </w:r>
          </w:p>
        </w:tc>
      </w:tr>
      <w:tr>
        <w:trPr/>
        <w:tc>
          <w:tcPr>
            <w:tcW w:w="2070" w:type="dxa"/>
            <w:gridSpan w:val="3"/>
            <w:tcBorders>
              <w:top w:val="single" w:sz="4" w:space="0" w:color="000000"/>
              <w:left w:val="single" w:sz="4" w:space="0" w:color="000000"/>
            </w:tcBorders>
            <w:shd w:fill="E5E5E5"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4785" w:type="dxa"/>
            <w:gridSpan w:val="3"/>
            <w:tcBorders>
              <w:top w:val="single" w:sz="4" w:space="0" w:color="000000"/>
              <w:left w:val="single" w:sz="4" w:space="0" w:color="000000"/>
              <w:right w:val="single" w:sz="4" w:space="0" w:color="000000"/>
            </w:tcBorders>
            <w:shd w:fill="E5E5E5"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President, HVAC</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4785"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President, Detection &amp; Measurement</w:t>
            </w:r>
          </w:p>
        </w:tc>
      </w:tr>
      <w:tr>
        <w:trPr/>
        <w:tc>
          <w:tcPr>
            <w:tcW w:w="2070" w:type="dxa"/>
            <w:gridSpan w:val="3"/>
            <w:tcBorders>
              <w:top w:val="single" w:sz="4" w:space="0" w:color="000000"/>
              <w:left w:val="single" w:sz="4" w:space="0" w:color="000000"/>
              <w:bottom w:val="single" w:sz="4" w:space="0" w:color="000000"/>
            </w:tcBorders>
            <w:shd w:fill="E5E5E5"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4785" w:type="dxa"/>
            <w:gridSpan w:val="3"/>
            <w:tcBorders>
              <w:top w:val="single" w:sz="4" w:space="0" w:color="000000"/>
              <w:left w:val="single" w:sz="4" w:space="0" w:color="000000"/>
              <w:bottom w:val="single" w:sz="4" w:space="0" w:color="000000"/>
              <w:right w:val="single" w:sz="4" w:space="0" w:color="000000"/>
            </w:tcBorders>
            <w:shd w:fill="E5E5E5" w:val="clear"/>
            <w:tcMar>
              <w:top w:w="30" w:type="dxa"/>
              <w:left w:w="20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Former President, Global Operations and Data Center Solutions</w:t>
            </w:r>
          </w:p>
        </w:tc>
      </w:tr>
    </w:tbl>
    <w:p>
      <w:pPr>
        <w:pStyle w:val="TextBody"/>
        <w:bidi w:val="0"/>
        <w:spacing w:lineRule="auto" w:line="288" w:before="0" w:after="60"/>
        <w:ind w:left="0" w:right="0" w:hanging="90"/>
        <w:jc w:val="left"/>
        <w:rPr>
          <w:rFonts w:ascii="Arial;sans-serif" w:hAnsi="Arial;sans-serif"/>
          <w:b w:val="false"/>
          <w:color w:val="000000"/>
          <w:sz w:val="14"/>
        </w:rPr>
      </w:pPr>
      <w:r>
        <w:rPr>
          <w:rFonts w:ascii="Arial;sans-serif" w:hAnsi="Arial;sans-serif"/>
          <w:b w:val="false"/>
          <w:color w:val="000000"/>
          <w:sz w:val="14"/>
        </w:rPr>
        <w:t>*Mr. Data retired as President, Global Operations and Data Center Solutions on March 20, 2026.</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EXECUTIVE SUMMARY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SPX Technologies delivered another year of strong financial and operational performance, reflecting disciplined execution of our value creation strategy. Performance across our businesses, supported by favorable demand in key end markets and focused operational execution, drove strong earnings growth, margin expansion, and cash generation.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During the year, we benefited from continued organic growth and contributions from recent acquisitions, which further strengthened our portfolio and expanded our capabilities in attractive growth markets. Our HVAC segment delivered strong results, supported by demand in data center, healthcare, and institutional markets, and included strategic acquisitions in our heating and cooling platforms. Our Detection &amp; Measurement segment benefited from higher project volumes, including strong contributions from our acquisition of KTS, which further enhanced our CommTech platform.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also advanced several enterprise-wide priorities. Investments in capacity expansion, continuous improvement, talent development, and AI/digital capabilities were aimed at enhancing our capacity, operating efficiency and profitability, while strong cash generation supported disciplined capital deployment and maintained balance sheet flexibility.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Consistent with our compensation philosophy, executive pay outcomes are directly aligned with performance and long-term stockholder value creation. A significant majority of executive compensation is performance-based and at risk, tied directly to financial performance and relative stockholder returns. Incentive compensation outcomes for 2025 were determined based on pre-established metrics and reflect above-target achievement across our financial and strategic objectives.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Summary of Key Business Accomplishments</w:t>
      </w:r>
    </w:p>
    <w:p>
      <w:pPr>
        <w:pStyle w:val="TextBody"/>
        <w:bidi w:val="0"/>
        <w:spacing w:lineRule="auto" w:line="288" w:before="0" w:after="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continued commitment to strategic execution is reflected in our 2025 performance. Select accomplishments include:</w:t>
      </w:r>
    </w:p>
    <w:p>
      <w:pPr>
        <w:pStyle w:val="TextBody"/>
        <w:bidi w:val="0"/>
        <w:spacing w:lineRule="auto" w:line="288" w:before="0" w:after="120"/>
        <w:ind w:left="0" w:right="0" w:hanging="216"/>
        <w:jc w:val="both"/>
        <w:rPr/>
      </w:pPr>
      <w:r>
        <w:rPr>
          <w:color w:val="000000"/>
          <w:shd w:fill="FFFFFF" w:val="clear"/>
        </w:rPr>
        <w:t>•</w:t>
      </w:r>
      <w:r>
        <w:rPr>
          <w:rFonts w:ascii="Arial;sans-serif" w:hAnsi="Arial;sans-serif"/>
          <w:b w:val="false"/>
          <w:color w:val="000000"/>
          <w:sz w:val="18"/>
          <w:shd w:fill="FFFFFF" w:val="clear"/>
        </w:rPr>
        <w:t>Delivered three-year Total Shareholder Return (“TSR”) of 205%, achieving top-quartile performance relative to our 2025 Peer Group (as defined below).</w:t>
      </w:r>
    </w:p>
    <w:p>
      <w:pPr>
        <w:pStyle w:val="TextBody"/>
        <w:bidi w:val="0"/>
        <w:spacing w:lineRule="auto" w:line="288" w:before="0" w:after="120"/>
        <w:ind w:left="0" w:right="0" w:hanging="216"/>
        <w:jc w:val="both"/>
        <w:rPr/>
      </w:pPr>
      <w:r>
        <w:rPr>
          <w:color w:val="000000"/>
          <w:shd w:fill="FFFFFF" w:val="clear"/>
        </w:rPr>
        <w:t>•</w:t>
      </w:r>
      <w:r>
        <w:rPr>
          <w:rFonts w:ascii="Arial;sans-serif" w:hAnsi="Arial;sans-serif"/>
          <w:b w:val="false"/>
          <w:color w:val="000000"/>
          <w:sz w:val="18"/>
        </w:rPr>
        <w:t>Achieved a record-high stock price, with 37.5% year-over-year growth, and advanced into the S&amp;P MidCap 400 Index.</w:t>
      </w:r>
    </w:p>
    <w:p>
      <w:pPr>
        <w:pStyle w:val="TextBody"/>
        <w:bidi w:val="0"/>
        <w:spacing w:lineRule="auto" w:line="288" w:before="0" w:after="120"/>
        <w:ind w:left="0" w:right="0" w:hanging="216"/>
        <w:jc w:val="both"/>
        <w:rPr/>
      </w:pPr>
      <w:r>
        <w:rPr>
          <w:color w:val="000000"/>
          <w:shd w:fill="FFFFFF" w:val="clear"/>
        </w:rPr>
        <w:t>•</w:t>
      </w:r>
      <w:r>
        <w:rPr>
          <w:rFonts w:ascii="Arial;sans-serif" w:hAnsi="Arial;sans-serif"/>
          <w:b w:val="false"/>
          <w:color w:val="000000"/>
          <w:sz w:val="18"/>
          <w:shd w:fill="FFFFFF" w:val="clear"/>
        </w:rPr>
        <w:t>Grew revenue by 14.2%, with strong margin expansion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9140"/>
                <wp:effectExtent l="0" t="0" r="0" b="0"/>
                <wp:wrapNone/>
                <wp:docPr id="183"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1" descr=""/>
                                                <pic:cNvPicPr>
                                                  <a:picLocks noChangeAspect="1" noChangeArrowheads="1"/>
                                                </pic:cNvPicPr>
                                              </pic:nvPicPr>
                                              <pic:blipFill>
                                                <a:blip r:embed="rId155"/>
                                                <a:stretch>
                                                  <a:fillRect/>
                                                </a:stretch>
                                              </pic:blipFill>
                                              <pic:spPr bwMode="auto">
                                                <a:xfrm>
                                                  <a:off x="0" y="0"/>
                                                  <a:ext cx="447675" cy="161925"/>
                                                </a:xfrm>
                                                <a:prstGeom prst="rect">
                                                  <a:avLst/>
                                                </a:prstGeom>
                                              </pic:spPr>
                                            </pic:pic>
                                          </a:graphicData>
                                        </a:graphic>
                                      </wp:inline>
                                    </w:drawing>
                                  </w:r>
                                  <w:bookmarkStart w:id="163" w:name="i-131"/>
                                  <w:bookmarkEnd w:id="163"/>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1" descr=""/>
                                          <pic:cNvPicPr>
                                            <a:picLocks noChangeAspect="1" noChangeArrowheads="1"/>
                                          </pic:cNvPicPr>
                                        </pic:nvPicPr>
                                        <pic:blipFill>
                                          <a:blip r:embed="rId156"/>
                                          <a:stretch>
                                            <a:fillRect/>
                                          </a:stretch>
                                        </pic:blipFill>
                                        <pic:spPr bwMode="auto">
                                          <a:xfrm>
                                            <a:off x="0" y="0"/>
                                            <a:ext cx="447675" cy="161925"/>
                                          </a:xfrm>
                                          <a:prstGeom prst="rect">
                                            <a:avLst/>
                                          </a:prstGeom>
                                        </pic:spPr>
                                      </pic:pic>
                                    </a:graphicData>
                                  </a:graphic>
                                </wp:inline>
                              </w:drawing>
                            </w:r>
                            <w:bookmarkStart w:id="164" w:name="i-131"/>
                            <w:bookmarkEnd w:id="164"/>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ind w:left="0" w:right="0" w:hanging="216"/>
        <w:jc w:val="both"/>
        <w:rPr/>
      </w:pPr>
      <w:r>
        <w:rPr>
          <w:color w:val="000000"/>
          <w:shd w:fill="FFFFFF" w:val="clear"/>
        </w:rPr>
        <w:t>•</w:t>
      </w:r>
      <w:r>
        <w:rPr>
          <w:rFonts w:ascii="Arial;sans-serif" w:hAnsi="Arial;sans-serif"/>
          <w:b w:val="false"/>
          <w:color w:val="000000"/>
          <w:sz w:val="18"/>
          <w:shd w:fill="FFFFFF" w:val="clear"/>
        </w:rPr>
        <w:t xml:space="preserve">Expanded our Communication Technology and Heating platforms through the acquisitions of KTS and Sigma </w:t>
      </w:r>
      <w:r>
        <w:rPr>
          <w:rFonts w:ascii="Arial;sans-serif" w:hAnsi="Arial;sans-serif"/>
          <w:b w:val="false"/>
          <w:color w:val="000000"/>
          <w:sz w:val="18"/>
        </w:rPr>
        <w:t xml:space="preserve">and </w:t>
      </w:r>
      <w:r>
        <w:rPr>
          <w:rFonts w:ascii="Arial;sans-serif" w:hAnsi="Arial;sans-serif"/>
          <w:b w:val="false"/>
          <w:color w:val="000000"/>
          <w:sz w:val="18"/>
          <w:shd w:fill="FFFFFF" w:val="clear"/>
        </w:rPr>
        <w:t>Omega, respectively.</w:t>
      </w:r>
    </w:p>
    <w:p>
      <w:pPr>
        <w:pStyle w:val="TextBody"/>
        <w:bidi w:val="0"/>
        <w:spacing w:lineRule="auto" w:line="288" w:before="0" w:after="120"/>
        <w:ind w:left="0" w:right="0" w:hanging="216"/>
        <w:jc w:val="left"/>
        <w:rPr/>
      </w:pPr>
      <w:r>
        <w:rPr>
          <w:color w:val="000000"/>
          <w:shd w:fill="FFFFFF" w:val="clear"/>
        </w:rPr>
        <w:t>•</w:t>
      </w:r>
      <w:r>
        <w:rPr>
          <w:rFonts w:ascii="Arial;sans-serif" w:hAnsi="Arial;sans-serif"/>
          <w:b w:val="false"/>
          <w:color w:val="000000"/>
          <w:sz w:val="18"/>
          <w:shd w:fill="FFFFFF" w:val="clear"/>
        </w:rPr>
        <w:t>Advanced key enterprise initiatives in Continuous Improvement, AI/Digital, Talent Development, and Safety, further strengthening our operating foundation and supporting 2025 performance.</w:t>
      </w:r>
    </w:p>
    <w:p>
      <w:pPr>
        <w:pStyle w:val="TextBody"/>
        <w:bidi w:val="0"/>
        <w:spacing w:before="0" w:after="120"/>
        <w:jc w:val="left"/>
        <w:rPr/>
      </w:pPr>
      <w:r>
        <w:rPr/>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2025 Compensation Highlights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has three primary elements: base salary, annual incentive, and long-term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and other senior management team members, to focus on stockholder value creation. The combination of short and long-term incentives provides more than 50% of our executives’ target compensation, with incentives tied directly to Company performance and achievement of our strategic initiatives. Based on our performance, and consistent with the design of our program, the Committee made the following executive compensation decisions for 2025:</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Base Salary.</w:t>
      </w:r>
      <w:r>
        <w:rPr>
          <w:color w:val="000000"/>
        </w:rPr>
        <w:t xml:space="preserve"> </w:t>
      </w:r>
      <w:r>
        <w:rPr>
          <w:rFonts w:ascii="Arial;sans-serif" w:hAnsi="Arial;sans-serif"/>
          <w:b w:val="false"/>
          <w:color w:val="000000"/>
          <w:sz w:val="18"/>
        </w:rPr>
        <w:t>Annual salary increases ranged from 4.5% to 7.0% for our NEOs. These adjustments maintain alignment of our NEOs’ base salaries with the market to facilitate retention and reward for execution of responsibilities and delivery of performance. These adjustments also reflect the contributions made by our NEOs in connection with executing on key initiatives and the Company’s strategic priorities over the course of the year. For details, please see page 31.</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Annual Incentive.</w:t>
      </w:r>
      <w:r>
        <w:rPr>
          <w:color w:val="000000"/>
        </w:rPr>
        <w:t xml:space="preserve"> </w:t>
      </w:r>
      <w:r>
        <w:rPr>
          <w:rFonts w:ascii="Arial;sans-serif" w:hAnsi="Arial;sans-serif"/>
          <w:b w:val="false"/>
          <w:color w:val="000000"/>
          <w:sz w:val="18"/>
        </w:rPr>
        <w:t>Based on our corporate performance results, awards under our Executive Bonus Program were paid at 163.9% of target. This payout applied to all our NEOs, with the exception of Mr. Swann, whose payout was 190.2% of target and Mr. McClenaghan whose payout was 139.2% of target, with the payouts to these executive officers being based on both segment and corporate results. For details on each NEO’s award, please see pages 31-32.</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Long-Term Incentives.</w:t>
      </w:r>
      <w:r>
        <w:rPr>
          <w:color w:val="000000"/>
        </w:rPr>
        <w:t xml:space="preserve"> </w:t>
      </w:r>
      <w:r>
        <w:rPr>
          <w:rFonts w:ascii="Arial;sans-serif" w:hAnsi="Arial;sans-serif"/>
          <w:b w:val="false"/>
          <w:color w:val="000000"/>
          <w:sz w:val="18"/>
        </w:rPr>
        <w:t>All of our NEOs, except Mr. Data, received equity and equity-based awards in 2025. Target award amounts and the mix of awards granted are described on page 32 of this CD&amp;A. All of the NEOs received performance share awards in 2023 with payout based on relative TSR for the measurement period of January 1, 2023 through December 31, 2025. The performance for these awards achieved the 89th percentile for relative TSR resulting in a 150.0% payout. For details, please see pages 32-33.</w:t>
      </w:r>
    </w:p>
    <w:p>
      <w:pPr>
        <w:pStyle w:val="TextBody"/>
        <w:bidi w:val="0"/>
        <w:spacing w:lineRule="auto" w:line="288" w:before="360" w:after="60"/>
        <w:jc w:val="left"/>
        <w:rPr>
          <w:rFonts w:ascii="Arial;sans-serif" w:hAnsi="Arial;sans-serif"/>
          <w:b/>
          <w:color w:val="000000"/>
          <w:sz w:val="22"/>
        </w:rPr>
      </w:pPr>
      <w:r>
        <w:rPr>
          <w:rFonts w:ascii="Arial;sans-serif" w:hAnsi="Arial;sans-serif"/>
          <w:b/>
          <w:color w:val="000000"/>
          <w:sz w:val="22"/>
        </w:rPr>
        <w:t>EXECUTIVE COMPENSATION PROGRAM</w:t>
      </w:r>
    </w:p>
    <w:tbl>
      <w:tblPr>
        <w:tblW w:w="10205" w:type="dxa"/>
        <w:jc w:val="left"/>
        <w:tblInd w:w="0" w:type="dxa"/>
        <w:tblLayout w:type="fixed"/>
        <w:tblCellMar>
          <w:top w:w="28" w:type="dxa"/>
          <w:left w:w="28" w:type="dxa"/>
          <w:bottom w:w="28" w:type="dxa"/>
          <w:right w:w="28" w:type="dxa"/>
        </w:tblCellMar>
      </w:tblPr>
      <w:tblGrid>
        <w:gridCol w:w="558"/>
        <w:gridCol w:w="491"/>
        <w:gridCol w:w="492"/>
        <w:gridCol w:w="917"/>
        <w:gridCol w:w="917"/>
        <w:gridCol w:w="917"/>
        <w:gridCol w:w="917"/>
        <w:gridCol w:w="917"/>
        <w:gridCol w:w="917"/>
        <w:gridCol w:w="917"/>
        <w:gridCol w:w="917"/>
        <w:gridCol w:w="1328"/>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D4D89"/>
              <w:left w:val="single" w:sz="8" w:space="0" w:color="0D4D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op w:val="single" w:sz="8" w:space="0" w:color="0D4D89"/>
              <w:right w:val="single" w:sz="8" w:space="0" w:color="0D4D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left w:val="single" w:sz="8" w:space="0" w:color="0D4D89"/>
            </w:tcBorders>
            <w:tcMar>
              <w:top w:w="0" w:type="dxa"/>
              <w:bottom w:w="0" w:type="dxa"/>
              <w:right w:w="0" w:type="dxa"/>
            </w:tcMar>
            <w:vAlign w:val="center"/>
          </w:tcPr>
          <w:p>
            <w:pPr>
              <w:pStyle w:val="TableContents"/>
              <w:bidi w:val="0"/>
              <w:spacing w:before="0" w:after="0"/>
              <w:jc w:val="center"/>
              <w:rPr/>
            </w:pPr>
            <w:r>
              <w:rPr/>
              <w:drawing>
                <wp:inline distT="0" distB="0" distL="0" distR="0">
                  <wp:extent cx="914400" cy="904875"/>
                  <wp:effectExtent l="0" t="0" r="0" b="0"/>
                  <wp:docPr id="18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2" descr=""/>
                          <pic:cNvPicPr>
                            <a:picLocks noChangeAspect="1" noChangeArrowheads="1"/>
                          </pic:cNvPicPr>
                        </pic:nvPicPr>
                        <pic:blipFill>
                          <a:blip r:embed="rId157"/>
                          <a:stretch>
                            <a:fillRect/>
                          </a:stretch>
                        </pic:blipFill>
                        <pic:spPr bwMode="auto">
                          <a:xfrm>
                            <a:off x="0" y="0"/>
                            <a:ext cx="914400" cy="904875"/>
                          </a:xfrm>
                          <a:prstGeom prst="rect">
                            <a:avLst/>
                          </a:prstGeom>
                        </pic:spPr>
                      </pic:pic>
                    </a:graphicData>
                  </a:graphic>
                </wp:inline>
              </w:drawing>
            </w:r>
            <w:bookmarkStart w:id="165" w:name="i-132"/>
            <w:bookmarkEnd w:id="165"/>
          </w:p>
        </w:tc>
        <w:tc>
          <w:tcPr>
            <w:tcW w:w="8664" w:type="dxa"/>
            <w:gridSpan w:val="9"/>
            <w:tcBorders>
              <w:right w:val="single" w:sz="8" w:space="0" w:color="0D4D89"/>
            </w:tcBorders>
            <w:tcMar>
              <w:top w:w="0" w:type="dxa"/>
              <w:left w:w="0" w:type="dxa"/>
              <w:bottom w:w="0" w:type="dxa"/>
            </w:tcMar>
            <w:vAlign w:val="center"/>
          </w:tcPr>
          <w:p>
            <w:pPr>
              <w:pStyle w:val="TableContents"/>
              <w:bidi w:val="0"/>
              <w:spacing w:lineRule="auto" w:line="240" w:before="0" w:after="0"/>
              <w:jc w:val="both"/>
              <w:rPr>
                <w:rFonts w:ascii="Arial;sans-serif" w:hAnsi="Arial;sans-serif"/>
                <w:b w:val="false"/>
                <w:i/>
                <w:color w:val="000000"/>
                <w:sz w:val="20"/>
              </w:rPr>
            </w:pPr>
            <w:r>
              <w:rPr>
                <w:rFonts w:ascii="Arial;sans-serif" w:hAnsi="Arial;sans-serif"/>
                <w:b w:val="false"/>
                <w:i/>
                <w:color w:val="000000"/>
                <w:sz w:val="20"/>
              </w:rPr>
              <w:t>Reflecting the Voice of Our Stockholders</w:t>
            </w:r>
          </w:p>
          <w:p>
            <w:pPr>
              <w:pStyle w:val="TableContents"/>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We carefully consider the results of our stockholder Say-on-Pay vote from the previous year. At our 2025 Annual Meeting, approximately 95% of votes cast approved our executive compensation, while our Say-On-Pay voting results have averaged more than 93% approval since 2016. We continue to actively seek and highly value the perspectives of our investors. During the year, we reached out to stockholders owning approximately 75% of our common stock. We have taken and will continue to take stockholder feedback into consideration as we evolve our compensation program. Most importantly, we are committed to ensuring that our ongoing program is designed in the best interests of both our stockholders and executives.</w:t>
            </w:r>
          </w:p>
        </w:tc>
      </w:tr>
      <w:tr>
        <w:trPr/>
        <w:tc>
          <w:tcPr>
            <w:tcW w:w="1541" w:type="dxa"/>
            <w:gridSpan w:val="3"/>
            <w:tcBorders>
              <w:left w:val="single" w:sz="8" w:space="0" w:color="0D4D89"/>
              <w:bottom w:val="single" w:sz="8" w:space="0" w:color="0D4D89"/>
            </w:tcBorders>
            <w:tcMar>
              <w:top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bottom w:val="single" w:sz="8" w:space="0" w:color="0D4D89"/>
              <w:right w:val="single" w:sz="8" w:space="0" w:color="0D4D8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9140"/>
                <wp:effectExtent l="0" t="0" r="0" b="0"/>
                <wp:wrapNone/>
                <wp:docPr id="187"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3" descr=""/>
                                                <pic:cNvPicPr>
                                                  <a:picLocks noChangeAspect="1" noChangeArrowheads="1"/>
                                                </pic:cNvPicPr>
                                              </pic:nvPicPr>
                                              <pic:blipFill>
                                                <a:blip r:embed="rId158"/>
                                                <a:stretch>
                                                  <a:fillRect/>
                                                </a:stretch>
                                              </pic:blipFill>
                                              <pic:spPr bwMode="auto">
                                                <a:xfrm>
                                                  <a:off x="0" y="0"/>
                                                  <a:ext cx="447675" cy="161925"/>
                                                </a:xfrm>
                                                <a:prstGeom prst="rect">
                                                  <a:avLst/>
                                                </a:prstGeom>
                                              </pic:spPr>
                                            </pic:pic>
                                          </a:graphicData>
                                        </a:graphic>
                                      </wp:inline>
                                    </w:drawing>
                                  </w:r>
                                  <w:bookmarkStart w:id="166" w:name="i-133"/>
                                  <w:bookmarkEnd w:id="16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3" descr=""/>
                                          <pic:cNvPicPr>
                                            <a:picLocks noChangeAspect="1" noChangeArrowheads="1"/>
                                          </pic:cNvPicPr>
                                        </pic:nvPicPr>
                                        <pic:blipFill>
                                          <a:blip r:embed="rId159"/>
                                          <a:stretch>
                                            <a:fillRect/>
                                          </a:stretch>
                                        </pic:blipFill>
                                        <pic:spPr bwMode="auto">
                                          <a:xfrm>
                                            <a:off x="0" y="0"/>
                                            <a:ext cx="447675" cy="161925"/>
                                          </a:xfrm>
                                          <a:prstGeom prst="rect">
                                            <a:avLst/>
                                          </a:prstGeom>
                                        </pic:spPr>
                                      </pic:pic>
                                    </a:graphicData>
                                  </a:graphic>
                                </wp:inline>
                              </w:drawing>
                            </w:r>
                            <w:bookmarkStart w:id="167" w:name="i-133"/>
                            <w:bookmarkEnd w:id="16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991"/>
        <w:gridCol w:w="871"/>
        <w:gridCol w:w="871"/>
        <w:gridCol w:w="871"/>
        <w:gridCol w:w="871"/>
        <w:gridCol w:w="885"/>
        <w:gridCol w:w="109"/>
        <w:gridCol w:w="109"/>
        <w:gridCol w:w="109"/>
        <w:gridCol w:w="1320"/>
        <w:gridCol w:w="1320"/>
        <w:gridCol w:w="1878"/>
      </w:tblGrid>
      <w:tr>
        <w:trPr/>
        <w:tc>
          <w:tcPr>
            <w:tcW w:w="9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5360" w:type="dxa"/>
            <w:gridSpan w:val="6"/>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4C97"/>
                <w:sz w:val="20"/>
              </w:rPr>
            </w:pPr>
            <w:r>
              <w:rPr>
                <w:rFonts w:ascii="Arial;sans-serif" w:hAnsi="Arial;sans-serif"/>
                <w:b/>
                <w:color w:val="004C97"/>
                <w:sz w:val="20"/>
              </w:rPr>
              <w:t>Summary of Compensation Program</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Sets total compensation that is in line with the market, employee experience and scope of responsibilities, facilitating attraction, retention, and reward for execution of responsibilities and delivery of performance;</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Emphasizes variable compensation programs: greater than 80% of CEO and greater than 65% of other NEOs pay at risk;</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Provides that a majority of long-term incentives to NEOs are performance based;</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Establishes rigorous performance targets across key financial categories, including revenue, operating income, and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0"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3"/>
            <w:tcBorders/>
            <w:tcMar>
              <w:top w:w="0" w:type="dxa"/>
              <w:left w:w="0" w:type="dxa"/>
              <w:bottom w:w="0" w:type="dxa"/>
              <w:right w:w="0" w:type="dxa"/>
            </w:tcMar>
            <w:vAlign w:val="center"/>
          </w:tcPr>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Grants equity awards with double-trigger termination payments upon a change in control;</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Aligns compensation to performance against financial target delivery and progression on strategic initiatives, including Continuous Improvement, Digital/AI, and Talent Development;</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Includes a relative TSR component against our industry group index for long-term incentives to align with stockholder value;</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Since 2003, frozen participation in our defined benefit pension and postretirement plans, with no NEO participants;</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Prohibits NEO hedging or pledging of our common stock.</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Our Compensation Principles</w:t>
      </w:r>
    </w:p>
    <w:p>
      <w:pPr>
        <w:pStyle w:val="TextBody"/>
        <w:bidi w:val="0"/>
        <w:spacing w:lineRule="auto" w:line="240" w:before="0" w:after="60"/>
        <w:jc w:val="left"/>
        <w:rPr>
          <w:rFonts w:ascii="Arial;sans-serif" w:hAnsi="Arial;sans-serif"/>
          <w:b w:val="false"/>
          <w:color w:val="000000"/>
          <w:sz w:val="20"/>
        </w:rPr>
      </w:pPr>
      <w:r>
        <w:rPr>
          <w:rFonts w:ascii="Arial;sans-serif" w:hAnsi="Arial;sans-serif"/>
          <w:b w:val="false"/>
          <w:color w:val="000000"/>
          <w:sz w:val="20"/>
        </w:rPr>
        <w:t>Our executive compensation program is centered around the following principles: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65"/>
        <w:gridCol w:w="579"/>
        <w:gridCol w:w="581"/>
        <w:gridCol w:w="109"/>
        <w:gridCol w:w="109"/>
        <w:gridCol w:w="109"/>
        <w:gridCol w:w="109"/>
        <w:gridCol w:w="109"/>
        <w:gridCol w:w="109"/>
        <w:gridCol w:w="2386"/>
        <w:gridCol w:w="2258"/>
        <w:gridCol w:w="2264"/>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Alignment with Stockholders’ Interests</w:t>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Executive officers’ interests should be directly aligned with those of stockholders through a compensation program that emphasizes an appropriate balance of both short and long-term financial performance and is directly affected by our stock price. Requiring executive officers to hold a meaningful amount of equity supports alignment to stockholder interests.</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FFFFFF"/>
                <w:sz w:val="16"/>
              </w:rPr>
            </w:pPr>
            <w:r>
              <w:rPr>
                <w:rFonts w:ascii="Arial;sans-serif" w:hAnsi="Arial;sans-serif"/>
                <w:b/>
                <w:color w:val="FFFFFF"/>
                <w:sz w:val="16"/>
              </w:rPr>
              <w:t>Link to Business Priorities and Performance</w:t>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significant portion of total compensation should be variable and subject to the attainment of certain specific and measurable performance goals and objectives. In addition to financial indicators, variable compensation should emphasize the link between rewards and the execution of strategy.</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color w:val="FFFFFF"/>
                <w:sz w:val="16"/>
              </w:rPr>
            </w:pPr>
            <w:r>
              <w:rPr>
                <w:rFonts w:ascii="Arial;sans-serif" w:hAnsi="Arial;sans-serif"/>
                <w:b/>
                <w:color w:val="FFFFFF"/>
                <w:sz w:val="16"/>
              </w:rPr>
              <w:t>Competitiveness</w:t>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Target total compensation should be competitive with that being offered to individuals holding comparable positions, with comparable experience, at other public companies with which we compete for leadership and market talent.</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0" w:space="0" w:color="FFFFFF"/>
            </w:tcBorders>
            <w:shd w:fill="004C9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0"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004C97" w:val="clear"/>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FFFFFF"/>
                <w:sz w:val="16"/>
              </w:rPr>
            </w:pPr>
            <w:r>
              <w:rPr>
                <w:rFonts w:ascii="Arial;sans-serif" w:hAnsi="Arial;sans-serif"/>
                <w:b/>
                <w:color w:val="FFFFFF"/>
                <w:sz w:val="16"/>
              </w:rPr>
              <w:t>Governance</w:t>
            </w:r>
          </w:p>
        </w:tc>
        <w:tc>
          <w:tcPr>
            <w:tcW w:w="327" w:type="dxa"/>
            <w:gridSpan w:val="3"/>
            <w:tcBorders/>
            <w:shd w:fill="004C9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Maintaining best-practice executive compensation governance standards is critical to the decision-making process and the ability to manage risk. Doing so is in the best interests of our stockholders and executives.</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Components of Total Direct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2025, we continued to focus on ensuring alignment of pay practices with stockholder interests and driving a pay-for-performance culture.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Design and characteristics of the SPX compensation program include:</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u w:val="single"/>
        </w:rPr>
        <w:t>Base Salary.</w:t>
      </w:r>
      <w:r>
        <w:rPr>
          <w:color w:val="000000"/>
        </w:rPr>
        <w:t xml:space="preserve"> </w:t>
      </w:r>
      <w:r>
        <w:rPr>
          <w:rFonts w:ascii="Arial;sans-serif" w:hAnsi="Arial;sans-serif"/>
          <w:b w:val="false"/>
          <w:color w:val="000000"/>
          <w:sz w:val="18"/>
        </w:rPr>
        <w:t>Annual salary for our NEOs is targeted at the market median of peer companies and is in line with responsibilities, performance, contributions, and overall experience.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Annual Incentive.</w:t>
      </w:r>
      <w:r>
        <w:rPr>
          <w:color w:val="000000"/>
        </w:rPr>
        <w:t xml:space="preserve"> </w:t>
      </w:r>
      <w:r>
        <w:rPr>
          <w:rFonts w:ascii="Arial;sans-serif" w:hAnsi="Arial;sans-serif"/>
          <w:b w:val="false"/>
          <w:color w:val="000000"/>
          <w:sz w:val="18"/>
        </w:rPr>
        <w:t>Annual Incentive levels (percents) are targeted at the market median of peer companies. Performance metrics focus on delivering key annual objectives with financial targets directly tied to the achievement of goals related to adjusted revenue</w:t>
      </w:r>
      <w:r>
        <w:rPr>
          <w:rFonts w:ascii="Arial;sans-serif" w:hAnsi="Arial;sans-serif"/>
          <w:b w:val="false"/>
          <w:color w:val="000000"/>
          <w:sz w:val="12"/>
        </w:rPr>
        <w:t>*</w:t>
      </w:r>
      <w:r>
        <w:rPr>
          <w:rFonts w:ascii="Arial;sans-serif" w:hAnsi="Arial;sans-serif"/>
          <w:b w:val="false"/>
          <w:color w:val="000000"/>
          <w:sz w:val="18"/>
        </w:rPr>
        <w:t>, adjusted EBITDA</w:t>
      </w:r>
      <w:r>
        <w:rPr>
          <w:rFonts w:ascii="Arial;sans-serif" w:hAnsi="Arial;sans-serif"/>
          <w:b w:val="false"/>
          <w:color w:val="000000"/>
          <w:sz w:val="12"/>
        </w:rPr>
        <w:t>*</w:t>
      </w:r>
      <w:r>
        <w:rPr>
          <w:rFonts w:ascii="Arial;sans-serif" w:hAnsi="Arial;sans-serif"/>
          <w:b w:val="false"/>
          <w:color w:val="000000"/>
          <w:sz w:val="18"/>
        </w:rPr>
        <w:t>, and adjusted free cash flow</w:t>
      </w:r>
      <w:r>
        <w:rPr>
          <w:rFonts w:ascii="Arial;sans-serif" w:hAnsi="Arial;sans-serif"/>
          <w:b w:val="false"/>
          <w:color w:val="000000"/>
          <w:sz w:val="12"/>
        </w:rPr>
        <w:t>*</w:t>
      </w:r>
      <w:r>
        <w:rPr>
          <w:rFonts w:ascii="Arial;sans-serif" w:hAnsi="Arial;sans-serif"/>
          <w:b w:val="false"/>
          <w:color w:val="000000"/>
          <w:sz w:val="18"/>
        </w:rPr>
        <w:t>. Performance modifiers may be further applied for individual performance, including progress related to our strategic initiatives.</w:t>
      </w:r>
    </w:p>
    <w:p>
      <w:pPr>
        <w:pStyle w:val="TextBody"/>
        <w:bidi w:val="0"/>
        <w:spacing w:lineRule="auto" w:line="288" w:before="0" w:after="0"/>
        <w:ind w:left="0" w:right="0" w:hanging="90"/>
        <w:jc w:val="left"/>
        <w:rPr/>
      </w:pPr>
      <w:r>
        <w:rPr>
          <w:rFonts w:ascii="Arial;sans-serif" w:hAnsi="Arial;sans-serif"/>
          <w:b w:val="false"/>
          <w:color w:val="000000"/>
          <w:sz w:val="16"/>
        </w:rPr>
        <w:t>*</w:t>
      </w:r>
      <w:r>
        <w:rPr>
          <w:color w:val="000000"/>
        </w:rPr>
        <w:t>    </w:t>
      </w:r>
      <w:r>
        <w:rPr>
          <w:rFonts w:ascii="Arial;sans-serif" w:hAnsi="Arial;sans-serif"/>
          <w:b w:val="false"/>
          <w:color w:val="000000"/>
          <w:sz w:val="14"/>
        </w:rPr>
        <w:t>Non-GAAP financial measure. Reconciliations of amounts presented as non-GAAP financial measures with the amounts of the most comparable measures calculated and presented in accordance with GAAP are presented in Appendix A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140"/>
                <wp:effectExtent l="0" t="0" r="0" b="0"/>
                <wp:wrapNone/>
                <wp:docPr id="190"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4" descr=""/>
                                                <pic:cNvPicPr>
                                                  <a:picLocks noChangeAspect="1" noChangeArrowheads="1"/>
                                                </pic:cNvPicPr>
                                              </pic:nvPicPr>
                                              <pic:blipFill>
                                                <a:blip r:embed="rId160"/>
                                                <a:stretch>
                                                  <a:fillRect/>
                                                </a:stretch>
                                              </pic:blipFill>
                                              <pic:spPr bwMode="auto">
                                                <a:xfrm>
                                                  <a:off x="0" y="0"/>
                                                  <a:ext cx="447675" cy="161925"/>
                                                </a:xfrm>
                                                <a:prstGeom prst="rect">
                                                  <a:avLst/>
                                                </a:prstGeom>
                                              </pic:spPr>
                                            </pic:pic>
                                          </a:graphicData>
                                        </a:graphic>
                                      </wp:inline>
                                    </w:drawing>
                                  </w:r>
                                  <w:bookmarkStart w:id="168" w:name="i-134"/>
                                  <w:bookmarkEnd w:id="168"/>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4" descr=""/>
                                          <pic:cNvPicPr>
                                            <a:picLocks noChangeAspect="1" noChangeArrowheads="1"/>
                                          </pic:cNvPicPr>
                                        </pic:nvPicPr>
                                        <pic:blipFill>
                                          <a:blip r:embed="rId161"/>
                                          <a:stretch>
                                            <a:fillRect/>
                                          </a:stretch>
                                        </pic:blipFill>
                                        <pic:spPr bwMode="auto">
                                          <a:xfrm>
                                            <a:off x="0" y="0"/>
                                            <a:ext cx="447675" cy="161925"/>
                                          </a:xfrm>
                                          <a:prstGeom prst="rect">
                                            <a:avLst/>
                                          </a:prstGeom>
                                        </pic:spPr>
                                      </pic:pic>
                                    </a:graphicData>
                                  </a:graphic>
                                </wp:inline>
                              </w:drawing>
                            </w:r>
                            <w:bookmarkStart w:id="169" w:name="i-134"/>
                            <w:bookmarkEnd w:id="169"/>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u w:val="single"/>
        </w:rPr>
        <w:t>Long-Term Incentives.</w:t>
      </w:r>
      <w:r>
        <w:rPr>
          <w:color w:val="000000"/>
        </w:rPr>
        <w:t xml:space="preserve"> </w:t>
      </w:r>
      <w:r>
        <w:rPr>
          <w:rFonts w:ascii="Arial;sans-serif" w:hAnsi="Arial;sans-serif"/>
          <w:b w:val="false"/>
          <w:color w:val="000000"/>
          <w:sz w:val="18"/>
        </w:rPr>
        <w:t>Long-term incentive (“LTI”) awards align compensation and long-term performance. LTI award levels are targeted at the market median of peer companies with some variation above and below median by NEO to account for factors including responsibilities, performance, contributions and overall experience. The mix of awards includes: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25% Stock Options (“Options”) that vest ratably over a three-year period;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50% Performance Stock Units (“PSUs”) tied to relative TSR (“r-TSR”) compared to a peer group within a combination of the S&amp;P 600 SmallCap Capital Goods and S&amp;P 400 MidCap Capital Goods indices over a three-year performance measurement period, with potential payout range of 0% to 200% of target and target payout achievement at the 55th percentile. Payout cannot exceed target if our absolute TSR is negative;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25% Restricted Stock Units (“RSUs”) that vest ratably over a three-year period.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Performance against our strategic initiatives, including sustainability objectives, is considered when making awards and setting targets for all components of our compensation programs. The experience level, performance and other relevant market and talent competitive factors are considered when establishing compensation levels each year or when hiring new executives. Accordingly, we would expect our more tenured, high-performing, or highly skilled executive officers to be higher in range, against our peers, on all compensation program components.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evaluates the Company’s compensation programs annually and considers a number of factors when determining the components of LTI compensation, including equity use and dilution, compensation trends to attract and retain talent, and alignment of incentives with Company performance and peer group analysis.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Mix of Compensation Elements</w:t>
      </w:r>
    </w:p>
    <w:p>
      <w:pPr>
        <w:pStyle w:val="TextBody"/>
        <w:bidi w:val="0"/>
        <w:spacing w:lineRule="auto" w:line="288" w:before="0" w:after="420"/>
        <w:jc w:val="both"/>
        <w:rPr>
          <w:rFonts w:ascii="Arial;sans-serif" w:hAnsi="Arial;sans-serif"/>
          <w:b w:val="false"/>
          <w:color w:val="000000"/>
          <w:sz w:val="18"/>
        </w:rPr>
      </w:pPr>
      <w:r>
        <w:rPr>
          <w:rFonts w:ascii="Arial;sans-serif" w:hAnsi="Arial;sans-serif"/>
          <w:b w:val="false"/>
          <w:color w:val="000000"/>
          <w:sz w:val="18"/>
        </w:rPr>
        <w:t xml:space="preserve">The following charts show that for 2025 the mix of compensation elements targeted for our NEOs was heavily weighted toward performance-based compensation. The mix of LTI is based on the allocation value used in determining the number of units or options, as applicable, for each award. </w:t>
      </w:r>
    </w:p>
    <w:p>
      <w:pPr>
        <w:pStyle w:val="TextBody"/>
        <w:bidi w:val="0"/>
        <w:spacing w:before="0" w:after="180"/>
        <w:jc w:val="center"/>
        <w:rPr/>
      </w:pPr>
      <w:r>
        <w:rPr/>
        <w:drawing>
          <wp:inline distT="0" distB="0" distL="0" distR="0">
            <wp:extent cx="5486400" cy="2590800"/>
            <wp:effectExtent l="0" t="0" r="0" b="0"/>
            <wp:docPr id="19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5" descr=""/>
                    <pic:cNvPicPr>
                      <a:picLocks noChangeAspect="1" noChangeArrowheads="1"/>
                    </pic:cNvPicPr>
                  </pic:nvPicPr>
                  <pic:blipFill>
                    <a:blip r:embed="rId162"/>
                    <a:stretch>
                      <a:fillRect/>
                    </a:stretch>
                  </pic:blipFill>
                  <pic:spPr bwMode="auto">
                    <a:xfrm>
                      <a:off x="0" y="0"/>
                      <a:ext cx="5486400" cy="2590800"/>
                    </a:xfrm>
                    <a:prstGeom prst="rect">
                      <a:avLst/>
                    </a:prstGeom>
                  </pic:spPr>
                </pic:pic>
              </a:graphicData>
            </a:graphic>
          </wp:inline>
        </w:drawing>
      </w:r>
      <w:bookmarkStart w:id="170" w:name="i-135"/>
      <w:bookmarkEnd w:id="17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39140"/>
                <wp:effectExtent l="0" t="0" r="0" b="0"/>
                <wp:wrapNone/>
                <wp:docPr id="194"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6" descr=""/>
                                                <pic:cNvPicPr>
                                                  <a:picLocks noChangeAspect="1" noChangeArrowheads="1"/>
                                                </pic:cNvPicPr>
                                              </pic:nvPicPr>
                                              <pic:blipFill>
                                                <a:blip r:embed="rId163"/>
                                                <a:stretch>
                                                  <a:fillRect/>
                                                </a:stretch>
                                              </pic:blipFill>
                                              <pic:spPr bwMode="auto">
                                                <a:xfrm>
                                                  <a:off x="0" y="0"/>
                                                  <a:ext cx="447675" cy="161925"/>
                                                </a:xfrm>
                                                <a:prstGeom prst="rect">
                                                  <a:avLst/>
                                                </a:prstGeom>
                                              </pic:spPr>
                                            </pic:pic>
                                          </a:graphicData>
                                        </a:graphic>
                                      </wp:inline>
                                    </w:drawing>
                                  </w:r>
                                  <w:bookmarkStart w:id="171" w:name="i-136"/>
                                  <w:bookmarkEnd w:id="17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36" descr=""/>
                                          <pic:cNvPicPr>
                                            <a:picLocks noChangeAspect="1" noChangeArrowheads="1"/>
                                          </pic:cNvPicPr>
                                        </pic:nvPicPr>
                                        <pic:blipFill>
                                          <a:blip r:embed="rId164"/>
                                          <a:stretch>
                                            <a:fillRect/>
                                          </a:stretch>
                                        </pic:blipFill>
                                        <pic:spPr bwMode="auto">
                                          <a:xfrm>
                                            <a:off x="0" y="0"/>
                                            <a:ext cx="447675" cy="161925"/>
                                          </a:xfrm>
                                          <a:prstGeom prst="rect">
                                            <a:avLst/>
                                          </a:prstGeom>
                                        </pic:spPr>
                                      </pic:pic>
                                    </a:graphicData>
                                  </a:graphic>
                                </wp:inline>
                              </w:drawing>
                            </w:r>
                            <w:bookmarkStart w:id="172" w:name="i-136"/>
                            <w:bookmarkEnd w:id="17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Our CEO’s Pay-for-Performance Alignment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chart shows our CEO’s compensation relative to our TSR compared with our 2025 Peer Group of companies listed on page 30, demonstrating how our executive compensation program aligns with performance.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purposes of this chart, compensation includes the three-year total for salary, target annual bonus, the target value of equity awards and amounts from the “change in pension value and nonqualified deferred compensation” and “All Other Compensation” columns of each company’s Summary Compensation Table disclosure. Performance is three-year total shareholder return. Due to the timing of public disclosures, peer company data represents 2022 through 2024 while our CEO’s total compensation represents 2023 through 2025 and our total shareholder return is for December 31, 2022 through December 31, 2025.</w:t>
      </w:r>
    </w:p>
    <w:p>
      <w:pPr>
        <w:pStyle w:val="TextBody"/>
        <w:bidi w:val="0"/>
        <w:spacing w:before="240" w:after="240"/>
        <w:jc w:val="center"/>
        <w:rPr/>
      </w:pPr>
      <w:r>
        <w:rPr/>
        <w:drawing>
          <wp:inline distT="0" distB="0" distL="0" distR="0">
            <wp:extent cx="5486400" cy="3971925"/>
            <wp:effectExtent l="0" t="0" r="0" b="0"/>
            <wp:docPr id="19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7" descr=""/>
                    <pic:cNvPicPr>
                      <a:picLocks noChangeAspect="1" noChangeArrowheads="1"/>
                    </pic:cNvPicPr>
                  </pic:nvPicPr>
                  <pic:blipFill>
                    <a:blip r:embed="rId165"/>
                    <a:stretch>
                      <a:fillRect/>
                    </a:stretch>
                  </pic:blipFill>
                  <pic:spPr bwMode="auto">
                    <a:xfrm>
                      <a:off x="0" y="0"/>
                      <a:ext cx="5486400" cy="3971925"/>
                    </a:xfrm>
                    <a:prstGeom prst="rect">
                      <a:avLst/>
                    </a:prstGeom>
                  </pic:spPr>
                </pic:pic>
              </a:graphicData>
            </a:graphic>
          </wp:inline>
        </w:drawing>
      </w:r>
      <w:bookmarkStart w:id="173" w:name="i-137"/>
      <w:bookmarkEnd w:id="173"/>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Relative Pay Rank</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 Peer company compensation based on 2022, 2023 and 2024 compensation data from each company’s three most recent proxy statement filings. ESAB Corporation, which was spun out of its former parent in September 2022, is excluded due to lack of sufficient trading history. Barnes Group is excluded due to lack of sufficient compensation information for latest fiscal year as a result of its acquisition in January 2025.</w:t>
      </w:r>
    </w:p>
    <w:p>
      <w:pPr>
        <w:pStyle w:val="TextBody"/>
        <w:bidi w:val="0"/>
        <w:spacing w:before="0" w:after="60"/>
        <w:jc w:val="left"/>
        <w:rPr/>
      </w:pPr>
      <w:r>
        <w:rPr/>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relative performance rank exceeds our CEO relative pay rank. Since Mr. Lowe’s promotion to CEO more than ten years ago, we have outperformed all of our peers with respect to TSR and compensated according to our philosophy to align target executive compensation with that of our peers and provide variable incentive compensation that rewards executives at higher levels when excellent performance is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140"/>
                <wp:effectExtent l="0" t="0" r="0" b="0"/>
                <wp:wrapNone/>
                <wp:docPr id="198"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38" descr=""/>
                                                <pic:cNvPicPr>
                                                  <a:picLocks noChangeAspect="1" noChangeArrowheads="1"/>
                                                </pic:cNvPicPr>
                                              </pic:nvPicPr>
                                              <pic:blipFill>
                                                <a:blip r:embed="rId166"/>
                                                <a:stretch>
                                                  <a:fillRect/>
                                                </a:stretch>
                                              </pic:blipFill>
                                              <pic:spPr bwMode="auto">
                                                <a:xfrm>
                                                  <a:off x="0" y="0"/>
                                                  <a:ext cx="447675" cy="161925"/>
                                                </a:xfrm>
                                                <a:prstGeom prst="rect">
                                                  <a:avLst/>
                                                </a:prstGeom>
                                              </pic:spPr>
                                            </pic:pic>
                                          </a:graphicData>
                                        </a:graphic>
                                      </wp:inline>
                                    </w:drawing>
                                  </w:r>
                                  <w:bookmarkStart w:id="174" w:name="i-138"/>
                                  <w:bookmarkEnd w:id="174"/>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8" descr=""/>
                                          <pic:cNvPicPr>
                                            <a:picLocks noChangeAspect="1" noChangeArrowheads="1"/>
                                          </pic:cNvPicPr>
                                        </pic:nvPicPr>
                                        <pic:blipFill>
                                          <a:blip r:embed="rId167"/>
                                          <a:stretch>
                                            <a:fillRect/>
                                          </a:stretch>
                                        </pic:blipFill>
                                        <pic:spPr bwMode="auto">
                                          <a:xfrm>
                                            <a:off x="0" y="0"/>
                                            <a:ext cx="447675" cy="161925"/>
                                          </a:xfrm>
                                          <a:prstGeom prst="rect">
                                            <a:avLst/>
                                          </a:prstGeom>
                                        </pic:spPr>
                                      </pic:pic>
                                    </a:graphicData>
                                  </a:graphic>
                                </wp:inline>
                              </w:drawing>
                            </w:r>
                            <w:bookmarkStart w:id="175" w:name="i-138"/>
                            <w:bookmarkEnd w:id="175"/>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HOW DECISIONS FOR OUR NAMED EXECUTIVE OFFICERS WERE MADE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Executive Compensation Practices</w:t>
      </w:r>
    </w:p>
    <w:tbl>
      <w:tblPr>
        <w:tblW w:w="10205" w:type="dxa"/>
        <w:jc w:val="left"/>
        <w:tblInd w:w="0" w:type="dxa"/>
        <w:tblLayout w:type="fixed"/>
        <w:tblCellMar>
          <w:top w:w="28" w:type="dxa"/>
          <w:left w:w="28" w:type="dxa"/>
          <w:bottom w:w="28" w:type="dxa"/>
          <w:right w:w="28" w:type="dxa"/>
        </w:tblCellMar>
      </w:tblPr>
      <w:tblGrid>
        <w:gridCol w:w="136"/>
        <w:gridCol w:w="119"/>
        <w:gridCol w:w="119"/>
        <w:gridCol w:w="1668"/>
        <w:gridCol w:w="1643"/>
        <w:gridCol w:w="1661"/>
        <w:gridCol w:w="109"/>
        <w:gridCol w:w="109"/>
        <w:gridCol w:w="109"/>
        <w:gridCol w:w="109"/>
        <w:gridCol w:w="109"/>
        <w:gridCol w:w="109"/>
        <w:gridCol w:w="1330"/>
        <w:gridCol w:w="1194"/>
        <w:gridCol w:w="168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3"/>
            <w:tcBorders>
              <w:top w:val="single" w:sz="4" w:space="0" w:color="000000"/>
              <w:left w:val="single" w:sz="4" w:space="0" w:color="004C97"/>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What We Do</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op w:val="single" w:sz="4" w:space="0" w:color="939598"/>
              <w:right w:val="single" w:sz="4" w:space="0" w:color="939598"/>
            </w:tcBorders>
            <w:shd w:fill="004C97" w:val="clear"/>
            <w:tcMar>
              <w:top w:w="30" w:type="dxa"/>
              <w:left w:w="0" w:type="dxa"/>
              <w:bottom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What We Do Not Do</w:t>
            </w:r>
          </w:p>
        </w:tc>
      </w:tr>
      <w:tr>
        <w:trPr/>
        <w:tc>
          <w:tcPr>
            <w:tcW w:w="37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4972" w:type="dxa"/>
            <w:gridSpan w:val="3"/>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Heavy emphasis on variable, performance-based compensation</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E5E5E5"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multi-year guarantees of salary increases</w:t>
            </w:r>
          </w:p>
        </w:tc>
      </w:tr>
      <w:tr>
        <w:trPr/>
        <w:tc>
          <w:tcPr>
            <w:tcW w:w="3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 xml:space="preserve">✓ </w:t>
            </w:r>
          </w:p>
        </w:tc>
        <w:tc>
          <w:tcPr>
            <w:tcW w:w="49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Majority of long-term incentive awards are performance based</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tax gross-ups on termination payments following a change in control</w:t>
            </w:r>
          </w:p>
        </w:tc>
      </w:tr>
      <w:tr>
        <w:trPr/>
        <w:tc>
          <w:tcPr>
            <w:tcW w:w="37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4972" w:type="dxa"/>
            <w:gridSpan w:val="3"/>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Align compensation to year-over-year performance and delivery on strategic initiatives.</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E5E5E5"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hedging of Company stock</w:t>
            </w:r>
          </w:p>
        </w:tc>
      </w:tr>
      <w:tr>
        <w:trPr/>
        <w:tc>
          <w:tcPr>
            <w:tcW w:w="3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 xml:space="preserve">✓ </w:t>
            </w:r>
          </w:p>
        </w:tc>
        <w:tc>
          <w:tcPr>
            <w:tcW w:w="49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 ownership guidelines</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pledging of Company stock</w:t>
            </w:r>
          </w:p>
        </w:tc>
      </w:tr>
      <w:tr>
        <w:trPr/>
        <w:tc>
          <w:tcPr>
            <w:tcW w:w="37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4972" w:type="dxa"/>
            <w:gridSpan w:val="3"/>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Clawback provisions that apply to both cash and equity incentive awards</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E5E5E5"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significant perquisites or defined benefit pension plans</w:t>
            </w:r>
          </w:p>
        </w:tc>
      </w:tr>
      <w:tr>
        <w:trPr/>
        <w:tc>
          <w:tcPr>
            <w:tcW w:w="3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 xml:space="preserve">✓ </w:t>
            </w:r>
          </w:p>
        </w:tc>
        <w:tc>
          <w:tcPr>
            <w:tcW w:w="49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color w:val="000000"/>
                <w:shd w:fill="FFFFFF" w:val="clear"/>
              </w:rPr>
            </w:pPr>
            <w:r>
              <w:rPr>
                <w:color w:val="000000"/>
                <w:shd w:fill="FFFFFF" w:val="clear"/>
              </w:rPr>
              <w:t>“</w:t>
            </w:r>
            <w:r>
              <w:rPr>
                <w:rFonts w:ascii="Arial;sans-serif" w:hAnsi="Arial;sans-serif"/>
                <w:b w:val="false"/>
                <w:color w:val="000000"/>
                <w:sz w:val="16"/>
                <w:shd w:fill="FFFFFF" w:val="clear"/>
              </w:rPr>
              <w:t>Double-trigger” termination payments upon a change in control</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“single-trigger” termination payments upon a change in control</w:t>
            </w:r>
          </w:p>
        </w:tc>
      </w:tr>
      <w:tr>
        <w:trPr/>
        <w:tc>
          <w:tcPr>
            <w:tcW w:w="37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4972" w:type="dxa"/>
            <w:gridSpan w:val="3"/>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Use of independent compensation consultant</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205" w:type="dxa"/>
            <w:gridSpan w:val="3"/>
            <w:tcBorders>
              <w:top w:val="single" w:sz="4" w:space="0" w:color="000000"/>
              <w:right w:val="single" w:sz="4" w:space="0" w:color="939598"/>
            </w:tcBorders>
            <w:shd w:fill="E5E5E5"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repricing or backdating stock options without stockholder approval</w:t>
            </w:r>
          </w:p>
        </w:tc>
      </w:tr>
      <w:tr>
        <w:trPr/>
        <w:tc>
          <w:tcPr>
            <w:tcW w:w="3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49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Annual reviews of share utilization</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180"/>
              <w:jc w:val="center"/>
              <w:rPr>
                <w:color w:val="000000"/>
              </w:rPr>
            </w:pPr>
            <w:r>
              <w:rPr>
                <w:color w:val="000000"/>
              </w:rPr>
              <w:t xml:space="preserve">✓ </w:t>
            </w:r>
          </w:p>
        </w:tc>
        <w:tc>
          <w:tcPr>
            <w:tcW w:w="4972" w:type="dxa"/>
            <w:gridSpan w:val="3"/>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Stockholder outreach</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97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Annual Say-on-Pay vote</w:t>
            </w:r>
          </w:p>
        </w:tc>
        <w:tc>
          <w:tcPr>
            <w:tcW w:w="327" w:type="dxa"/>
            <w:gridSpan w:val="3"/>
            <w:tcBorders>
              <w:left w:val="single" w:sz="4" w:space="0" w:color="004C9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Arial;sans-serif" w:hAnsi="Arial;sans-serif"/>
          <w:b/>
          <w:color w:val="004C97"/>
          <w:sz w:val="20"/>
        </w:rPr>
      </w:pPr>
      <w:r>
        <w:rPr>
          <w:rFonts w:ascii="Arial;sans-serif" w:hAnsi="Arial;sans-serif"/>
          <w:b/>
          <w:color w:val="004C97"/>
          <w:sz w:val="20"/>
        </w:rPr>
        <w:t>The Role of the Compensation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is responsible for overseeing the design and administration of the executive compensation program so that the program is consistent with our compensation philosophy. The Committee reviews compensation levels for all of our executive officers, including our NEOs. The Committee also makes all final compensation decisions regarding our NEOs and executive officers, except for the CEO, whose compensation is reviewed and approved by the full Board, excluding Mr. Lowe, based upon recommendations of the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also works very closely with its independent compensation consultant and with management to examine the effectiveness of the Company’s executive compensation program. Details of the Committee’s authority and responsibilities are specified in the Committee’s charter, which is available on our website (www.spx.com) under the heading “Investor Relations—Corporate Governance—Board Committees.”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Management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Certain members of our senior management team help prepare for and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executive officers, including the other NEOs. The CEO does not participate in the deliberations of the Committee and Board regarding his own compensation.</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the Independent Compensation Consultant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2025, the Committee retained Meridian Compensation Partners, LLC (“Meridian”) as its sole independent compensation consultant. Meridian does not provide any services to our Company other than advice to and services for the Committee relating to compensation of all executives and the Governance &amp; Sustainability Committee relating to compensation of our non-employee directors. The independent compensation consultant may provide other consulting services to SPX, on a limited basis and only with approval from the Committee and the Governance &amp; Sustainability Committee. The Committee reviews services provided by its independent compensation consultant on at least an annual basis. The independent compensation consultant reviews, analyzes and assesses the Company’s executive compensation program and management’s recommendations for compensation; and presents recommendations on compensation amounts and structure for the President and CEO. In addition, the independent compensation consultant recommends the list of peer companies against which we benchmark our executive officer and director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9140"/>
                <wp:effectExtent l="0" t="0" r="0" b="0"/>
                <wp:wrapNone/>
                <wp:docPr id="201"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9" descr=""/>
                                                <pic:cNvPicPr>
                                                  <a:picLocks noChangeAspect="1" noChangeArrowheads="1"/>
                                                </pic:cNvPicPr>
                                              </pic:nvPicPr>
                                              <pic:blipFill>
                                                <a:blip r:embed="rId168"/>
                                                <a:stretch>
                                                  <a:fillRect/>
                                                </a:stretch>
                                              </pic:blipFill>
                                              <pic:spPr bwMode="auto">
                                                <a:xfrm>
                                                  <a:off x="0" y="0"/>
                                                  <a:ext cx="447675" cy="161925"/>
                                                </a:xfrm>
                                                <a:prstGeom prst="rect">
                                                  <a:avLst/>
                                                </a:prstGeom>
                                              </pic:spPr>
                                            </pic:pic>
                                          </a:graphicData>
                                        </a:graphic>
                                      </wp:inline>
                                    </w:drawing>
                                  </w:r>
                                  <w:bookmarkStart w:id="176" w:name="i-139"/>
                                  <w:bookmarkEnd w:id="17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39" descr=""/>
                                          <pic:cNvPicPr>
                                            <a:picLocks noChangeAspect="1" noChangeArrowheads="1"/>
                                          </pic:cNvPicPr>
                                        </pic:nvPicPr>
                                        <pic:blipFill>
                                          <a:blip r:embed="rId169"/>
                                          <a:stretch>
                                            <a:fillRect/>
                                          </a:stretch>
                                        </pic:blipFill>
                                        <pic:spPr bwMode="auto">
                                          <a:xfrm>
                                            <a:off x="0" y="0"/>
                                            <a:ext cx="447675" cy="161925"/>
                                          </a:xfrm>
                                          <a:prstGeom prst="rect">
                                            <a:avLst/>
                                          </a:prstGeom>
                                        </pic:spPr>
                                      </pic:pic>
                                    </a:graphicData>
                                  </a:graphic>
                                </wp:inline>
                              </w:drawing>
                            </w:r>
                            <w:bookmarkStart w:id="177" w:name="i-139"/>
                            <w:bookmarkEnd w:id="17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has directed the independent compensation consultants to collaborate with management, including our human resources function, to obtain data, clarify information, and review preliminary recommendations prior to the time they are shared with the relevant committee.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has considered the independence of Meridian in light of SEC rules, NYSE listing standards, and the requirements of the Committee’s charter. The Committee requested and received a letter from Meridian addressing relationships with and the independence of such firm and the senior advisor involved in the engagement of such firm.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concluded that the work performed by Meridian and Meridian’s senior advisor involved in the engagement did not raise any conflict of interest and that it was independent.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the Peer Group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executive compensation program takes into account the compensation practices of companies with which we compete or could compete for executive talent. Peer companies are selected based on a number of factors including size, industry, and markets served.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purposes of setting 2025 executive compensation, the Committee used the following peer companies (our “2025 Peer Group”):</w:t>
      </w:r>
    </w:p>
    <w:tbl>
      <w:tblPr>
        <w:tblW w:w="5085" w:type="dxa"/>
        <w:jc w:val="left"/>
        <w:tblInd w:w="0" w:type="dxa"/>
        <w:tblLayout w:type="fixed"/>
        <w:tblCellMar>
          <w:top w:w="28" w:type="dxa"/>
          <w:left w:w="28" w:type="dxa"/>
          <w:bottom w:w="28" w:type="dxa"/>
          <w:right w:w="28" w:type="dxa"/>
        </w:tblCellMar>
      </w:tblPr>
      <w:tblGrid>
        <w:gridCol w:w="749"/>
        <w:gridCol w:w="653"/>
        <w:gridCol w:w="653"/>
        <w:gridCol w:w="1118"/>
        <w:gridCol w:w="782"/>
        <w:gridCol w:w="1130"/>
      </w:tblGrid>
      <w:tr>
        <w:trPr/>
        <w:tc>
          <w:tcPr>
            <w:tcW w:w="7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5085" w:type="dxa"/>
            <w:gridSpan w:val="6"/>
            <w:tcBorders>
              <w:top w:val="single" w:sz="2" w:space="0" w:color="000000"/>
              <w:left w:val="single" w:sz="2" w:space="0" w:color="000000"/>
              <w:right w:val="single" w:sz="2" w:space="0" w:color="000000"/>
            </w:tcBorders>
            <w:shd w:fill="004C97"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SPX Peer Companies</w:t>
            </w:r>
          </w:p>
        </w:tc>
      </w:tr>
      <w:tr>
        <w:trPr/>
        <w:tc>
          <w:tcPr>
            <w:tcW w:w="2055" w:type="dxa"/>
            <w:gridSpan w:val="3"/>
            <w:tcBorders>
              <w:top w:val="single" w:sz="2" w:space="0" w:color="000000"/>
              <w:left w:val="single" w:sz="2" w:space="0" w:color="000000"/>
            </w:tcBorders>
            <w:shd w:fill="E5E5E5"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Barnes Group Inc.</w:t>
            </w:r>
          </w:p>
        </w:tc>
        <w:tc>
          <w:tcPr>
            <w:tcW w:w="3030" w:type="dxa"/>
            <w:gridSpan w:val="3"/>
            <w:tcBorders>
              <w:top w:val="single" w:sz="2" w:space="0" w:color="000000"/>
              <w:left w:val="single" w:sz="2" w:space="0" w:color="000000"/>
              <w:right w:val="single" w:sz="2" w:space="0" w:color="000000"/>
            </w:tcBorders>
            <w:shd w:fill="E5E5E5"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Graco, Inc.</w:t>
            </w:r>
          </w:p>
        </w:tc>
      </w:tr>
      <w:tr>
        <w:trPr/>
        <w:tc>
          <w:tcPr>
            <w:tcW w:w="2055"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Chart Industries, Inc.</w:t>
            </w:r>
          </w:p>
        </w:tc>
        <w:tc>
          <w:tcPr>
            <w:tcW w:w="3030"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IDEX Corp.</w:t>
            </w:r>
          </w:p>
        </w:tc>
      </w:tr>
      <w:tr>
        <w:trPr/>
        <w:tc>
          <w:tcPr>
            <w:tcW w:w="2055" w:type="dxa"/>
            <w:gridSpan w:val="3"/>
            <w:tcBorders>
              <w:top w:val="single" w:sz="2" w:space="0" w:color="000000"/>
              <w:left w:val="single" w:sz="2" w:space="0" w:color="000000"/>
            </w:tcBorders>
            <w:shd w:fill="E5E5E5"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Crane Co.</w:t>
            </w:r>
          </w:p>
        </w:tc>
        <w:tc>
          <w:tcPr>
            <w:tcW w:w="3030" w:type="dxa"/>
            <w:gridSpan w:val="3"/>
            <w:tcBorders>
              <w:top w:val="single" w:sz="2" w:space="0" w:color="000000"/>
              <w:left w:val="single" w:sz="2" w:space="0" w:color="000000"/>
              <w:right w:val="single" w:sz="2" w:space="0" w:color="000000"/>
            </w:tcBorders>
            <w:shd w:fill="E5E5E5"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ITT Inc.</w:t>
            </w:r>
          </w:p>
        </w:tc>
      </w:tr>
      <w:tr>
        <w:trPr/>
        <w:tc>
          <w:tcPr>
            <w:tcW w:w="2055"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Curtiss-Wright Corp.</w:t>
            </w:r>
          </w:p>
        </w:tc>
        <w:tc>
          <w:tcPr>
            <w:tcW w:w="3030"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JBT Marel Corporation</w:t>
            </w:r>
          </w:p>
        </w:tc>
      </w:tr>
      <w:tr>
        <w:trPr/>
        <w:tc>
          <w:tcPr>
            <w:tcW w:w="2055" w:type="dxa"/>
            <w:gridSpan w:val="3"/>
            <w:tcBorders>
              <w:top w:val="single" w:sz="2" w:space="0" w:color="000000"/>
              <w:left w:val="single" w:sz="2"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Enpro Inc.</w:t>
            </w:r>
          </w:p>
        </w:tc>
        <w:tc>
          <w:tcPr>
            <w:tcW w:w="3030" w:type="dxa"/>
            <w:gridSpan w:val="3"/>
            <w:tcBorders>
              <w:top w:val="single" w:sz="2" w:space="0" w:color="000000"/>
              <w:left w:val="single" w:sz="2" w:space="0" w:color="000000"/>
              <w:right w:val="single" w:sz="2"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Mueller Water Products, Inc.</w:t>
            </w:r>
          </w:p>
        </w:tc>
      </w:tr>
      <w:tr>
        <w:trPr/>
        <w:tc>
          <w:tcPr>
            <w:tcW w:w="2055"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ESAB Corporation</w:t>
            </w:r>
          </w:p>
        </w:tc>
        <w:tc>
          <w:tcPr>
            <w:tcW w:w="3030"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Nordson Corp.</w:t>
            </w:r>
          </w:p>
        </w:tc>
      </w:tr>
      <w:tr>
        <w:trPr/>
        <w:tc>
          <w:tcPr>
            <w:tcW w:w="2055" w:type="dxa"/>
            <w:gridSpan w:val="3"/>
            <w:tcBorders>
              <w:top w:val="single" w:sz="2" w:space="0" w:color="000000"/>
              <w:left w:val="single" w:sz="2" w:space="0" w:color="000000"/>
            </w:tcBorders>
            <w:shd w:fill="E5E5E5"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ESCO Technologies Inc.</w:t>
            </w:r>
          </w:p>
        </w:tc>
        <w:tc>
          <w:tcPr>
            <w:tcW w:w="3030" w:type="dxa"/>
            <w:gridSpan w:val="3"/>
            <w:tcBorders>
              <w:top w:val="single" w:sz="2" w:space="0" w:color="000000"/>
              <w:left w:val="single" w:sz="2" w:space="0" w:color="000000"/>
              <w:right w:val="single" w:sz="2"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TriMas Corp.</w:t>
            </w:r>
          </w:p>
        </w:tc>
      </w:tr>
      <w:tr>
        <w:trPr/>
        <w:tc>
          <w:tcPr>
            <w:tcW w:w="2055"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Federal Signal Corporation</w:t>
            </w:r>
          </w:p>
        </w:tc>
        <w:tc>
          <w:tcPr>
            <w:tcW w:w="3030"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Watts Water Technologies, Inc.</w:t>
            </w:r>
          </w:p>
        </w:tc>
      </w:tr>
      <w:tr>
        <w:trPr/>
        <w:tc>
          <w:tcPr>
            <w:tcW w:w="2055" w:type="dxa"/>
            <w:gridSpan w:val="3"/>
            <w:tcBorders>
              <w:top w:val="single" w:sz="2" w:space="0" w:color="000000"/>
              <w:left w:val="single" w:sz="8" w:space="0" w:color="929292"/>
              <w:bottom w:val="single" w:sz="2" w:space="0" w:color="000000"/>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Franklin Electric Co., Inc.</w:t>
            </w:r>
          </w:p>
        </w:tc>
        <w:tc>
          <w:tcPr>
            <w:tcW w:w="3030" w:type="dxa"/>
            <w:gridSpan w:val="3"/>
            <w:tcBorders>
              <w:top w:val="single" w:sz="2" w:space="0" w:color="000000"/>
              <w:left w:val="single" w:sz="2" w:space="0" w:color="000000"/>
              <w:bottom w:val="single" w:sz="2" w:space="0" w:color="000000"/>
              <w:right w:val="single" w:sz="2" w:space="0" w:color="000000"/>
            </w:tcBorders>
            <w:shd w:fill="E5E5E5" w:val="clear"/>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Zurn Elkay Water Solutions Corporation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selected this roster of peers after considering factors including:</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Similar business mix to SPX;</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Similar end markets to SPX;</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Competitors for executive talent;</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Market capitalization;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Revenue of approximately 0.4 to 2.5 times SPX’s revenue.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SPX annual revenues for 2025 are approximately at the median of peer companies.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reviews the peer group annually to ensure alignment and adds or removes companies as peers as it deems appropriate and necessary to maintain competitive and balanced alignment. In developing and approving the 2025 Peer Group, after reviewing recommendations made by Meridian, relative to the peer group selected for the prior year the Committee (1) removed Enviri Corporation due to a growing disparity between our own market capitalization, and (2) added ESCO Technologies, ITT Inc. and Mueller Water Products, Inc. to bolster the overall roster size while providing balance to larger companies in our peer group. </w:t>
      </w:r>
    </w:p>
    <w:p>
      <w:pPr>
        <w:pStyle w:val="TextBody"/>
        <w:bidi w:val="0"/>
        <w:spacing w:lineRule="auto" w:line="268" w:before="0" w:after="180"/>
        <w:jc w:val="both"/>
        <w:rPr>
          <w:rFonts w:ascii="Arial;sans-serif" w:hAnsi="Arial;sans-serif"/>
          <w:b w:val="false"/>
          <w:color w:val="000000"/>
          <w:sz w:val="18"/>
        </w:rPr>
      </w:pPr>
      <w:r>
        <w:rPr>
          <w:rFonts w:ascii="Arial;sans-serif" w:hAnsi="Arial;sans-serif"/>
          <w:b w:val="false"/>
          <w:color w:val="000000"/>
          <w:sz w:val="18"/>
        </w:rPr>
        <w:t>The Committee uses the peer group data to assist in compensation decisions around base salary, short-term incentives, and long-term incentives, as well as in benchmarking other executive compensation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39140"/>
                <wp:effectExtent l="0" t="0" r="0" b="0"/>
                <wp:wrapNone/>
                <wp:docPr id="204"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40" descr=""/>
                                                <pic:cNvPicPr>
                                                  <a:picLocks noChangeAspect="1" noChangeArrowheads="1"/>
                                                </pic:cNvPicPr>
                                              </pic:nvPicPr>
                                              <pic:blipFill>
                                                <a:blip r:embed="rId170"/>
                                                <a:stretch>
                                                  <a:fillRect/>
                                                </a:stretch>
                                              </pic:blipFill>
                                              <pic:spPr bwMode="auto">
                                                <a:xfrm>
                                                  <a:off x="0" y="0"/>
                                                  <a:ext cx="447675" cy="161925"/>
                                                </a:xfrm>
                                                <a:prstGeom prst="rect">
                                                  <a:avLst/>
                                                </a:prstGeom>
                                              </pic:spPr>
                                            </pic:pic>
                                          </a:graphicData>
                                        </a:graphic>
                                      </wp:inline>
                                    </w:drawing>
                                  </w:r>
                                  <w:bookmarkStart w:id="178" w:name="i-140"/>
                                  <w:bookmarkEnd w:id="178"/>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0" descr=""/>
                                          <pic:cNvPicPr>
                                            <a:picLocks noChangeAspect="1" noChangeArrowheads="1"/>
                                          </pic:cNvPicPr>
                                        </pic:nvPicPr>
                                        <pic:blipFill>
                                          <a:blip r:embed="rId171"/>
                                          <a:stretch>
                                            <a:fillRect/>
                                          </a:stretch>
                                        </pic:blipFill>
                                        <pic:spPr bwMode="auto">
                                          <a:xfrm>
                                            <a:off x="0" y="0"/>
                                            <a:ext cx="447675" cy="161925"/>
                                          </a:xfrm>
                                          <a:prstGeom prst="rect">
                                            <a:avLst/>
                                          </a:prstGeom>
                                        </pic:spPr>
                                      </pic:pic>
                                    </a:graphicData>
                                  </a:graphic>
                                </wp:inline>
                              </w:drawing>
                            </w:r>
                            <w:bookmarkStart w:id="179" w:name="i-140"/>
                            <w:bookmarkEnd w:id="179"/>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Base Salary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Base salary represents annual fixed compensation and is a standard element of compensation necessary to attract and retain talent. Base salary levels are reviewed annually. When making adjustments, the Committee considers the Company’s overall performance; the NEO’s individual performance, experience, career potential, and tenure with the Company; and competitive market practices. The Committee approved increases in annual base salary, effective March 23, 2025, as reflected in the table below, to continue to improve the competitive market position of our NEO’s base salaries relative to our peer group.</w:t>
      </w:r>
    </w:p>
    <w:tbl>
      <w:tblPr>
        <w:tblW w:w="6419" w:type="dxa"/>
        <w:jc w:val="left"/>
        <w:tblInd w:w="0" w:type="dxa"/>
        <w:tblLayout w:type="fixed"/>
        <w:tblCellMar>
          <w:top w:w="28" w:type="dxa"/>
          <w:left w:w="28" w:type="dxa"/>
          <w:bottom w:w="28" w:type="dxa"/>
          <w:right w:w="28" w:type="dxa"/>
        </w:tblCellMar>
      </w:tblPr>
      <w:tblGrid>
        <w:gridCol w:w="750"/>
        <w:gridCol w:w="659"/>
        <w:gridCol w:w="661"/>
        <w:gridCol w:w="544"/>
        <w:gridCol w:w="544"/>
        <w:gridCol w:w="546"/>
        <w:gridCol w:w="544"/>
        <w:gridCol w:w="544"/>
        <w:gridCol w:w="546"/>
        <w:gridCol w:w="316"/>
        <w:gridCol w:w="316"/>
        <w:gridCol w:w="44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Named Executive Officer</w:t>
            </w:r>
          </w:p>
        </w:tc>
        <w:tc>
          <w:tcPr>
            <w:tcW w:w="16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Annual Base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(From 3/24/2024)</w:t>
            </w:r>
          </w:p>
        </w:tc>
        <w:tc>
          <w:tcPr>
            <w:tcW w:w="16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Annual Base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(From 3/23/2025</w:t>
            </w:r>
          </w:p>
        </w:tc>
        <w:tc>
          <w:tcPr>
            <w:tcW w:w="108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br/>
              <w:t>Adjustment</w:t>
            </w:r>
          </w:p>
        </w:tc>
      </w:tr>
      <w:tr>
        <w:trPr/>
        <w:tc>
          <w:tcPr>
            <w:tcW w:w="20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6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$1,097,100</w:t>
            </w:r>
          </w:p>
        </w:tc>
        <w:tc>
          <w:tcPr>
            <w:tcW w:w="16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$1,150,000</w:t>
            </w:r>
          </w:p>
        </w:tc>
        <w:tc>
          <w:tcPr>
            <w:tcW w:w="1081"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$530,000</w:t>
            </w:r>
          </w:p>
        </w:tc>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$561,800</w:t>
            </w:r>
          </w:p>
        </w:tc>
        <w:tc>
          <w:tcPr>
            <w:tcW w:w="108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r>
      <w:tr>
        <w:trPr/>
        <w:tc>
          <w:tcPr>
            <w:tcW w:w="20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6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$605,640</w:t>
            </w:r>
          </w:p>
        </w:tc>
        <w:tc>
          <w:tcPr>
            <w:tcW w:w="163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$648,035</w:t>
            </w:r>
          </w:p>
        </w:tc>
        <w:tc>
          <w:tcPr>
            <w:tcW w:w="1081"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$605,640</w:t>
            </w:r>
          </w:p>
        </w:tc>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$632,894</w:t>
            </w:r>
          </w:p>
        </w:tc>
        <w:tc>
          <w:tcPr>
            <w:tcW w:w="108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r>
      <w:tr>
        <w:trPr/>
        <w:tc>
          <w:tcPr>
            <w:tcW w:w="2070"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634"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$571,850</w:t>
            </w:r>
          </w:p>
        </w:tc>
        <w:tc>
          <w:tcPr>
            <w:tcW w:w="1634"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$600,442</w:t>
            </w:r>
          </w:p>
        </w:tc>
        <w:tc>
          <w:tcPr>
            <w:tcW w:w="1081"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Annual Incentive</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Executive Bonus Program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Bonus Program pays annual bonuses ranging from 0% to 200% of target by reference to three key metrics: adjusted Earnings Before Interest, Taxes, Depreciation, and Amortization (EBITDA)*, adjusted free cash flow*, and adjusted revenue.*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selected these metrics to be transparent and to provide clarity and consistency in calculating bonuses. In setting short-term incentive goals, SPX management and the Committee utilized a number of data points to focus targets on driving the Company’s strategic priorities, including setting goals that incentivize delivery of annual objectives. Adjusted EBITDA* used for compensation purposes is calculated in a manner consistent with adjusted EBITDA* as presented by the Company in its quarterly and annual earnings announcements, with additional adjustments to eliminate the impact of acquisitions and dispositions occurring during the year and certain other items.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Targets for 2025 were set to drive continued growth in adjusted EBITDA*, adjusted revenue*, and adjusted free cash flow*.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previously discussed, we delivered very strong financial performance in 2025, with double-digit growth in all three of our compensation-linked target metrics. Most of our businesses exceeded their revenue targets, reflecting continued robust demand for our products, favorable pricing, and strong operational execution across our platforms. We also generated substantial increases in Adjusted EBITDA* and Adjusted Free Cash Flow*, reflecting the scale benefits of higher sales, successful continuous improvement initiatives, and efficient cost management throughout the company.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shows the 2025 threshold, target, and maximum goals for each of the relevant metrics under our Executive Bonus Program, as well as the actual performance results. Threshold payout is 50% of target and maximum payout is 200% of target, with linear interpolation of payouts for results between threshold and target or between target and maximum.</w:t>
      </w:r>
    </w:p>
    <w:tbl>
      <w:tblPr>
        <w:tblW w:w="7849" w:type="dxa"/>
        <w:jc w:val="left"/>
        <w:tblInd w:w="0" w:type="dxa"/>
        <w:tblLayout w:type="fixed"/>
        <w:tblCellMar>
          <w:top w:w="28" w:type="dxa"/>
          <w:left w:w="28" w:type="dxa"/>
          <w:bottom w:w="28" w:type="dxa"/>
          <w:right w:w="28" w:type="dxa"/>
        </w:tblCellMar>
      </w:tblPr>
      <w:tblGrid>
        <w:gridCol w:w="1033"/>
        <w:gridCol w:w="906"/>
        <w:gridCol w:w="911"/>
        <w:gridCol w:w="389"/>
        <w:gridCol w:w="389"/>
        <w:gridCol w:w="391"/>
        <w:gridCol w:w="290"/>
        <w:gridCol w:w="290"/>
        <w:gridCol w:w="290"/>
        <w:gridCol w:w="374"/>
        <w:gridCol w:w="374"/>
        <w:gridCol w:w="376"/>
        <w:gridCol w:w="290"/>
        <w:gridCol w:w="290"/>
        <w:gridCol w:w="290"/>
        <w:gridCol w:w="278"/>
        <w:gridCol w:w="278"/>
        <w:gridCol w:w="410"/>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850"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Performance Metric and Weighting</w:t>
            </w:r>
          </w:p>
        </w:tc>
        <w:tc>
          <w:tcPr>
            <w:tcW w:w="4033"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Level of Performance ($ Millions)</w:t>
            </w:r>
          </w:p>
        </w:tc>
        <w:tc>
          <w:tcPr>
            <w:tcW w:w="96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Payout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2850"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16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Threshold ($)</w:t>
            </w:r>
          </w:p>
        </w:tc>
        <w:tc>
          <w:tcPr>
            <w:tcW w:w="8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Target ($)</w:t>
            </w:r>
          </w:p>
        </w:tc>
        <w:tc>
          <w:tcPr>
            <w:tcW w:w="11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Maximum ($)</w:t>
            </w:r>
          </w:p>
        </w:tc>
        <w:tc>
          <w:tcPr>
            <w:tcW w:w="87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Actual ($)</w:t>
            </w:r>
          </w:p>
        </w:tc>
        <w:tc>
          <w:tcPr>
            <w:tcW w:w="96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285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(50%)</w:t>
            </w:r>
          </w:p>
        </w:tc>
        <w:tc>
          <w:tcPr>
            <w:tcW w:w="116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$444.4</w:t>
            </w:r>
          </w:p>
        </w:tc>
        <w:tc>
          <w:tcPr>
            <w:tcW w:w="8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$463.5</w:t>
            </w:r>
          </w:p>
        </w:tc>
        <w:tc>
          <w:tcPr>
            <w:tcW w:w="112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w:t>
            </w:r>
          </w:p>
        </w:tc>
        <w:tc>
          <w:tcPr>
            <w:tcW w:w="8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$483.6</w:t>
            </w:r>
          </w:p>
        </w:tc>
        <w:tc>
          <w:tcPr>
            <w:tcW w:w="55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173.9 </w:t>
            </w:r>
          </w:p>
        </w:tc>
        <w:tc>
          <w:tcPr>
            <w:tcW w:w="410"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Free Cash Flow* (25%)</w:t>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$388.1</w:t>
            </w:r>
          </w:p>
        </w:tc>
        <w:tc>
          <w:tcPr>
            <w:tcW w:w="8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$417.4</w:t>
            </w:r>
          </w:p>
        </w:tc>
        <w:tc>
          <w:tcPr>
            <w:tcW w:w="11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$454.6</w:t>
            </w:r>
          </w:p>
        </w:tc>
        <w:tc>
          <w:tcPr>
            <w:tcW w:w="8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$469.0</w:t>
            </w:r>
          </w:p>
        </w:tc>
        <w:tc>
          <w:tcPr>
            <w:tcW w:w="55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410"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5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(25%)</w:t>
            </w:r>
          </w:p>
        </w:tc>
        <w:tc>
          <w:tcPr>
            <w:tcW w:w="116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$2,053.9</w:t>
            </w:r>
          </w:p>
        </w:tc>
        <w:tc>
          <w:tcPr>
            <w:tcW w:w="8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$2,104.3</w:t>
            </w:r>
          </w:p>
        </w:tc>
        <w:tc>
          <w:tcPr>
            <w:tcW w:w="112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$2,191.7</w:t>
            </w:r>
          </w:p>
        </w:tc>
        <w:tc>
          <w:tcPr>
            <w:tcW w:w="8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$2,111.0</w:t>
            </w:r>
          </w:p>
        </w:tc>
        <w:tc>
          <w:tcPr>
            <w:tcW w:w="55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107.6 </w:t>
            </w:r>
          </w:p>
        </w:tc>
        <w:tc>
          <w:tcPr>
            <w:tcW w:w="410"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Corporate Results</w:t>
            </w:r>
          </w:p>
        </w:tc>
        <w:tc>
          <w:tcPr>
            <w:tcW w:w="116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410"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20"/>
        <w:ind w:left="0" w:right="0" w:hanging="90"/>
        <w:jc w:val="both"/>
        <w:rPr>
          <w:rFonts w:ascii="Arial;sans-serif" w:hAnsi="Arial;sans-serif"/>
          <w:b w:val="false"/>
          <w:color w:val="000000"/>
          <w:sz w:val="14"/>
        </w:rPr>
      </w:pPr>
      <w:r>
        <w:rPr>
          <w:rFonts w:ascii="Arial;sans-serif" w:hAnsi="Arial;sans-serif"/>
          <w:b w:val="false"/>
          <w:color w:val="000000"/>
          <w:sz w:val="14"/>
        </w:rPr>
        <w:t>* Non-GAAP financial measure. Reconciliations of amounts presented as non-GAAP financial measures with the amounts of the most comparable measures calculated and presented in accordance with GAAP are presented in Appendix A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39140"/>
                <wp:effectExtent l="0" t="0" r="0" b="0"/>
                <wp:wrapNone/>
                <wp:docPr id="207"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1" descr=""/>
                                                <pic:cNvPicPr>
                                                  <a:picLocks noChangeAspect="1" noChangeArrowheads="1"/>
                                                </pic:cNvPicPr>
                                              </pic:nvPicPr>
                                              <pic:blipFill>
                                                <a:blip r:embed="rId172"/>
                                                <a:stretch>
                                                  <a:fillRect/>
                                                </a:stretch>
                                              </pic:blipFill>
                                              <pic:spPr bwMode="auto">
                                                <a:xfrm>
                                                  <a:off x="0" y="0"/>
                                                  <a:ext cx="447675" cy="161925"/>
                                                </a:xfrm>
                                                <a:prstGeom prst="rect">
                                                  <a:avLst/>
                                                </a:prstGeom>
                                              </pic:spPr>
                                            </pic:pic>
                                          </a:graphicData>
                                        </a:graphic>
                                      </wp:inline>
                                    </w:drawing>
                                  </w:r>
                                  <w:bookmarkStart w:id="180" w:name="i-141"/>
                                  <w:bookmarkEnd w:id="180"/>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41" descr=""/>
                                          <pic:cNvPicPr>
                                            <a:picLocks noChangeAspect="1" noChangeArrowheads="1"/>
                                          </pic:cNvPicPr>
                                        </pic:nvPicPr>
                                        <pic:blipFill>
                                          <a:blip r:embed="rId173"/>
                                          <a:stretch>
                                            <a:fillRect/>
                                          </a:stretch>
                                        </pic:blipFill>
                                        <pic:spPr bwMode="auto">
                                          <a:xfrm>
                                            <a:off x="0" y="0"/>
                                            <a:ext cx="447675" cy="161925"/>
                                          </a:xfrm>
                                          <a:prstGeom prst="rect">
                                            <a:avLst/>
                                          </a:prstGeom>
                                        </pic:spPr>
                                      </pic:pic>
                                    </a:graphicData>
                                  </a:graphic>
                                </wp:inline>
                              </w:drawing>
                            </w:r>
                            <w:bookmarkStart w:id="181" w:name="i-141"/>
                            <w:bookmarkEnd w:id="18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For 2025, adjusted EBITDA* of $483.6 million resulted in a 173.9% payout, with a weighting of 50%. Adjusted free cash flow* of $469.0 million resulted in a 200.0% payout, with a weighting of 25%. Adjusted revenue* of $2,111.0 million resulted in a 107.6% payout, with a weighting of 25%. Accordingly, based on these performance metrics the cumulative payout for 2025 results would be 163.9% of target for those NEOs with 100% of their bonus tied to corporate metrics.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Mr. Lowe, Mr. Carano, and Mr. Data’s bonus payouts are tied 100% to the corporate results. Mr. Swann and Mr. McClenaghan have target incentives that include both segment and corporate results: 75% of each of their incentives is based on their respective roles as a segment President, and 25% is based on corporate metrics. For 2025, the segment performance achievement metric for Mr. Swann was 199.0%, generating an overall payout of 190.2%, and the segment performance achievement metric for Mr. McClenaghan was 131.0%, generating an overall payout of 139.2%. We do not include the specific segment and business unit financial metrics and performance levels for Mr. Swann and Mr. McClenaghan because we believe this information is confidential information and its public disclosure could cause competitive harm to those businesses. At the time these performance goals were set, the Committee deemed the target performance levels to be realistic “stretch” goals, with a maximum payout possible only in the event of superior performance. Following application of calculated awards, the payout by named executive officer is noted in the table below. </w:t>
      </w:r>
    </w:p>
    <w:p>
      <w:pPr>
        <w:pStyle w:val="TextBody"/>
        <w:bidi w:val="0"/>
        <w:spacing w:lineRule="auto" w:line="288" w:before="0" w:after="180"/>
        <w:ind w:left="0" w:right="0" w:hanging="90"/>
        <w:jc w:val="both"/>
        <w:rPr>
          <w:rFonts w:ascii="Arial;sans-serif" w:hAnsi="Arial;sans-serif"/>
          <w:b w:val="false"/>
          <w:color w:val="000000"/>
          <w:sz w:val="14"/>
        </w:rPr>
      </w:pPr>
      <w:r>
        <w:rPr>
          <w:rFonts w:ascii="Arial;sans-serif" w:hAnsi="Arial;sans-serif"/>
          <w:b w:val="false"/>
          <w:color w:val="000000"/>
          <w:sz w:val="14"/>
        </w:rPr>
        <w:t>* Non-GAAP financial measure. Reconciliations of amounts presented as non-GAAP financial measures with the amounts of the most comparable measures calculated and presented in accordance with GAAP are presented in Appendix A of this Proxy Statement.</w:t>
      </w:r>
    </w:p>
    <w:p>
      <w:pPr>
        <w:pStyle w:val="TextBody"/>
        <w:bidi w:val="0"/>
        <w:spacing w:lineRule="auto" w:line="288" w:before="240" w:after="60"/>
        <w:jc w:val="left"/>
        <w:rPr>
          <w:rFonts w:ascii="Arial;sans-serif" w:hAnsi="Arial;sans-serif"/>
          <w:b w:val="false"/>
          <w:i/>
          <w:color w:val="004C97"/>
          <w:sz w:val="20"/>
        </w:rPr>
      </w:pPr>
      <w:r>
        <w:rPr>
          <w:rFonts w:ascii="Arial;sans-serif" w:hAnsi="Arial;sans-serif"/>
          <w:b w:val="false"/>
          <w:i/>
          <w:color w:val="004C97"/>
          <w:sz w:val="20"/>
        </w:rPr>
        <w:t>Executive Bonus Results for 2025</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shows the total annual bonuses earned by our NEOs for 2025.</w:t>
      </w:r>
    </w:p>
    <w:tbl>
      <w:tblPr>
        <w:tblW w:w="10096" w:type="dxa"/>
        <w:jc w:val="left"/>
        <w:tblInd w:w="0" w:type="dxa"/>
        <w:tblLayout w:type="fixed"/>
        <w:tblCellMar>
          <w:top w:w="28" w:type="dxa"/>
          <w:left w:w="28" w:type="dxa"/>
          <w:bottom w:w="28" w:type="dxa"/>
          <w:right w:w="28" w:type="dxa"/>
        </w:tblCellMar>
      </w:tblPr>
      <w:tblGrid>
        <w:gridCol w:w="750"/>
        <w:gridCol w:w="659"/>
        <w:gridCol w:w="661"/>
        <w:gridCol w:w="304"/>
        <w:gridCol w:w="304"/>
        <w:gridCol w:w="308"/>
        <w:gridCol w:w="703"/>
        <w:gridCol w:w="703"/>
        <w:gridCol w:w="1653"/>
        <w:gridCol w:w="709"/>
        <w:gridCol w:w="709"/>
        <w:gridCol w:w="1672"/>
        <w:gridCol w:w="281"/>
        <w:gridCol w:w="281"/>
        <w:gridCol w:w="39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916" w:type="dxa"/>
            <w:gridSpan w:val="3"/>
            <w:tcBorders>
              <w:top w:val="single" w:sz="4" w:space="0" w:color="000000"/>
              <w:left w:val="single" w:sz="4" w:space="0" w:color="000000"/>
            </w:tcBorders>
            <w:shd w:fill="004C97" w:val="clear"/>
            <w:tcMar>
              <w:top w:w="30" w:type="dxa"/>
              <w:left w:w="65"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Base</w:t>
              <w:br/>
              <w:t>Salary</w:t>
              <w:br/>
              <w:t>as of</w:t>
              <w:br/>
              <w:t>12/31/2025</w:t>
            </w:r>
          </w:p>
        </w:tc>
        <w:tc>
          <w:tcPr>
            <w:tcW w:w="305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Target Payout (as a % of Base Salary)</w:t>
            </w:r>
          </w:p>
        </w:tc>
        <w:tc>
          <w:tcPr>
            <w:tcW w:w="309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 Achieved (% of Target Payout)</w:t>
            </w:r>
          </w:p>
        </w:tc>
        <w:tc>
          <w:tcPr>
            <w:tcW w:w="96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tc>
      </w:tr>
      <w:tr>
        <w:trPr/>
        <w:tc>
          <w:tcPr>
            <w:tcW w:w="20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91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$1,150,000</w:t>
            </w:r>
          </w:p>
        </w:tc>
        <w:tc>
          <w:tcPr>
            <w:tcW w:w="140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653"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1672"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$2,072,966</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9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$561,800</w:t>
            </w:r>
          </w:p>
        </w:tc>
        <w:tc>
          <w:tcPr>
            <w:tcW w:w="14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65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16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$690,470</w:t>
            </w:r>
          </w:p>
        </w:tc>
      </w:tr>
      <w:tr>
        <w:trPr/>
        <w:tc>
          <w:tcPr>
            <w:tcW w:w="20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91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$648,035</w:t>
            </w:r>
          </w:p>
        </w:tc>
        <w:tc>
          <w:tcPr>
            <w:tcW w:w="140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653"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1672"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$631,371</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9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$632,894</w:t>
            </w:r>
          </w:p>
        </w:tc>
        <w:tc>
          <w:tcPr>
            <w:tcW w:w="14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65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6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$842,694</w:t>
            </w:r>
          </w:p>
        </w:tc>
      </w:tr>
      <w:tr>
        <w:trPr/>
        <w:tc>
          <w:tcPr>
            <w:tcW w:w="2070"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916"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$600,442</w:t>
            </w:r>
          </w:p>
        </w:tc>
        <w:tc>
          <w:tcPr>
            <w:tcW w:w="140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653"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8"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1672"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61"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$688,765</w:t>
            </w:r>
          </w:p>
        </w:tc>
      </w:tr>
    </w:tbl>
    <w:p>
      <w:pPr>
        <w:pStyle w:val="TextBody"/>
        <w:bidi w:val="0"/>
        <w:spacing w:lineRule="auto" w:line="288" w:before="360" w:after="60"/>
        <w:jc w:val="left"/>
        <w:rPr>
          <w:rFonts w:ascii="Arial;sans-serif" w:hAnsi="Arial;sans-serif"/>
          <w:b/>
          <w:color w:val="004C97"/>
          <w:sz w:val="20"/>
        </w:rPr>
      </w:pPr>
      <w:r>
        <w:rPr>
          <w:rFonts w:ascii="Arial;sans-serif" w:hAnsi="Arial;sans-serif"/>
          <w:b/>
          <w:color w:val="004C97"/>
          <w:sz w:val="20"/>
        </w:rPr>
        <w:t>Long-Term Incentives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Long-term incentives are an integral part of our executive compensation program. They are designed to align the financial interests of our NEOs with those of our stockholders through performance-based compensation that correlates with the creation of long-term stockholder value. Our long-term incentive awards also support our executive retention strategy.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2025, the Committee approved the following mix of LTI awards, which awards were granted in February 2025 under our stockholder approved plans:</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Stock Options (25%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2025, awards of Options were granted to eligible participants, including each of the NEOs, other than Mr. Data. The Committee approved the 2025 Option grants to the NEOs in March 2025. The exercise price per share of the 2025 Options is the closing trading price per share on the NYSE on the date of grant. The 2025 Options grant agreement provides generally for time-based ratable vesting in equal installments (of 33 1/3 percent per year) over a three-year period (generally subject to continued service during the period) with a maximum exercise term of ten years.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approves all grants of Options to executive officers based on its equity grant guidelines. The Committee’s practice is to grant annual option awards in late February or early March, several trading days after the filing of the Company’s Form 10-K for the preceding fiscal year, which is consistent with the Committee’s policy that option awards not be granted until after material information then-known to the Company that would affect the value of the options has been publicly disclosed.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39140"/>
                <wp:effectExtent l="0" t="0" r="0" b="0"/>
                <wp:wrapNone/>
                <wp:docPr id="210"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42" descr=""/>
                                                <pic:cNvPicPr>
                                                  <a:picLocks noChangeAspect="1" noChangeArrowheads="1"/>
                                                </pic:cNvPicPr>
                                              </pic:nvPicPr>
                                              <pic:blipFill>
                                                <a:blip r:embed="rId174"/>
                                                <a:stretch>
                                                  <a:fillRect/>
                                                </a:stretch>
                                              </pic:blipFill>
                                              <pic:spPr bwMode="auto">
                                                <a:xfrm>
                                                  <a:off x="0" y="0"/>
                                                  <a:ext cx="447675" cy="161925"/>
                                                </a:xfrm>
                                                <a:prstGeom prst="rect">
                                                  <a:avLst/>
                                                </a:prstGeom>
                                              </pic:spPr>
                                            </pic:pic>
                                          </a:graphicData>
                                        </a:graphic>
                                      </wp:inline>
                                    </w:drawing>
                                  </w:r>
                                  <w:bookmarkStart w:id="182" w:name="i-142"/>
                                  <w:bookmarkEnd w:id="182"/>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2" descr=""/>
                                          <pic:cNvPicPr>
                                            <a:picLocks noChangeAspect="1" noChangeArrowheads="1"/>
                                          </pic:cNvPicPr>
                                        </pic:nvPicPr>
                                        <pic:blipFill>
                                          <a:blip r:embed="rId175"/>
                                          <a:stretch>
                                            <a:fillRect/>
                                          </a:stretch>
                                        </pic:blipFill>
                                        <pic:spPr bwMode="auto">
                                          <a:xfrm>
                                            <a:off x="0" y="0"/>
                                            <a:ext cx="447675" cy="161925"/>
                                          </a:xfrm>
                                          <a:prstGeom prst="rect">
                                            <a:avLst/>
                                          </a:prstGeom>
                                        </pic:spPr>
                                      </pic:pic>
                                    </a:graphicData>
                                  </a:graphic>
                                </wp:inline>
                              </w:drawing>
                            </w:r>
                            <w:bookmarkStart w:id="183" w:name="i-142"/>
                            <w:bookmarkEnd w:id="183"/>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Performance Stock Units (50%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2025 awards of PSUs provide eligible participants, including each of the NEOs, other than Mr. Data, the opportunity to receive shares of common stock based on pre-established financial performance targets over a specified three-year period (and generally subject to continued service during the performance period). The performance criteria for the PSUs are based on the r-TSR of SPX as compared to the results of a peer group within the aggregated S&amp;P 600 SmallCap and S&amp;P 400 MidCap Capital Goods Indices. At grant date, this peer group was comprised of 103 companies that compete in similar markets. Payouts under the program are made in shares of our common stock and range from 0% to 200% based on our TSR achievement versus the peer group. Threshold payout is 50% of target and maximum payout is 200% of target, with linear interpolation of payouts for results between threshold and target or between target and maximum. Threshold payout is achieved at the 30th percentile, target at the 55th percentile, and maximum at the 85th percentile. No payout is awarded unless SPX performance is equal to or greater than the 30th percentile. Payout cannot exceed target if our TSR is negative.</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Restricted Stock Units (25%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part of the 2025 long-term incentive program, participants, including each of the NEOs, other than Mr. Data, received RSUs. The Committee approved the 2025 RSU grants to the NEOs in March 2025. The 2025 RSU grant agreement provides generally for time-based ratable vesting in annual installments (of 33 1/3 percent per year) over a three-year period (generally subject to continued service during the period). The Committee approves all grants of RSUs to be issued by the Company pursuant to approved equity grant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received the following long-term incentive award opportunities in 2025:</w:t>
      </w:r>
    </w:p>
    <w:tbl>
      <w:tblPr>
        <w:tblW w:w="5039" w:type="dxa"/>
        <w:jc w:val="left"/>
        <w:tblInd w:w="0" w:type="dxa"/>
        <w:tblLayout w:type="fixed"/>
        <w:tblCellMar>
          <w:top w:w="28" w:type="dxa"/>
          <w:left w:w="28" w:type="dxa"/>
          <w:bottom w:w="28" w:type="dxa"/>
          <w:right w:w="28" w:type="dxa"/>
        </w:tblCellMar>
      </w:tblPr>
      <w:tblGrid>
        <w:gridCol w:w="750"/>
        <w:gridCol w:w="659"/>
        <w:gridCol w:w="661"/>
        <w:gridCol w:w="319"/>
        <w:gridCol w:w="319"/>
        <w:gridCol w:w="321"/>
        <w:gridCol w:w="250"/>
        <w:gridCol w:w="250"/>
        <w:gridCol w:w="251"/>
        <w:gridCol w:w="203"/>
        <w:gridCol w:w="203"/>
        <w:gridCol w:w="203"/>
        <w:gridCol w:w="203"/>
        <w:gridCol w:w="203"/>
        <w:gridCol w:w="24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Named Executive Officer</w:t>
            </w:r>
          </w:p>
        </w:tc>
        <w:tc>
          <w:tcPr>
            <w:tcW w:w="959"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Target LTI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w:t>
            </w:r>
          </w:p>
        </w:tc>
        <w:tc>
          <w:tcPr>
            <w:tcW w:w="2010" w:type="dxa"/>
            <w:gridSpan w:val="9"/>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Units</w:t>
            </w:r>
          </w:p>
        </w:tc>
      </w:tr>
      <w:tr>
        <w:trPr/>
        <w:tc>
          <w:tcPr>
            <w:tcW w:w="2070"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959"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7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Options</w:t>
            </w:r>
          </w:p>
        </w:tc>
        <w:tc>
          <w:tcPr>
            <w:tcW w:w="60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PSUs</w:t>
            </w:r>
          </w:p>
        </w:tc>
        <w:tc>
          <w:tcPr>
            <w:tcW w:w="6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RSUs</w:t>
            </w:r>
          </w:p>
        </w:tc>
      </w:tr>
      <w:tr>
        <w:trPr/>
        <w:tc>
          <w:tcPr>
            <w:tcW w:w="20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95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$5,600,000</w:t>
            </w:r>
          </w:p>
        </w:tc>
        <w:tc>
          <w:tcPr>
            <w:tcW w:w="75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21,529</w:t>
            </w:r>
          </w:p>
        </w:tc>
        <w:tc>
          <w:tcPr>
            <w:tcW w:w="60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19,023</w:t>
            </w:r>
          </w:p>
        </w:tc>
        <w:tc>
          <w:tcPr>
            <w:tcW w:w="65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9,512</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95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w:t>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w:t>
            </w:r>
          </w:p>
        </w:tc>
        <w:tc>
          <w:tcPr>
            <w:tcW w:w="60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w:t>
            </w:r>
          </w:p>
        </w:tc>
        <w:tc>
          <w:tcPr>
            <w:tcW w:w="6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w:t>
            </w:r>
          </w:p>
        </w:tc>
      </w:tr>
      <w:tr>
        <w:trPr/>
        <w:tc>
          <w:tcPr>
            <w:tcW w:w="207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95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$1,100,000</w:t>
            </w:r>
          </w:p>
        </w:tc>
        <w:tc>
          <w:tcPr>
            <w:tcW w:w="75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w:t>
            </w:r>
          </w:p>
        </w:tc>
        <w:tc>
          <w:tcPr>
            <w:tcW w:w="60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3,737</w:t>
            </w:r>
          </w:p>
        </w:tc>
        <w:tc>
          <w:tcPr>
            <w:tcW w:w="65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95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$835,000</w:t>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3,210</w:t>
            </w:r>
          </w:p>
        </w:tc>
        <w:tc>
          <w:tcPr>
            <w:tcW w:w="60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w:t>
            </w:r>
          </w:p>
        </w:tc>
        <w:tc>
          <w:tcPr>
            <w:tcW w:w="6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w:t>
            </w:r>
          </w:p>
        </w:tc>
      </w:tr>
      <w:tr>
        <w:trPr/>
        <w:tc>
          <w:tcPr>
            <w:tcW w:w="2070"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638"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4" w:space="0" w:color="000000"/>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 xml:space="preserve">The allocation of Options was based on the Black-Scholes valuation and RSUs and PSUs were based on the average closing fair market value of SPX stock for the 15 trading days immediately preceding the date of grant. The amounts included for PSUs in the “Summary Compensation Table” beginning on page 37 and in the table included in “Grants of Plan-Based Awards” beginning on page 39 are based on the grant date fair value of the PSUs determined using financial accounting assumptions as required by SEC rules for reporting the related compensation in those tables, which differ from the values assigned to these awards in the allocations described above. In lieu of receiving any equity awards in 2025, Mr. Data received a discretionary bonus of $400,000 for 2025 in recognition of his continued service during the year.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Outstanding equity awards are more fully described in the “Outstanding Equity Awards at Fiscal Year-End” table in “Executive Compensation,” beginning on page 40.</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Performance Stock Units Awards in 2023</w:t>
      </w:r>
    </w:p>
    <w:p>
      <w:pPr>
        <w:pStyle w:val="TextBody"/>
        <w:bidi w:val="0"/>
        <w:spacing w:lineRule="auto" w:line="288" w:before="0" w:after="180"/>
        <w:jc w:val="both"/>
        <w:rPr/>
      </w:pPr>
      <w:r>
        <w:rPr>
          <w:rFonts w:ascii="Arial;sans-serif" w:hAnsi="Arial;sans-serif"/>
          <w:b w:val="false"/>
          <w:color w:val="000000"/>
          <w:sz w:val="18"/>
        </w:rPr>
        <w:t>The grant of PSUs made in March 2023 to the NEOs covered the measurement period of January 1, 2023 through December 31, 2025. The performance metric for these PSUs measures r-TSR compared to a peer group comprised of the S&amp;P 600 SmallCap Capital Goods Index. Total stockholder return delivered in the measurement period was 198.5%, which ranked in the 89</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 compared to threshold of 30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 that would earn a 50% payout, target of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 and maximum of 75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 that would earn a 150% payout. The resulting performance achievement of the March 2023 grant was a 150% payout of the PSUs. The final value of the payout reflects both the appreciation of the value of stock since the time of the grant and the payout at 150% of the performance award.</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OTHER PRACTICES, POLICIES, AND GUIDELINES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Policy on Hedging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SPX director or employee may trade in derivative securities relating to SPX securities, such as put and call options or forward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39140"/>
                <wp:effectExtent l="0" t="0" r="0" b="0"/>
                <wp:wrapNone/>
                <wp:docPr id="213"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43" descr=""/>
                                                <pic:cNvPicPr>
                                                  <a:picLocks noChangeAspect="1" noChangeArrowheads="1"/>
                                                </pic:cNvPicPr>
                                              </pic:nvPicPr>
                                              <pic:blipFill>
                                                <a:blip r:embed="rId176"/>
                                                <a:stretch>
                                                  <a:fillRect/>
                                                </a:stretch>
                                              </pic:blipFill>
                                              <pic:spPr bwMode="auto">
                                                <a:xfrm>
                                                  <a:off x="0" y="0"/>
                                                  <a:ext cx="447675" cy="161925"/>
                                                </a:xfrm>
                                                <a:prstGeom prst="rect">
                                                  <a:avLst/>
                                                </a:prstGeom>
                                              </pic:spPr>
                                            </pic:pic>
                                          </a:graphicData>
                                        </a:graphic>
                                      </wp:inline>
                                    </w:drawing>
                                  </w:r>
                                  <w:bookmarkStart w:id="184" w:name="i-143"/>
                                  <w:bookmarkEnd w:id="184"/>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43" descr=""/>
                                          <pic:cNvPicPr>
                                            <a:picLocks noChangeAspect="1" noChangeArrowheads="1"/>
                                          </pic:cNvPicPr>
                                        </pic:nvPicPr>
                                        <pic:blipFill>
                                          <a:blip r:embed="rId177"/>
                                          <a:stretch>
                                            <a:fillRect/>
                                          </a:stretch>
                                        </pic:blipFill>
                                        <pic:spPr bwMode="auto">
                                          <a:xfrm>
                                            <a:off x="0" y="0"/>
                                            <a:ext cx="447675" cy="161925"/>
                                          </a:xfrm>
                                          <a:prstGeom prst="rect">
                                            <a:avLst/>
                                          </a:prstGeom>
                                        </pic:spPr>
                                      </pic:pic>
                                    </a:graphicData>
                                  </a:graphic>
                                </wp:inline>
                              </w:drawing>
                            </w:r>
                            <w:bookmarkStart w:id="185" w:name="i-143"/>
                            <w:bookmarkEnd w:id="185"/>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Policy on Pledging</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No SPX director or executive officer may pledge SPX securities.</w:t>
      </w:r>
    </w:p>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Insider Trading Policy</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We have adopted an insider trading policy governing the purchase, sale and other dispositions of the Company’s securities that applies to all Company personnel, including directors, officers, employees, and other covered persons. We also follow procedures for the repurchase of our securities. We believe that our insider trading policy and repurchase procedures are reasonably designed to promote compliance with insider trading laws, rules and regulations, and listing standards applicable to the SPX.</w:t>
      </w:r>
    </w:p>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Stock Ownership Guidelines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Our Stock Ownership Guidelines are designed to help ensure our executive officers’ interests are closely aligned with those of our long-term stockholders. Additional detail can be found in “Ownership of Common Stock—Stock Ownership Guidelines” on page 21.</w:t>
      </w:r>
    </w:p>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Compensation Clawback Policies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The Company maintains two executive compensation clawback policies with respect to its executive officers, including a policy adopted effective as of December 1, 2023 to address new requirements under rules recently adopted by the SEC and NYSE under the Dodd-Frank Wall Street Reform and Consumer Protection Act of 2010 mandating the clawback of incentive compensation upon the restatement of the Company’s financial statements (the “Dodd-Frank clawback policy”). The prior-existing clawback policy that had been adopted by the Company defines the economic consequences misconduct could have on the compensation of executive officers. Under that policy, we retroactively adjust compensation in the event of a restatement of financial or other performance results to the extent required under applicable rules under the Sarbanes-Oxley Act of 2002. Our executive bonus program provides for repayment or forfeiture of awards under specified circumstances if the Company, as a result of misconduct, is required to prepare an accounting restatement due to material noncompliance with any financial reporting requirement under the securities laws. Any awards earned or accrued during the 12-month period following the first public issuance or filing with the SEC (whichever first occurred) of the financial document that failed to materially comply with a financial reporting requirement must be paid back to the Company. To the extent that the affected award was deferred under a nonqualified deferred compensation plan maintained by the Company rather than paid to the executive officer, the deferred amount (and any earnings from it) must be forfeited. If the Board were to determine that a NEO had engaged in fraudulent or intentional misconduct, it would take action to remedy the misconduct and impose appropriate discipline. Discipline would vary based on the facts and circumstances, but could include termination of employment and/or other appropriate actions.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 xml:space="preserve">The Dodd-Frank clawback policy is of broader scope and applies with respect to a restatement of the Company’s financial statements even in the absence of any fraud or misconduct by an executive officer. The policy generally requires the recovery by the Company, in the event of a required accounting restatement (including a “little-r” restatement) of the Company’s financial statements, of incentive-based compensation received after the effective date of the adoption of the policy, which is based wholly or in part upon the attainment of any financial reporting measure, received by current or former executive officers to the extent that such compensation based on the erroneously reported financial information exceeds the amount derived from the restated financial information. Clawback under the policy is required for any such excess compensation received during the three completed fiscal years immediately preceding the date the Company is required to prepare an accounting restatement. The policy provides for mandatory clawback by the Company of such excess compensation, with exceptions applicable only if (1) the direct expense paid to a third party to assist in enforcing the policy would exceed the amount to be recovered (provided that the Company must make a reasonable attempt to recover such erroneously awarded compensation, document its reasonable attempts to recover, and provide that documentation to the NYSE) or (2) a recovery from certain tax-qualified retirement plans would likely cause such plans to fail to meet the statutory requirements for tax exemption. </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To facilitate the application of the Dodd-Frank clawback policy, the Company requires recipients of awards of incentive compensation based wholly or in part upon the attainment of any financial reporting measure, including relative TSR, to agree to repay any such excess compensation in accordance with the policy. Since 2013, our equity award agreements have provided that awards are subject to any compensation recovery policy adopted by the Company, as amended from time to time.</w:t>
      </w:r>
    </w:p>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Other Benefits and Perquisites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We provide perquisites to attract and retain executives in a competitive marketplace, and we believe these benefits are generally consistent with market practices of our peer group and other comparable public industrial manufacturing companies. For a full listing of benefits and perquisites, see the “Summary Compensation Table” and accompanying footnotes beginning on page 37. We do not provide tax gross-up payments for perquisites.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39140"/>
                <wp:effectExtent l="0" t="0" r="0" b="0"/>
                <wp:wrapNone/>
                <wp:docPr id="216"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44" descr=""/>
                                                <pic:cNvPicPr>
                                                  <a:picLocks noChangeAspect="1" noChangeArrowheads="1"/>
                                                </pic:cNvPicPr>
                                              </pic:nvPicPr>
                                              <pic:blipFill>
                                                <a:blip r:embed="rId178"/>
                                                <a:stretch>
                                                  <a:fillRect/>
                                                </a:stretch>
                                              </pic:blipFill>
                                              <pic:spPr bwMode="auto">
                                                <a:xfrm>
                                                  <a:off x="0" y="0"/>
                                                  <a:ext cx="447675" cy="161925"/>
                                                </a:xfrm>
                                                <a:prstGeom prst="rect">
                                                  <a:avLst/>
                                                </a:prstGeom>
                                              </pic:spPr>
                                            </pic:pic>
                                          </a:graphicData>
                                        </a:graphic>
                                      </wp:inline>
                                    </w:drawing>
                                  </w:r>
                                  <w:bookmarkStart w:id="186" w:name="i-144"/>
                                  <w:bookmarkEnd w:id="186"/>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4" descr=""/>
                                          <pic:cNvPicPr>
                                            <a:picLocks noChangeAspect="1" noChangeArrowheads="1"/>
                                          </pic:cNvPicPr>
                                        </pic:nvPicPr>
                                        <pic:blipFill>
                                          <a:blip r:embed="rId179"/>
                                          <a:stretch>
                                            <a:fillRect/>
                                          </a:stretch>
                                        </pic:blipFill>
                                        <pic:spPr bwMode="auto">
                                          <a:xfrm>
                                            <a:off x="0" y="0"/>
                                            <a:ext cx="447675" cy="161925"/>
                                          </a:xfrm>
                                          <a:prstGeom prst="rect">
                                            <a:avLst/>
                                          </a:prstGeom>
                                        </pic:spPr>
                                      </pic:pic>
                                    </a:graphicData>
                                  </a:graphic>
                                </wp:inline>
                              </w:drawing>
                            </w:r>
                            <w:bookmarkStart w:id="187" w:name="i-144"/>
                            <w:bookmarkEnd w:id="187"/>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Our CEO may utilize our aircraft for personal travel for himself and his family. Other executive officers may be permitted personal use of our aircraft for themselves and their families if approved by our CEO. We report the value of any personal use of our corporate aircraft by NEOs as ordinary taxable income based on Standard Industry Fare Levels and as compensation in the “Summary Compensation Table” on page 37 based on our incremental costs.</w:t>
      </w:r>
    </w:p>
    <w:p>
      <w:pPr>
        <w:pStyle w:val="TextBody"/>
        <w:bidi w:val="0"/>
        <w:spacing w:lineRule="auto" w:line="288" w:before="0" w:after="120"/>
        <w:jc w:val="left"/>
        <w:rPr>
          <w:rFonts w:ascii="Arial;sans-serif" w:hAnsi="Arial;sans-serif"/>
          <w:b/>
          <w:color w:val="004C97"/>
          <w:sz w:val="20"/>
        </w:rPr>
      </w:pPr>
      <w:r>
        <w:rPr>
          <w:rFonts w:ascii="Arial;sans-serif" w:hAnsi="Arial;sans-serif"/>
          <w:b/>
          <w:color w:val="004C97"/>
          <w:sz w:val="20"/>
        </w:rPr>
        <w:t>Retirement and Deferred Compensation Plans</w:t>
      </w:r>
    </w:p>
    <w:tbl>
      <w:tblPr>
        <w:tblW w:w="6645" w:type="dxa"/>
        <w:jc w:val="left"/>
        <w:tblInd w:w="0" w:type="dxa"/>
        <w:tblLayout w:type="fixed"/>
        <w:tblCellMar>
          <w:top w:w="28" w:type="dxa"/>
          <w:left w:w="28" w:type="dxa"/>
          <w:bottom w:w="28" w:type="dxa"/>
          <w:right w:w="28" w:type="dxa"/>
        </w:tblCellMar>
      </w:tblPr>
      <w:tblGrid>
        <w:gridCol w:w="2126"/>
        <w:gridCol w:w="1869"/>
        <w:gridCol w:w="2650"/>
      </w:tblGrid>
      <w:tr>
        <w:trPr/>
        <w:tc>
          <w:tcPr>
            <w:tcW w:w="212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D4D89"/>
              <w:left w:val="single" w:sz="8" w:space="0" w:color="0D4D89"/>
              <w:right w:val="single" w:sz="8" w:space="0" w:color="0D4D89"/>
            </w:tcBorders>
            <w:tcMar>
              <w:bottom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left w:val="single" w:sz="8" w:space="0" w:color="0D4D89"/>
              <w:right w:val="single" w:sz="8" w:space="0" w:color="0D4D89"/>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None of our NEOs participate in an SPX defined benefit pension plan.</w:t>
            </w:r>
          </w:p>
        </w:tc>
      </w:tr>
      <w:tr>
        <w:trPr/>
        <w:tc>
          <w:tcPr>
            <w:tcW w:w="6645" w:type="dxa"/>
            <w:gridSpan w:val="3"/>
            <w:tcBorders>
              <w:left w:val="single" w:sz="8" w:space="0" w:color="0D4D89"/>
              <w:bottom w:val="single" w:sz="8" w:space="0" w:color="0D4D89"/>
              <w:right w:val="single" w:sz="8" w:space="0" w:color="0D4D89"/>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Our executives, along with the majority of our U.S.-based employee population, are eligible to receive matching contributions into the SPX Retirement Savings and Stock Ownership Plan (the “401(k) Plan”), a tax-qualified retirement savings plan. Matching contributions are immediately vested and are invested initially in the SPX Common Stock Fund in the form of units. This fund under the 401(k) Plan is primarily invested in SPX common stock, with a small portion of the fund in cash, for purposes of administrative convenience.</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Executive officers and other senior-level management employees are also eligible to participate in the SPX Supplemental Retirement Savings Plan (the “SRSP”), a non-qualified deferred compensation plan that permits voluntary deferrals of base salary and annual bonuses.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For more information regarding these plans, see “Nonqualified Deferred Compensation,” beginning on page 42.</w:t>
      </w:r>
    </w:p>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Termination and Change-in-Control Provisions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As described below, all our NEOs who are currently employed, except Mr. Lowe, have entered into the current form of our change-in-control agreement as filed with the SEC.</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On September 28, 2015, the Committee recommended, and the Board approved, an employment agreement and a change-in-control agreement for Mr. Lowe, President and Chief Executive Officer, and the form of severance benefit agreements and change-in-control agreements for all other current executive officers. The Committee reviews these agreements annually considering stakeholder interests and market competitiveness and will address adjustments as it deems appropriate.</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Our severance arrangements are designed to protect stockholder interests by stabilizing management during periods of uncertainty. Executives often assign significant value to severance agreements because these agreements provide compensation for lost professional opportunities in the event of a negative qualifying event following a change-in-control.</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Severance agreements can also be a powerful tool to discourage entrenchment of management, in that these agreements can offset the risk of financial and professional loss that management may face when recommending a sale to or merger with another company. Our severance arrangements are structured to serve the above functions, which differ, and are perceived by recipients to differ, from pay for performance. Accordingly, decisions relating to other elements of compensation have minimal effect on decisions relating to existing severance agreements. As described above, all our NEOs who are currently employed, except Mr. Lowe, have entered into the most current form of our severance benefit agreement as filed with the SEC. In lieu of a separate severance benefit agreement, we have entered into an employment agreement with Mr. Lowe that provides for certain severance benefits.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We utilize a double-trigger in the event of a change-in-control. If the executive officer experiences a qualifying negative employment action following a change-in-control, then the executive officer becomes immediately vested in all previously granted unvested SPX equity, including shares subject to performance vesting, at the target level of vesting. This feature is designed to be equitable in the event of dismissal without cause or resignation for good reason, and we believe it is appropriate in the event of termination following a change-in-control.</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Severance and change-in-control terms are further discussed and quantified in “Potential Payments Upon Termination or Change-in-Control,” beginning on page 44.</w:t>
      </w:r>
    </w:p>
    <w:p>
      <w:pPr>
        <w:pStyle w:val="TextBody"/>
        <w:bidi w:val="0"/>
        <w:spacing w:lineRule="auto" w:line="276" w:before="0" w:after="60"/>
        <w:jc w:val="left"/>
        <w:rPr>
          <w:rFonts w:ascii="Arial;sans-serif" w:hAnsi="Arial;sans-serif"/>
          <w:b/>
          <w:color w:val="004C97"/>
          <w:sz w:val="20"/>
        </w:rPr>
      </w:pPr>
      <w:r>
        <w:rPr>
          <w:rFonts w:ascii="Arial;sans-serif" w:hAnsi="Arial;sans-serif"/>
          <w:b/>
          <w:color w:val="004C97"/>
          <w:sz w:val="20"/>
        </w:rPr>
        <w:t>Notes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The discussion of performance targets in this CD&amp;A is exclusively in the context of executive compensation and should not be used for any other purpose or regarded as an indication of management’s expectations of future results.</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References to “bonus” or “bonuses” in this CD&amp;A and the compensation tables are to our annual performance-based payments reflected as “Non-Equity Incentive Plan Compensation” in the “Summary Compensation Table” on page 37 and “Estimated Future Payouts under Non-Equity Incentive Plan Awards” in the “Grants of Plan-Based Awards” table on page 39.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39140"/>
                <wp:effectExtent l="0" t="0" r="0" b="0"/>
                <wp:wrapNone/>
                <wp:docPr id="219"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5" descr=""/>
                                                <pic:cNvPicPr>
                                                  <a:picLocks noChangeAspect="1" noChangeArrowheads="1"/>
                                                </pic:cNvPicPr>
                                              </pic:nvPicPr>
                                              <pic:blipFill>
                                                <a:blip r:embed="rId180"/>
                                                <a:stretch>
                                                  <a:fillRect/>
                                                </a:stretch>
                                              </pic:blipFill>
                                              <pic:spPr bwMode="auto">
                                                <a:xfrm>
                                                  <a:off x="0" y="0"/>
                                                  <a:ext cx="447675" cy="161925"/>
                                                </a:xfrm>
                                                <a:prstGeom prst="rect">
                                                  <a:avLst/>
                                                </a:prstGeom>
                                              </pic:spPr>
                                            </pic:pic>
                                          </a:graphicData>
                                        </a:graphic>
                                      </wp:inline>
                                    </w:drawing>
                                  </w:r>
                                  <w:bookmarkStart w:id="188" w:name="i-145"/>
                                  <w:bookmarkEnd w:id="188"/>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45" descr=""/>
                                          <pic:cNvPicPr>
                                            <a:picLocks noChangeAspect="1" noChangeArrowheads="1"/>
                                          </pic:cNvPicPr>
                                        </pic:nvPicPr>
                                        <pic:blipFill>
                                          <a:blip r:embed="rId181"/>
                                          <a:stretch>
                                            <a:fillRect/>
                                          </a:stretch>
                                        </pic:blipFill>
                                        <pic:spPr bwMode="auto">
                                          <a:xfrm>
                                            <a:off x="0" y="0"/>
                                            <a:ext cx="447675" cy="161925"/>
                                          </a:xfrm>
                                          <a:prstGeom prst="rect">
                                            <a:avLst/>
                                          </a:prstGeom>
                                        </pic:spPr>
                                      </pic:pic>
                                    </a:graphicData>
                                  </a:graphic>
                                </wp:inline>
                              </w:drawing>
                            </w:r>
                            <w:bookmarkStart w:id="189" w:name="i-145"/>
                            <w:bookmarkEnd w:id="189"/>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283"/>
        <w:jc w:val="both"/>
        <w:rPr>
          <w:rFonts w:ascii="Arial;sans-serif" w:hAnsi="Arial;sans-serif"/>
          <w:b/>
          <w:color w:val="000000"/>
          <w:sz w:val="32"/>
        </w:rPr>
      </w:pPr>
      <w:bookmarkStart w:id="190" w:name="i47c01f2ecc4e4a55bb446d8ea7992a12_63397"/>
      <w:bookmarkEnd w:id="190"/>
      <w:r>
        <w:rPr>
          <w:rFonts w:ascii="Arial;sans-serif" w:hAnsi="Arial;sans-serif"/>
          <w:b/>
          <w:color w:val="000000"/>
          <w:sz w:val="32"/>
        </w:rPr>
        <w:t>Risk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regularly monitors and reviews our compensation program and the related risks and reports its findings to the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do not believe our compensation policies and practices give rise to risks that are reasonably likely to have a material adverse effect on our Company. In reaching this conclusion, we considered the following factors:</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Our compensation program is designed to provide a mix of both fixed and variable incentive compensation.</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The variable portions of compensation (cash incentive and equity awards) are designed to reward both annual performance and longer-term performance. We believe this design mitigates any incentive for short-term risk-taking that could be detrimental to our Company’s long-term best interests.</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For business and segment level executives, a significant percentage of their compensation is based on the performance of our Company as a whole. This is designed to mitigate any incentive to pursue strategies that might maximize the performance of a single operating business unit to the detriment of our Company as a whole.</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Our executive officers are subject to stock ownership guidelines that we believe incentivize our executives to consider the long-term interests of our Company and our stockholders and discourage excessive risk-taking that could negatively impact our stock price.</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The Committee exercises risk oversight of our executive compensation program.</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The management annual bonus plan also has clawback provisions relating to any fraud, manipulation, or negligence in connection with computation of performance measures or payments under the plans.</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Incentive plans are primarily determined by a formula tied directly to Company performance.</w:t>
      </w:r>
    </w:p>
    <w:p>
      <w:pPr>
        <w:pStyle w:val="TextBody"/>
        <w:bidi w:val="0"/>
        <w:spacing w:lineRule="auto" w:line="288" w:before="0" w:after="100"/>
        <w:ind w:left="0" w:right="0" w:hanging="216"/>
        <w:jc w:val="both"/>
        <w:rPr/>
      </w:pPr>
      <w:r>
        <w:rPr>
          <w:color w:val="000000"/>
        </w:rPr>
        <w:t>•</w:t>
      </w:r>
      <w:r>
        <w:rPr>
          <w:rFonts w:ascii="Arial;sans-serif" w:hAnsi="Arial;sans-serif"/>
          <w:b w:val="false"/>
          <w:color w:val="000000"/>
          <w:sz w:val="18"/>
        </w:rPr>
        <w:t>Sales incentive plans are regularly reviewed within the context of enterprise risk.</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In addition to the structure of our plans, we mitigate any risk that may be generated by compensation plans through management oversight, compliance training and enforcement, and periodic reviews.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single SPX business unit carries a significant portion of the Company’s risk profile, or has compensation structured in a significantly different manner than other business units within the Company, regardless of relative business unit profitability or compensation expense as a percentage of revenues.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does not believe that any of the design features pose a significant concern. Based upon this analysis, we determined that the compensation programs do not present a material risk.</w:t>
      </w:r>
    </w:p>
    <w:p>
      <w:pPr>
        <w:pStyle w:val="TextBody"/>
        <w:bidi w:val="0"/>
        <w:spacing w:lineRule="auto" w:line="288" w:before="360" w:after="283"/>
        <w:jc w:val="left"/>
        <w:rPr>
          <w:rFonts w:ascii="Arial;sans-serif" w:hAnsi="Arial;sans-serif"/>
          <w:b/>
          <w:color w:val="000000"/>
          <w:sz w:val="32"/>
        </w:rPr>
      </w:pPr>
      <w:bookmarkStart w:id="191" w:name="i47c01f2ecc4e4a55bb446d8ea7992a12_63407"/>
      <w:bookmarkEnd w:id="191"/>
      <w:r>
        <w:rPr>
          <w:rFonts w:ascii="Arial;sans-serif" w:hAnsi="Arial;sans-serif"/>
          <w:b/>
          <w:color w:val="000000"/>
          <w:sz w:val="32"/>
        </w:rPr>
        <w:t>Compensation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of the SPX Board of Directors consists of five directors. Each of the Committee members is independent, as defined under SEC rules and the listing standards of the NYSE. The Committee reviews SPX’s “Compensation Discussion and Analysis” on behalf of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has reviewed and discussed the “Compensation Discussion and Analysis” with management, and based on the review and discussions, the Committee recommended to the Board that the “Compensation Discussion and Analysis” be included in this Proxy Statement and SPX’s Annual Report on Form 10-K for the year ended December 31, 2025.</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Compensation Committee,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Ricky D. Puckett, Chairman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David A. Roberts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Ruth G. Shaw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Robert B. Toth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Tana L. Utley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9140"/>
                <wp:effectExtent l="0" t="0" r="0" b="0"/>
                <wp:wrapNone/>
                <wp:docPr id="222"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46" descr=""/>
                                                <pic:cNvPicPr>
                                                  <a:picLocks noChangeAspect="1" noChangeArrowheads="1"/>
                                                </pic:cNvPicPr>
                                              </pic:nvPicPr>
                                              <pic:blipFill>
                                                <a:blip r:embed="rId182"/>
                                                <a:stretch>
                                                  <a:fillRect/>
                                                </a:stretch>
                                              </pic:blipFill>
                                              <pic:spPr bwMode="auto">
                                                <a:xfrm>
                                                  <a:off x="0" y="0"/>
                                                  <a:ext cx="447675" cy="161925"/>
                                                </a:xfrm>
                                                <a:prstGeom prst="rect">
                                                  <a:avLst/>
                                                </a:prstGeom>
                                              </pic:spPr>
                                            </pic:pic>
                                          </a:graphicData>
                                        </a:graphic>
                                      </wp:inline>
                                    </w:drawing>
                                  </w:r>
                                  <w:bookmarkStart w:id="192" w:name="i-146"/>
                                  <w:bookmarkEnd w:id="192"/>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46" descr=""/>
                                          <pic:cNvPicPr>
                                            <a:picLocks noChangeAspect="1" noChangeArrowheads="1"/>
                                          </pic:cNvPicPr>
                                        </pic:nvPicPr>
                                        <pic:blipFill>
                                          <a:blip r:embed="rId183"/>
                                          <a:stretch>
                                            <a:fillRect/>
                                          </a:stretch>
                                        </pic:blipFill>
                                        <pic:spPr bwMode="auto">
                                          <a:xfrm>
                                            <a:off x="0" y="0"/>
                                            <a:ext cx="447675" cy="161925"/>
                                          </a:xfrm>
                                          <a:prstGeom prst="rect">
                                            <a:avLst/>
                                          </a:prstGeom>
                                        </pic:spPr>
                                      </pic:pic>
                                    </a:graphicData>
                                  </a:graphic>
                                </wp:inline>
                              </w:drawing>
                            </w:r>
                            <w:bookmarkStart w:id="193" w:name="i-146"/>
                            <w:bookmarkEnd w:id="193"/>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0"/>
        <w:jc w:val="left"/>
        <w:rPr>
          <w:rFonts w:ascii="Arial;sans-serif" w:hAnsi="Arial;sans-serif"/>
          <w:b/>
          <w:color w:val="000000"/>
          <w:sz w:val="32"/>
        </w:rPr>
      </w:pPr>
      <w:bookmarkStart w:id="194" w:name="i47c01f2ecc4e4a55bb446d8ea7992a12_63378"/>
      <w:bookmarkEnd w:id="194"/>
      <w:r>
        <w:rPr>
          <w:rFonts w:ascii="Arial;sans-serif" w:hAnsi="Arial;sans-serif"/>
          <w:b/>
          <w:color w:val="000000"/>
          <w:sz w:val="32"/>
        </w:rPr>
        <w:t>Compensation Tables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195" w:name="i47c01f2ecc4e4a55bb446d8ea7992a12_63392"/>
      <w:bookmarkEnd w:id="195"/>
      <w:r>
        <w:rPr>
          <w:rFonts w:ascii="Arial;sans-serif" w:hAnsi="Arial;sans-serif"/>
          <w:b/>
          <w:color w:val="000000"/>
          <w:sz w:val="22"/>
        </w:rPr>
        <w:t>SUMMARY COMPENSATION TABLE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summarizes the compensation for our named executive officers during 2025. The “named executive officers” or “NEOs” are our Chief Executive Officer, our Chief Financial Officer and our next three most highly compensated officers who were executive officers at year end.</w:t>
      </w:r>
    </w:p>
    <w:tbl>
      <w:tblPr>
        <w:tblW w:w="10205" w:type="dxa"/>
        <w:jc w:val="left"/>
        <w:tblInd w:w="0" w:type="dxa"/>
        <w:tblLayout w:type="fixed"/>
        <w:tblCellMar>
          <w:top w:w="28" w:type="dxa"/>
          <w:left w:w="28" w:type="dxa"/>
          <w:bottom w:w="28" w:type="dxa"/>
          <w:right w:w="28" w:type="dxa"/>
        </w:tblCellMar>
      </w:tblPr>
      <w:tblGrid>
        <w:gridCol w:w="782"/>
        <w:gridCol w:w="288"/>
        <w:gridCol w:w="289"/>
        <w:gridCol w:w="154"/>
        <w:gridCol w:w="154"/>
        <w:gridCol w:w="158"/>
        <w:gridCol w:w="274"/>
        <w:gridCol w:w="274"/>
        <w:gridCol w:w="278"/>
        <w:gridCol w:w="368"/>
        <w:gridCol w:w="368"/>
        <w:gridCol w:w="211"/>
        <w:gridCol w:w="359"/>
        <w:gridCol w:w="242"/>
        <w:gridCol w:w="243"/>
        <w:gridCol w:w="359"/>
        <w:gridCol w:w="242"/>
        <w:gridCol w:w="243"/>
        <w:gridCol w:w="445"/>
        <w:gridCol w:w="445"/>
        <w:gridCol w:w="446"/>
        <w:gridCol w:w="467"/>
        <w:gridCol w:w="467"/>
        <w:gridCol w:w="468"/>
        <w:gridCol w:w="434"/>
        <w:gridCol w:w="434"/>
        <w:gridCol w:w="435"/>
        <w:gridCol w:w="253"/>
        <w:gridCol w:w="253"/>
        <w:gridCol w:w="372"/>
      </w:tblGrid>
      <w:tr>
        <w:trPr/>
        <w:tc>
          <w:tcPr>
            <w:tcW w:w="78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 and Principal Position</w:t>
            </w:r>
          </w:p>
        </w:tc>
        <w:tc>
          <w:tcPr>
            <w:tcW w:w="46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w:t>
            </w:r>
          </w:p>
        </w:tc>
        <w:tc>
          <w:tcPr>
            <w:tcW w:w="82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Salary</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(1)</w:t>
            </w:r>
          </w:p>
        </w:tc>
        <w:tc>
          <w:tcPr>
            <w:tcW w:w="94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84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Stock Awards ($)</w:t>
            </w:r>
            <w:r>
              <w:rPr>
                <w:rFonts w:ascii="Arial;sans-serif" w:hAnsi="Arial;sans-serif"/>
                <w:b/>
                <w:color w:val="FFFFFF"/>
                <w:sz w:val="10"/>
              </w:rPr>
              <w:t>(2)</w:t>
            </w:r>
          </w:p>
        </w:tc>
        <w:tc>
          <w:tcPr>
            <w:tcW w:w="84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Option Awards ($)</w:t>
            </w:r>
            <w:r>
              <w:rPr>
                <w:rFonts w:ascii="Arial;sans-serif" w:hAnsi="Arial;sans-serif"/>
                <w:b/>
                <w:color w:val="FFFFFF"/>
                <w:sz w:val="10"/>
              </w:rPr>
              <w:t>(3)</w:t>
            </w:r>
          </w:p>
        </w:tc>
        <w:tc>
          <w:tcPr>
            <w:tcW w:w="133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Non-Equity Incentive Plan Compensation ($)</w:t>
            </w:r>
            <w:r>
              <w:rPr>
                <w:rFonts w:ascii="Arial;sans-serif" w:hAnsi="Arial;sans-serif"/>
                <w:b/>
                <w:color w:val="FFFFFF"/>
                <w:sz w:val="10"/>
              </w:rPr>
              <w:t>(4)</w:t>
            </w:r>
          </w:p>
        </w:tc>
        <w:tc>
          <w:tcPr>
            <w:tcW w:w="140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 in Pension Value and Nonqualified Deferred Compensation Earnings ($)</w:t>
            </w:r>
          </w:p>
        </w:tc>
        <w:tc>
          <w:tcPr>
            <w:tcW w:w="130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 Compensation ($)</w:t>
            </w:r>
            <w:r>
              <w:rPr>
                <w:rFonts w:ascii="Arial;sans-serif" w:hAnsi="Arial;sans-serif"/>
                <w:b/>
                <w:color w:val="FFFFFF"/>
                <w:sz w:val="10"/>
              </w:rPr>
              <w:t>(5)</w:t>
            </w:r>
          </w:p>
        </w:tc>
        <w:tc>
          <w:tcPr>
            <w:tcW w:w="87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359"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1,138,116</w:t>
            </w:r>
          </w:p>
        </w:tc>
        <w:tc>
          <w:tcPr>
            <w:tcW w:w="7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4,619,805</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1,318,221</w:t>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2,072,966</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189,705</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9,338,813</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1,085,644</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4,597,246</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1,232,260</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2,188,359</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201,660</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9,305,169</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1,026,849</w:t>
            </w:r>
          </w:p>
        </w:tc>
        <w:tc>
          <w:tcPr>
            <w:tcW w:w="7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3,175,978</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1,051,658</w:t>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2,277,000</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127,129</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7,658,614</w:t>
            </w:r>
          </w:p>
        </w:tc>
      </w:tr>
      <w:tr>
        <w:trPr/>
        <w:tc>
          <w:tcPr>
            <w:tcW w:w="1359"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A. Carano</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Vice President, Chief Financial Officer and Treasurer</w:t>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554,656</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742,461</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211,856</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690,470</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60,601</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2,260,044</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524,466</w:t>
            </w:r>
          </w:p>
        </w:tc>
        <w:tc>
          <w:tcPr>
            <w:tcW w:w="7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769,438</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206,258</w:t>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672,750</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64,042</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2,236,954</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497,260</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787,103</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173,222</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29,320</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2,286,905</w:t>
            </w:r>
          </w:p>
        </w:tc>
      </w:tr>
      <w:tr>
        <w:trPr/>
        <w:tc>
          <w:tcPr>
            <w:tcW w:w="1359"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br/>
              <w:t>Segment President, HVAC</w:t>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638,510</w:t>
            </w:r>
          </w:p>
        </w:tc>
        <w:tc>
          <w:tcPr>
            <w:tcW w:w="7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907,461</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258,942</w:t>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631,371</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97,676</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2,533,960</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600,583</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999,416</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267,876</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32,966</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2,681,236</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572,888</w:t>
            </w:r>
          </w:p>
        </w:tc>
        <w:tc>
          <w:tcPr>
            <w:tcW w:w="947"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125,000</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560,505</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185,578</w:t>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792,207</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22,771</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2,258,949</w:t>
            </w:r>
          </w:p>
        </w:tc>
      </w:tr>
      <w:tr>
        <w:trPr/>
        <w:tc>
          <w:tcPr>
            <w:tcW w:w="1359"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Segment President, Detection &amp; Measurement</w:t>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626,771</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688,723</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196,548</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842,694</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108,907</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2,463,643</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600,583</w:t>
            </w:r>
          </w:p>
        </w:tc>
        <w:tc>
          <w:tcPr>
            <w:tcW w:w="7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799,558</w:t>
            </w:r>
          </w:p>
        </w:tc>
        <w:tc>
          <w:tcPr>
            <w:tcW w:w="84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214,291</w:t>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657,127</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96,763</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2,368,322</w:t>
            </w:r>
          </w:p>
        </w:tc>
      </w:tr>
      <w:tr>
        <w:trPr/>
        <w:tc>
          <w:tcPr>
            <w:tcW w:w="1359"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572,888</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560,505</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185,578</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654,071</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67,939</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2,040,981</w:t>
            </w:r>
          </w:p>
        </w:tc>
      </w:tr>
      <w:tr>
        <w:trPr/>
        <w:tc>
          <w:tcPr>
            <w:tcW w:w="1359"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J. Randall Data</w:t>
            </w:r>
            <w:r>
              <w:rPr>
                <w:rFonts w:ascii="Arial;sans-serif" w:hAnsi="Arial;sans-serif"/>
                <w:b w:val="false"/>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Former President, Global Operations and Data Center Solutions</w:t>
            </w:r>
          </w:p>
        </w:tc>
        <w:tc>
          <w:tcPr>
            <w:tcW w:w="46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563,997</w:t>
            </w:r>
          </w:p>
        </w:tc>
        <w:tc>
          <w:tcPr>
            <w:tcW w:w="7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1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688,765</w:t>
            </w:r>
          </w:p>
        </w:tc>
        <w:tc>
          <w:tcPr>
            <w:tcW w:w="934"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62,180</w:t>
            </w:r>
          </w:p>
        </w:tc>
        <w:tc>
          <w:tcPr>
            <w:tcW w:w="878"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1,714,942</w:t>
            </w:r>
          </w:p>
        </w:tc>
      </w:tr>
      <w:tr>
        <w:trPr/>
        <w:tc>
          <w:tcPr>
            <w:tcW w:w="1359"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567,075</w:t>
            </w:r>
          </w:p>
        </w:tc>
        <w:tc>
          <w:tcPr>
            <w:tcW w:w="7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1,299,186</w:t>
            </w:r>
          </w:p>
        </w:tc>
        <w:tc>
          <w:tcPr>
            <w:tcW w:w="84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348,254</w:t>
            </w:r>
          </w:p>
        </w:tc>
        <w:tc>
          <w:tcPr>
            <w:tcW w:w="133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725,872</w:t>
            </w:r>
          </w:p>
        </w:tc>
        <w:tc>
          <w:tcPr>
            <w:tcW w:w="93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60,046</w:t>
            </w:r>
          </w:p>
        </w:tc>
        <w:tc>
          <w:tcPr>
            <w:tcW w:w="878"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3,000,433</w:t>
            </w:r>
          </w:p>
        </w:tc>
      </w:tr>
      <w:tr>
        <w:trPr/>
        <w:tc>
          <w:tcPr>
            <w:tcW w:w="1359"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826"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539,157</w:t>
            </w:r>
          </w:p>
        </w:tc>
        <w:tc>
          <w:tcPr>
            <w:tcW w:w="736" w:type="dxa"/>
            <w:gridSpan w:val="2"/>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6D6D6D"/>
              <w:bottom w:val="single" w:sz="8" w:space="0" w:color="6D6D6D"/>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594,107</w:t>
            </w:r>
          </w:p>
        </w:tc>
        <w:tc>
          <w:tcPr>
            <w:tcW w:w="844"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196,716</w:t>
            </w:r>
          </w:p>
        </w:tc>
        <w:tc>
          <w:tcPr>
            <w:tcW w:w="1336"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762,467</w:t>
            </w:r>
          </w:p>
        </w:tc>
        <w:tc>
          <w:tcPr>
            <w:tcW w:w="934" w:type="dxa"/>
            <w:gridSpan w:val="2"/>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6D6D6D"/>
              <w:bottom w:val="single" w:sz="8" w:space="0" w:color="6D6D6D"/>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61,102</w:t>
            </w:r>
          </w:p>
        </w:tc>
        <w:tc>
          <w:tcPr>
            <w:tcW w:w="878" w:type="dxa"/>
            <w:gridSpan w:val="3"/>
            <w:tcBorders>
              <w:top w:val="single" w:sz="8" w:space="0" w:color="6D6D6D"/>
              <w:left w:val="single" w:sz="8" w:space="0" w:color="6D6D6D"/>
              <w:bottom w:val="single" w:sz="8" w:space="0" w:color="6D6D6D"/>
              <w:right w:val="single" w:sz="8" w:space="0" w:color="6D6D6D"/>
            </w:tcBorders>
            <w:shd w:fill="E5E5E5" w:val="clear"/>
            <w:tcMar>
              <w:top w:w="3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2,153,549</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(1)NEOs are eligible to defer up to 50% of their salaries into the 401(k) Plan; and the SRSP. In 2025, the following NEOs deferred the following portions of their salaries into the 401(k) Plan and the SRSP:</w:t>
      </w:r>
    </w:p>
    <w:tbl>
      <w:tblPr>
        <w:tblW w:w="3959" w:type="dxa"/>
        <w:jc w:val="left"/>
        <w:tblInd w:w="0" w:type="dxa"/>
        <w:tblLayout w:type="fixed"/>
        <w:tblCellMar>
          <w:top w:w="28" w:type="dxa"/>
          <w:left w:w="28" w:type="dxa"/>
          <w:bottom w:w="28" w:type="dxa"/>
          <w:right w:w="28" w:type="dxa"/>
        </w:tblCellMar>
      </w:tblPr>
      <w:tblGrid>
        <w:gridCol w:w="560"/>
        <w:gridCol w:w="489"/>
        <w:gridCol w:w="496"/>
        <w:gridCol w:w="409"/>
        <w:gridCol w:w="409"/>
        <w:gridCol w:w="411"/>
        <w:gridCol w:w="347"/>
        <w:gridCol w:w="347"/>
        <w:gridCol w:w="491"/>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2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 Plan ($)</w:t>
            </w:r>
          </w:p>
        </w:tc>
        <w:tc>
          <w:tcPr>
            <w:tcW w:w="1185" w:type="dxa"/>
            <w:gridSpan w:val="3"/>
            <w:tcBorders>
              <w:top w:val="single" w:sz="4" w:space="0" w:color="000000"/>
              <w:left w:val="single" w:sz="4" w:space="0" w:color="000000"/>
              <w:right w:val="single" w:sz="8"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SRSP ($)</w:t>
            </w:r>
          </w:p>
        </w:tc>
      </w:tr>
      <w:tr>
        <w:trPr/>
        <w:tc>
          <w:tcPr>
            <w:tcW w:w="154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229"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16,878</w:t>
            </w:r>
          </w:p>
        </w:tc>
        <w:tc>
          <w:tcPr>
            <w:tcW w:w="1185"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46,239</w:t>
            </w:r>
          </w:p>
        </w:tc>
      </w:tr>
      <w:tr>
        <w:trPr/>
        <w:tc>
          <w:tcPr>
            <w:tcW w:w="154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9"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13,615</w:t>
            </w:r>
          </w:p>
        </w:tc>
        <w:tc>
          <w:tcPr>
            <w:tcW w:w="1185"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27,079</w:t>
            </w:r>
          </w:p>
        </w:tc>
      </w:tr>
      <w:tr>
        <w:trPr/>
        <w:tc>
          <w:tcPr>
            <w:tcW w:w="154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229"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22,897</w:t>
            </w:r>
          </w:p>
        </w:tc>
        <w:tc>
          <w:tcPr>
            <w:tcW w:w="1185"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31,209</w:t>
            </w:r>
          </w:p>
        </w:tc>
      </w:tr>
      <w:tr>
        <w:trPr/>
        <w:tc>
          <w:tcPr>
            <w:tcW w:w="154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229"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17,470</w:t>
            </w:r>
          </w:p>
        </w:tc>
        <w:tc>
          <w:tcPr>
            <w:tcW w:w="1185"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30,545</w:t>
            </w:r>
          </w:p>
        </w:tc>
      </w:tr>
      <w:tr>
        <w:trPr/>
        <w:tc>
          <w:tcPr>
            <w:tcW w:w="1545"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229"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18,198</w:t>
            </w:r>
          </w:p>
        </w:tc>
        <w:tc>
          <w:tcPr>
            <w:tcW w:w="1185" w:type="dxa"/>
            <w:gridSpan w:val="3"/>
            <w:tcBorders>
              <w:top w:val="single" w:sz="8" w:space="0" w:color="6D6D6D"/>
              <w:left w:val="single" w:sz="8" w:space="0" w:color="6D6D6D"/>
              <w:bottom w:val="single" w:sz="8" w:space="0" w:color="6D6D6D"/>
              <w:right w:val="single" w:sz="8" w:space="0" w:color="6D6D6D"/>
            </w:tcBorders>
            <w:shd w:fill="E5E5E5"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27,581</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(2)The amounts reported in the above table were calculated in accordance with FASB Accounting Standard Codification Topic 718 (“Topic 718”) to reflect their grant date fair-value given vesting requirements. See Note 16 to the consolidated financial statements contained in our Annual Report on Form 10-K for the year ended December 31, 2025 for additional information regarding the calculation of these numbers. Amounts presented for 2025 include RSU and PSU awards. The values for PSUs assumes achievement at the target performance level. At the maximum performance level of 200%, Mr. Lowe would receive $5,273,176, Mr, Carano would receive $847,400, Mr. McClenaghan would receive $1,035,896, and Mr. Swann would receive $786,139.</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(3)Option Awards reflect the fair-value at time of grant in accordance with Topic 718 to reflect their grant date fair value given vesting requirements. See Note 16 to the consolidated financial statements contained in our Annual Report on Form 10-K for the year ended December 31, 2025 for additional information regarding the calculation of these numbers. See the “Grants of Plan-Based Awards” table for more information on these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39140"/>
                <wp:effectExtent l="0" t="0" r="0" b="0"/>
                <wp:wrapNone/>
                <wp:docPr id="225"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47" descr=""/>
                                                <pic:cNvPicPr>
                                                  <a:picLocks noChangeAspect="1" noChangeArrowheads="1"/>
                                                </pic:cNvPicPr>
                                              </pic:nvPicPr>
                                              <pic:blipFill>
                                                <a:blip r:embed="rId184"/>
                                                <a:stretch>
                                                  <a:fillRect/>
                                                </a:stretch>
                                              </pic:blipFill>
                                              <pic:spPr bwMode="auto">
                                                <a:xfrm>
                                                  <a:off x="0" y="0"/>
                                                  <a:ext cx="447675" cy="161925"/>
                                                </a:xfrm>
                                                <a:prstGeom prst="rect">
                                                  <a:avLst/>
                                                </a:prstGeom>
                                              </pic:spPr>
                                            </pic:pic>
                                          </a:graphicData>
                                        </a:graphic>
                                      </wp:inline>
                                    </w:drawing>
                                  </w:r>
                                  <w:bookmarkStart w:id="196" w:name="i-147"/>
                                  <w:bookmarkEnd w:id="19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47" descr=""/>
                                          <pic:cNvPicPr>
                                            <a:picLocks noChangeAspect="1" noChangeArrowheads="1"/>
                                          </pic:cNvPicPr>
                                        </pic:nvPicPr>
                                        <pic:blipFill>
                                          <a:blip r:embed="rId185"/>
                                          <a:stretch>
                                            <a:fillRect/>
                                          </a:stretch>
                                        </pic:blipFill>
                                        <pic:spPr bwMode="auto">
                                          <a:xfrm>
                                            <a:off x="0" y="0"/>
                                            <a:ext cx="447675" cy="161925"/>
                                          </a:xfrm>
                                          <a:prstGeom prst="rect">
                                            <a:avLst/>
                                          </a:prstGeom>
                                        </pic:spPr>
                                      </pic:pic>
                                    </a:graphicData>
                                  </a:graphic>
                                </wp:inline>
                              </w:drawing>
                            </w:r>
                            <w:bookmarkStart w:id="197" w:name="i-147"/>
                            <w:bookmarkEnd w:id="19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(4)In 2026, the year in which they received the 2025 bonus payout, the following NEOs deferred the following portions of their bonuses into the 401(k) Plan and the SRSP:</w:t>
      </w:r>
    </w:p>
    <w:tbl>
      <w:tblPr>
        <w:tblW w:w="3959" w:type="dxa"/>
        <w:jc w:val="left"/>
        <w:tblInd w:w="0" w:type="dxa"/>
        <w:tblLayout w:type="fixed"/>
        <w:tblCellMar>
          <w:top w:w="28" w:type="dxa"/>
          <w:left w:w="28" w:type="dxa"/>
          <w:bottom w:w="28" w:type="dxa"/>
          <w:right w:w="28" w:type="dxa"/>
        </w:tblCellMar>
      </w:tblPr>
      <w:tblGrid>
        <w:gridCol w:w="560"/>
        <w:gridCol w:w="489"/>
        <w:gridCol w:w="496"/>
        <w:gridCol w:w="409"/>
        <w:gridCol w:w="409"/>
        <w:gridCol w:w="411"/>
        <w:gridCol w:w="347"/>
        <w:gridCol w:w="347"/>
        <w:gridCol w:w="491"/>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12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 Plan ($)</w:t>
            </w:r>
          </w:p>
        </w:tc>
        <w:tc>
          <w:tcPr>
            <w:tcW w:w="11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SRSP ($)</w:t>
            </w:r>
          </w:p>
        </w:tc>
      </w:tr>
      <w:tr>
        <w:trPr/>
        <w:tc>
          <w:tcPr>
            <w:tcW w:w="154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229"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6,808</w:t>
            </w:r>
          </w:p>
        </w:tc>
        <w:tc>
          <w:tcPr>
            <w:tcW w:w="1185"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96,706</w:t>
            </w:r>
          </w:p>
        </w:tc>
      </w:tr>
      <w:tr>
        <w:trPr/>
        <w:tc>
          <w:tcPr>
            <w:tcW w:w="154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9"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15,857</w:t>
            </w:r>
          </w:p>
        </w:tc>
        <w:tc>
          <w:tcPr>
            <w:tcW w:w="1185"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26,310</w:t>
            </w:r>
          </w:p>
        </w:tc>
      </w:tr>
      <w:tr>
        <w:trPr/>
        <w:tc>
          <w:tcPr>
            <w:tcW w:w="154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229"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19,549</w:t>
            </w:r>
          </w:p>
        </w:tc>
        <w:tc>
          <w:tcPr>
            <w:tcW w:w="1185"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23,760</w:t>
            </w:r>
          </w:p>
        </w:tc>
      </w:tr>
      <w:tr>
        <w:trPr/>
        <w:tc>
          <w:tcPr>
            <w:tcW w:w="154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229"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6,243</w:t>
            </w:r>
          </w:p>
        </w:tc>
        <w:tc>
          <w:tcPr>
            <w:tcW w:w="1185"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36,264</w:t>
            </w:r>
          </w:p>
        </w:tc>
      </w:tr>
      <w:tr>
        <w:trPr/>
        <w:tc>
          <w:tcPr>
            <w:tcW w:w="1545"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229"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27,263</w:t>
            </w:r>
          </w:p>
        </w:tc>
        <w:tc>
          <w:tcPr>
            <w:tcW w:w="1185" w:type="dxa"/>
            <w:gridSpan w:val="3"/>
            <w:tcBorders>
              <w:top w:val="single" w:sz="8" w:space="0" w:color="6D6D6D"/>
              <w:left w:val="single" w:sz="8" w:space="0" w:color="6D6D6D"/>
              <w:bottom w:val="single" w:sz="8" w:space="0" w:color="6D6D6D"/>
              <w:right w:val="single" w:sz="8" w:space="0" w:color="6D6D6D"/>
            </w:tcBorders>
            <w:shd w:fill="E5E5E5" w:val="clear"/>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(5)All Other Compensation for 2025 for NEOs is outlined in the table below:</w:t>
      </w:r>
    </w:p>
    <w:tbl>
      <w:tblPr>
        <w:tblW w:w="10205" w:type="dxa"/>
        <w:jc w:val="left"/>
        <w:tblInd w:w="0" w:type="dxa"/>
        <w:tblLayout w:type="fixed"/>
        <w:tblCellMar>
          <w:top w:w="28" w:type="dxa"/>
          <w:left w:w="28" w:type="dxa"/>
          <w:bottom w:w="28" w:type="dxa"/>
          <w:right w:w="28" w:type="dxa"/>
        </w:tblCellMar>
      </w:tblPr>
      <w:tblGrid>
        <w:gridCol w:w="549"/>
        <w:gridCol w:w="371"/>
        <w:gridCol w:w="241"/>
        <w:gridCol w:w="326"/>
        <w:gridCol w:w="320"/>
        <w:gridCol w:w="277"/>
        <w:gridCol w:w="310"/>
        <w:gridCol w:w="310"/>
        <w:gridCol w:w="311"/>
        <w:gridCol w:w="323"/>
        <w:gridCol w:w="323"/>
        <w:gridCol w:w="282"/>
        <w:gridCol w:w="400"/>
        <w:gridCol w:w="339"/>
        <w:gridCol w:w="340"/>
        <w:gridCol w:w="376"/>
        <w:gridCol w:w="243"/>
        <w:gridCol w:w="244"/>
        <w:gridCol w:w="371"/>
        <w:gridCol w:w="371"/>
        <w:gridCol w:w="372"/>
        <w:gridCol w:w="473"/>
        <w:gridCol w:w="473"/>
        <w:gridCol w:w="474"/>
        <w:gridCol w:w="269"/>
        <w:gridCol w:w="269"/>
        <w:gridCol w:w="270"/>
        <w:gridCol w:w="368"/>
        <w:gridCol w:w="368"/>
        <w:gridCol w:w="242"/>
      </w:tblGrid>
      <w:tr>
        <w:trPr/>
        <w:tc>
          <w:tcPr>
            <w:tcW w:w="5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92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Financial </w:t>
              <w:br/>
              <w:t>Planning</w:t>
              <w:br/>
              <w:t>($)</w:t>
            </w:r>
          </w:p>
        </w:tc>
        <w:tc>
          <w:tcPr>
            <w:tcW w:w="93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Physical</w:t>
              <w:br/>
              <w:t>($)</w:t>
            </w:r>
          </w:p>
        </w:tc>
        <w:tc>
          <w:tcPr>
            <w:tcW w:w="9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Matching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Gift</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(a)</w:t>
            </w:r>
          </w:p>
        </w:tc>
        <w:tc>
          <w:tcPr>
            <w:tcW w:w="107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Company Aircraft Personal Use</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(b)</w:t>
            </w:r>
          </w:p>
        </w:tc>
        <w:tc>
          <w:tcPr>
            <w:tcW w:w="86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Group Term Life (&gt;50k)</w:t>
              <w:br/>
              <w:t>($)</w:t>
            </w:r>
          </w:p>
        </w:tc>
        <w:tc>
          <w:tcPr>
            <w:tcW w:w="111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Retirement Savings Plan Match</w:t>
              <w:br/>
              <w:t>($)</w:t>
            </w:r>
          </w:p>
        </w:tc>
        <w:tc>
          <w:tcPr>
            <w:tcW w:w="142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Supplemental Retirement Savings Plan Match</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(c)</w:t>
            </w:r>
          </w:p>
        </w:tc>
        <w:tc>
          <w:tcPr>
            <w:tcW w:w="80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Other Benefits</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(d)</w:t>
            </w:r>
          </w:p>
        </w:tc>
        <w:tc>
          <w:tcPr>
            <w:tcW w:w="97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br/>
              <w:t>($)</w:t>
            </w:r>
          </w:p>
        </w:tc>
      </w:tr>
      <w:tr>
        <w:trPr/>
        <w:tc>
          <w:tcPr>
            <w:tcW w:w="116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64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1,359 </w:t>
            </w:r>
          </w:p>
        </w:tc>
        <w:tc>
          <w:tcPr>
            <w:tcW w:w="277"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22,109 </w:t>
            </w:r>
          </w:p>
        </w:tc>
        <w:tc>
          <w:tcPr>
            <w:tcW w:w="34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4,902 </w:t>
            </w:r>
          </w:p>
        </w:tc>
        <w:tc>
          <w:tcPr>
            <w:tcW w:w="244"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17,500 </w:t>
            </w:r>
          </w:p>
        </w:tc>
        <w:tc>
          <w:tcPr>
            <w:tcW w:w="37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133,835 </w:t>
            </w:r>
          </w:p>
        </w:tc>
        <w:tc>
          <w:tcPr>
            <w:tcW w:w="474"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189,705 </w:t>
            </w:r>
          </w:p>
        </w:tc>
        <w:tc>
          <w:tcPr>
            <w:tcW w:w="242"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15,030 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3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3,844 </w:t>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17,500 </w:t>
            </w:r>
          </w:p>
        </w:tc>
        <w:tc>
          <w:tcPr>
            <w:tcW w:w="3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22,566 </w:t>
            </w:r>
          </w:p>
        </w:tc>
        <w:tc>
          <w:tcPr>
            <w:tcW w:w="4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60,601 </w:t>
            </w:r>
          </w:p>
        </w:tc>
        <w:tc>
          <w:tcPr>
            <w:tcW w:w="242"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64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8,354 </w:t>
            </w:r>
          </w:p>
        </w:tc>
        <w:tc>
          <w:tcPr>
            <w:tcW w:w="277"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311"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6,803 </w:t>
            </w:r>
          </w:p>
        </w:tc>
        <w:tc>
          <w:tcPr>
            <w:tcW w:w="244"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17,500 </w:t>
            </w:r>
          </w:p>
        </w:tc>
        <w:tc>
          <w:tcPr>
            <w:tcW w:w="372"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53,351 </w:t>
            </w:r>
          </w:p>
        </w:tc>
        <w:tc>
          <w:tcPr>
            <w:tcW w:w="474"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97,676 </w:t>
            </w:r>
          </w:p>
        </w:tc>
        <w:tc>
          <w:tcPr>
            <w:tcW w:w="242"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27,806 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2,535 </w:t>
            </w:r>
          </w:p>
        </w:tc>
        <w:tc>
          <w:tcPr>
            <w:tcW w:w="3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4,432 </w:t>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17,500 </w:t>
            </w:r>
          </w:p>
        </w:tc>
        <w:tc>
          <w:tcPr>
            <w:tcW w:w="3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46,634 </w:t>
            </w:r>
          </w:p>
        </w:tc>
        <w:tc>
          <w:tcPr>
            <w:tcW w:w="4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108,907 </w:t>
            </w:r>
          </w:p>
        </w:tc>
        <w:tc>
          <w:tcPr>
            <w:tcW w:w="242"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64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15,030 </w:t>
            </w:r>
          </w:p>
        </w:tc>
        <w:tc>
          <w:tcPr>
            <w:tcW w:w="277"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6,399 </w:t>
            </w:r>
          </w:p>
        </w:tc>
        <w:tc>
          <w:tcPr>
            <w:tcW w:w="244"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17,500 </w:t>
            </w:r>
          </w:p>
        </w:tc>
        <w:tc>
          <w:tcPr>
            <w:tcW w:w="372"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22,984 </w:t>
            </w:r>
          </w:p>
        </w:tc>
        <w:tc>
          <w:tcPr>
            <w:tcW w:w="474"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270"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62,180 </w:t>
            </w:r>
          </w:p>
        </w:tc>
        <w:tc>
          <w:tcPr>
            <w:tcW w:w="242" w:type="dxa"/>
            <w:tcBorders>
              <w:top w:val="single" w:sz="4" w:space="0" w:color="000000"/>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(a)We will make matching donations for charitable contributions made by employees up to a total of $5,000 per annum. We will make matching donations for executive officers up to a total of $10,000. Amounts represented are the matching contributions for 2025.</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(b)Represents guest travel accompanying executive officer on business travel. Values reflect the incremental costs (e.g., food and beverage). </w:t>
      </w:r>
    </w:p>
    <w:p>
      <w:pPr>
        <w:pStyle w:val="TextBody"/>
        <w:bidi w:val="0"/>
        <w:spacing w:lineRule="auto" w:line="288" w:before="0" w:after="60"/>
        <w:ind w:left="0" w:right="0" w:hanging="360"/>
        <w:jc w:val="left"/>
        <w:rPr>
          <w:rFonts w:ascii="Arial;sans-serif" w:hAnsi="Arial;sans-serif"/>
          <w:b w:val="false"/>
          <w:color w:val="000000"/>
          <w:sz w:val="14"/>
        </w:rPr>
      </w:pPr>
      <w:r>
        <w:rPr>
          <w:rFonts w:ascii="Arial;sans-serif" w:hAnsi="Arial;sans-serif"/>
          <w:b w:val="false"/>
          <w:color w:val="000000"/>
          <w:sz w:val="14"/>
        </w:rPr>
        <w:t>(c)Represents matching contributions made by the employer to the SRSP during the plan year.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(d)Represents a $150 10-year service award gift card which includes a tax gross up.</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(6) Mr. Data retired as President, Global Operations and Data Center Solutions on March 20, 2026. In lieu of receiving any equity awards in 2025, Mr. Data received a discretionary bonus of $400,000 for 2025 in recognition of his continued service during the year.</w:t>
      </w:r>
    </w:p>
    <w:p>
      <w:pPr>
        <w:pStyle w:val="TextBody"/>
        <w:bidi w:val="0"/>
        <w:spacing w:lineRule="auto" w:line="288" w:before="360" w:after="283"/>
        <w:jc w:val="left"/>
        <w:rPr>
          <w:rFonts w:ascii="Arial;sans-serif" w:hAnsi="Arial;sans-serif"/>
          <w:b w:val="false"/>
          <w:color w:val="000000"/>
          <w:sz w:val="24"/>
        </w:rPr>
      </w:pPr>
      <w:r>
        <w:rPr>
          <w:rFonts w:ascii="Arial;sans-serif" w:hAnsi="Arial;sans-serif"/>
          <w:b w:val="false"/>
          <w:color w:val="000000"/>
          <w:sz w:val="24"/>
        </w:rPr>
        <w:t>CEO Employment Agreement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above benefits for Mr. Lowe are provided pursuant to the terms of his employment agreement. His employment agreement provides for annual base salary levels, annual incentive compensation opportunity, severance entitlements, and allowance amounts for annual income tax return preparation and financial planning. The initial term of Mr. Lowe’s employment agreement expired on December 31, 2017, and the agreement automatically renews in additional subsequent one year-long terms unless at least 180 days prior to the expiration of any subsequent extended term one of the parties provides the other party with a written notice of non-renewal.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See “Compensation Discussion and Analysis,” beginning on page 24, for further discussion and explanation of each element of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39140"/>
                <wp:effectExtent l="0" t="0" r="0" b="0"/>
                <wp:wrapNone/>
                <wp:docPr id="228"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48" descr=""/>
                                                <pic:cNvPicPr>
                                                  <a:picLocks noChangeAspect="1" noChangeArrowheads="1"/>
                                                </pic:cNvPicPr>
                                              </pic:nvPicPr>
                                              <pic:blipFill>
                                                <a:blip r:embed="rId186"/>
                                                <a:stretch>
                                                  <a:fillRect/>
                                                </a:stretch>
                                              </pic:blipFill>
                                              <pic:spPr bwMode="auto">
                                                <a:xfrm>
                                                  <a:off x="0" y="0"/>
                                                  <a:ext cx="447675" cy="161925"/>
                                                </a:xfrm>
                                                <a:prstGeom prst="rect">
                                                  <a:avLst/>
                                                </a:prstGeom>
                                              </pic:spPr>
                                            </pic:pic>
                                          </a:graphicData>
                                        </a:graphic>
                                      </wp:inline>
                                    </w:drawing>
                                  </w:r>
                                  <w:bookmarkStart w:id="198" w:name="i-148"/>
                                  <w:bookmarkEnd w:id="198"/>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48" descr=""/>
                                          <pic:cNvPicPr>
                                            <a:picLocks noChangeAspect="1" noChangeArrowheads="1"/>
                                          </pic:cNvPicPr>
                                        </pic:nvPicPr>
                                        <pic:blipFill>
                                          <a:blip r:embed="rId187"/>
                                          <a:stretch>
                                            <a:fillRect/>
                                          </a:stretch>
                                        </pic:blipFill>
                                        <pic:spPr bwMode="auto">
                                          <a:xfrm>
                                            <a:off x="0" y="0"/>
                                            <a:ext cx="447675" cy="161925"/>
                                          </a:xfrm>
                                          <a:prstGeom prst="rect">
                                            <a:avLst/>
                                          </a:prstGeom>
                                        </pic:spPr>
                                      </pic:pic>
                                    </a:graphicData>
                                  </a:graphic>
                                </wp:inline>
                              </w:drawing>
                            </w:r>
                            <w:bookmarkStart w:id="199" w:name="i-148"/>
                            <w:bookmarkEnd w:id="199"/>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200" w:name="i47c01f2ecc4e4a55bb446d8ea7992a12_63412"/>
      <w:bookmarkEnd w:id="200"/>
      <w:r>
        <w:rPr>
          <w:rFonts w:ascii="Arial;sans-serif" w:hAnsi="Arial;sans-serif"/>
          <w:b/>
          <w:color w:val="000000"/>
          <w:sz w:val="22"/>
        </w:rPr>
        <w:t xml:space="preserve">GRANTS OF PLAN-BASED AWARDS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regarding equity and non-equity awards granted to the NEOs in 2025.</w:t>
      </w:r>
    </w:p>
    <w:tbl>
      <w:tblPr>
        <w:tblW w:w="10205" w:type="dxa"/>
        <w:jc w:val="left"/>
        <w:tblInd w:w="0" w:type="dxa"/>
        <w:tblLayout w:type="fixed"/>
        <w:tblCellMar>
          <w:top w:w="28" w:type="dxa"/>
          <w:left w:w="28" w:type="dxa"/>
          <w:bottom w:w="28" w:type="dxa"/>
          <w:right w:w="28" w:type="dxa"/>
        </w:tblCellMar>
      </w:tblPr>
      <w:tblGrid>
        <w:gridCol w:w="481"/>
        <w:gridCol w:w="292"/>
        <w:gridCol w:w="215"/>
        <w:gridCol w:w="164"/>
        <w:gridCol w:w="164"/>
        <w:gridCol w:w="165"/>
        <w:gridCol w:w="488"/>
        <w:gridCol w:w="177"/>
        <w:gridCol w:w="150"/>
        <w:gridCol w:w="488"/>
        <w:gridCol w:w="163"/>
        <w:gridCol w:w="150"/>
        <w:gridCol w:w="488"/>
        <w:gridCol w:w="163"/>
        <w:gridCol w:w="150"/>
        <w:gridCol w:w="456"/>
        <w:gridCol w:w="202"/>
        <w:gridCol w:w="146"/>
        <w:gridCol w:w="324"/>
        <w:gridCol w:w="146"/>
        <w:gridCol w:w="146"/>
        <w:gridCol w:w="456"/>
        <w:gridCol w:w="188"/>
        <w:gridCol w:w="146"/>
        <w:gridCol w:w="405"/>
        <w:gridCol w:w="337"/>
        <w:gridCol w:w="339"/>
        <w:gridCol w:w="399"/>
        <w:gridCol w:w="238"/>
        <w:gridCol w:w="239"/>
        <w:gridCol w:w="411"/>
        <w:gridCol w:w="303"/>
        <w:gridCol w:w="304"/>
        <w:gridCol w:w="516"/>
        <w:gridCol w:w="279"/>
        <w:gridCol w:w="327"/>
      </w:tblGrid>
      <w:tr>
        <w:trPr/>
        <w:tc>
          <w:tcPr>
            <w:tcW w:w="4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88"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493"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Grant</w:t>
            </w:r>
          </w:p>
          <w:p>
            <w:pPr>
              <w:pStyle w:val="TableContents"/>
              <w:bidi w:val="0"/>
              <w:spacing w:lineRule="auto" w:line="288" w:before="0" w:after="0"/>
              <w:jc w:val="center"/>
              <w:rPr/>
            </w:pPr>
            <w:r>
              <w:rPr>
                <w:rFonts w:ascii="Arial;sans-serif" w:hAnsi="Arial;sans-serif"/>
                <w:b/>
                <w:color w:val="FFFFFF"/>
                <w:sz w:val="14"/>
              </w:rPr>
              <w:t>Date</w:t>
            </w:r>
            <w:r>
              <w:rPr>
                <w:rFonts w:ascii="Arial;sans-serif" w:hAnsi="Arial;sans-serif"/>
                <w:b/>
                <w:color w:val="FFFFFF"/>
                <w:sz w:val="9"/>
              </w:rPr>
              <w:t>(1)</w:t>
            </w:r>
          </w:p>
        </w:tc>
        <w:tc>
          <w:tcPr>
            <w:tcW w:w="2417"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Estimated Future Payouts Under Non-Equity Incentive Plan Awards</w:t>
            </w:r>
          </w:p>
        </w:tc>
        <w:tc>
          <w:tcPr>
            <w:tcW w:w="2210"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right"/>
              <w:rPr>
                <w:rFonts w:ascii="Arial;sans-serif" w:hAnsi="Arial;sans-serif"/>
                <w:b/>
                <w:color w:val="FFFFFF"/>
                <w:sz w:val="14"/>
              </w:rPr>
            </w:pPr>
            <w:r>
              <w:rPr>
                <w:rFonts w:ascii="Arial;sans-serif" w:hAnsi="Arial;sans-serif"/>
                <w:b/>
                <w:color w:val="FFFFFF"/>
                <w:sz w:val="14"/>
              </w:rPr>
              <w:t>Estimated Future Payouts Under Equity Incentive Plan Awards</w:t>
            </w:r>
          </w:p>
        </w:tc>
        <w:tc>
          <w:tcPr>
            <w:tcW w:w="1081"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4"/>
              </w:rPr>
              <w:t>All Other Stock Awards: Number of Shares or Stock Units (#)</w:t>
            </w:r>
            <w:r>
              <w:rPr>
                <w:rFonts w:ascii="Arial;sans-serif" w:hAnsi="Arial;sans-serif"/>
                <w:b/>
                <w:color w:val="FFFFFF"/>
                <w:sz w:val="9"/>
              </w:rPr>
              <w:t>(4)</w:t>
            </w:r>
          </w:p>
        </w:tc>
        <w:tc>
          <w:tcPr>
            <w:tcW w:w="87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4"/>
              </w:rPr>
              <w:t>Stock Option Awards (#)</w:t>
            </w:r>
            <w:r>
              <w:rPr>
                <w:rFonts w:ascii="Arial;sans-serif" w:hAnsi="Arial;sans-serif"/>
                <w:b/>
                <w:color w:val="FFFFFF"/>
                <w:sz w:val="9"/>
              </w:rPr>
              <w:t>(5)</w:t>
            </w:r>
          </w:p>
        </w:tc>
        <w:tc>
          <w:tcPr>
            <w:tcW w:w="1018"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Exercise Price of Stock Option Awards ($)</w:t>
            </w:r>
          </w:p>
        </w:tc>
        <w:tc>
          <w:tcPr>
            <w:tcW w:w="1122"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Grant Date Fair Value of</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and Option Awards</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(6)</w:t>
            </w:r>
          </w:p>
        </w:tc>
      </w:tr>
      <w:tr>
        <w:trPr/>
        <w:tc>
          <w:tcPr>
            <w:tcW w:w="988"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493"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81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Threshold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0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Target</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0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Maximum</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0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Threshold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61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Target</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79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Maximum</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081"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87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018"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122"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988"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Eugene J. Lowe, III</w:t>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3/12/2026</w:t>
            </w:r>
          </w:p>
        </w:tc>
        <w:tc>
          <w:tcPr>
            <w:tcW w:w="81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632,500</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1,265,000</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2,530,000</w:t>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9,512</w:t>
            </w:r>
          </w:p>
        </w:tc>
        <w:tc>
          <w:tcPr>
            <w:tcW w:w="61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19,023</w:t>
            </w:r>
          </w:p>
        </w:tc>
        <w:tc>
          <w:tcPr>
            <w:tcW w:w="64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38,046 </w:t>
            </w:r>
          </w:p>
        </w:tc>
        <w:tc>
          <w:tcPr>
            <w:tcW w:w="14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3,301,442 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9,512 </w:t>
            </w:r>
          </w:p>
        </w:tc>
        <w:tc>
          <w:tcPr>
            <w:tcW w:w="33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1,318,363 </w:t>
            </w:r>
          </w:p>
        </w:tc>
        <w:tc>
          <w:tcPr>
            <w:tcW w:w="327"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21,529 </w:t>
            </w:r>
          </w:p>
        </w:tc>
        <w:tc>
          <w:tcPr>
            <w:tcW w:w="23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30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1,318,221 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restart"/>
            <w:tcBorders>
              <w:top w:val="single" w:sz="8" w:space="0" w:color="929292"/>
              <w:left w:val="single" w:sz="4"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Mark A. Carano</w:t>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3/12/2026</w:t>
            </w:r>
          </w:p>
        </w:tc>
        <w:tc>
          <w:tcPr>
            <w:tcW w:w="81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210,675</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421,350</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842,700</w:t>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tcMar>
              <w:top w:w="30" w:type="dxa"/>
              <w:left w:w="11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1,529</w:t>
            </w:r>
          </w:p>
        </w:tc>
        <w:tc>
          <w:tcPr>
            <w:tcW w:w="61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3,057</w:t>
            </w:r>
          </w:p>
        </w:tc>
        <w:tc>
          <w:tcPr>
            <w:tcW w:w="64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6,114 </w:t>
            </w:r>
          </w:p>
        </w:tc>
        <w:tc>
          <w:tcPr>
            <w:tcW w:w="14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530,542 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tcMar>
              <w:top w:w="30" w:type="dxa"/>
              <w:left w:w="11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1,529 </w:t>
            </w:r>
          </w:p>
        </w:tc>
        <w:tc>
          <w:tcPr>
            <w:tcW w:w="33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211,919 </w:t>
            </w:r>
          </w:p>
        </w:tc>
        <w:tc>
          <w:tcPr>
            <w:tcW w:w="327"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tcMar>
              <w:top w:w="30" w:type="dxa"/>
              <w:left w:w="11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3,460 </w:t>
            </w:r>
          </w:p>
        </w:tc>
        <w:tc>
          <w:tcPr>
            <w:tcW w:w="23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30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211,856 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restart"/>
            <w:tcBorders>
              <w:top w:val="single" w:sz="8" w:space="0" w:color="929292"/>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Sean McClenaghan</w:t>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3/12/2026</w:t>
            </w:r>
          </w:p>
        </w:tc>
        <w:tc>
          <w:tcPr>
            <w:tcW w:w="81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226,813</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453,625</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907,250</w:t>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shd w:fill="FFFFFF" w:val="clear"/>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1,869</w:t>
            </w:r>
          </w:p>
        </w:tc>
        <w:tc>
          <w:tcPr>
            <w:tcW w:w="61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3,737</w:t>
            </w:r>
          </w:p>
        </w:tc>
        <w:tc>
          <w:tcPr>
            <w:tcW w:w="64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7,474 </w:t>
            </w:r>
          </w:p>
        </w:tc>
        <w:tc>
          <w:tcPr>
            <w:tcW w:w="14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648,556 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shd w:fill="FFFFFF" w:val="clear"/>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1,868 </w:t>
            </w:r>
          </w:p>
        </w:tc>
        <w:tc>
          <w:tcPr>
            <w:tcW w:w="33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258,905 </w:t>
            </w:r>
          </w:p>
        </w:tc>
        <w:tc>
          <w:tcPr>
            <w:tcW w:w="327"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shd w:fill="FFFFFF" w:val="clear"/>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4,229 </w:t>
            </w:r>
          </w:p>
        </w:tc>
        <w:tc>
          <w:tcPr>
            <w:tcW w:w="23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30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258,942 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restart"/>
            <w:tcBorders>
              <w:top w:val="single" w:sz="8" w:space="0" w:color="929292"/>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John W. Swann, III</w:t>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3/12/2026</w:t>
            </w:r>
          </w:p>
        </w:tc>
        <w:tc>
          <w:tcPr>
            <w:tcW w:w="81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221,513</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443,026</w:t>
            </w:r>
          </w:p>
        </w:tc>
        <w:tc>
          <w:tcPr>
            <w:tcW w:w="80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886,052</w:t>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shd w:fill="FFFFFF" w:val="clear"/>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1,418</w:t>
            </w:r>
          </w:p>
        </w:tc>
        <w:tc>
          <w:tcPr>
            <w:tcW w:w="61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2,836</w:t>
            </w:r>
          </w:p>
        </w:tc>
        <w:tc>
          <w:tcPr>
            <w:tcW w:w="64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5,672 </w:t>
            </w:r>
          </w:p>
        </w:tc>
        <w:tc>
          <w:tcPr>
            <w:tcW w:w="14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492,188 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shd w:fill="FFFFFF" w:val="clear"/>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1,418 </w:t>
            </w:r>
          </w:p>
        </w:tc>
        <w:tc>
          <w:tcPr>
            <w:tcW w:w="33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196,535 </w:t>
            </w:r>
          </w:p>
        </w:tc>
        <w:tc>
          <w:tcPr>
            <w:tcW w:w="327"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op w:val="single" w:sz="8" w:space="0" w:color="929292"/>
              <w:left w:val="single" w:sz="4" w:space="0" w:color="000000"/>
            </w:tcBorders>
            <w:shd w:fill="FFFFFF" w:val="clear"/>
            <w:tcMar>
              <w:top w:w="30" w:type="dxa"/>
              <w:bottom w:w="0" w:type="dxa"/>
              <w:right w:w="0" w:type="dxa"/>
            </w:tcMar>
            <w:vAlign w:val="center"/>
          </w:tcPr>
          <w:p>
            <w:pPr>
              <w:pStyle w:val="Normal"/>
              <w:bidi w:val="0"/>
              <w:jc w:val="left"/>
              <w:rPr/>
            </w:pPr>
            <w:r>
              <w:rPr/>
            </w:r>
          </w:p>
        </w:tc>
        <w:tc>
          <w:tcPr>
            <w:tcW w:w="49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1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3,210 </w:t>
            </w:r>
          </w:p>
        </w:tc>
        <w:tc>
          <w:tcPr>
            <w:tcW w:w="23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30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196,548 </w:t>
            </w:r>
          </w:p>
        </w:tc>
        <w:tc>
          <w:tcPr>
            <w:tcW w:w="327"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top w:val="single" w:sz="8" w:space="0" w:color="929292"/>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 Randall Data</w:t>
            </w:r>
          </w:p>
        </w:tc>
        <w:tc>
          <w:tcPr>
            <w:tcW w:w="493"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3/12/2026</w:t>
            </w:r>
          </w:p>
        </w:tc>
        <w:tc>
          <w:tcPr>
            <w:tcW w:w="815"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210,155</w:t>
            </w:r>
          </w:p>
        </w:tc>
        <w:tc>
          <w:tcPr>
            <w:tcW w:w="801"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420,309</w:t>
            </w:r>
          </w:p>
        </w:tc>
        <w:tc>
          <w:tcPr>
            <w:tcW w:w="801"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840,618</w:t>
            </w:r>
          </w:p>
        </w:tc>
        <w:tc>
          <w:tcPr>
            <w:tcW w:w="804"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bottom w:val="single" w:sz="8" w:space="0" w:color="6D6D6D"/>
              <w:right w:val="single" w:sz="8" w:space="0" w:color="6D6D6D"/>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(1)The Committee approved the 2025 bonuses to each of the NEOs on February 17, 2026 and the 2025 LTI awards to each of such NEOs on March 3, 2025. The 2025 LTI awards are generally subject to continued service through the applicable performance or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the potential payout for 2026 bonuses. Threshold payout is 50% of target and maximum payout is 200% of target. Actual bonus earned for 2026 are included in the “Non-Equity Incentive Plan Compensation” column of the Summary Compensation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(3)Represents the potential payout for the PSUs granted on March 3, 2025. Threshold payout is 50% of target and maximum payout is 200% of target, and is based on the three-year r-TSR versus a peer group within the aggregated S&amp;P 600 SmallCap and S&amp;P 400 MidCap Capital Goods Indices for 2025-2027. Payout is capped at target if the Company TSR is negative. A description of our PSUs is included in the “Long-Term Incentives” section of the CD&amp;A.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(4)Represents 2025 RSU awards. RSUs are time-based and do not have a performance requirement for vesting. The time-based awards vest 33 1/3 percent per year over three years on March 3, 2026, March 3, 2027, and March 3, 2028. A description of RSUs is included in the “Long-Term Incentives” section of the CD&amp;A.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(5)Represents Options awarded on the grant date, vesting 33 1/3 percent per year over three years on March 3, 2026, March 3, 2027, and March 3, 2028.</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(6)Represents the grant date fair value of each equity-based award based on the Monte-Carlo simulation model valuation technique for PSUs, the closing stock price on the date of grant for RSUs, and a Black-Scholes option-pricing model for stock options. Fair Value is based on Topic 718. See Note 16 to the consolidated financial statements contained in our Annual Report on Form 10-K for the year ended December 31, 2025 for the assumptions used in the valuation of these awards. The values reported in this column for the PSUs were calculated at target.</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39140"/>
                <wp:effectExtent l="0" t="0" r="0" b="0"/>
                <wp:wrapNone/>
                <wp:docPr id="231"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49" descr=""/>
                                                <pic:cNvPicPr>
                                                  <a:picLocks noChangeAspect="1" noChangeArrowheads="1"/>
                                                </pic:cNvPicPr>
                                              </pic:nvPicPr>
                                              <pic:blipFill>
                                                <a:blip r:embed="rId188"/>
                                                <a:stretch>
                                                  <a:fillRect/>
                                                </a:stretch>
                                              </pic:blipFill>
                                              <pic:spPr bwMode="auto">
                                                <a:xfrm>
                                                  <a:off x="0" y="0"/>
                                                  <a:ext cx="447675" cy="161925"/>
                                                </a:xfrm>
                                                <a:prstGeom prst="rect">
                                                  <a:avLst/>
                                                </a:prstGeom>
                                              </pic:spPr>
                                            </pic:pic>
                                          </a:graphicData>
                                        </a:graphic>
                                      </wp:inline>
                                    </w:drawing>
                                  </w:r>
                                  <w:bookmarkStart w:id="201" w:name="i-149"/>
                                  <w:bookmarkEnd w:id="20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49" descr=""/>
                                          <pic:cNvPicPr>
                                            <a:picLocks noChangeAspect="1" noChangeArrowheads="1"/>
                                          </pic:cNvPicPr>
                                        </pic:nvPicPr>
                                        <pic:blipFill>
                                          <a:blip r:embed="rId189"/>
                                          <a:stretch>
                                            <a:fillRect/>
                                          </a:stretch>
                                        </pic:blipFill>
                                        <pic:spPr bwMode="auto">
                                          <a:xfrm>
                                            <a:off x="0" y="0"/>
                                            <a:ext cx="447675" cy="161925"/>
                                          </a:xfrm>
                                          <a:prstGeom prst="rect">
                                            <a:avLst/>
                                          </a:prstGeom>
                                        </pic:spPr>
                                      </pic:pic>
                                    </a:graphicData>
                                  </a:graphic>
                                </wp:inline>
                              </w:drawing>
                            </w:r>
                            <w:bookmarkStart w:id="202" w:name="i-149"/>
                            <w:bookmarkEnd w:id="20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203" w:name="i47c01f2ecc4e4a55bb446d8ea7992a12_63401"/>
      <w:bookmarkEnd w:id="203"/>
      <w:r>
        <w:rPr>
          <w:rFonts w:ascii="Arial;sans-serif" w:hAnsi="Arial;sans-serif"/>
          <w:b/>
          <w:color w:val="000000"/>
          <w:sz w:val="22"/>
        </w:rPr>
        <w:t>OUTSTANDING EQUITY AWARDS AT FISCAL YEAR-END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details the outstanding equity awards held by each of our NEOs at December 31, 2025.</w:t>
      </w:r>
    </w:p>
    <w:tbl>
      <w:tblPr>
        <w:tblW w:w="10205" w:type="dxa"/>
        <w:jc w:val="left"/>
        <w:tblInd w:w="0" w:type="dxa"/>
        <w:tblLayout w:type="fixed"/>
        <w:tblCellMar>
          <w:top w:w="28" w:type="dxa"/>
          <w:left w:w="28" w:type="dxa"/>
          <w:bottom w:w="28" w:type="dxa"/>
          <w:right w:w="28" w:type="dxa"/>
        </w:tblCellMar>
      </w:tblPr>
      <w:tblGrid>
        <w:gridCol w:w="227"/>
        <w:gridCol w:w="200"/>
        <w:gridCol w:w="203"/>
        <w:gridCol w:w="174"/>
        <w:gridCol w:w="174"/>
        <w:gridCol w:w="175"/>
        <w:gridCol w:w="415"/>
        <w:gridCol w:w="415"/>
        <w:gridCol w:w="416"/>
        <w:gridCol w:w="375"/>
        <w:gridCol w:w="375"/>
        <w:gridCol w:w="376"/>
        <w:gridCol w:w="355"/>
        <w:gridCol w:w="242"/>
        <w:gridCol w:w="243"/>
        <w:gridCol w:w="270"/>
        <w:gridCol w:w="270"/>
        <w:gridCol w:w="271"/>
        <w:gridCol w:w="474"/>
        <w:gridCol w:w="142"/>
        <w:gridCol w:w="142"/>
        <w:gridCol w:w="142"/>
        <w:gridCol w:w="142"/>
        <w:gridCol w:w="142"/>
        <w:gridCol w:w="568"/>
        <w:gridCol w:w="290"/>
        <w:gridCol w:w="291"/>
        <w:gridCol w:w="496"/>
        <w:gridCol w:w="179"/>
        <w:gridCol w:w="179"/>
        <w:gridCol w:w="179"/>
        <w:gridCol w:w="179"/>
        <w:gridCol w:w="186"/>
        <w:gridCol w:w="591"/>
        <w:gridCol w:w="285"/>
        <w:gridCol w:w="422"/>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bottom w:val="single" w:sz="8" w:space="0" w:color="6D6D6D"/>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3" w:type="dxa"/>
            <w:gridSpan w:val="3"/>
            <w:vMerge w:val="restart"/>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4023"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Awards</w:t>
            </w:r>
          </w:p>
        </w:tc>
        <w:tc>
          <w:tcPr>
            <w:tcW w:w="5029" w:type="dxa"/>
            <w:gridSpan w:val="18"/>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Awards</w:t>
            </w:r>
          </w:p>
        </w:tc>
      </w:tr>
      <w:tr>
        <w:trPr/>
        <w:tc>
          <w:tcPr>
            <w:tcW w:w="630" w:type="dxa"/>
            <w:gridSpan w:val="3"/>
            <w:vMerge w:val="continue"/>
            <w:tcBorders>
              <w:top w:val="single" w:sz="4" w:space="0" w:color="000000"/>
              <w:left w:val="single" w:sz="4" w:space="0" w:color="000000"/>
              <w:bottom w:val="single" w:sz="8" w:space="0" w:color="6D6D6D"/>
              <w:right w:val="single" w:sz="4" w:space="0" w:color="000000"/>
            </w:tcBorders>
            <w:shd w:fill="004C97" w:val="clear"/>
            <w:tcMar>
              <w:top w:w="30" w:type="dxa"/>
              <w:bottom w:w="30" w:type="dxa"/>
            </w:tcMar>
            <w:vAlign w:val="center"/>
          </w:tcPr>
          <w:p>
            <w:pPr>
              <w:pStyle w:val="Normal"/>
              <w:bidi w:val="0"/>
              <w:jc w:val="left"/>
              <w:rPr/>
            </w:pPr>
            <w:r>
              <w:rPr/>
            </w:r>
          </w:p>
        </w:tc>
        <w:tc>
          <w:tcPr>
            <w:tcW w:w="523" w:type="dxa"/>
            <w:gridSpan w:val="3"/>
            <w:vMerge w:val="continue"/>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Normal"/>
              <w:bidi w:val="0"/>
              <w:jc w:val="left"/>
              <w:rPr/>
            </w:pPr>
            <w:r>
              <w:rPr/>
            </w:r>
          </w:p>
        </w:tc>
        <w:tc>
          <w:tcPr>
            <w:tcW w:w="1246"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Unexercisable (#)</w:t>
            </w:r>
            <w:r>
              <w:rPr>
                <w:rFonts w:ascii="Arial;sans-serif" w:hAnsi="Arial;sans-serif"/>
                <w:b/>
                <w:color w:val="FFFFFF"/>
                <w:sz w:val="9"/>
              </w:rPr>
              <w:t>(1)</w:t>
            </w:r>
          </w:p>
        </w:tc>
        <w:tc>
          <w:tcPr>
            <w:tcW w:w="1126"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Exercisable (#)</w:t>
            </w:r>
            <w:r>
              <w:rPr>
                <w:rFonts w:ascii="Arial;sans-serif" w:hAnsi="Arial;sans-serif"/>
                <w:b/>
                <w:color w:val="FFFFFF"/>
                <w:sz w:val="9"/>
              </w:rPr>
              <w:t>(1)</w:t>
            </w:r>
          </w:p>
        </w:tc>
        <w:tc>
          <w:tcPr>
            <w:tcW w:w="840"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Exercise Price</w:t>
            </w:r>
          </w:p>
          <w:p>
            <w:pPr>
              <w:pStyle w:val="TableContents"/>
              <w:bidi w:val="0"/>
              <w:spacing w:lineRule="auto" w:line="288" w:before="0" w:after="0"/>
              <w:jc w:val="center"/>
              <w:rPr>
                <w:color w:val="FFFFFF"/>
              </w:rPr>
            </w:pPr>
            <w:r>
              <w:rPr>
                <w:color w:val="FFFFFF"/>
              </w:rPr>
              <w:t> </w:t>
            </w:r>
            <w:r>
              <w:rPr>
                <w:rFonts w:ascii="Arial;sans-serif" w:hAnsi="Arial;sans-serif"/>
                <w:b/>
                <w:color w:val="FFFFFF"/>
                <w:sz w:val="14"/>
              </w:rPr>
              <w:t>($)</w:t>
            </w:r>
          </w:p>
        </w:tc>
        <w:tc>
          <w:tcPr>
            <w:tcW w:w="811"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Expiration Date</w:t>
            </w:r>
          </w:p>
        </w:tc>
        <w:tc>
          <w:tcPr>
            <w:tcW w:w="1184" w:type="dxa"/>
            <w:gridSpan w:val="6"/>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Number of Shares or Units of Stock That Have Not Vested (#)</w:t>
            </w:r>
          </w:p>
        </w:tc>
        <w:tc>
          <w:tcPr>
            <w:tcW w:w="1149"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1398" w:type="dxa"/>
            <w:gridSpan w:val="6"/>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Number of Unearned Shares, Units, or Other Rights That Have Not Vested (#)</w:t>
            </w:r>
          </w:p>
        </w:tc>
        <w:tc>
          <w:tcPr>
            <w:tcW w:w="1298" w:type="dxa"/>
            <w:gridSpan w:val="3"/>
            <w:tcBorders>
              <w:top w:val="single" w:sz="4" w:space="0" w:color="000000"/>
              <w:left w:val="single" w:sz="4" w:space="0" w:color="000000"/>
              <w:bottom w:val="single" w:sz="8" w:space="0" w:color="6D6D6D"/>
              <w:right w:val="single" w:sz="4" w:space="0" w:color="000000"/>
            </w:tcBorders>
            <w:shd w:fill="004C97" w:val="clear"/>
            <w:tcMar>
              <w:top w:w="30" w:type="dxa"/>
              <w:bottom w:w="3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r>
      <w:tr>
        <w:trPr/>
        <w:tc>
          <w:tcPr>
            <w:tcW w:w="630" w:type="dxa"/>
            <w:gridSpan w:val="3"/>
            <w:vMerge w:val="restart"/>
            <w:tcBorders>
              <w:left w:val="single" w:sz="8" w:space="0" w:color="6D6D6D"/>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Eugene J. Lowe, III</w:t>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3/1/2017</w:t>
            </w:r>
          </w:p>
        </w:tc>
        <w:tc>
          <w:tcPr>
            <w:tcW w:w="83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82,405 </w:t>
            </w:r>
          </w:p>
        </w:tc>
        <w:tc>
          <w:tcPr>
            <w:tcW w:w="37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27.40 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3/1/2027</w:t>
            </w:r>
          </w:p>
        </w:tc>
        <w:tc>
          <w:tcPr>
            <w:tcW w:w="75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2/22/2018</w:t>
            </w:r>
          </w:p>
        </w:tc>
        <w:tc>
          <w:tcPr>
            <w:tcW w:w="83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72,298 </w:t>
            </w:r>
          </w:p>
        </w:tc>
        <w:tc>
          <w:tcPr>
            <w:tcW w:w="37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32.69 </w:t>
            </w:r>
          </w:p>
        </w:tc>
        <w:tc>
          <w:tcPr>
            <w:tcW w:w="24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2/22/2028</w:t>
            </w:r>
          </w:p>
        </w:tc>
        <w:tc>
          <w:tcPr>
            <w:tcW w:w="75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2/21/2019</w:t>
            </w:r>
          </w:p>
        </w:tc>
        <w:tc>
          <w:tcPr>
            <w:tcW w:w="83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77,463 </w:t>
            </w:r>
          </w:p>
        </w:tc>
        <w:tc>
          <w:tcPr>
            <w:tcW w:w="37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36.51 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2/21/2029</w:t>
            </w:r>
          </w:p>
        </w:tc>
        <w:tc>
          <w:tcPr>
            <w:tcW w:w="75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2/20/2020</w:t>
            </w:r>
          </w:p>
        </w:tc>
        <w:tc>
          <w:tcPr>
            <w:tcW w:w="83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53,465 </w:t>
            </w:r>
          </w:p>
        </w:tc>
        <w:tc>
          <w:tcPr>
            <w:tcW w:w="37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2/20/2030</w:t>
            </w:r>
          </w:p>
        </w:tc>
        <w:tc>
          <w:tcPr>
            <w:tcW w:w="75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3/1/2021</w:t>
            </w:r>
          </w:p>
        </w:tc>
        <w:tc>
          <w:tcPr>
            <w:tcW w:w="83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46,291 </w:t>
            </w:r>
          </w:p>
        </w:tc>
        <w:tc>
          <w:tcPr>
            <w:tcW w:w="37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3/1/2031</w:t>
            </w:r>
          </w:p>
        </w:tc>
        <w:tc>
          <w:tcPr>
            <w:tcW w:w="75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3/1/2022</w:t>
            </w:r>
          </w:p>
        </w:tc>
        <w:tc>
          <w:tcPr>
            <w:tcW w:w="83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49,378 </w:t>
            </w:r>
          </w:p>
        </w:tc>
        <w:tc>
          <w:tcPr>
            <w:tcW w:w="37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3/1/2032</w:t>
            </w:r>
          </w:p>
        </w:tc>
        <w:tc>
          <w:tcPr>
            <w:tcW w:w="75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4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29,238 </w:t>
            </w:r>
          </w:p>
        </w:tc>
        <w:tc>
          <w:tcPr>
            <w:tcW w:w="14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5,849,354 </w:t>
            </w:r>
          </w:p>
        </w:tc>
        <w:tc>
          <w:tcPr>
            <w:tcW w:w="29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43,857 </w:t>
            </w:r>
          </w:p>
        </w:tc>
        <w:tc>
          <w:tcPr>
            <w:tcW w:w="17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(3b)</w:t>
            </w:r>
          </w:p>
        </w:tc>
        <w:tc>
          <w:tcPr>
            <w:tcW w:w="87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8,774,031 </w:t>
            </w:r>
          </w:p>
        </w:tc>
        <w:tc>
          <w:tcPr>
            <w:tcW w:w="422"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4,873 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(3a)</w:t>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974,892 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83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11,236 </w:t>
            </w:r>
          </w:p>
        </w:tc>
        <w:tc>
          <w:tcPr>
            <w:tcW w:w="41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22,471 </w:t>
            </w:r>
          </w:p>
        </w:tc>
        <w:tc>
          <w:tcPr>
            <w:tcW w:w="37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3/1/2033</w:t>
            </w:r>
          </w:p>
        </w:tc>
        <w:tc>
          <w:tcPr>
            <w:tcW w:w="75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21,175 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4,236,271 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42,350 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(4b)</w:t>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8,472,541 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4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7,058 </w:t>
            </w:r>
          </w:p>
        </w:tc>
        <w:tc>
          <w:tcPr>
            <w:tcW w:w="14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(4a)</w:t>
            </w:r>
          </w:p>
        </w:tc>
        <w:tc>
          <w:tcPr>
            <w:tcW w:w="858"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1,412,023 </w:t>
            </w:r>
          </w:p>
        </w:tc>
        <w:tc>
          <w:tcPr>
            <w:tcW w:w="29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83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16,159 </w:t>
            </w:r>
          </w:p>
        </w:tc>
        <w:tc>
          <w:tcPr>
            <w:tcW w:w="4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8,079 </w:t>
            </w:r>
          </w:p>
        </w:tc>
        <w:tc>
          <w:tcPr>
            <w:tcW w:w="37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116.40 </w:t>
            </w:r>
          </w:p>
        </w:tc>
        <w:tc>
          <w:tcPr>
            <w:tcW w:w="24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2/28/2034</w:t>
            </w:r>
          </w:p>
        </w:tc>
        <w:tc>
          <w:tcPr>
            <w:tcW w:w="75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4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19,023 </w:t>
            </w:r>
          </w:p>
        </w:tc>
        <w:tc>
          <w:tcPr>
            <w:tcW w:w="14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3,805,741 </w:t>
            </w:r>
          </w:p>
        </w:tc>
        <w:tc>
          <w:tcPr>
            <w:tcW w:w="29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38,046 </w:t>
            </w:r>
          </w:p>
        </w:tc>
        <w:tc>
          <w:tcPr>
            <w:tcW w:w="17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(5b)</w:t>
            </w:r>
          </w:p>
        </w:tc>
        <w:tc>
          <w:tcPr>
            <w:tcW w:w="87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7,611,483 </w:t>
            </w:r>
          </w:p>
        </w:tc>
        <w:tc>
          <w:tcPr>
            <w:tcW w:w="422"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9,512 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(5a)</w:t>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1,902,971 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left w:val="single" w:sz="8" w:space="0" w:color="6D6D6D"/>
            </w:tcBorders>
            <w:tcMar>
              <w:top w:w="0" w:type="dxa"/>
              <w:bottom w:w="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3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21,529 </w:t>
            </w:r>
          </w:p>
        </w:tc>
        <w:tc>
          <w:tcPr>
            <w:tcW w:w="41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3/3/2035</w:t>
            </w:r>
          </w:p>
        </w:tc>
        <w:tc>
          <w:tcPr>
            <w:tcW w:w="75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8" w:space="0" w:color="6D6D6D"/>
              <w:left w:val="single" w:sz="8" w:space="0" w:color="6D6D6D"/>
              <w:bottom w:val="single" w:sz="8" w:space="0" w:color="6D6D6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Mark A. Carano</w:t>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2/1/2023</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1,167 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(6)</w:t>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233,470 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4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4,816 </w:t>
            </w:r>
          </w:p>
        </w:tc>
        <w:tc>
          <w:tcPr>
            <w:tcW w:w="14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963,489 </w:t>
            </w:r>
          </w:p>
        </w:tc>
        <w:tc>
          <w:tcPr>
            <w:tcW w:w="29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7,224 </w:t>
            </w:r>
          </w:p>
        </w:tc>
        <w:tc>
          <w:tcPr>
            <w:tcW w:w="17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(3b)</w:t>
            </w:r>
          </w:p>
        </w:tc>
        <w:tc>
          <w:tcPr>
            <w:tcW w:w="87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1,445,233 </w:t>
            </w:r>
          </w:p>
        </w:tc>
        <w:tc>
          <w:tcPr>
            <w:tcW w:w="422"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803 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(3a)</w:t>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160,648 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83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1,851 </w:t>
            </w:r>
          </w:p>
        </w:tc>
        <w:tc>
          <w:tcPr>
            <w:tcW w:w="41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3,701 </w:t>
            </w:r>
          </w:p>
        </w:tc>
        <w:tc>
          <w:tcPr>
            <w:tcW w:w="37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3/1/2033</w:t>
            </w:r>
          </w:p>
        </w:tc>
        <w:tc>
          <w:tcPr>
            <w:tcW w:w="758"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3,544 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709,013 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7,088 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(4b)</w:t>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1,418,025 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4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1,182 </w:t>
            </w:r>
          </w:p>
        </w:tc>
        <w:tc>
          <w:tcPr>
            <w:tcW w:w="14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(4a)</w:t>
            </w:r>
          </w:p>
        </w:tc>
        <w:tc>
          <w:tcPr>
            <w:tcW w:w="858"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236,471 </w:t>
            </w:r>
          </w:p>
        </w:tc>
        <w:tc>
          <w:tcPr>
            <w:tcW w:w="29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83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2,705 </w:t>
            </w:r>
          </w:p>
        </w:tc>
        <w:tc>
          <w:tcPr>
            <w:tcW w:w="4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1,352 </w:t>
            </w:r>
          </w:p>
        </w:tc>
        <w:tc>
          <w:tcPr>
            <w:tcW w:w="37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116.40 </w:t>
            </w:r>
          </w:p>
        </w:tc>
        <w:tc>
          <w:tcPr>
            <w:tcW w:w="24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2/28/2034</w:t>
            </w:r>
          </w:p>
        </w:tc>
        <w:tc>
          <w:tcPr>
            <w:tcW w:w="758"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4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3,057 </w:t>
            </w:r>
          </w:p>
        </w:tc>
        <w:tc>
          <w:tcPr>
            <w:tcW w:w="14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611,583 </w:t>
            </w:r>
          </w:p>
        </w:tc>
        <w:tc>
          <w:tcPr>
            <w:tcW w:w="29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6,114 </w:t>
            </w:r>
          </w:p>
        </w:tc>
        <w:tc>
          <w:tcPr>
            <w:tcW w:w="179"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(5b)</w:t>
            </w:r>
          </w:p>
        </w:tc>
        <w:tc>
          <w:tcPr>
            <w:tcW w:w="87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1,223,167 </w:t>
            </w:r>
          </w:p>
        </w:tc>
        <w:tc>
          <w:tcPr>
            <w:tcW w:w="422"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4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1,529 </w:t>
            </w:r>
          </w:p>
        </w:tc>
        <w:tc>
          <w:tcPr>
            <w:tcW w:w="14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(5a)</w:t>
            </w:r>
          </w:p>
        </w:tc>
        <w:tc>
          <w:tcPr>
            <w:tcW w:w="858"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305,892 </w:t>
            </w:r>
          </w:p>
        </w:tc>
        <w:tc>
          <w:tcPr>
            <w:tcW w:w="2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3"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30" w:type="dxa"/>
            <w:gridSpan w:val="2"/>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3,460 </w:t>
            </w:r>
          </w:p>
        </w:tc>
        <w:tc>
          <w:tcPr>
            <w:tcW w:w="416" w:type="dxa"/>
            <w:tcBorders>
              <w:top w:val="single" w:sz="8" w:space="0" w:color="6D6D6D"/>
              <w:bottom w:val="single" w:sz="8" w:space="0" w:color="6D6D6D"/>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6D6D6D"/>
              <w:bottom w:val="single" w:sz="8" w:space="0" w:color="6D6D6D"/>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243" w:type="dxa"/>
            <w:tcBorders>
              <w:top w:val="single" w:sz="8" w:space="0" w:color="6D6D6D"/>
              <w:bottom w:val="single" w:sz="8" w:space="0" w:color="6D6D6D"/>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D6D6D"/>
              <w:left w:val="single" w:sz="8" w:space="0" w:color="6D6D6D"/>
              <w:bottom w:val="single" w:sz="8" w:space="0" w:color="6D6D6D"/>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3/3/2035</w:t>
            </w:r>
          </w:p>
        </w:tc>
        <w:tc>
          <w:tcPr>
            <w:tcW w:w="758"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6D6D6D"/>
              <w:bottom w:val="single" w:sz="8" w:space="0" w:color="6D6D6D"/>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6D6D6D"/>
              <w:left w:val="single" w:sz="8" w:space="0" w:color="6D6D6D"/>
              <w:bottom w:val="single" w:sz="8" w:space="0" w:color="6D6D6D"/>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6D6D6D"/>
              <w:bottom w:val="single" w:sz="8" w:space="0" w:color="6D6D6D"/>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6D6D6D"/>
              <w:left w:val="single" w:sz="8" w:space="0" w:color="6D6D6D"/>
              <w:bottom w:val="single" w:sz="8" w:space="0" w:color="6D6D6D"/>
              <w:right w:val="single" w:sz="8" w:space="0" w:color="6D6D6D"/>
            </w:tcBorders>
            <w:shd w:fill="E5E5E5"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39140"/>
                <wp:effectExtent l="0" t="0" r="0" b="0"/>
                <wp:wrapNone/>
                <wp:docPr id="234"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50" descr=""/>
                                                <pic:cNvPicPr>
                                                  <a:picLocks noChangeAspect="1" noChangeArrowheads="1"/>
                                                </pic:cNvPicPr>
                                              </pic:nvPicPr>
                                              <pic:blipFill>
                                                <a:blip r:embed="rId190"/>
                                                <a:stretch>
                                                  <a:fillRect/>
                                                </a:stretch>
                                              </pic:blipFill>
                                              <pic:spPr bwMode="auto">
                                                <a:xfrm>
                                                  <a:off x="0" y="0"/>
                                                  <a:ext cx="447675" cy="161925"/>
                                                </a:xfrm>
                                                <a:prstGeom prst="rect">
                                                  <a:avLst/>
                                                </a:prstGeom>
                                              </pic:spPr>
                                            </pic:pic>
                                          </a:graphicData>
                                        </a:graphic>
                                      </wp:inline>
                                    </w:drawing>
                                  </w:r>
                                  <w:bookmarkStart w:id="204" w:name="i-150"/>
                                  <w:bookmarkEnd w:id="204"/>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50" descr=""/>
                                          <pic:cNvPicPr>
                                            <a:picLocks noChangeAspect="1" noChangeArrowheads="1"/>
                                          </pic:cNvPicPr>
                                        </pic:nvPicPr>
                                        <pic:blipFill>
                                          <a:blip r:embed="rId191"/>
                                          <a:stretch>
                                            <a:fillRect/>
                                          </a:stretch>
                                        </pic:blipFill>
                                        <pic:spPr bwMode="auto">
                                          <a:xfrm>
                                            <a:off x="0" y="0"/>
                                            <a:ext cx="447675" cy="161925"/>
                                          </a:xfrm>
                                          <a:prstGeom prst="rect">
                                            <a:avLst/>
                                          </a:prstGeom>
                                        </pic:spPr>
                                      </pic:pic>
                                    </a:graphicData>
                                  </a:graphic>
                                </wp:inline>
                              </w:drawing>
                            </w:r>
                            <w:bookmarkStart w:id="205" w:name="i-150"/>
                            <w:bookmarkEnd w:id="205"/>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348"/>
        <w:gridCol w:w="305"/>
        <w:gridCol w:w="309"/>
        <w:gridCol w:w="173"/>
        <w:gridCol w:w="173"/>
        <w:gridCol w:w="174"/>
        <w:gridCol w:w="401"/>
        <w:gridCol w:w="401"/>
        <w:gridCol w:w="403"/>
        <w:gridCol w:w="361"/>
        <w:gridCol w:w="361"/>
        <w:gridCol w:w="362"/>
        <w:gridCol w:w="354"/>
        <w:gridCol w:w="239"/>
        <w:gridCol w:w="240"/>
        <w:gridCol w:w="268"/>
        <w:gridCol w:w="268"/>
        <w:gridCol w:w="269"/>
        <w:gridCol w:w="400"/>
        <w:gridCol w:w="136"/>
        <w:gridCol w:w="136"/>
        <w:gridCol w:w="136"/>
        <w:gridCol w:w="136"/>
        <w:gridCol w:w="136"/>
        <w:gridCol w:w="561"/>
        <w:gridCol w:w="280"/>
        <w:gridCol w:w="281"/>
        <w:gridCol w:w="488"/>
        <w:gridCol w:w="168"/>
        <w:gridCol w:w="168"/>
        <w:gridCol w:w="168"/>
        <w:gridCol w:w="168"/>
        <w:gridCol w:w="174"/>
        <w:gridCol w:w="583"/>
        <w:gridCol w:w="273"/>
        <w:gridCol w:w="40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op w:val="single" w:sz="4" w:space="0" w:color="000000"/>
              <w:left w:val="single" w:sz="4" w:space="0" w:color="000000"/>
              <w:bottom w:val="single" w:sz="8" w:space="0" w:color="6D6D6D"/>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0"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3927"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Awards</w:t>
            </w:r>
          </w:p>
        </w:tc>
        <w:tc>
          <w:tcPr>
            <w:tcW w:w="4796" w:type="dxa"/>
            <w:gridSpan w:val="18"/>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Awards</w:t>
            </w:r>
          </w:p>
        </w:tc>
      </w:tr>
      <w:tr>
        <w:trPr/>
        <w:tc>
          <w:tcPr>
            <w:tcW w:w="962" w:type="dxa"/>
            <w:gridSpan w:val="3"/>
            <w:tcBorders>
              <w:top w:val="single" w:sz="4" w:space="0" w:color="000000"/>
              <w:left w:val="single" w:sz="4" w:space="0" w:color="000000"/>
              <w:bottom w:val="single" w:sz="8" w:space="0" w:color="6D6D6D"/>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0" w:type="dxa"/>
            <w:gridSpan w:val="3"/>
            <w:tcBorders>
              <w:top w:val="single" w:sz="4" w:space="0" w:color="000000"/>
              <w:left w:val="single" w:sz="4" w:space="0" w:color="000000"/>
              <w:bottom w:val="single" w:sz="8" w:space="0" w:color="6D6D6D"/>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120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Unexercisable (#)</w:t>
            </w:r>
            <w:r>
              <w:rPr>
                <w:rFonts w:ascii="Arial;sans-serif" w:hAnsi="Arial;sans-serif"/>
                <w:b/>
                <w:color w:val="FFFFFF"/>
                <w:sz w:val="9"/>
              </w:rPr>
              <w:t>(1)</w:t>
            </w:r>
          </w:p>
        </w:tc>
        <w:tc>
          <w:tcPr>
            <w:tcW w:w="108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Exercisable (#)</w:t>
            </w:r>
            <w:r>
              <w:rPr>
                <w:rFonts w:ascii="Arial;sans-serif" w:hAnsi="Arial;sans-serif"/>
                <w:b/>
                <w:color w:val="FFFFFF"/>
                <w:sz w:val="9"/>
              </w:rPr>
              <w:t>(1)</w:t>
            </w:r>
          </w:p>
        </w:tc>
        <w:tc>
          <w:tcPr>
            <w:tcW w:w="83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Exercise Price</w:t>
            </w:r>
          </w:p>
          <w:p>
            <w:pPr>
              <w:pStyle w:val="TableContents"/>
              <w:bidi w:val="0"/>
              <w:spacing w:lineRule="auto" w:line="288" w:before="0" w:after="0"/>
              <w:jc w:val="center"/>
              <w:rPr>
                <w:color w:val="FFFFFF"/>
              </w:rPr>
            </w:pPr>
            <w:r>
              <w:rPr>
                <w:color w:val="FFFFFF"/>
              </w:rPr>
              <w:t> </w:t>
            </w:r>
            <w:r>
              <w:rPr>
                <w:rFonts w:ascii="Arial;sans-serif" w:hAnsi="Arial;sans-serif"/>
                <w:b/>
                <w:color w:val="FFFFFF"/>
                <w:sz w:val="14"/>
              </w:rPr>
              <w:t>($)</w:t>
            </w:r>
          </w:p>
        </w:tc>
        <w:tc>
          <w:tcPr>
            <w:tcW w:w="80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Expiration Date</w:t>
            </w:r>
          </w:p>
        </w:tc>
        <w:tc>
          <w:tcPr>
            <w:tcW w:w="1080"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Number of Shares or Units of Stock That Have Not Vested (#)</w:t>
            </w:r>
          </w:p>
        </w:tc>
        <w:tc>
          <w:tcPr>
            <w:tcW w:w="112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1334"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Number of Unearned Shares, Units, or Other Rights That Have Not Vested (#)</w:t>
            </w:r>
          </w:p>
        </w:tc>
        <w:tc>
          <w:tcPr>
            <w:tcW w:w="126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r>
      <w:tr>
        <w:trPr/>
        <w:tc>
          <w:tcPr>
            <w:tcW w:w="962" w:type="dxa"/>
            <w:gridSpan w:val="3"/>
            <w:vMerge w:val="restart"/>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Sean McClenaghan</w:t>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10/1/2022</w:t>
            </w:r>
          </w:p>
        </w:tc>
        <w:tc>
          <w:tcPr>
            <w:tcW w:w="80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20,585 </w:t>
            </w:r>
          </w:p>
        </w:tc>
        <w:tc>
          <w:tcPr>
            <w:tcW w:w="36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55.22 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10/1/2032</w:t>
            </w:r>
          </w:p>
        </w:tc>
        <w:tc>
          <w:tcPr>
            <w:tcW w:w="67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5,160 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1,032,310 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7,740 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(3b)</w:t>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1,548,464 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(3a)</w:t>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172,052 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80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1,983 </w:t>
            </w:r>
          </w:p>
        </w:tc>
        <w:tc>
          <w:tcPr>
            <w:tcW w:w="40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3,965 </w:t>
            </w:r>
          </w:p>
        </w:tc>
        <w:tc>
          <w:tcPr>
            <w:tcW w:w="36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0"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3/1/2033</w:t>
            </w:r>
          </w:p>
        </w:tc>
        <w:tc>
          <w:tcPr>
            <w:tcW w:w="67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4,603 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920,876 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(4b)</w:t>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1,841,752 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1,535 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(4a)</w:t>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307,092 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80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3,513 </w:t>
            </w:r>
          </w:p>
        </w:tc>
        <w:tc>
          <w:tcPr>
            <w:tcW w:w="40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1,756 </w:t>
            </w:r>
          </w:p>
        </w:tc>
        <w:tc>
          <w:tcPr>
            <w:tcW w:w="36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116.40 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2/28/2034</w:t>
            </w:r>
          </w:p>
        </w:tc>
        <w:tc>
          <w:tcPr>
            <w:tcW w:w="67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3,737 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747,624 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7,474 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(5b)</w:t>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1,495,248 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1,868 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(5a)</w:t>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373,712 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0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4,229 </w:t>
            </w:r>
          </w:p>
        </w:tc>
        <w:tc>
          <w:tcPr>
            <w:tcW w:w="40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240"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3/3/2035</w:t>
            </w:r>
          </w:p>
        </w:tc>
        <w:tc>
          <w:tcPr>
            <w:tcW w:w="67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restart"/>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John W. Swann, III</w:t>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3/1/2021</w:t>
            </w:r>
          </w:p>
        </w:tc>
        <w:tc>
          <w:tcPr>
            <w:tcW w:w="80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8,101 </w:t>
            </w:r>
          </w:p>
        </w:tc>
        <w:tc>
          <w:tcPr>
            <w:tcW w:w="36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3/1/2031</w:t>
            </w:r>
          </w:p>
        </w:tc>
        <w:tc>
          <w:tcPr>
            <w:tcW w:w="67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5,160 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1,032,310 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7,740 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(3b)</w:t>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1,548,464 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(3a)</w:t>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172,052 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80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1,983 </w:t>
            </w:r>
          </w:p>
        </w:tc>
        <w:tc>
          <w:tcPr>
            <w:tcW w:w="40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3,965 </w:t>
            </w:r>
          </w:p>
        </w:tc>
        <w:tc>
          <w:tcPr>
            <w:tcW w:w="36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0"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3/1/2033</w:t>
            </w:r>
          </w:p>
        </w:tc>
        <w:tc>
          <w:tcPr>
            <w:tcW w:w="67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3,683 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736,821 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7,366 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(4b)</w:t>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1,473,642 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1,228 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(4a)</w:t>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245,674 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80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2,810 </w:t>
            </w:r>
          </w:p>
        </w:tc>
        <w:tc>
          <w:tcPr>
            <w:tcW w:w="40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1,405 </w:t>
            </w:r>
          </w:p>
        </w:tc>
        <w:tc>
          <w:tcPr>
            <w:tcW w:w="36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116.40 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2/28/2034</w:t>
            </w:r>
          </w:p>
        </w:tc>
        <w:tc>
          <w:tcPr>
            <w:tcW w:w="67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567,370 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5,672 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(5b)</w:t>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1,134,740 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(5a)</w:t>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283,685 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tcBorders>
            <w:tcMar>
              <w:top w:w="30" w:type="dxa"/>
              <w:bottom w:w="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3/3/2025</w:t>
            </w:r>
          </w:p>
        </w:tc>
        <w:tc>
          <w:tcPr>
            <w:tcW w:w="80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3,210 </w:t>
            </w:r>
          </w:p>
        </w:tc>
        <w:tc>
          <w:tcPr>
            <w:tcW w:w="40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138.60 </w:t>
            </w:r>
          </w:p>
        </w:tc>
        <w:tc>
          <w:tcPr>
            <w:tcW w:w="240"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3/3/2035</w:t>
            </w:r>
          </w:p>
        </w:tc>
        <w:tc>
          <w:tcPr>
            <w:tcW w:w="67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restart"/>
            <w:tcBorders>
              <w:top w:val="single" w:sz="8" w:space="0" w:color="6D6D6D"/>
              <w:left w:val="single" w:sz="8" w:space="0" w:color="6D6D6D"/>
              <w:bottom w:val="single" w:sz="8" w:space="0" w:color="6D6D6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 Randall Data</w:t>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3/1/2022</w:t>
            </w:r>
          </w:p>
        </w:tc>
        <w:tc>
          <w:tcPr>
            <w:tcW w:w="80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3,272 </w:t>
            </w:r>
          </w:p>
        </w:tc>
        <w:tc>
          <w:tcPr>
            <w:tcW w:w="36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3/1/2032</w:t>
            </w:r>
          </w:p>
        </w:tc>
        <w:tc>
          <w:tcPr>
            <w:tcW w:w="67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5,469 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1,094,128 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8,204 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(3b)</w:t>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1,641,192 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912 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(3a)</w:t>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182,455 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3/1/2023</w:t>
            </w:r>
          </w:p>
        </w:tc>
        <w:tc>
          <w:tcPr>
            <w:tcW w:w="80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2,102 </w:t>
            </w:r>
          </w:p>
        </w:tc>
        <w:tc>
          <w:tcPr>
            <w:tcW w:w="403"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4,203 </w:t>
            </w:r>
          </w:p>
        </w:tc>
        <w:tc>
          <w:tcPr>
            <w:tcW w:w="362"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0"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3/1/2033</w:t>
            </w:r>
          </w:p>
        </w:tc>
        <w:tc>
          <w:tcPr>
            <w:tcW w:w="67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right w:val="single" w:sz="8" w:space="0" w:color="6D6D6D"/>
            </w:tcBorders>
            <w:shd w:fill="E5E5E5" w:val="clear"/>
            <w:tcMar>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5,984 </w:t>
            </w:r>
          </w:p>
        </w:tc>
        <w:tc>
          <w:tcPr>
            <w:tcW w:w="13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1,197,159 </w:t>
            </w:r>
          </w:p>
        </w:tc>
        <w:tc>
          <w:tcPr>
            <w:tcW w:w="28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11,968 </w:t>
            </w:r>
          </w:p>
        </w:tc>
        <w:tc>
          <w:tcPr>
            <w:tcW w:w="1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(4b)</w:t>
            </w:r>
          </w:p>
        </w:tc>
        <w:tc>
          <w:tcPr>
            <w:tcW w:w="856" w:type="dxa"/>
            <w:gridSpan w:val="2"/>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2,394,318 </w:t>
            </w:r>
          </w:p>
        </w:tc>
        <w:tc>
          <w:tcPr>
            <w:tcW w:w="404" w:type="dxa"/>
            <w:tcBorders>
              <w:top w:val="single" w:sz="8" w:space="0" w:color="6D6D6D"/>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12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1,995 </w:t>
            </w:r>
          </w:p>
        </w:tc>
        <w:tc>
          <w:tcPr>
            <w:tcW w:w="136"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(4a)</w:t>
            </w:r>
          </w:p>
        </w:tc>
        <w:tc>
          <w:tcPr>
            <w:tcW w:w="841"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399,120 </w:t>
            </w:r>
          </w:p>
        </w:tc>
        <w:tc>
          <w:tcPr>
            <w:tcW w:w="281"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6D6D6D"/>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6D6D6D"/>
              <w:right w:val="single" w:sz="8" w:space="0" w:color="6D6D6D"/>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2" w:type="dxa"/>
            <w:gridSpan w:val="3"/>
            <w:vMerge w:val="continue"/>
            <w:tcBorders>
              <w:top w:val="single" w:sz="8" w:space="0" w:color="6D6D6D"/>
              <w:left w:val="single" w:sz="8" w:space="0" w:color="6D6D6D"/>
              <w:bottom w:val="single" w:sz="8" w:space="0" w:color="6D6D6D"/>
            </w:tcBorders>
            <w:tcMar>
              <w:top w:w="30" w:type="dxa"/>
              <w:bottom w:w="30" w:type="dxa"/>
              <w:right w:w="0" w:type="dxa"/>
            </w:tcMar>
            <w:vAlign w:val="center"/>
          </w:tcPr>
          <w:p>
            <w:pPr>
              <w:pStyle w:val="Normal"/>
              <w:bidi w:val="0"/>
              <w:jc w:val="left"/>
              <w:rPr/>
            </w:pPr>
            <w:r>
              <w:rPr/>
            </w:r>
          </w:p>
        </w:tc>
        <w:tc>
          <w:tcPr>
            <w:tcW w:w="520" w:type="dxa"/>
            <w:gridSpan w:val="3"/>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2/28/2024</w:t>
            </w:r>
          </w:p>
        </w:tc>
        <w:tc>
          <w:tcPr>
            <w:tcW w:w="802" w:type="dxa"/>
            <w:gridSpan w:val="2"/>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4,567 </w:t>
            </w:r>
          </w:p>
        </w:tc>
        <w:tc>
          <w:tcPr>
            <w:tcW w:w="403" w:type="dxa"/>
            <w:tcBorders>
              <w:top w:val="single" w:sz="8" w:space="0" w:color="6D6D6D"/>
              <w:bottom w:val="sing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2,283 </w:t>
            </w:r>
          </w:p>
        </w:tc>
        <w:tc>
          <w:tcPr>
            <w:tcW w:w="362" w:type="dxa"/>
            <w:tcBorders>
              <w:top w:val="single" w:sz="8" w:space="0" w:color="6D6D6D"/>
              <w:bottom w:val="sing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116.40 </w:t>
            </w:r>
          </w:p>
        </w:tc>
        <w:tc>
          <w:tcPr>
            <w:tcW w:w="240" w:type="dxa"/>
            <w:tcBorders>
              <w:top w:val="single" w:sz="8" w:space="0" w:color="6D6D6D"/>
              <w:bottom w:val="sing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2/28/2034</w:t>
            </w:r>
          </w:p>
        </w:tc>
        <w:tc>
          <w:tcPr>
            <w:tcW w:w="672" w:type="dxa"/>
            <w:gridSpan w:val="3"/>
            <w:tcBorders>
              <w:top w:val="single" w:sz="8" w:space="0" w:color="6D6D6D"/>
              <w:left w:val="single" w:sz="8" w:space="0" w:color="6D6D6D"/>
              <w:bottom w:val="single" w:sz="8" w:space="0" w:color="6D6D6D"/>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6D6D6D"/>
              <w:bottom w:val="single" w:sz="8" w:space="0" w:color="6D6D6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6D6D6D"/>
              <w:left w:val="single" w:sz="8" w:space="0" w:color="6D6D6D"/>
              <w:bottom w:val="single" w:sz="8" w:space="0" w:color="6D6D6D"/>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6D6D6D"/>
              <w:left w:val="single" w:sz="8" w:space="0" w:color="6D6D6D"/>
              <w:bottom w:val="single" w:sz="8" w:space="0" w:color="6D6D6D"/>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6D6D6D"/>
              <w:bottom w:val="single" w:sz="8" w:space="0" w:color="6D6D6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6D6D6D"/>
              <w:left w:val="single" w:sz="8" w:space="0" w:color="6D6D6D"/>
              <w:bottom w:val="single" w:sz="8" w:space="0" w:color="6D6D6D"/>
              <w:right w:val="single" w:sz="8" w:space="0" w:color="6D6D6D"/>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(1)Unvested Options are subject to satisfaction of vesting criteria for the applicable year. Options vest at the rate of 33 1/3 percent in annual installments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(2)Based on the closing price of our common stock of $200.06 on December 31, 2025.</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(3a)RSUs awarded on March 1, 2023,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(3b)PSUs awarded on March 1, 2023,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the maximum performance level (150%).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39140"/>
                <wp:effectExtent l="0" t="0" r="0" b="0"/>
                <wp:wrapNone/>
                <wp:docPr id="237"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51" descr=""/>
                                                <pic:cNvPicPr>
                                                  <a:picLocks noChangeAspect="1" noChangeArrowheads="1"/>
                                                </pic:cNvPicPr>
                                              </pic:nvPicPr>
                                              <pic:blipFill>
                                                <a:blip r:embed="rId192"/>
                                                <a:stretch>
                                                  <a:fillRect/>
                                                </a:stretch>
                                              </pic:blipFill>
                                              <pic:spPr bwMode="auto">
                                                <a:xfrm>
                                                  <a:off x="0" y="0"/>
                                                  <a:ext cx="447675" cy="161925"/>
                                                </a:xfrm>
                                                <a:prstGeom prst="rect">
                                                  <a:avLst/>
                                                </a:prstGeom>
                                              </pic:spPr>
                                            </pic:pic>
                                          </a:graphicData>
                                        </a:graphic>
                                      </wp:inline>
                                    </w:drawing>
                                  </w:r>
                                  <w:bookmarkStart w:id="206" w:name="i-151"/>
                                  <w:bookmarkEnd w:id="20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51" descr=""/>
                                          <pic:cNvPicPr>
                                            <a:picLocks noChangeAspect="1" noChangeArrowheads="1"/>
                                          </pic:cNvPicPr>
                                        </pic:nvPicPr>
                                        <pic:blipFill>
                                          <a:blip r:embed="rId193"/>
                                          <a:stretch>
                                            <a:fillRect/>
                                          </a:stretch>
                                        </pic:blipFill>
                                        <pic:spPr bwMode="auto">
                                          <a:xfrm>
                                            <a:off x="0" y="0"/>
                                            <a:ext cx="447675" cy="161925"/>
                                          </a:xfrm>
                                          <a:prstGeom prst="rect">
                                            <a:avLst/>
                                          </a:prstGeom>
                                        </pic:spPr>
                                      </pic:pic>
                                    </a:graphicData>
                                  </a:graphic>
                                </wp:inline>
                              </w:drawing>
                            </w:r>
                            <w:bookmarkStart w:id="207" w:name="i-151"/>
                            <w:bookmarkEnd w:id="20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(4a)RSUs awarded on February 28, 2024,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(4b)PSUs awarded on February 28, 2024,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the maximum performance level (200%).</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(5a)RSUs awarded on March 3, 2025,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(5b)PSUs awarded on March 3, 2025,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the maximum performance level (200%).</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(6)RSUs awarded to Mr. Carano on February 1, 2023, vest at the rate of 33 1/3 percent per year, upon meeting vesting criteria for the applicable year, with vesting dates of February 1, 2024, February 1, 2025, and February 1, 2026. LTI awards are generally subject to continued service through the applicable vesting period.</w:t>
      </w:r>
    </w:p>
    <w:p>
      <w:pPr>
        <w:pStyle w:val="TextBody"/>
        <w:bidi w:val="0"/>
        <w:spacing w:before="0" w:after="60"/>
        <w:ind w:left="0" w:right="0" w:firstLine="144"/>
        <w:jc w:val="both"/>
        <w:rPr/>
      </w:pPr>
      <w:r>
        <w:rPr/>
      </w:r>
    </w:p>
    <w:p>
      <w:pPr>
        <w:pStyle w:val="TextBody"/>
        <w:bidi w:val="0"/>
        <w:spacing w:lineRule="auto" w:line="288" w:before="0" w:after="60"/>
        <w:jc w:val="left"/>
        <w:rPr>
          <w:rFonts w:ascii="Arial;sans-serif" w:hAnsi="Arial;sans-serif"/>
          <w:b/>
          <w:color w:val="000000"/>
          <w:sz w:val="22"/>
        </w:rPr>
      </w:pPr>
      <w:bookmarkStart w:id="208" w:name="i47c01f2ecc4e4a55bb446d8ea7992a12_63389"/>
      <w:bookmarkEnd w:id="208"/>
      <w:r>
        <w:rPr>
          <w:rFonts w:ascii="Arial;sans-serif" w:hAnsi="Arial;sans-serif"/>
          <w:b/>
          <w:color w:val="000000"/>
          <w:sz w:val="22"/>
        </w:rPr>
        <w:t>OPTION EXERCISES AND STOCK VESTED IN 2025</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sets forth options exercised and stock vested for each of our NEOs in 2025.</w:t>
      </w:r>
    </w:p>
    <w:tbl>
      <w:tblPr>
        <w:tblW w:w="7857" w:type="dxa"/>
        <w:jc w:val="left"/>
        <w:tblInd w:w="0" w:type="dxa"/>
        <w:tblLayout w:type="fixed"/>
        <w:tblCellMar>
          <w:top w:w="28" w:type="dxa"/>
          <w:left w:w="28" w:type="dxa"/>
          <w:bottom w:w="28" w:type="dxa"/>
          <w:right w:w="28" w:type="dxa"/>
        </w:tblCellMar>
      </w:tblPr>
      <w:tblGrid>
        <w:gridCol w:w="560"/>
        <w:gridCol w:w="489"/>
        <w:gridCol w:w="496"/>
        <w:gridCol w:w="609"/>
        <w:gridCol w:w="609"/>
        <w:gridCol w:w="611"/>
        <w:gridCol w:w="429"/>
        <w:gridCol w:w="429"/>
        <w:gridCol w:w="446"/>
        <w:gridCol w:w="609"/>
        <w:gridCol w:w="609"/>
        <w:gridCol w:w="611"/>
        <w:gridCol w:w="394"/>
        <w:gridCol w:w="394"/>
        <w:gridCol w:w="562"/>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545"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3133"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Option Awards</w:t>
            </w:r>
          </w:p>
        </w:tc>
        <w:tc>
          <w:tcPr>
            <w:tcW w:w="3179"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Stock Awards</w:t>
            </w:r>
          </w:p>
        </w:tc>
      </w:tr>
      <w:tr>
        <w:trPr/>
        <w:tc>
          <w:tcPr>
            <w:tcW w:w="1545"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8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Number of Shares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Acquired on Exercise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30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Value Realized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on Exercise </w:t>
              <w:br/>
              <w:t>($)</w:t>
            </w:r>
          </w:p>
        </w:tc>
        <w:tc>
          <w:tcPr>
            <w:tcW w:w="18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w:t>
            </w:r>
          </w:p>
          <w:p>
            <w:pPr>
              <w:pStyle w:val="TableContents"/>
              <w:bidi w:val="0"/>
              <w:spacing w:lineRule="auto" w:line="288" w:before="0" w:after="0"/>
              <w:jc w:val="center"/>
              <w:rPr>
                <w:color w:val="FFFFFF"/>
              </w:rPr>
            </w:pPr>
            <w:r>
              <w:rPr>
                <w:color w:val="FFFFFF"/>
              </w:rPr>
              <w:t> </w:t>
            </w:r>
            <w:r>
              <w:rPr>
                <w:rFonts w:ascii="Arial;sans-serif" w:hAnsi="Arial;sans-serif"/>
                <w:b/>
                <w:color w:val="FFFFFF"/>
                <w:sz w:val="16"/>
              </w:rPr>
              <w:t xml:space="preserve">Acquired on Vesting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3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Value Realized </w:t>
            </w:r>
          </w:p>
          <w:p>
            <w:pPr>
              <w:pStyle w:val="TableContents"/>
              <w:bidi w:val="0"/>
              <w:spacing w:lineRule="auto" w:line="288" w:before="0" w:after="0"/>
              <w:jc w:val="center"/>
              <w:rPr/>
            </w:pPr>
            <w:r>
              <w:rPr>
                <w:rFonts w:ascii="Arial;sans-serif" w:hAnsi="Arial;sans-serif"/>
                <w:b/>
                <w:color w:val="FFFFFF"/>
                <w:sz w:val="16"/>
              </w:rPr>
              <w:t xml:space="preserve">on Vesting </w:t>
              <w:br/>
              <w:t>($)</w:t>
            </w:r>
            <w:r>
              <w:rPr>
                <w:rFonts w:ascii="Arial;sans-serif" w:hAnsi="Arial;sans-serif"/>
                <w:b/>
                <w:color w:val="FFFFFF"/>
                <w:sz w:val="10"/>
              </w:rPr>
              <w:t>(1)</w:t>
            </w:r>
          </w:p>
        </w:tc>
      </w:tr>
      <w:tr>
        <w:trPr/>
        <w:tc>
          <w:tcPr>
            <w:tcW w:w="154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82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186,919</w:t>
            </w:r>
          </w:p>
        </w:tc>
        <w:tc>
          <w:tcPr>
            <w:tcW w:w="130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24,785,448</w:t>
            </w:r>
          </w:p>
        </w:tc>
        <w:tc>
          <w:tcPr>
            <w:tcW w:w="182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73,368</w:t>
            </w:r>
          </w:p>
        </w:tc>
        <w:tc>
          <w:tcPr>
            <w:tcW w:w="135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10,367,205</w:t>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2,559</w:t>
            </w:r>
          </w:p>
        </w:tc>
        <w:tc>
          <w:tcPr>
            <w:tcW w:w="13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375,056</w:t>
            </w:r>
          </w:p>
        </w:tc>
      </w:tr>
      <w:tr>
        <w:trPr/>
        <w:tc>
          <w:tcPr>
            <w:tcW w:w="154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82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2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4,588</w:t>
            </w:r>
          </w:p>
        </w:tc>
        <w:tc>
          <w:tcPr>
            <w:tcW w:w="135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788,717</w:t>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19,193</w:t>
            </w:r>
          </w:p>
        </w:tc>
        <w:tc>
          <w:tcPr>
            <w:tcW w:w="13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3,001,743</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12,842</w:t>
            </w:r>
          </w:p>
        </w:tc>
        <w:tc>
          <w:tcPr>
            <w:tcW w:w="13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1,814,648</w:t>
            </w:r>
          </w:p>
        </w:tc>
      </w:tr>
      <w:tr>
        <w:trPr/>
        <w:tc>
          <w:tcPr>
            <w:tcW w:w="1545"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829"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829"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14,822</w:t>
            </w:r>
          </w:p>
        </w:tc>
        <w:tc>
          <w:tcPr>
            <w:tcW w:w="1350"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2,094,947</w:t>
            </w:r>
          </w:p>
        </w:tc>
      </w:tr>
    </w:tbl>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(1)Value realized on exercise and value realized on vesting is based on the closing price of our common stock on the New York Stock Exchange on the date of exercise or vesting, as applicable. In connection with the vesting of stock awards, our NEOs surrendered shares to satisfy tax withholding requirements, which reduced the number of shares acquired and actual value they received upon vesting.</w:t>
      </w:r>
    </w:p>
    <w:p>
      <w:pPr>
        <w:pStyle w:val="TextBody"/>
        <w:bidi w:val="0"/>
        <w:spacing w:lineRule="auto" w:line="288" w:before="0" w:after="60"/>
        <w:jc w:val="left"/>
        <w:rPr>
          <w:rFonts w:ascii="Arial;sans-serif" w:hAnsi="Arial;sans-serif"/>
          <w:b/>
          <w:color w:val="000000"/>
          <w:sz w:val="22"/>
        </w:rPr>
      </w:pPr>
      <w:bookmarkStart w:id="209" w:name="i47c01f2ecc4e4a55bb446d8ea7992a12_63385"/>
      <w:bookmarkEnd w:id="209"/>
      <w:r>
        <w:rPr>
          <w:rFonts w:ascii="Arial;sans-serif" w:hAnsi="Arial;sans-serif"/>
          <w:b/>
          <w:color w:val="000000"/>
          <w:sz w:val="22"/>
        </w:rPr>
        <w:t>NONQUALIFIED DEFERRED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sets forth information relating to the SPX Supplemental Retirement Savings Plan (“SRSP”) for NEOs in 2025. Other members of senior-level management are also eligible to participate in the SRSP, a nonqualified deferred compensation plan that allows them to make pre-tax deferrals in excess of those permitted by the 401(k) Plan. Eligible executives may defer up to 50% of their base compensation (excluding annual bonuses) and up to 100% of their annual bonuses into the SRSP. Both base compensation and annual bonus deferral elections are made prior to the beginning of the year to which they relate.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 company match is made to the SRSP after the maximum company match has been made under the 401(k) Plan, and the deferrals and match are allocated to the fund(s) under the SRSP as selected by the participant.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general, “eligible compensation” for purposes of the SRSP is the amount reported as wages on a participant’s Form W-2, (1) increased by (a) amounts contributed by the participant to the 401(k) Plan and the SPX Flexible Spending Account Plans, and (b) vacation and holiday pay paid after termination of employment; and (2) decreased by (a) reimbursements or other expense allowances, (b) fringe benefits (cash and non-cash), (c) moving expenses, (d) welfare benefits (provided that short-term disability payments are included and long-term disability payments are excluded), (e) employer-provided automobiles, mileage reimbursements, and car allowances for which no documentation is required, taxable and non-taxable tuition reimbursements, the taxable value of physical examinations, and group term life insurance coverage in excess of $50,000, (f) pay in lieu of notice, (g) deferred compensation, (h) the value of restricted shares and other equity awards, and (i) severance pay paid after termination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39140"/>
                <wp:effectExtent l="0" t="0" r="0" b="0"/>
                <wp:wrapNone/>
                <wp:docPr id="240"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52" descr=""/>
                                                <pic:cNvPicPr>
                                                  <a:picLocks noChangeAspect="1" noChangeArrowheads="1"/>
                                                </pic:cNvPicPr>
                                              </pic:nvPicPr>
                                              <pic:blipFill>
                                                <a:blip r:embed="rId194"/>
                                                <a:stretch>
                                                  <a:fillRect/>
                                                </a:stretch>
                                              </pic:blipFill>
                                              <pic:spPr bwMode="auto">
                                                <a:xfrm>
                                                  <a:off x="0" y="0"/>
                                                  <a:ext cx="447675" cy="161925"/>
                                                </a:xfrm>
                                                <a:prstGeom prst="rect">
                                                  <a:avLst/>
                                                </a:prstGeom>
                                              </pic:spPr>
                                            </pic:pic>
                                          </a:graphicData>
                                        </a:graphic>
                                      </wp:inline>
                                    </w:drawing>
                                  </w:r>
                                  <w:bookmarkStart w:id="210" w:name="i-152"/>
                                  <w:bookmarkEnd w:id="210"/>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52" descr=""/>
                                          <pic:cNvPicPr>
                                            <a:picLocks noChangeAspect="1" noChangeArrowheads="1"/>
                                          </pic:cNvPicPr>
                                        </pic:nvPicPr>
                                        <pic:blipFill>
                                          <a:blip r:embed="rId195"/>
                                          <a:stretch>
                                            <a:fillRect/>
                                          </a:stretch>
                                        </pic:blipFill>
                                        <pic:spPr bwMode="auto">
                                          <a:xfrm>
                                            <a:off x="0" y="0"/>
                                            <a:ext cx="447675" cy="161925"/>
                                          </a:xfrm>
                                          <a:prstGeom prst="rect">
                                            <a:avLst/>
                                          </a:prstGeom>
                                        </pic:spPr>
                                      </pic:pic>
                                    </a:graphicData>
                                  </a:graphic>
                                </wp:inline>
                              </w:drawing>
                            </w:r>
                            <w:bookmarkStart w:id="211" w:name="i-152"/>
                            <w:bookmarkEnd w:id="211"/>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All matching contributions into the SRSP are made in cash and invested according to the participant’s elections. All participant and matching contributions vest immediately. There is no minimum holding period. The SRSP is unfunded and earnings are credited on account balances based on participant direction within the similar investment choices available in the 401(k) Plan. All returns in the SRSP and the 401(k) Plan are at market rates. In-service distributions are not allowed under the SRSP. All amounts deferred under the SRSP after 2009 will be paid in a lump-sum payment six months following termination of employment. Participants may elect to receive their pre-2009 accounts in a lump sum, annual installments (two to ten years), or monthly installments (up to 120 months) upon separation from service, on a date that is a specified number of months after retirement or separation from service, or on a specified date following separation from service (no later than attainment of age 70 1/2).</w:t>
      </w:r>
    </w:p>
    <w:tbl>
      <w:tblPr>
        <w:tblW w:w="10205" w:type="dxa"/>
        <w:jc w:val="left"/>
        <w:tblInd w:w="0" w:type="dxa"/>
        <w:tblLayout w:type="fixed"/>
        <w:tblCellMar>
          <w:top w:w="28" w:type="dxa"/>
          <w:left w:w="28" w:type="dxa"/>
          <w:bottom w:w="28" w:type="dxa"/>
          <w:right w:w="28" w:type="dxa"/>
        </w:tblCellMar>
      </w:tblPr>
      <w:tblGrid>
        <w:gridCol w:w="553"/>
        <w:gridCol w:w="408"/>
        <w:gridCol w:w="321"/>
        <w:gridCol w:w="610"/>
        <w:gridCol w:w="610"/>
        <w:gridCol w:w="611"/>
        <w:gridCol w:w="617"/>
        <w:gridCol w:w="617"/>
        <w:gridCol w:w="618"/>
        <w:gridCol w:w="580"/>
        <w:gridCol w:w="507"/>
        <w:gridCol w:w="509"/>
        <w:gridCol w:w="617"/>
        <w:gridCol w:w="617"/>
        <w:gridCol w:w="619"/>
        <w:gridCol w:w="655"/>
        <w:gridCol w:w="466"/>
        <w:gridCol w:w="670"/>
      </w:tblGrid>
      <w:tr>
        <w:trPr/>
        <w:tc>
          <w:tcPr>
            <w:tcW w:w="5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83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Executive Contributions in Last FY</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(1)</w:t>
            </w:r>
          </w:p>
        </w:tc>
        <w:tc>
          <w:tcPr>
            <w:tcW w:w="185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Registrant Contributions in Last FY</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(2)</w:t>
            </w:r>
          </w:p>
        </w:tc>
        <w:tc>
          <w:tcPr>
            <w:tcW w:w="15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Aggregate Earnings in Last FY</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(3)</w:t>
            </w:r>
          </w:p>
        </w:tc>
        <w:tc>
          <w:tcPr>
            <w:tcW w:w="185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Aggregate Withdrawals/ Distributions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79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Aggregate Balance at Last FYE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282"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220"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148,706 </w:t>
            </w:r>
          </w:p>
        </w:tc>
        <w:tc>
          <w:tcPr>
            <w:tcW w:w="611"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133,835 </w:t>
            </w:r>
          </w:p>
        </w:tc>
        <w:tc>
          <w:tcPr>
            <w:tcW w:w="618"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576,655 </w:t>
            </w:r>
          </w:p>
        </w:tc>
        <w:tc>
          <w:tcPr>
            <w:tcW w:w="5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3,796,204 </w:t>
            </w:r>
          </w:p>
        </w:tc>
        <w:tc>
          <w:tcPr>
            <w:tcW w:w="670"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52,559 </w:t>
            </w:r>
          </w:p>
        </w:tc>
        <w:tc>
          <w:tcPr>
            <w:tcW w:w="6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43,799 </w:t>
            </w:r>
          </w:p>
        </w:tc>
        <w:tc>
          <w:tcPr>
            <w:tcW w:w="6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22,349 </w:t>
            </w:r>
          </w:p>
        </w:tc>
        <w:tc>
          <w:tcPr>
            <w:tcW w:w="5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167,471 </w:t>
            </w:r>
          </w:p>
        </w:tc>
        <w:tc>
          <w:tcPr>
            <w:tcW w:w="670"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220"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64,021 </w:t>
            </w:r>
          </w:p>
        </w:tc>
        <w:tc>
          <w:tcPr>
            <w:tcW w:w="611"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53,351 </w:t>
            </w:r>
          </w:p>
        </w:tc>
        <w:tc>
          <w:tcPr>
            <w:tcW w:w="618"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22,428 </w:t>
            </w:r>
          </w:p>
        </w:tc>
        <w:tc>
          <w:tcPr>
            <w:tcW w:w="5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139,800 </w:t>
            </w:r>
          </w:p>
        </w:tc>
        <w:tc>
          <w:tcPr>
            <w:tcW w:w="670"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22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55,961 </w:t>
            </w:r>
          </w:p>
        </w:tc>
        <w:tc>
          <w:tcPr>
            <w:tcW w:w="6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46,634 </w:t>
            </w:r>
          </w:p>
        </w:tc>
        <w:tc>
          <w:tcPr>
            <w:tcW w:w="6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210,113 </w:t>
            </w:r>
          </w:p>
        </w:tc>
        <w:tc>
          <w:tcPr>
            <w:tcW w:w="5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1,720,819 </w:t>
            </w:r>
          </w:p>
        </w:tc>
        <w:tc>
          <w:tcPr>
            <w:tcW w:w="670"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220"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27,581 </w:t>
            </w:r>
          </w:p>
        </w:tc>
        <w:tc>
          <w:tcPr>
            <w:tcW w:w="611"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23,204 </w:t>
            </w:r>
          </w:p>
        </w:tc>
        <w:tc>
          <w:tcPr>
            <w:tcW w:w="618"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130,135 </w:t>
            </w:r>
          </w:p>
        </w:tc>
        <w:tc>
          <w:tcPr>
            <w:tcW w:w="509"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879,309 </w:t>
            </w:r>
          </w:p>
        </w:tc>
        <w:tc>
          <w:tcPr>
            <w:tcW w:w="670" w:type="dxa"/>
            <w:tcBorders>
              <w:top w:val="single" w:sz="4" w:space="0" w:color="000000"/>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(1)Contributions to the SRSP consisted of deferrals from 2025 base salary and 2024 bonus payout.</w:t>
      </w:r>
    </w:p>
    <w:tbl>
      <w:tblPr>
        <w:tblW w:w="4753" w:type="dxa"/>
        <w:jc w:val="left"/>
        <w:tblInd w:w="0" w:type="dxa"/>
        <w:tblLayout w:type="fixed"/>
        <w:tblCellMar>
          <w:top w:w="28" w:type="dxa"/>
          <w:left w:w="28" w:type="dxa"/>
          <w:bottom w:w="28" w:type="dxa"/>
          <w:right w:w="28" w:type="dxa"/>
        </w:tblCellMar>
      </w:tblPr>
      <w:tblGrid>
        <w:gridCol w:w="560"/>
        <w:gridCol w:w="489"/>
        <w:gridCol w:w="496"/>
        <w:gridCol w:w="329"/>
        <w:gridCol w:w="329"/>
        <w:gridCol w:w="331"/>
        <w:gridCol w:w="650"/>
        <w:gridCol w:w="650"/>
        <w:gridCol w:w="919"/>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98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2025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221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2024 Non-Equity Incentive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Plan Compensation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54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65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46,239 </w:t>
            </w:r>
          </w:p>
        </w:tc>
        <w:tc>
          <w:tcPr>
            <w:tcW w:w="331"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102,467 </w:t>
            </w:r>
          </w:p>
        </w:tc>
        <w:tc>
          <w:tcPr>
            <w:tcW w:w="91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65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27,079 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25,480 </w:t>
            </w:r>
          </w:p>
        </w:tc>
        <w:tc>
          <w:tcPr>
            <w:tcW w:w="91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65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31,209 </w:t>
            </w:r>
          </w:p>
        </w:tc>
        <w:tc>
          <w:tcPr>
            <w:tcW w:w="331"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32,812 </w:t>
            </w:r>
          </w:p>
        </w:tc>
        <w:tc>
          <w:tcPr>
            <w:tcW w:w="91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65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30,545 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25,416 </w:t>
            </w:r>
          </w:p>
        </w:tc>
        <w:tc>
          <w:tcPr>
            <w:tcW w:w="91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658"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27,581 </w:t>
            </w:r>
          </w:p>
        </w:tc>
        <w:tc>
          <w:tcPr>
            <w:tcW w:w="331"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19" w:type="dxa"/>
            <w:tcBorders>
              <w:top w:val="single" w:sz="4" w:space="0" w:color="000000"/>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matching amounts contributed by SPX to the SRSP. These amounts have been included in the All Other Compensation column of the Summary Compensation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(3)Aggregate earnings under the SRSP are not above market and, accordingly, are not included in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39140"/>
                <wp:effectExtent l="0" t="0" r="0" b="0"/>
                <wp:wrapNone/>
                <wp:docPr id="243"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53" descr=""/>
                                                <pic:cNvPicPr>
                                                  <a:picLocks noChangeAspect="1" noChangeArrowheads="1"/>
                                                </pic:cNvPicPr>
                                              </pic:nvPicPr>
                                              <pic:blipFill>
                                                <a:blip r:embed="rId196"/>
                                                <a:stretch>
                                                  <a:fillRect/>
                                                </a:stretch>
                                              </pic:blipFill>
                                              <pic:spPr bwMode="auto">
                                                <a:xfrm>
                                                  <a:off x="0" y="0"/>
                                                  <a:ext cx="447675" cy="161925"/>
                                                </a:xfrm>
                                                <a:prstGeom prst="rect">
                                                  <a:avLst/>
                                                </a:prstGeom>
                                              </pic:spPr>
                                            </pic:pic>
                                          </a:graphicData>
                                        </a:graphic>
                                      </wp:inline>
                                    </w:drawing>
                                  </w:r>
                                  <w:bookmarkStart w:id="212" w:name="i-153"/>
                                  <w:bookmarkEnd w:id="21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53" descr=""/>
                                          <pic:cNvPicPr>
                                            <a:picLocks noChangeAspect="1" noChangeArrowheads="1"/>
                                          </pic:cNvPicPr>
                                        </pic:nvPicPr>
                                        <pic:blipFill>
                                          <a:blip r:embed="rId197"/>
                                          <a:stretch>
                                            <a:fillRect/>
                                          </a:stretch>
                                        </pic:blipFill>
                                        <pic:spPr bwMode="auto">
                                          <a:xfrm>
                                            <a:off x="0" y="0"/>
                                            <a:ext cx="447675" cy="161925"/>
                                          </a:xfrm>
                                          <a:prstGeom prst="rect">
                                            <a:avLst/>
                                          </a:prstGeom>
                                        </pic:spPr>
                                      </pic:pic>
                                    </a:graphicData>
                                  </a:graphic>
                                </wp:inline>
                              </w:drawing>
                            </w:r>
                            <w:bookmarkStart w:id="213" w:name="i-153"/>
                            <w:bookmarkEnd w:id="213"/>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214" w:name="i47c01f2ecc4e4a55bb446d8ea7992a12_63403"/>
      <w:bookmarkEnd w:id="214"/>
      <w:r>
        <w:rPr>
          <w:rFonts w:ascii="Arial;sans-serif" w:hAnsi="Arial;sans-serif"/>
          <w:b/>
          <w:color w:val="000000"/>
          <w:sz w:val="22"/>
        </w:rPr>
        <w:t xml:space="preserve">POTENTIAL PAYMENTS UPON TERMINATION OR CHANGE-IN-CONTROL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who are currently employees are covered by change-in-control agreements, severance agreements, and stock plan award agreements governing compensation in the event of a termination of employment or a change in control of our Company. In addition, we have entered into an employment agreement with Mr. Lowe in lieu of a severance agreement. The following tables set forth the expected benefits to be received by each current NEO in the event of their termination resulting from various scenarios, assuming a termination date of December 31, 2025 and a stock price of $200.06, our closing stock price on December 31, 2025. Assumptions and explanations of the numbers set forth in the tables below are set forth in the footnotes to, and in additional text following, the tables.</w:t>
      </w:r>
    </w:p>
    <w:tbl>
      <w:tblPr>
        <w:tblW w:w="10205" w:type="dxa"/>
        <w:jc w:val="left"/>
        <w:tblInd w:w="0" w:type="dxa"/>
        <w:tblLayout w:type="fixed"/>
        <w:tblCellMar>
          <w:top w:w="28" w:type="dxa"/>
          <w:left w:w="28" w:type="dxa"/>
          <w:bottom w:w="28" w:type="dxa"/>
          <w:right w:w="28" w:type="dxa"/>
        </w:tblCellMar>
      </w:tblPr>
      <w:tblGrid>
        <w:gridCol w:w="715"/>
        <w:gridCol w:w="265"/>
        <w:gridCol w:w="268"/>
        <w:gridCol w:w="587"/>
        <w:gridCol w:w="237"/>
        <w:gridCol w:w="237"/>
        <w:gridCol w:w="237"/>
        <w:gridCol w:w="237"/>
        <w:gridCol w:w="242"/>
        <w:gridCol w:w="479"/>
        <w:gridCol w:w="482"/>
        <w:gridCol w:w="140"/>
        <w:gridCol w:w="140"/>
        <w:gridCol w:w="140"/>
        <w:gridCol w:w="141"/>
        <w:gridCol w:w="479"/>
        <w:gridCol w:w="482"/>
        <w:gridCol w:w="205"/>
        <w:gridCol w:w="205"/>
        <w:gridCol w:w="205"/>
        <w:gridCol w:w="206"/>
        <w:gridCol w:w="795"/>
        <w:gridCol w:w="238"/>
        <w:gridCol w:w="238"/>
        <w:gridCol w:w="238"/>
        <w:gridCol w:w="238"/>
        <w:gridCol w:w="244"/>
        <w:gridCol w:w="544"/>
        <w:gridCol w:w="427"/>
        <w:gridCol w:w="203"/>
        <w:gridCol w:w="203"/>
        <w:gridCol w:w="203"/>
        <w:gridCol w:w="305"/>
      </w:tblGrid>
      <w:tr>
        <w:trPr/>
        <w:tc>
          <w:tcPr>
            <w:tcW w:w="7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Eugene J. Lowe, III</w:t>
            </w:r>
          </w:p>
        </w:tc>
        <w:tc>
          <w:tcPr>
            <w:tcW w:w="1777" w:type="dxa"/>
            <w:gridSpan w:val="6"/>
            <w:tcBorders>
              <w:top w:val="single" w:sz="4" w:space="0" w:color="000000"/>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(a) Voluntary Resignation or (b) Involuntary Termination for Cause </w:t>
              <w:br/>
              <w:t>($)</w:t>
            </w:r>
          </w:p>
        </w:tc>
        <w:tc>
          <w:tcPr>
            <w:tcW w:w="152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Disability </w:t>
              <w:br/>
              <w:t>($)</w:t>
            </w:r>
          </w:p>
        </w:tc>
        <w:tc>
          <w:tcPr>
            <w:tcW w:w="178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Death</w:t>
              <w:br/>
              <w:t xml:space="preserve">Pre-retirement </w:t>
              <w:br/>
              <w:t>($)</w:t>
            </w:r>
          </w:p>
        </w:tc>
        <w:tc>
          <w:tcPr>
            <w:tcW w:w="1991"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Involuntary Without Cause/ Voluntary Resignation for Good Reason </w:t>
              <w:br/>
              <w:t>($)</w:t>
            </w:r>
          </w:p>
        </w:tc>
        <w:tc>
          <w:tcPr>
            <w:tcW w:w="1885"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Termination Following Change in Control </w:t>
              <w:br/>
              <w:t>($)</w:t>
            </w:r>
          </w:p>
        </w:tc>
      </w:tr>
      <w:tr>
        <w:trPr/>
        <w:tc>
          <w:tcPr>
            <w:tcW w:w="124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8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2,300,000 </w:t>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3,450,000 </w:t>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r>
      <w:tr>
        <w:trPr/>
        <w:tc>
          <w:tcPr>
            <w:tcW w:w="124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8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2,188,359 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6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2,188,359 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1033"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4,376,718 </w:t>
            </w:r>
          </w:p>
        </w:tc>
        <w:tc>
          <w:tcPr>
            <w:tcW w:w="23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6,565,077 </w:t>
            </w:r>
          </w:p>
        </w:tc>
        <w:tc>
          <w:tcPr>
            <w:tcW w:w="20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r>
      <w:tr>
        <w:trPr/>
        <w:tc>
          <w:tcPr>
            <w:tcW w:w="124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8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22,295,955 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6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22,295,955 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1033"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17,414,775 </w:t>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22,295,955 </w:t>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r>
      <w:tr>
        <w:trPr/>
        <w:tc>
          <w:tcPr>
            <w:tcW w:w="124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8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23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6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6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1033"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283,547 </w:t>
            </w:r>
          </w:p>
        </w:tc>
        <w:tc>
          <w:tcPr>
            <w:tcW w:w="23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(9)</w:t>
            </w:r>
          </w:p>
        </w:tc>
        <w:tc>
          <w:tcPr>
            <w:tcW w:w="9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333,013 </w:t>
            </w:r>
          </w:p>
        </w:tc>
        <w:tc>
          <w:tcPr>
            <w:tcW w:w="20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(10)</w:t>
            </w:r>
          </w:p>
        </w:tc>
      </w:tr>
      <w:tr>
        <w:trPr/>
        <w:tc>
          <w:tcPr>
            <w:tcW w:w="1248"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82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23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24,618,929 </w:t>
            </w:r>
          </w:p>
        </w:tc>
        <w:tc>
          <w:tcPr>
            <w:tcW w:w="1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24,618,929 </w:t>
            </w:r>
          </w:p>
        </w:tc>
        <w:tc>
          <w:tcPr>
            <w:tcW w:w="20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24,375,040 </w:t>
            </w:r>
          </w:p>
        </w:tc>
        <w:tc>
          <w:tcPr>
            <w:tcW w:w="23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32,644,045 </w:t>
            </w:r>
          </w:p>
        </w:tc>
        <w:tc>
          <w:tcPr>
            <w:tcW w:w="20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0"/>
        <w:gridCol w:w="339"/>
        <w:gridCol w:w="276"/>
        <w:gridCol w:w="521"/>
        <w:gridCol w:w="265"/>
        <w:gridCol w:w="265"/>
        <w:gridCol w:w="265"/>
        <w:gridCol w:w="265"/>
        <w:gridCol w:w="271"/>
        <w:gridCol w:w="435"/>
        <w:gridCol w:w="436"/>
        <w:gridCol w:w="140"/>
        <w:gridCol w:w="140"/>
        <w:gridCol w:w="140"/>
        <w:gridCol w:w="141"/>
        <w:gridCol w:w="435"/>
        <w:gridCol w:w="436"/>
        <w:gridCol w:w="205"/>
        <w:gridCol w:w="205"/>
        <w:gridCol w:w="205"/>
        <w:gridCol w:w="206"/>
        <w:gridCol w:w="721"/>
        <w:gridCol w:w="268"/>
        <w:gridCol w:w="268"/>
        <w:gridCol w:w="268"/>
        <w:gridCol w:w="268"/>
        <w:gridCol w:w="274"/>
        <w:gridCol w:w="544"/>
        <w:gridCol w:w="353"/>
        <w:gridCol w:w="218"/>
        <w:gridCol w:w="218"/>
        <w:gridCol w:w="218"/>
        <w:gridCol w:w="326"/>
      </w:tblGrid>
      <w:tr>
        <w:trPr/>
        <w:tc>
          <w:tcPr>
            <w:tcW w:w="6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Mark A. Carano</w:t>
            </w:r>
          </w:p>
        </w:tc>
        <w:tc>
          <w:tcPr>
            <w:tcW w:w="1852" w:type="dxa"/>
            <w:gridSpan w:val="6"/>
            <w:tcBorders>
              <w:top w:val="single" w:sz="4" w:space="0" w:color="000000"/>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(a) Voluntary Resignation or (b) Involuntary Termination for Cause </w:t>
              <w:br/>
              <w:t>($)</w:t>
            </w:r>
          </w:p>
        </w:tc>
        <w:tc>
          <w:tcPr>
            <w:tcW w:w="143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Disability </w:t>
              <w:br/>
              <w:t>($)</w:t>
            </w:r>
          </w:p>
        </w:tc>
        <w:tc>
          <w:tcPr>
            <w:tcW w:w="169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Death</w:t>
              <w:br/>
              <w:t xml:space="preserve">Pre-retirement </w:t>
              <w:br/>
              <w:t>($)</w:t>
            </w:r>
          </w:p>
        </w:tc>
        <w:tc>
          <w:tcPr>
            <w:tcW w:w="2067"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Involuntary Without Cause/ Voluntary Resignation for Good Reason </w:t>
              <w:br/>
              <w:t>($)</w:t>
            </w:r>
          </w:p>
        </w:tc>
        <w:tc>
          <w:tcPr>
            <w:tcW w:w="1877"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Termination Following Change in Control </w:t>
              <w:br/>
              <w:t>($)</w:t>
            </w:r>
          </w:p>
        </w:tc>
      </w:tr>
      <w:tr>
        <w:trPr/>
        <w:tc>
          <w:tcPr>
            <w:tcW w:w="128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Salary</w:t>
            </w:r>
          </w:p>
        </w:tc>
        <w:tc>
          <w:tcPr>
            <w:tcW w:w="786"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561,800 </w:t>
            </w:r>
          </w:p>
        </w:tc>
        <w:tc>
          <w:tcPr>
            <w:tcW w:w="26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w:t>
            </w:r>
          </w:p>
        </w:tc>
        <w:tc>
          <w:tcPr>
            <w:tcW w:w="897"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1,123,600 </w:t>
            </w:r>
          </w:p>
        </w:tc>
        <w:tc>
          <w:tcPr>
            <w:tcW w:w="21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6D6D6D"/>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r>
      <w:tr>
        <w:trPr/>
        <w:tc>
          <w:tcPr>
            <w:tcW w:w="1285"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Bonus</w:t>
            </w:r>
          </w:p>
        </w:tc>
        <w:tc>
          <w:tcPr>
            <w:tcW w:w="7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672,750 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672,750 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9"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672,750 </w:t>
            </w:r>
          </w:p>
        </w:tc>
        <w:tc>
          <w:tcPr>
            <w:tcW w:w="26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w:t>
            </w:r>
          </w:p>
        </w:tc>
        <w:tc>
          <w:tcPr>
            <w:tcW w:w="897"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1,345,500 </w:t>
            </w:r>
          </w:p>
        </w:tc>
        <w:tc>
          <w:tcPr>
            <w:tcW w:w="21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r>
      <w:tr>
        <w:trPr/>
        <w:tc>
          <w:tcPr>
            <w:tcW w:w="128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7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3,896,687 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3,896,687 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850,262 </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89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3,896,687 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r>
      <w:tr>
        <w:trPr/>
        <w:tc>
          <w:tcPr>
            <w:tcW w:w="1285"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7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26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89"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106,580 </w:t>
            </w:r>
          </w:p>
        </w:tc>
        <w:tc>
          <w:tcPr>
            <w:tcW w:w="26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w:t>
            </w:r>
          </w:p>
        </w:tc>
        <w:tc>
          <w:tcPr>
            <w:tcW w:w="897"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126,115 </w:t>
            </w:r>
          </w:p>
        </w:tc>
        <w:tc>
          <w:tcPr>
            <w:tcW w:w="21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(14)</w:t>
            </w:r>
          </w:p>
        </w:tc>
      </w:tr>
      <w:tr>
        <w:trPr/>
        <w:tc>
          <w:tcPr>
            <w:tcW w:w="1285"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8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2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4,621,481 </w:t>
            </w:r>
          </w:p>
        </w:tc>
        <w:tc>
          <w:tcPr>
            <w:tcW w:w="1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4,621,481 </w:t>
            </w:r>
          </w:p>
        </w:tc>
        <w:tc>
          <w:tcPr>
            <w:tcW w:w="20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2,191,392 </w:t>
            </w:r>
          </w:p>
        </w:tc>
        <w:tc>
          <w:tcPr>
            <w:tcW w:w="26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6,491,902 </w:t>
            </w:r>
          </w:p>
        </w:tc>
        <w:tc>
          <w:tcPr>
            <w:tcW w:w="21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7"/>
        <w:gridCol w:w="419"/>
        <w:gridCol w:w="421"/>
        <w:gridCol w:w="445"/>
        <w:gridCol w:w="269"/>
        <w:gridCol w:w="269"/>
        <w:gridCol w:w="269"/>
        <w:gridCol w:w="269"/>
        <w:gridCol w:w="275"/>
        <w:gridCol w:w="435"/>
        <w:gridCol w:w="436"/>
        <w:gridCol w:w="140"/>
        <w:gridCol w:w="140"/>
        <w:gridCol w:w="140"/>
        <w:gridCol w:w="141"/>
        <w:gridCol w:w="435"/>
        <w:gridCol w:w="436"/>
        <w:gridCol w:w="205"/>
        <w:gridCol w:w="205"/>
        <w:gridCol w:w="205"/>
        <w:gridCol w:w="206"/>
        <w:gridCol w:w="722"/>
        <w:gridCol w:w="272"/>
        <w:gridCol w:w="272"/>
        <w:gridCol w:w="272"/>
        <w:gridCol w:w="272"/>
        <w:gridCol w:w="278"/>
        <w:gridCol w:w="537"/>
        <w:gridCol w:w="360"/>
        <w:gridCol w:w="220"/>
        <w:gridCol w:w="220"/>
        <w:gridCol w:w="220"/>
        <w:gridCol w:w="323"/>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Sean McClenaghan</w:t>
            </w:r>
          </w:p>
        </w:tc>
        <w:tc>
          <w:tcPr>
            <w:tcW w:w="1796" w:type="dxa"/>
            <w:gridSpan w:val="6"/>
            <w:tcBorders>
              <w:top w:val="single" w:sz="4" w:space="0" w:color="000000"/>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 Voluntary Resignation or (b) Involuntary Termination for Cause</w:t>
              <w:br/>
              <w:t>($)</w:t>
            </w:r>
          </w:p>
        </w:tc>
        <w:tc>
          <w:tcPr>
            <w:tcW w:w="143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Disability</w:t>
              <w:br/>
              <w:t>($)</w:t>
            </w:r>
          </w:p>
        </w:tc>
        <w:tc>
          <w:tcPr>
            <w:tcW w:w="169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Death</w:t>
              <w:br/>
              <w:t>Pre-retirement</w:t>
              <w:br/>
              <w:t>($)</w:t>
            </w:r>
          </w:p>
        </w:tc>
        <w:tc>
          <w:tcPr>
            <w:tcW w:w="2088"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Involuntary Without Cause/ Voluntary Resignation for Good Reason</w:t>
              <w:br/>
              <w:t>($)</w:t>
            </w:r>
          </w:p>
        </w:tc>
        <w:tc>
          <w:tcPr>
            <w:tcW w:w="1880"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Termination Following Change in Control</w:t>
              <w:br/>
              <w:t>($)</w:t>
            </w:r>
          </w:p>
        </w:tc>
      </w:tr>
      <w:tr>
        <w:trPr/>
        <w:tc>
          <w:tcPr>
            <w:tcW w:w="131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Salary</w:t>
            </w:r>
          </w:p>
        </w:tc>
        <w:tc>
          <w:tcPr>
            <w:tcW w:w="714"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648,035 </w:t>
            </w:r>
          </w:p>
        </w:tc>
        <w:tc>
          <w:tcPr>
            <w:tcW w:w="27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w:t>
            </w:r>
          </w:p>
        </w:tc>
        <w:tc>
          <w:tcPr>
            <w:tcW w:w="897" w:type="dxa"/>
            <w:gridSpan w:val="2"/>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1,296,070 </w:t>
            </w:r>
          </w:p>
        </w:tc>
        <w:tc>
          <w:tcPr>
            <w:tcW w:w="22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6D6D6D"/>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r>
      <w:tr>
        <w:trPr/>
        <w:tc>
          <w:tcPr>
            <w:tcW w:w="1317"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Bonus</w:t>
            </w:r>
          </w:p>
        </w:tc>
        <w:tc>
          <w:tcPr>
            <w:tcW w:w="71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9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780,395 </w:t>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w:t>
            </w:r>
          </w:p>
        </w:tc>
        <w:tc>
          <w:tcPr>
            <w:tcW w:w="897"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1,560,789 </w:t>
            </w:r>
          </w:p>
        </w:tc>
        <w:tc>
          <w:tcPr>
            <w:tcW w:w="22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r>
      <w:tr>
        <w:trPr/>
        <w:tc>
          <w:tcPr>
            <w:tcW w:w="131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71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4,361,560 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4,361,560 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9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806,122 </w:t>
            </w:r>
          </w:p>
        </w:tc>
        <w:tc>
          <w:tcPr>
            <w:tcW w:w="2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89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4,361,560 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r>
      <w:tr>
        <w:trPr/>
        <w:tc>
          <w:tcPr>
            <w:tcW w:w="1317"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71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269"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9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85,764 </w:t>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w:t>
            </w:r>
          </w:p>
        </w:tc>
        <w:tc>
          <w:tcPr>
            <w:tcW w:w="897"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131,668 </w:t>
            </w:r>
          </w:p>
        </w:tc>
        <w:tc>
          <w:tcPr>
            <w:tcW w:w="22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(14)</w:t>
            </w:r>
          </w:p>
        </w:tc>
      </w:tr>
      <w:tr>
        <w:trPr/>
        <w:tc>
          <w:tcPr>
            <w:tcW w:w="1317"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1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26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5,146,815 </w:t>
            </w:r>
          </w:p>
        </w:tc>
        <w:tc>
          <w:tcPr>
            <w:tcW w:w="1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5,146,815 </w:t>
            </w:r>
          </w:p>
        </w:tc>
        <w:tc>
          <w:tcPr>
            <w:tcW w:w="20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2,320,316 </w:t>
            </w:r>
          </w:p>
        </w:tc>
        <w:tc>
          <w:tcPr>
            <w:tcW w:w="27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7,350,087 </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3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39140"/>
                <wp:effectExtent l="0" t="0" r="0" b="0"/>
                <wp:wrapNone/>
                <wp:docPr id="246"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54" descr=""/>
                                                <pic:cNvPicPr>
                                                  <a:picLocks noChangeAspect="1" noChangeArrowheads="1"/>
                                                </pic:cNvPicPr>
                                              </pic:nvPicPr>
                                              <pic:blipFill>
                                                <a:blip r:embed="rId198"/>
                                                <a:stretch>
                                                  <a:fillRect/>
                                                </a:stretch>
                                              </pic:blipFill>
                                              <pic:spPr bwMode="auto">
                                                <a:xfrm>
                                                  <a:off x="0" y="0"/>
                                                  <a:ext cx="447675" cy="161925"/>
                                                </a:xfrm>
                                                <a:prstGeom prst="rect">
                                                  <a:avLst/>
                                                </a:prstGeom>
                                              </pic:spPr>
                                            </pic:pic>
                                          </a:graphicData>
                                        </a:graphic>
                                      </wp:inline>
                                    </w:drawing>
                                  </w:r>
                                  <w:bookmarkStart w:id="215" w:name="i-154"/>
                                  <w:bookmarkEnd w:id="215"/>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54" descr=""/>
                                          <pic:cNvPicPr>
                                            <a:picLocks noChangeAspect="1" noChangeArrowheads="1"/>
                                          </pic:cNvPicPr>
                                        </pic:nvPicPr>
                                        <pic:blipFill>
                                          <a:blip r:embed="rId199"/>
                                          <a:stretch>
                                            <a:fillRect/>
                                          </a:stretch>
                                        </pic:blipFill>
                                        <pic:spPr bwMode="auto">
                                          <a:xfrm>
                                            <a:off x="0" y="0"/>
                                            <a:ext cx="447675" cy="161925"/>
                                          </a:xfrm>
                                          <a:prstGeom prst="rect">
                                            <a:avLst/>
                                          </a:prstGeom>
                                        </pic:spPr>
                                      </pic:pic>
                                    </a:graphicData>
                                  </a:graphic>
                                </wp:inline>
                              </w:drawing>
                            </w:r>
                            <w:bookmarkStart w:id="216" w:name="i-154"/>
                            <w:bookmarkEnd w:id="216"/>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725"/>
        <w:gridCol w:w="280"/>
        <w:gridCol w:w="281"/>
        <w:gridCol w:w="521"/>
        <w:gridCol w:w="265"/>
        <w:gridCol w:w="265"/>
        <w:gridCol w:w="265"/>
        <w:gridCol w:w="265"/>
        <w:gridCol w:w="271"/>
        <w:gridCol w:w="435"/>
        <w:gridCol w:w="436"/>
        <w:gridCol w:w="140"/>
        <w:gridCol w:w="140"/>
        <w:gridCol w:w="140"/>
        <w:gridCol w:w="141"/>
        <w:gridCol w:w="435"/>
        <w:gridCol w:w="436"/>
        <w:gridCol w:w="205"/>
        <w:gridCol w:w="205"/>
        <w:gridCol w:w="205"/>
        <w:gridCol w:w="206"/>
        <w:gridCol w:w="721"/>
        <w:gridCol w:w="268"/>
        <w:gridCol w:w="268"/>
        <w:gridCol w:w="268"/>
        <w:gridCol w:w="268"/>
        <w:gridCol w:w="273"/>
        <w:gridCol w:w="544"/>
        <w:gridCol w:w="353"/>
        <w:gridCol w:w="218"/>
        <w:gridCol w:w="218"/>
        <w:gridCol w:w="218"/>
        <w:gridCol w:w="326"/>
      </w:tblGrid>
      <w:tr>
        <w:trPr/>
        <w:tc>
          <w:tcPr>
            <w:tcW w:w="7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John W. Swann, III</w:t>
            </w:r>
          </w:p>
        </w:tc>
        <w:tc>
          <w:tcPr>
            <w:tcW w:w="1852" w:type="dxa"/>
            <w:gridSpan w:val="6"/>
            <w:tcBorders>
              <w:top w:val="single" w:sz="4" w:space="0" w:color="000000"/>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(a) Voluntary Resignation or (b) Involuntary Termination for Cause </w:t>
              <w:br/>
              <w:t>($)</w:t>
            </w:r>
          </w:p>
        </w:tc>
        <w:tc>
          <w:tcPr>
            <w:tcW w:w="143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Disability </w:t>
              <w:br/>
              <w:t>($)</w:t>
            </w:r>
          </w:p>
        </w:tc>
        <w:tc>
          <w:tcPr>
            <w:tcW w:w="169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Death</w:t>
              <w:br/>
              <w:t xml:space="preserve">Pre-retirement </w:t>
              <w:br/>
              <w:t>($)</w:t>
            </w:r>
          </w:p>
        </w:tc>
        <w:tc>
          <w:tcPr>
            <w:tcW w:w="2066"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Involuntary Without Cause/ Voluntary Resignation for Good Reason </w:t>
              <w:br/>
              <w:t>($)</w:t>
            </w:r>
          </w:p>
        </w:tc>
        <w:tc>
          <w:tcPr>
            <w:tcW w:w="1877"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Termination Following Change in Control </w:t>
              <w:br/>
              <w:t>($)</w:t>
            </w:r>
          </w:p>
        </w:tc>
      </w:tr>
      <w:tr>
        <w:trPr/>
        <w:tc>
          <w:tcPr>
            <w:tcW w:w="12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Salary</w:t>
            </w:r>
          </w:p>
        </w:tc>
        <w:tc>
          <w:tcPr>
            <w:tcW w:w="7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632,894 </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w:t>
            </w:r>
          </w:p>
        </w:tc>
        <w:tc>
          <w:tcPr>
            <w:tcW w:w="89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1,265,788 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r>
      <w:tr>
        <w:trPr/>
        <w:tc>
          <w:tcPr>
            <w:tcW w:w="1286"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Bonus</w:t>
            </w:r>
          </w:p>
        </w:tc>
        <w:tc>
          <w:tcPr>
            <w:tcW w:w="7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657,127 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657,127 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9"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657,127 </w:t>
            </w:r>
          </w:p>
        </w:tc>
        <w:tc>
          <w:tcPr>
            <w:tcW w:w="26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w:t>
            </w:r>
          </w:p>
        </w:tc>
        <w:tc>
          <w:tcPr>
            <w:tcW w:w="897"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1,314,255 </w:t>
            </w:r>
          </w:p>
        </w:tc>
        <w:tc>
          <w:tcPr>
            <w:tcW w:w="21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r>
      <w:tr>
        <w:trPr/>
        <w:tc>
          <w:tcPr>
            <w:tcW w:w="12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7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3,724,366 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3,724,366 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775,516 </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89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3,724,366 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r>
      <w:tr>
        <w:trPr/>
        <w:tc>
          <w:tcPr>
            <w:tcW w:w="1286"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7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26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89"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160,680 </w:t>
            </w:r>
          </w:p>
        </w:tc>
        <w:tc>
          <w:tcPr>
            <w:tcW w:w="26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w:t>
            </w:r>
          </w:p>
        </w:tc>
        <w:tc>
          <w:tcPr>
            <w:tcW w:w="897"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215,364 </w:t>
            </w:r>
          </w:p>
        </w:tc>
        <w:tc>
          <w:tcPr>
            <w:tcW w:w="21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(14)</w:t>
            </w:r>
          </w:p>
        </w:tc>
      </w:tr>
      <w:tr>
        <w:trPr/>
        <w:tc>
          <w:tcPr>
            <w:tcW w:w="1286"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8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2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4,452,489 </w:t>
            </w:r>
          </w:p>
        </w:tc>
        <w:tc>
          <w:tcPr>
            <w:tcW w:w="1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4,452,489 </w:t>
            </w:r>
          </w:p>
        </w:tc>
        <w:tc>
          <w:tcPr>
            <w:tcW w:w="20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2,226,217 </w:t>
            </w:r>
          </w:p>
        </w:tc>
        <w:tc>
          <w:tcPr>
            <w:tcW w:w="26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6,519,773 </w:t>
            </w:r>
          </w:p>
        </w:tc>
        <w:tc>
          <w:tcPr>
            <w:tcW w:w="21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5"/>
        <w:gridCol w:w="335"/>
        <w:gridCol w:w="286"/>
        <w:gridCol w:w="521"/>
        <w:gridCol w:w="265"/>
        <w:gridCol w:w="265"/>
        <w:gridCol w:w="265"/>
        <w:gridCol w:w="265"/>
        <w:gridCol w:w="271"/>
        <w:gridCol w:w="435"/>
        <w:gridCol w:w="436"/>
        <w:gridCol w:w="140"/>
        <w:gridCol w:w="140"/>
        <w:gridCol w:w="140"/>
        <w:gridCol w:w="141"/>
        <w:gridCol w:w="435"/>
        <w:gridCol w:w="436"/>
        <w:gridCol w:w="205"/>
        <w:gridCol w:w="205"/>
        <w:gridCol w:w="205"/>
        <w:gridCol w:w="206"/>
        <w:gridCol w:w="721"/>
        <w:gridCol w:w="268"/>
        <w:gridCol w:w="268"/>
        <w:gridCol w:w="268"/>
        <w:gridCol w:w="268"/>
        <w:gridCol w:w="274"/>
        <w:gridCol w:w="537"/>
        <w:gridCol w:w="359"/>
        <w:gridCol w:w="217"/>
        <w:gridCol w:w="217"/>
        <w:gridCol w:w="217"/>
        <w:gridCol w:w="329"/>
      </w:tblGrid>
      <w:tr>
        <w:trPr/>
        <w:tc>
          <w:tcPr>
            <w:tcW w:w="6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J. Randall Data</w:t>
            </w:r>
          </w:p>
        </w:tc>
        <w:tc>
          <w:tcPr>
            <w:tcW w:w="1852" w:type="dxa"/>
            <w:gridSpan w:val="6"/>
            <w:tcBorders>
              <w:top w:val="single" w:sz="4" w:space="0" w:color="000000"/>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(a) Voluntary Resignation or (b) Involuntary Termination for Cause </w:t>
              <w:br/>
              <w:t>($)</w:t>
            </w:r>
          </w:p>
        </w:tc>
        <w:tc>
          <w:tcPr>
            <w:tcW w:w="143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Disability </w:t>
              <w:br/>
              <w:t>($)</w:t>
            </w:r>
          </w:p>
        </w:tc>
        <w:tc>
          <w:tcPr>
            <w:tcW w:w="169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Death</w:t>
              <w:br/>
              <w:t xml:space="preserve">Pre-retirement </w:t>
              <w:br/>
              <w:t>($)</w:t>
            </w:r>
          </w:p>
        </w:tc>
        <w:tc>
          <w:tcPr>
            <w:tcW w:w="2067"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Involuntary Without Cause/ Voluntary Resignation for Good Reason </w:t>
              <w:br/>
              <w:t>($)</w:t>
            </w:r>
          </w:p>
        </w:tc>
        <w:tc>
          <w:tcPr>
            <w:tcW w:w="1876"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Termination Following Change in Control</w:t>
              <w:br/>
              <w:t>($)</w:t>
            </w:r>
          </w:p>
        </w:tc>
      </w:tr>
      <w:tr>
        <w:trPr/>
        <w:tc>
          <w:tcPr>
            <w:tcW w:w="12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Salary</w:t>
            </w:r>
          </w:p>
        </w:tc>
        <w:tc>
          <w:tcPr>
            <w:tcW w:w="7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600,442 </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w:t>
            </w:r>
          </w:p>
        </w:tc>
        <w:tc>
          <w:tcPr>
            <w:tcW w:w="8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1,200,885 </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r>
      <w:tr>
        <w:trPr/>
        <w:tc>
          <w:tcPr>
            <w:tcW w:w="1286"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Bonus</w:t>
            </w:r>
          </w:p>
        </w:tc>
        <w:tc>
          <w:tcPr>
            <w:tcW w:w="7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725,872 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725,872 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9"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725,872 </w:t>
            </w:r>
          </w:p>
        </w:tc>
        <w:tc>
          <w:tcPr>
            <w:tcW w:w="26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w:t>
            </w:r>
          </w:p>
        </w:tc>
        <w:tc>
          <w:tcPr>
            <w:tcW w:w="89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1,451,743 </w:t>
            </w:r>
          </w:p>
        </w:tc>
        <w:tc>
          <w:tcPr>
            <w:tcW w:w="21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r>
      <w:tr>
        <w:trPr/>
        <w:tc>
          <w:tcPr>
            <w:tcW w:w="12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7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3,524,266 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3,524,266 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806,248 </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8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3,524,266 </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r>
      <w:tr>
        <w:trPr/>
        <w:tc>
          <w:tcPr>
            <w:tcW w:w="1286" w:type="dxa"/>
            <w:gridSpan w:val="3"/>
            <w:tcBorders>
              <w:top w:val="single" w:sz="4" w:space="0" w:color="000000"/>
              <w:left w:val="single" w:sz="4" w:space="0" w:color="000000"/>
            </w:tcBorders>
            <w:shd w:fill="DBDBD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7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26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14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205"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89"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107,389 </w:t>
            </w:r>
          </w:p>
        </w:tc>
        <w:tc>
          <w:tcPr>
            <w:tcW w:w="26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w:t>
            </w:r>
          </w:p>
        </w:tc>
        <w:tc>
          <w:tcPr>
            <w:tcW w:w="89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148,320 </w:t>
            </w:r>
          </w:p>
        </w:tc>
        <w:tc>
          <w:tcPr>
            <w:tcW w:w="21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(14)</w:t>
            </w:r>
          </w:p>
        </w:tc>
      </w:tr>
      <w:tr>
        <w:trPr/>
        <w:tc>
          <w:tcPr>
            <w:tcW w:w="1286"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8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2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4,281,596 </w:t>
            </w:r>
          </w:p>
        </w:tc>
        <w:tc>
          <w:tcPr>
            <w:tcW w:w="1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4,281,596 </w:t>
            </w:r>
          </w:p>
        </w:tc>
        <w:tc>
          <w:tcPr>
            <w:tcW w:w="20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2,239,951 </w:t>
            </w:r>
          </w:p>
        </w:tc>
        <w:tc>
          <w:tcPr>
            <w:tcW w:w="26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6,325,214 </w:t>
            </w:r>
          </w:p>
        </w:tc>
        <w:tc>
          <w:tcPr>
            <w:tcW w:w="21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(1)Two times current base salary. </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(2)Three times current base salary.</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(3)Reflects annual bonus, which is equal to a pro-rated portion of the highest of actual bonus for year preceding termination or current-year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(4)Two times annual bonus, which is equal to the highest of actual bonus for year preceding termination or current-year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(5)Three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(6)Represents the accelerated vesting of all unvested PSUs (at assumed target performance level), RSUs, and Options.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(7)Represents the accelerated vesting of all unvested PSUs (at assumed target performance level), RSUs, and Options, which would have otherwise vested within two years of termination for Mr. Lowe and within one year for Mr. Carano, Mr. McClenaghan, Mr. Swann, and Mr. Data.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(8)Other compensation includes a payout, in lieu of unused vacation accrued through December 2024, as a result of a change in paid time-off policies affecting all relevant employees, which change was adopted in December 2022.</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(9)Sum of other compensation for Mr. Lowe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2024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$50,000.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cost of health and welfare benefit continuation for 2 years.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2 years.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(10)Sum of other compensation for Mr. Lowe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2024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$50,000.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140"/>
                <wp:effectExtent l="0" t="0" r="0" b="0"/>
                <wp:wrapNone/>
                <wp:docPr id="249"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55" descr=""/>
                                                <pic:cNvPicPr>
                                                  <a:picLocks noChangeAspect="1" noChangeArrowheads="1"/>
                                                </pic:cNvPicPr>
                                              </pic:nvPicPr>
                                              <pic:blipFill>
                                                <a:blip r:embed="rId200"/>
                                                <a:stretch>
                                                  <a:fillRect/>
                                                </a:stretch>
                                              </pic:blipFill>
                                              <pic:spPr bwMode="auto">
                                                <a:xfrm>
                                                  <a:off x="0" y="0"/>
                                                  <a:ext cx="447675" cy="161925"/>
                                                </a:xfrm>
                                                <a:prstGeom prst="rect">
                                                  <a:avLst/>
                                                </a:prstGeom>
                                              </pic:spPr>
                                            </pic:pic>
                                          </a:graphicData>
                                        </a:graphic>
                                      </wp:inline>
                                    </w:drawing>
                                  </w:r>
                                  <w:bookmarkStart w:id="217" w:name="i-155"/>
                                  <w:bookmarkEnd w:id="21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55" descr=""/>
                                          <pic:cNvPicPr>
                                            <a:picLocks noChangeAspect="1" noChangeArrowheads="1"/>
                                          </pic:cNvPicPr>
                                        </pic:nvPicPr>
                                        <pic:blipFill>
                                          <a:blip r:embed="rId201"/>
                                          <a:stretch>
                                            <a:fillRect/>
                                          </a:stretch>
                                        </pic:blipFill>
                                        <pic:spPr bwMode="auto">
                                          <a:xfrm>
                                            <a:off x="0" y="0"/>
                                            <a:ext cx="447675" cy="161925"/>
                                          </a:xfrm>
                                          <a:prstGeom prst="rect">
                                            <a:avLst/>
                                          </a:prstGeom>
                                        </pic:spPr>
                                      </pic:pic>
                                    </a:graphicData>
                                  </a:graphic>
                                </wp:inline>
                              </w:drawing>
                            </w:r>
                            <w:bookmarkStart w:id="218" w:name="i-155"/>
                            <w:bookmarkEnd w:id="218"/>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full cost of health and welfare and vision benefit continuation for 3 years.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3 years.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(11)One times current base salary.</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(12)One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(13)Sum of other compensation for Mr. Carano, Mr. McClenaghan, Mr. Swann, and Mr. Data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 xml:space="preserve">Payout in lieu of unused vacation accrued through December 2024 as a result of a change in paid time-off policies affecting all relevant employees, which change was adopted in December 2022. </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$35,000.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cost of health and welfare benefit continuation for 1 year.</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1 year.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(14)Sum of other compensation for Mr. Carano, Mr. McClenaghan, Mr. Swann, and Mr. Data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2024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$35,000.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full cost of health and welfare and vision benefit continuation for 2 years.</w:t>
      </w:r>
    </w:p>
    <w:p>
      <w:pPr>
        <w:pStyle w:val="TextBody"/>
        <w:bidi w:val="0"/>
        <w:spacing w:lineRule="auto" w:line="288" w:before="0" w:after="3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2 years.</w:t>
      </w:r>
    </w:p>
    <w:p>
      <w:pPr>
        <w:pStyle w:val="TextBody"/>
        <w:bidi w:val="0"/>
        <w:spacing w:lineRule="auto" w:line="288" w:before="360" w:after="283"/>
        <w:jc w:val="left"/>
        <w:rPr>
          <w:rFonts w:ascii="Arial;sans-serif" w:hAnsi="Arial;sans-serif"/>
          <w:b/>
          <w:color w:val="000000"/>
          <w:sz w:val="32"/>
        </w:rPr>
      </w:pPr>
      <w:bookmarkStart w:id="219" w:name="i47c01f2ecc4e4a55bb446d8ea7992a12_63398"/>
      <w:bookmarkEnd w:id="219"/>
      <w:r>
        <w:rPr>
          <w:rFonts w:ascii="Arial;sans-serif" w:hAnsi="Arial;sans-serif"/>
          <w:b/>
          <w:color w:val="000000"/>
          <w:sz w:val="32"/>
        </w:rPr>
        <w:t>CEO Pay Ratio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SEC rules require that we present a ratio of the total compensation of our CEO for 2025 to the total compensation received for 2025 by an identified median-compensated employee. These rules do not prescribe a particular method for identifying the median-compensated employee and permit companies to use reasonable methods for determining the median-compensated employee for the basis of presenting this ratio.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2025 annual total compensation for the identified median-compensated employee was $63,373 and the annual total compensation of our CEO was $9,338,813. Based on this information, for 2025 the ratio of the annual total compensation of our CEO to that of the identified median-compensated employee was 147 to 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identify the median-compensated employee in 2025, we conducted a full analysis of our total employee population as of December 31, 2025, without the use of statistical sampling. We determined our median-compensated employee using “total compensation” paid during the full year 2025. “Total compensation” for this purpose consisted of gross wages which included base wages, overtime, shift differential, incentives, paid time off, and perquisites, as applicable. We did not annualize gross wages for employees who were not employed for the full year in 2025. For those employees located outside of the US, currencies were converted to US Dollars using the posted Bloomberg market rates as of December 31, 2025. In determining the pay ratio for 2025, we calculated the total compensation of the median-compensated employee using the same method used in calculating the total compensation of our CEO, as reported in the “Summary Compensation Table” on page 37.</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pay ratio is a reasonable estimate calculated in a manner consistent with the applicable SEC rules using the data and method summarized above. As noted above, SEC rules for identifying the median-compensated employee allow companies to adopt a variety of methods to apply certain exclusions, and to make reasonable estimates and assumptions that reflect their compensation practices. As such, the median employee compensation amount and CEO pay ratio reported by other companies may not be comparable to the amount and ratio reported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252"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56" descr=""/>
                                                <pic:cNvPicPr>
                                                  <a:picLocks noChangeAspect="1" noChangeArrowheads="1"/>
                                                </pic:cNvPicPr>
                                              </pic:nvPicPr>
                                              <pic:blipFill>
                                                <a:blip r:embed="rId202"/>
                                                <a:stretch>
                                                  <a:fillRect/>
                                                </a:stretch>
                                              </pic:blipFill>
                                              <pic:spPr bwMode="auto">
                                                <a:xfrm>
                                                  <a:off x="0" y="0"/>
                                                  <a:ext cx="447675" cy="161925"/>
                                                </a:xfrm>
                                                <a:prstGeom prst="rect">
                                                  <a:avLst/>
                                                </a:prstGeom>
                                              </pic:spPr>
                                            </pic:pic>
                                          </a:graphicData>
                                        </a:graphic>
                                      </wp:inline>
                                    </w:drawing>
                                  </w:r>
                                  <w:bookmarkStart w:id="220" w:name="i-156"/>
                                  <w:bookmarkEnd w:id="220"/>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56" descr=""/>
                                          <pic:cNvPicPr>
                                            <a:picLocks noChangeAspect="1" noChangeArrowheads="1"/>
                                          </pic:cNvPicPr>
                                        </pic:nvPicPr>
                                        <pic:blipFill>
                                          <a:blip r:embed="rId203"/>
                                          <a:stretch>
                                            <a:fillRect/>
                                          </a:stretch>
                                        </pic:blipFill>
                                        <pic:spPr bwMode="auto">
                                          <a:xfrm>
                                            <a:off x="0" y="0"/>
                                            <a:ext cx="447675" cy="161925"/>
                                          </a:xfrm>
                                          <a:prstGeom prst="rect">
                                            <a:avLst/>
                                          </a:prstGeom>
                                        </pic:spPr>
                                      </pic:pic>
                                    </a:graphicData>
                                  </a:graphic>
                                </wp:inline>
                              </w:drawing>
                            </w:r>
                            <w:bookmarkStart w:id="221" w:name="i-156"/>
                            <w:bookmarkEnd w:id="221"/>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283"/>
        <w:jc w:val="left"/>
        <w:rPr>
          <w:rFonts w:ascii="Arial;sans-serif" w:hAnsi="Arial;sans-serif"/>
          <w:b/>
          <w:color w:val="000000"/>
          <w:sz w:val="32"/>
        </w:rPr>
      </w:pPr>
      <w:bookmarkStart w:id="222" w:name="i47c01f2ecc4e4a55bb446d8ea7992a12_63402"/>
      <w:bookmarkEnd w:id="222"/>
      <w:r>
        <w:rPr>
          <w:rFonts w:ascii="Arial;sans-serif" w:hAnsi="Arial;sans-serif"/>
          <w:b/>
          <w:color w:val="000000"/>
          <w:sz w:val="32"/>
        </w:rPr>
        <w:t>Pay Versus Performance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accordance with rules adopted by the SEC pursuant to the Dodd-Frank Wall Street Reform and Consumer Protection Act of 2010, we provide the following disclosure regarding executive “Compensation Actually Paid” calculated in a manner prescribed by applicable SEC Rules and certain Company performance for the fiscal years listed below. As identified in the footnotes to the table, the determination of Compensation Actually Paid includes adjustments to reflect, among other things, period-to-period changes in the value of unvested equity awards. Accordingly, such amounts do not reflect the value of compensation actually delivered to, or received by, our executive officers in the period reported in the table, as the amount of actual compensation received by any executive officers depends on whether the executive officer satisfies the conditions for vesting of any such award, the extent to which performance conditions for performance-based awards are satisfied, and the value of our common stock on the date such awards vest (or, with respect to options, on the date that vested options are exercised). You should refer to “Compensation Discussion and Analysis” for a complete description of how executive compensation relates to Company performance and how the Compensation Committee makes its decisions.</w:t>
      </w:r>
    </w:p>
    <w:tbl>
      <w:tblPr>
        <w:tblW w:w="10205" w:type="dxa"/>
        <w:jc w:val="left"/>
        <w:tblInd w:w="0" w:type="dxa"/>
        <w:tblLayout w:type="fixed"/>
        <w:tblCellMar>
          <w:top w:w="28" w:type="dxa"/>
          <w:left w:w="28" w:type="dxa"/>
          <w:bottom w:w="28" w:type="dxa"/>
          <w:right w:w="28" w:type="dxa"/>
        </w:tblCellMar>
      </w:tblPr>
      <w:tblGrid>
        <w:gridCol w:w="173"/>
        <w:gridCol w:w="152"/>
        <w:gridCol w:w="156"/>
        <w:gridCol w:w="470"/>
        <w:gridCol w:w="470"/>
        <w:gridCol w:w="471"/>
        <w:gridCol w:w="459"/>
        <w:gridCol w:w="459"/>
        <w:gridCol w:w="460"/>
        <w:gridCol w:w="498"/>
        <w:gridCol w:w="498"/>
        <w:gridCol w:w="499"/>
        <w:gridCol w:w="490"/>
        <w:gridCol w:w="490"/>
        <w:gridCol w:w="491"/>
        <w:gridCol w:w="422"/>
        <w:gridCol w:w="422"/>
        <w:gridCol w:w="423"/>
        <w:gridCol w:w="378"/>
        <w:gridCol w:w="378"/>
        <w:gridCol w:w="274"/>
        <w:gridCol w:w="267"/>
        <w:gridCol w:w="267"/>
        <w:gridCol w:w="268"/>
        <w:gridCol w:w="251"/>
        <w:gridCol w:w="251"/>
        <w:gridCol w:w="368"/>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Year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w:t>
            </w:r>
          </w:p>
        </w:tc>
        <w:tc>
          <w:tcPr>
            <w:tcW w:w="1411"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Summary Compensation Table Total for PEO</w:t>
            </w:r>
            <w:r>
              <w:rPr>
                <w:rFonts w:ascii="Arial;sans-serif" w:hAnsi="Arial;sans-serif"/>
                <w:b/>
                <w:color w:val="FFFFFF"/>
                <w:sz w:val="10"/>
              </w:rPr>
              <w:t>(1)</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w:t>
            </w:r>
          </w:p>
        </w:tc>
        <w:tc>
          <w:tcPr>
            <w:tcW w:w="1378"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Compensation Actually Paid to PEO</w:t>
            </w:r>
            <w:r>
              <w:rPr>
                <w:rFonts w:ascii="Arial;sans-serif" w:hAnsi="Arial;sans-serif"/>
                <w:b/>
                <w:color w:val="FFFFFF"/>
                <w:sz w:val="10"/>
              </w:rPr>
              <w:t>(2)(3)</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w:t>
            </w:r>
          </w:p>
        </w:tc>
        <w:tc>
          <w:tcPr>
            <w:tcW w:w="1495"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(3)</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w:t>
            </w:r>
          </w:p>
        </w:tc>
        <w:tc>
          <w:tcPr>
            <w:tcW w:w="1471"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Average Compensation Actually Paid to Non-PEO NEOs</w:t>
            </w:r>
            <w:r>
              <w:rPr>
                <w:rFonts w:ascii="Arial;sans-serif" w:hAnsi="Arial;sans-serif"/>
                <w:b/>
                <w:color w:val="FFFFFF"/>
                <w:sz w:val="10"/>
              </w:rPr>
              <w:t>(2)(3)(4)</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w:t>
            </w:r>
          </w:p>
        </w:tc>
        <w:tc>
          <w:tcPr>
            <w:tcW w:w="2297"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 of Initial Fixed $100</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Investment Based On:</w:t>
            </w:r>
          </w:p>
        </w:tc>
        <w:tc>
          <w:tcPr>
            <w:tcW w:w="802"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Net Income (in millions)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(h)</w:t>
            </w:r>
          </w:p>
        </w:tc>
        <w:tc>
          <w:tcPr>
            <w:tcW w:w="870"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Adj. EBITDA</w:t>
            </w:r>
          </w:p>
          <w:p>
            <w:pPr>
              <w:pStyle w:val="TableContents"/>
              <w:bidi w:val="0"/>
              <w:spacing w:lineRule="auto" w:line="288" w:before="0" w:after="0"/>
              <w:jc w:val="center"/>
              <w:rPr/>
            </w:pPr>
            <w:r>
              <w:rPr>
                <w:rFonts w:ascii="Arial;sans-serif" w:hAnsi="Arial;sans-serif"/>
                <w:b/>
                <w:color w:val="FFFFFF"/>
                <w:sz w:val="16"/>
              </w:rPr>
              <w:t>(in millions)</w:t>
            </w:r>
            <w:r>
              <w:rPr>
                <w:rFonts w:ascii="Arial;sans-serif" w:hAnsi="Arial;sans-serif"/>
                <w:b/>
                <w:color w:val="FFFFFF"/>
                <w:sz w:val="10"/>
              </w:rPr>
              <w:t>(6)</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w:t>
            </w:r>
          </w:p>
        </w:tc>
      </w:tr>
      <w:tr>
        <w:trPr/>
        <w:tc>
          <w:tcPr>
            <w:tcW w:w="481"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11"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378"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95"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71"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2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w:t>
            </w:r>
          </w:p>
        </w:tc>
        <w:tc>
          <w:tcPr>
            <w:tcW w:w="103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S&amp;P 1500 Industrials (Sector)</w:t>
            </w:r>
            <w:r>
              <w:rPr>
                <w:rFonts w:ascii="Arial;sans-serif" w:hAnsi="Arial;sans-serif"/>
                <w:b/>
                <w:color w:val="FFFFFF"/>
                <w:sz w:val="10"/>
              </w:rPr>
              <w:t>(5)</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(g)</w:t>
            </w:r>
          </w:p>
        </w:tc>
        <w:tc>
          <w:tcPr>
            <w:tcW w:w="802"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870"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48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41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$9,338,813</w:t>
            </w:r>
          </w:p>
        </w:tc>
        <w:tc>
          <w:tcPr>
            <w:tcW w:w="1378"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$20,068,436</w:t>
            </w:r>
          </w:p>
        </w:tc>
        <w:tc>
          <w:tcPr>
            <w:tcW w:w="149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$2,243,147</w:t>
            </w:r>
          </w:p>
        </w:tc>
        <w:tc>
          <w:tcPr>
            <w:tcW w:w="147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$4,229,875</w:t>
            </w:r>
          </w:p>
        </w:tc>
        <w:tc>
          <w:tcPr>
            <w:tcW w:w="126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$367</w:t>
            </w:r>
          </w:p>
        </w:tc>
        <w:tc>
          <w:tcPr>
            <w:tcW w:w="103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$190</w:t>
            </w:r>
          </w:p>
        </w:tc>
        <w:tc>
          <w:tcPr>
            <w:tcW w:w="802"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$244</w:t>
            </w:r>
          </w:p>
        </w:tc>
        <w:tc>
          <w:tcPr>
            <w:tcW w:w="87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$484</w:t>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41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$9,305,169</w:t>
            </w:r>
          </w:p>
        </w:tc>
        <w:tc>
          <w:tcPr>
            <w:tcW w:w="137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$20,667,725</w:t>
            </w:r>
          </w:p>
        </w:tc>
        <w:tc>
          <w:tcPr>
            <w:tcW w:w="1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$2,571,736</w:t>
            </w:r>
          </w:p>
        </w:tc>
        <w:tc>
          <w:tcPr>
            <w:tcW w:w="14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$4,500,331</w:t>
            </w:r>
          </w:p>
        </w:tc>
        <w:tc>
          <w:tcPr>
            <w:tcW w:w="126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103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$161</w:t>
            </w:r>
          </w:p>
        </w:tc>
        <w:tc>
          <w:tcPr>
            <w:tcW w:w="8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w:t>
            </w:r>
          </w:p>
        </w:tc>
        <w:tc>
          <w:tcPr>
            <w:tcW w:w="87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$404</w:t>
            </w:r>
          </w:p>
        </w:tc>
      </w:tr>
      <w:tr>
        <w:trPr/>
        <w:tc>
          <w:tcPr>
            <w:tcW w:w="48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41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$7,658,614</w:t>
            </w:r>
          </w:p>
        </w:tc>
        <w:tc>
          <w:tcPr>
            <w:tcW w:w="1378"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$17,411,369</w:t>
            </w:r>
          </w:p>
        </w:tc>
        <w:tc>
          <w:tcPr>
            <w:tcW w:w="149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$1,831,612</w:t>
            </w:r>
          </w:p>
        </w:tc>
        <w:tc>
          <w:tcPr>
            <w:tcW w:w="147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$2,960,366</w:t>
            </w:r>
          </w:p>
        </w:tc>
        <w:tc>
          <w:tcPr>
            <w:tcW w:w="126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$185</w:t>
            </w:r>
          </w:p>
        </w:tc>
        <w:tc>
          <w:tcPr>
            <w:tcW w:w="103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$138</w:t>
            </w:r>
          </w:p>
        </w:tc>
        <w:tc>
          <w:tcPr>
            <w:tcW w:w="802"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87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$291</w:t>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41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$6,584,075</w:t>
            </w:r>
          </w:p>
        </w:tc>
        <w:tc>
          <w:tcPr>
            <w:tcW w:w="137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$9,382,695</w:t>
            </w:r>
          </w:p>
        </w:tc>
        <w:tc>
          <w:tcPr>
            <w:tcW w:w="1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$1,455,245</w:t>
            </w:r>
          </w:p>
        </w:tc>
        <w:tc>
          <w:tcPr>
            <w:tcW w:w="14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$1,358,069</w:t>
            </w:r>
          </w:p>
        </w:tc>
        <w:tc>
          <w:tcPr>
            <w:tcW w:w="126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$120</w:t>
            </w:r>
          </w:p>
        </w:tc>
        <w:tc>
          <w:tcPr>
            <w:tcW w:w="103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$114</w:t>
            </w:r>
          </w:p>
        </w:tc>
        <w:tc>
          <w:tcPr>
            <w:tcW w:w="8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7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$212</w:t>
            </w:r>
          </w:p>
        </w:tc>
      </w:tr>
      <w:tr>
        <w:trPr/>
        <w:tc>
          <w:tcPr>
            <w:tcW w:w="481"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411"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$6,517,485</w:t>
            </w:r>
          </w:p>
        </w:tc>
        <w:tc>
          <w:tcPr>
            <w:tcW w:w="1378"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$6,074,728</w:t>
            </w:r>
          </w:p>
        </w:tc>
        <w:tc>
          <w:tcPr>
            <w:tcW w:w="1495"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$1,808,368</w:t>
            </w:r>
          </w:p>
        </w:tc>
        <w:tc>
          <w:tcPr>
            <w:tcW w:w="1471"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$1,622,435</w:t>
            </w:r>
          </w:p>
        </w:tc>
        <w:tc>
          <w:tcPr>
            <w:tcW w:w="1267"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1030"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802"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$425</w:t>
            </w:r>
          </w:p>
        </w:tc>
        <w:tc>
          <w:tcPr>
            <w:tcW w:w="870"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$164</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(1)The dollar amounts reflect the total compensation reported for our CEO in the Summary Compensation Table for fiscal years 2025, 2024, 2023, 2022, and 2021. Eugene Lowe served as CEO for each of the years presented.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(2)Deductions from, and additions to, total compensation in the Summary Compensation Table by year to calculate Compensation Actually Paid include:</w:t>
      </w:r>
    </w:p>
    <w:tbl>
      <w:tblPr>
        <w:tblW w:w="10205" w:type="dxa"/>
        <w:jc w:val="left"/>
        <w:tblInd w:w="0" w:type="dxa"/>
        <w:tblLayout w:type="fixed"/>
        <w:tblCellMar>
          <w:top w:w="28" w:type="dxa"/>
          <w:left w:w="28" w:type="dxa"/>
          <w:bottom w:w="28" w:type="dxa"/>
          <w:right w:w="28" w:type="dxa"/>
        </w:tblCellMar>
      </w:tblPr>
      <w:tblGrid>
        <w:gridCol w:w="2637"/>
        <w:gridCol w:w="2317"/>
        <w:gridCol w:w="2325"/>
        <w:gridCol w:w="181"/>
        <w:gridCol w:w="841"/>
        <w:gridCol w:w="109"/>
        <w:gridCol w:w="280"/>
        <w:gridCol w:w="1190"/>
        <w:gridCol w:w="169"/>
        <w:gridCol w:w="156"/>
      </w:tblGrid>
      <w:tr>
        <w:trPr/>
        <w:tc>
          <w:tcPr>
            <w:tcW w:w="263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vMerge w:val="restart"/>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vMerge w:val="continue"/>
            <w:tcBorders>
              <w:top w:val="single" w:sz="4" w:space="0" w:color="000000"/>
              <w:left w:val="single" w:sz="4" w:space="0" w:color="000000"/>
            </w:tcBorders>
            <w:shd w:fill="004C97" w:val="clear"/>
            <w:tcMar>
              <w:bottom w:w="0" w:type="dxa"/>
              <w:right w:w="0" w:type="dxa"/>
            </w:tcMar>
            <w:vAlign w:val="center"/>
          </w:tcPr>
          <w:p>
            <w:pPr>
              <w:pStyle w:val="Normal"/>
              <w:bidi w:val="0"/>
              <w:jc w:val="left"/>
              <w:rPr/>
            </w:pPr>
            <w:r>
              <w:rPr/>
            </w:r>
          </w:p>
        </w:tc>
        <w:tc>
          <w:tcPr>
            <w:tcW w:w="113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63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Compensation from Summary Compensation Table</w:t>
            </w:r>
          </w:p>
        </w:tc>
        <w:tc>
          <w:tcPr>
            <w:tcW w:w="181" w:type="dxa"/>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9,338,813 </w:t>
            </w:r>
          </w:p>
        </w:tc>
        <w:tc>
          <w:tcPr>
            <w:tcW w:w="109"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bottom w:val="single" w:sz="4"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2,243,147 </w:t>
            </w:r>
          </w:p>
        </w:tc>
        <w:tc>
          <w:tcPr>
            <w:tcW w:w="169" w:type="dxa"/>
            <w:tcBorders>
              <w:top w:val="single" w:sz="4" w:space="0" w:color="000000"/>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9"/>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for Pension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E5E5E5"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 for Summary Compensation Table Pension</w:t>
            </w:r>
          </w:p>
        </w:tc>
        <w:tc>
          <w:tcPr>
            <w:tcW w:w="181"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Amount added for current year service cost</w:t>
            </w:r>
          </w:p>
        </w:tc>
        <w:tc>
          <w:tcPr>
            <w:tcW w:w="181"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E5E5E5"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Amount added for prior service cost impacting current year </w:t>
            </w:r>
          </w:p>
        </w:tc>
        <w:tc>
          <w:tcPr>
            <w:tcW w:w="181"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bottom w:val="single" w:sz="4" w:space="0" w:color="000000"/>
            </w:tcBorders>
            <w:shd w:fill="FFFFFF" w:val="clear"/>
            <w:tcMar>
              <w:top w:w="30" w:type="dxa"/>
              <w:left w:w="14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for Pension</w:t>
            </w:r>
          </w:p>
        </w:tc>
        <w:tc>
          <w:tcPr>
            <w:tcW w:w="181"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9"/>
            <w:tcBorders>
              <w:left w:val="single" w:sz="4" w:space="0" w:color="000000"/>
              <w:right w:val="single" w:sz="4" w:space="0" w:color="000000"/>
            </w:tcBorders>
            <w:shd w:fill="E5E5E5" w:val="clear"/>
            <w:tcMar>
              <w:top w:w="0" w:type="dxa"/>
              <w:bottom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for Equity Awards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 for grant date values in the Summary Compensation Table</w:t>
            </w:r>
          </w:p>
        </w:tc>
        <w:tc>
          <w:tcPr>
            <w:tcW w:w="181"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(5,938,026)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(751,498)</w:t>
            </w:r>
          </w:p>
        </w:tc>
        <w:tc>
          <w:tcPr>
            <w:tcW w:w="16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E5E5E5"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Year-end fair value of unvested awards granted in the current year</w:t>
            </w:r>
          </w:p>
        </w:tc>
        <w:tc>
          <w:tcPr>
            <w:tcW w:w="181"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9,996,890 </w:t>
            </w:r>
          </w:p>
        </w:tc>
        <w:tc>
          <w:tcPr>
            <w:tcW w:w="1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1,265,177 </w:t>
            </w:r>
          </w:p>
        </w:tc>
        <w:tc>
          <w:tcPr>
            <w:tcW w:w="16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bottom w:val="single" w:sz="4" w:space="0" w:color="000000"/>
            </w:tcBorders>
            <w:shd w:fill="FFFFFF" w:val="clear"/>
            <w:tcMar>
              <w:top w:w="30" w:type="dxa"/>
              <w:left w:w="14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Year-over-year difference of year-end fair values for unvested awards granted in prior years</w:t>
            </w:r>
          </w:p>
        </w:tc>
        <w:tc>
          <w:tcPr>
            <w:tcW w:w="181"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7,470,279 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1,463,540 </w:t>
            </w:r>
          </w:p>
        </w:tc>
        <w:tc>
          <w:tcPr>
            <w:tcW w:w="169"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9"/>
            <w:tcBorders>
              <w:left w:val="single" w:sz="4" w:space="0" w:color="000000"/>
              <w:right w:val="single" w:sz="4" w:space="0" w:color="000000"/>
            </w:tcBorders>
            <w:shd w:fill="E5E5E5" w:val="clear"/>
            <w:tcMar>
              <w:top w:w="0" w:type="dxa"/>
              <w:bottom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Fair values at vest date for awards granted and vested in current year</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Difference in fair values between prior year-end fair values and vest date fair values for awards granted in prior years</w:t>
            </w:r>
          </w:p>
        </w:tc>
        <w:tc>
          <w:tcPr>
            <w:tcW w:w="181"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(799,519)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9,509 </w:t>
            </w:r>
          </w:p>
        </w:tc>
        <w:tc>
          <w:tcPr>
            <w:tcW w:w="16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E5E5E5"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Forfeitures during current year equal to prior year-end fair value</w:t>
            </w:r>
          </w:p>
        </w:tc>
        <w:tc>
          <w:tcPr>
            <w:tcW w:w="181"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or dividend equivalents not otherwise included in the total compensation</w:t>
            </w:r>
          </w:p>
        </w:tc>
        <w:tc>
          <w:tcPr>
            <w:tcW w:w="181"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Adjustments for Equity Awards</w:t>
            </w:r>
          </w:p>
        </w:tc>
        <w:tc>
          <w:tcPr>
            <w:tcW w:w="181"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10,729,623 </w:t>
            </w:r>
          </w:p>
        </w:tc>
        <w:tc>
          <w:tcPr>
            <w:tcW w:w="109" w:type="dxa"/>
            <w:tcBorders>
              <w:top w:val="single" w:sz="4"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1,986,728 </w:t>
            </w:r>
          </w:p>
        </w:tc>
        <w:tc>
          <w:tcPr>
            <w:tcW w:w="169"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Compensation Actually Paid (as calculated)</w:t>
            </w:r>
          </w:p>
        </w:tc>
        <w:tc>
          <w:tcPr>
            <w:tcW w:w="181"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20,068,436 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9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4,229,875 </w:t>
            </w:r>
          </w:p>
        </w:tc>
        <w:tc>
          <w:tcPr>
            <w:tcW w:w="169"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255"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57" descr=""/>
                                                <pic:cNvPicPr>
                                                  <a:picLocks noChangeAspect="1" noChangeArrowheads="1"/>
                                                </pic:cNvPicPr>
                                              </pic:nvPicPr>
                                              <pic:blipFill>
                                                <a:blip r:embed="rId204"/>
                                                <a:stretch>
                                                  <a:fillRect/>
                                                </a:stretch>
                                              </pic:blipFill>
                                              <pic:spPr bwMode="auto">
                                                <a:xfrm>
                                                  <a:off x="0" y="0"/>
                                                  <a:ext cx="447675" cy="161925"/>
                                                </a:xfrm>
                                                <a:prstGeom prst="rect">
                                                  <a:avLst/>
                                                </a:prstGeom>
                                              </pic:spPr>
                                            </pic:pic>
                                          </a:graphicData>
                                        </a:graphic>
                                      </wp:inline>
                                    </w:drawing>
                                  </w:r>
                                  <w:bookmarkStart w:id="223" w:name="i-157"/>
                                  <w:bookmarkEnd w:id="223"/>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57" descr=""/>
                                          <pic:cNvPicPr>
                                            <a:picLocks noChangeAspect="1" noChangeArrowheads="1"/>
                                          </pic:cNvPicPr>
                                        </pic:nvPicPr>
                                        <pic:blipFill>
                                          <a:blip r:embed="rId205"/>
                                          <a:stretch>
                                            <a:fillRect/>
                                          </a:stretch>
                                        </pic:blipFill>
                                        <pic:spPr bwMode="auto">
                                          <a:xfrm>
                                            <a:off x="0" y="0"/>
                                            <a:ext cx="447675" cy="161925"/>
                                          </a:xfrm>
                                          <a:prstGeom prst="rect">
                                            <a:avLst/>
                                          </a:prstGeom>
                                        </pic:spPr>
                                      </pic:pic>
                                    </a:graphicData>
                                  </a:graphic>
                                </wp:inline>
                              </w:drawing>
                            </w:r>
                            <w:bookmarkStart w:id="224" w:name="i-157"/>
                            <w:bookmarkEnd w:id="224"/>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(3)Equity valuations assumptions for calculating Compensation Actually Paid are not materially different from grant date valuation assumptions.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(4)Non-CEO NEOs reflect the average Summary Compensation Table total compensation and average Compensation Actually Paid for the following executives by year</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2025: Mark Carano, Sean McClenaghan, John Swann, Randall Data</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2024: Mark Carano, Randall Data, John Swann, Sean McClenaghan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2023: Mark Carano, Randall Data, John Swann, Sean McClenaghan, Michael Reilly</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2022: Michael Reilly, Randall Data, John Swann, Sean McClenaghan, James Harris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2021: James Harris, Randall Data, John Swann, Brian Mason, John Nurkin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(5)The peer group comprises the component companies of the S&amp;P 1500 Industrials Index. </w:t>
      </w:r>
    </w:p>
    <w:p>
      <w:pPr>
        <w:pStyle w:val="TextBody"/>
        <w:bidi w:val="0"/>
        <w:spacing w:lineRule="auto" w:line="288" w:before="0" w:after="180"/>
        <w:ind w:left="0" w:right="0" w:hanging="360"/>
        <w:jc w:val="both"/>
        <w:rPr>
          <w:rFonts w:ascii="Arial;sans-serif" w:hAnsi="Arial;sans-serif"/>
          <w:b w:val="false"/>
          <w:color w:val="000000"/>
          <w:sz w:val="14"/>
        </w:rPr>
      </w:pPr>
      <w:r>
        <w:rPr>
          <w:rFonts w:ascii="Arial;sans-serif" w:hAnsi="Arial;sans-serif"/>
          <w:b w:val="false"/>
          <w:color w:val="000000"/>
          <w:sz w:val="14"/>
        </w:rPr>
        <w:t>(6)Please refer to Appendix A in this proxy statement for a reconciliation of non-GAAP Adjusted EBITDA.</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TABULAR LIST OF FINANCIAL PERFORMANCE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our assessment, the most important financial performance measures used to link Compensation Actually Paid of our NEOs in 2025 to our performance were:</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adjusted EBITDA,</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adjusted free cash flow,</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revenue, and</w:t>
      </w:r>
    </w:p>
    <w:p>
      <w:pPr>
        <w:pStyle w:val="TextBody"/>
        <w:bidi w:val="0"/>
        <w:spacing w:lineRule="auto" w:line="288" w:before="0" w:after="360"/>
        <w:ind w:left="0" w:right="0" w:hanging="216"/>
        <w:jc w:val="both"/>
        <w:rPr/>
      </w:pPr>
      <w:r>
        <w:rPr>
          <w:color w:val="000000"/>
        </w:rPr>
        <w:t>•</w:t>
      </w:r>
      <w:r>
        <w:rPr>
          <w:rFonts w:ascii="Arial;sans-serif" w:hAnsi="Arial;sans-serif"/>
          <w:b w:val="false"/>
          <w:color w:val="000000"/>
          <w:sz w:val="18"/>
        </w:rPr>
        <w:t>relative total shareholder return.</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PAY VERSUS PERFORMANCE: GRAPHICAL DESCRIPTION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illustrations below provide a graphical description of Compensation Actually Paid and the following measures:</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the Company’s cumulative TSR and the Peer Group’s cumulative TSR;</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the Company’s net income; and</w:t>
      </w:r>
    </w:p>
    <w:p>
      <w:pPr>
        <w:pStyle w:val="TextBody"/>
        <w:bidi w:val="0"/>
        <w:spacing w:lineRule="auto" w:line="288" w:before="0" w:after="600"/>
        <w:ind w:left="0" w:right="0" w:hanging="216"/>
        <w:jc w:val="both"/>
        <w:rPr/>
      </w:pPr>
      <w:r>
        <w:rPr>
          <w:color w:val="000000"/>
        </w:rPr>
        <w:t>•</w:t>
      </w:r>
      <w:r>
        <w:rPr>
          <w:rFonts w:ascii="Arial;sans-serif" w:hAnsi="Arial;sans-serif"/>
          <w:b w:val="false"/>
          <w:color w:val="000000"/>
          <w:sz w:val="18"/>
        </w:rPr>
        <w:t>the Company selected measure, which for SPX is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258"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8" descr=""/>
                                                <pic:cNvPicPr>
                                                  <a:picLocks noChangeAspect="1" noChangeArrowheads="1"/>
                                                </pic:cNvPicPr>
                                              </pic:nvPicPr>
                                              <pic:blipFill>
                                                <a:blip r:embed="rId206"/>
                                                <a:stretch>
                                                  <a:fillRect/>
                                                </a:stretch>
                                              </pic:blipFill>
                                              <pic:spPr bwMode="auto">
                                                <a:xfrm>
                                                  <a:off x="0" y="0"/>
                                                  <a:ext cx="447675" cy="161925"/>
                                                </a:xfrm>
                                                <a:prstGeom prst="rect">
                                                  <a:avLst/>
                                                </a:prstGeom>
                                              </pic:spPr>
                                            </pic:pic>
                                          </a:graphicData>
                                        </a:graphic>
                                      </wp:inline>
                                    </w:drawing>
                                  </w:r>
                                  <w:bookmarkStart w:id="225" w:name="i-158"/>
                                  <w:bookmarkEnd w:id="225"/>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8" descr=""/>
                                          <pic:cNvPicPr>
                                            <a:picLocks noChangeAspect="1" noChangeArrowheads="1"/>
                                          </pic:cNvPicPr>
                                        </pic:nvPicPr>
                                        <pic:blipFill>
                                          <a:blip r:embed="rId207"/>
                                          <a:stretch>
                                            <a:fillRect/>
                                          </a:stretch>
                                        </pic:blipFill>
                                        <pic:spPr bwMode="auto">
                                          <a:xfrm>
                                            <a:off x="0" y="0"/>
                                            <a:ext cx="447675" cy="161925"/>
                                          </a:xfrm>
                                          <a:prstGeom prst="rect">
                                            <a:avLst/>
                                          </a:prstGeom>
                                        </pic:spPr>
                                      </pic:pic>
                                    </a:graphicData>
                                  </a:graphic>
                                </wp:inline>
                              </w:drawing>
                            </w:r>
                            <w:bookmarkStart w:id="226" w:name="i-158"/>
                            <w:bookmarkEnd w:id="226"/>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0"/>
        <w:jc w:val="center"/>
        <w:rPr>
          <w:rFonts w:ascii="Arial;sans-serif" w:hAnsi="Arial;sans-serif"/>
          <w:b/>
          <w:color w:val="004C97"/>
          <w:sz w:val="20"/>
        </w:rPr>
      </w:pPr>
      <w:r>
        <w:rPr>
          <w:rFonts w:ascii="Arial;sans-serif" w:hAnsi="Arial;sans-serif"/>
          <w:b/>
          <w:color w:val="004C97"/>
          <w:sz w:val="20"/>
        </w:rPr>
        <w:t>Compensation Actually Paid and Cumulative TSR / Cumulative TSR of Peer</w:t>
      </w:r>
    </w:p>
    <w:p>
      <w:pPr>
        <w:pStyle w:val="TextBody"/>
        <w:bidi w:val="0"/>
        <w:spacing w:before="0" w:after="160"/>
        <w:jc w:val="center"/>
        <w:rPr/>
      </w:pPr>
      <w:r>
        <w:rPr/>
        <w:drawing>
          <wp:inline distT="0" distB="0" distL="0" distR="0">
            <wp:extent cx="4019550" cy="2371725"/>
            <wp:effectExtent l="0" t="0" r="0" b="0"/>
            <wp:docPr id="26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9" descr=""/>
                    <pic:cNvPicPr>
                      <a:picLocks noChangeAspect="1" noChangeArrowheads="1"/>
                    </pic:cNvPicPr>
                  </pic:nvPicPr>
                  <pic:blipFill>
                    <a:blip r:embed="rId208"/>
                    <a:stretch>
                      <a:fillRect/>
                    </a:stretch>
                  </pic:blipFill>
                  <pic:spPr bwMode="auto">
                    <a:xfrm>
                      <a:off x="0" y="0"/>
                      <a:ext cx="4019550" cy="2371725"/>
                    </a:xfrm>
                    <a:prstGeom prst="rect">
                      <a:avLst/>
                    </a:prstGeom>
                  </pic:spPr>
                </pic:pic>
              </a:graphicData>
            </a:graphic>
          </wp:inline>
        </w:drawing>
      </w:r>
      <w:bookmarkStart w:id="227" w:name="i-159"/>
      <w:bookmarkEnd w:id="227"/>
    </w:p>
    <w:p>
      <w:pPr>
        <w:pStyle w:val="TextBody"/>
        <w:bidi w:val="0"/>
        <w:spacing w:lineRule="auto" w:line="288" w:before="0" w:after="0"/>
        <w:jc w:val="center"/>
        <w:rPr>
          <w:rFonts w:ascii="Arial;sans-serif" w:hAnsi="Arial;sans-serif"/>
          <w:b/>
          <w:color w:val="004C97"/>
          <w:sz w:val="20"/>
        </w:rPr>
      </w:pPr>
      <w:r>
        <w:rPr>
          <w:rFonts w:ascii="Arial;sans-serif" w:hAnsi="Arial;sans-serif"/>
          <w:b/>
          <w:color w:val="004C97"/>
          <w:sz w:val="20"/>
        </w:rPr>
        <w:t>Compensation Actually Paid and Net Income</w:t>
      </w:r>
    </w:p>
    <w:p>
      <w:pPr>
        <w:pStyle w:val="TextBody"/>
        <w:bidi w:val="0"/>
        <w:spacing w:before="0" w:after="160"/>
        <w:jc w:val="center"/>
        <w:rPr/>
      </w:pPr>
      <w:r>
        <w:rPr/>
        <w:drawing>
          <wp:inline distT="0" distB="0" distL="0" distR="0">
            <wp:extent cx="4019550" cy="2371725"/>
            <wp:effectExtent l="0" t="0" r="0" b="0"/>
            <wp:docPr id="26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60" descr=""/>
                    <pic:cNvPicPr>
                      <a:picLocks noChangeAspect="1" noChangeArrowheads="1"/>
                    </pic:cNvPicPr>
                  </pic:nvPicPr>
                  <pic:blipFill>
                    <a:blip r:embed="rId209"/>
                    <a:stretch>
                      <a:fillRect/>
                    </a:stretch>
                  </pic:blipFill>
                  <pic:spPr bwMode="auto">
                    <a:xfrm>
                      <a:off x="0" y="0"/>
                      <a:ext cx="4019550" cy="2371725"/>
                    </a:xfrm>
                    <a:prstGeom prst="rect">
                      <a:avLst/>
                    </a:prstGeom>
                  </pic:spPr>
                </pic:pic>
              </a:graphicData>
            </a:graphic>
          </wp:inline>
        </w:drawing>
      </w:r>
      <w:bookmarkStart w:id="228" w:name="i-160"/>
      <w:bookmarkEnd w:id="228"/>
    </w:p>
    <w:p>
      <w:pPr>
        <w:pStyle w:val="TextBody"/>
        <w:bidi w:val="0"/>
        <w:spacing w:lineRule="auto" w:line="288" w:before="0" w:after="0"/>
        <w:jc w:val="center"/>
        <w:rPr>
          <w:rFonts w:ascii="Arial;sans-serif" w:hAnsi="Arial;sans-serif"/>
          <w:b/>
          <w:color w:val="004C97"/>
          <w:sz w:val="20"/>
        </w:rPr>
      </w:pPr>
      <w:r>
        <w:rPr>
          <w:rFonts w:ascii="Arial;sans-serif" w:hAnsi="Arial;sans-serif"/>
          <w:b/>
          <w:color w:val="004C97"/>
          <w:sz w:val="20"/>
        </w:rPr>
        <w:t>Compensation Actually Paid and Adjusted EBITDA</w:t>
      </w:r>
    </w:p>
    <w:p>
      <w:pPr>
        <w:pStyle w:val="TextBody"/>
        <w:bidi w:val="0"/>
        <w:spacing w:before="0" w:after="0"/>
        <w:jc w:val="center"/>
        <w:rPr/>
      </w:pPr>
      <w:r>
        <w:rPr/>
        <w:drawing>
          <wp:inline distT="0" distB="0" distL="0" distR="0">
            <wp:extent cx="4019550" cy="2371725"/>
            <wp:effectExtent l="0" t="0" r="0" b="0"/>
            <wp:docPr id="26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61" descr=""/>
                    <pic:cNvPicPr>
                      <a:picLocks noChangeAspect="1" noChangeArrowheads="1"/>
                    </pic:cNvPicPr>
                  </pic:nvPicPr>
                  <pic:blipFill>
                    <a:blip r:embed="rId210"/>
                    <a:stretch>
                      <a:fillRect/>
                    </a:stretch>
                  </pic:blipFill>
                  <pic:spPr bwMode="auto">
                    <a:xfrm>
                      <a:off x="0" y="0"/>
                      <a:ext cx="4019550" cy="2371725"/>
                    </a:xfrm>
                    <a:prstGeom prst="rect">
                      <a:avLst/>
                    </a:prstGeom>
                  </pic:spPr>
                </pic:pic>
              </a:graphicData>
            </a:graphic>
          </wp:inline>
        </w:drawing>
      </w:r>
      <w:bookmarkStart w:id="229" w:name="i-161"/>
      <w:bookmarkEnd w:id="22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264"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62" descr=""/>
                                                <pic:cNvPicPr>
                                                  <a:picLocks noChangeAspect="1" noChangeArrowheads="1"/>
                                                </pic:cNvPicPr>
                                              </pic:nvPicPr>
                                              <pic:blipFill>
                                                <a:blip r:embed="rId211"/>
                                                <a:stretch>
                                                  <a:fillRect/>
                                                </a:stretch>
                                              </pic:blipFill>
                                              <pic:spPr bwMode="auto">
                                                <a:xfrm>
                                                  <a:off x="0" y="0"/>
                                                  <a:ext cx="447675" cy="161925"/>
                                                </a:xfrm>
                                                <a:prstGeom prst="rect">
                                                  <a:avLst/>
                                                </a:prstGeom>
                                              </pic:spPr>
                                            </pic:pic>
                                          </a:graphicData>
                                        </a:graphic>
                                      </wp:inline>
                                    </w:drawing>
                                  </w:r>
                                  <w:bookmarkStart w:id="230" w:name="i-162"/>
                                  <w:bookmarkEnd w:id="230"/>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2" descr=""/>
                                          <pic:cNvPicPr>
                                            <a:picLocks noChangeAspect="1" noChangeArrowheads="1"/>
                                          </pic:cNvPicPr>
                                        </pic:nvPicPr>
                                        <pic:blipFill>
                                          <a:blip r:embed="rId212"/>
                                          <a:stretch>
                                            <a:fillRect/>
                                          </a:stretch>
                                        </pic:blipFill>
                                        <pic:spPr bwMode="auto">
                                          <a:xfrm>
                                            <a:off x="0" y="0"/>
                                            <a:ext cx="447675" cy="161925"/>
                                          </a:xfrm>
                                          <a:prstGeom prst="rect">
                                            <a:avLst/>
                                          </a:prstGeom>
                                        </pic:spPr>
                                      </pic:pic>
                                    </a:graphicData>
                                  </a:graphic>
                                </wp:inline>
                              </w:drawing>
                            </w:r>
                            <w:bookmarkStart w:id="231" w:name="i-162"/>
                            <w:bookmarkEnd w:id="23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360"/>
        <w:jc w:val="center"/>
        <w:rPr>
          <w:rFonts w:ascii="Arial;sans-serif" w:hAnsi="Arial;sans-serif"/>
          <w:b/>
          <w:color w:val="000000"/>
          <w:sz w:val="32"/>
        </w:rPr>
      </w:pPr>
      <w:bookmarkStart w:id="232" w:name="i47c01f2ecc4e4a55bb446d8ea7992a12_63388"/>
      <w:bookmarkEnd w:id="232"/>
      <w:r>
        <w:rPr>
          <w:rFonts w:ascii="Arial;sans-serif" w:hAnsi="Arial;sans-serif"/>
          <w:b/>
          <w:color w:val="000000"/>
          <w:sz w:val="32"/>
        </w:rPr>
        <w:t>Equity Compensation Plan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as of December 31, 2025, about SPX common stock that may be issued upon the exercise of options and rights under all our existing equity compensation plans, each of which was approved by our stockholders. This plan includes the 2019 Stock Compensation.</w:t>
      </w:r>
    </w:p>
    <w:tbl>
      <w:tblPr>
        <w:tblW w:w="10205" w:type="dxa"/>
        <w:jc w:val="left"/>
        <w:tblInd w:w="0" w:type="dxa"/>
        <w:tblLayout w:type="fixed"/>
        <w:tblCellMar>
          <w:top w:w="28" w:type="dxa"/>
          <w:left w:w="28" w:type="dxa"/>
          <w:bottom w:w="28" w:type="dxa"/>
          <w:right w:w="28" w:type="dxa"/>
        </w:tblCellMar>
      </w:tblPr>
      <w:tblGrid>
        <w:gridCol w:w="669"/>
        <w:gridCol w:w="591"/>
        <w:gridCol w:w="546"/>
        <w:gridCol w:w="825"/>
        <w:gridCol w:w="825"/>
        <w:gridCol w:w="827"/>
        <w:gridCol w:w="862"/>
        <w:gridCol w:w="862"/>
        <w:gridCol w:w="864"/>
        <w:gridCol w:w="975"/>
        <w:gridCol w:w="975"/>
        <w:gridCol w:w="1384"/>
      </w:tblGrid>
      <w:tr>
        <w:trPr/>
        <w:tc>
          <w:tcPr>
            <w:tcW w:w="6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8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Plan Category</w:t>
            </w:r>
          </w:p>
        </w:tc>
        <w:tc>
          <w:tcPr>
            <w:tcW w:w="247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Number of Securities to Be Issued Upon Exercise of Outstanding Options, Warrants, and Rights (a)</w:t>
            </w:r>
            <w:r>
              <w:rPr>
                <w:rFonts w:ascii="Arial;sans-serif" w:hAnsi="Arial;sans-serif"/>
                <w:b/>
                <w:color w:val="FFFFFF"/>
                <w:sz w:val="10"/>
              </w:rPr>
              <w:t>(1)</w:t>
            </w:r>
          </w:p>
        </w:tc>
        <w:tc>
          <w:tcPr>
            <w:tcW w:w="258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Weighted-Average Exercise Price of Outstanding Options, Warrants, and Rights (b)</w:t>
            </w:r>
            <w:r>
              <w:rPr>
                <w:rFonts w:ascii="Arial;sans-serif" w:hAnsi="Arial;sans-serif"/>
                <w:b/>
                <w:color w:val="FFFFFF"/>
                <w:sz w:val="10"/>
              </w:rPr>
              <w:t>(2)</w:t>
            </w:r>
          </w:p>
        </w:tc>
        <w:tc>
          <w:tcPr>
            <w:tcW w:w="3334"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Securities Remaining Available for Future Issuance Under Equity Compensation Plans (Excluding Securities Reflected in Column (a))</w:t>
            </w:r>
          </w:p>
        </w:tc>
      </w:tr>
      <w:tr>
        <w:trPr/>
        <w:tc>
          <w:tcPr>
            <w:tcW w:w="180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Equity Compensation Plans Approved By Stockholders</w:t>
            </w:r>
          </w:p>
        </w:tc>
        <w:tc>
          <w:tcPr>
            <w:tcW w:w="2477"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1,082,447</w:t>
            </w:r>
          </w:p>
        </w:tc>
        <w:tc>
          <w:tcPr>
            <w:tcW w:w="2588"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$59.04</w:t>
            </w:r>
          </w:p>
        </w:tc>
        <w:tc>
          <w:tcPr>
            <w:tcW w:w="3334"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3,330,159</w:t>
            </w:r>
          </w:p>
        </w:tc>
      </w:tr>
      <w:tr>
        <w:trPr/>
        <w:tc>
          <w:tcPr>
            <w:tcW w:w="180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Stockholders</w:t>
            </w:r>
          </w:p>
        </w:tc>
        <w:tc>
          <w:tcPr>
            <w:tcW w:w="247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8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3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806"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477"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1,082,447</w:t>
            </w:r>
          </w:p>
        </w:tc>
        <w:tc>
          <w:tcPr>
            <w:tcW w:w="2588"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$59.04</w:t>
            </w:r>
          </w:p>
        </w:tc>
        <w:tc>
          <w:tcPr>
            <w:tcW w:w="3334"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3,330,159</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(1)Comprised of 579,571 shares issuable upon the exercise of outstanding Options and 502,876 shares issuable pursuant to RSUs and PSUs (at maximum performance levels).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(2)Excludes RSUs and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267"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63" descr=""/>
                                                <pic:cNvPicPr>
                                                  <a:picLocks noChangeAspect="1" noChangeArrowheads="1"/>
                                                </pic:cNvPicPr>
                                              </pic:nvPicPr>
                                              <pic:blipFill>
                                                <a:blip r:embed="rId213"/>
                                                <a:stretch>
                                                  <a:fillRect/>
                                                </a:stretch>
                                              </pic:blipFill>
                                              <pic:spPr bwMode="auto">
                                                <a:xfrm>
                                                  <a:off x="0" y="0"/>
                                                  <a:ext cx="447675" cy="161925"/>
                                                </a:xfrm>
                                                <a:prstGeom prst="rect">
                                                  <a:avLst/>
                                                </a:prstGeom>
                                              </pic:spPr>
                                            </pic:pic>
                                          </a:graphicData>
                                        </a:graphic>
                                      </wp:inline>
                                    </w:drawing>
                                  </w:r>
                                  <w:bookmarkStart w:id="233" w:name="i-163"/>
                                  <w:bookmarkEnd w:id="233"/>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3" descr=""/>
                                          <pic:cNvPicPr>
                                            <a:picLocks noChangeAspect="1" noChangeArrowheads="1"/>
                                          </pic:cNvPicPr>
                                        </pic:nvPicPr>
                                        <pic:blipFill>
                                          <a:blip r:embed="rId214"/>
                                          <a:stretch>
                                            <a:fillRect/>
                                          </a:stretch>
                                        </pic:blipFill>
                                        <pic:spPr bwMode="auto">
                                          <a:xfrm>
                                            <a:off x="0" y="0"/>
                                            <a:ext cx="447675" cy="161925"/>
                                          </a:xfrm>
                                          <a:prstGeom prst="rect">
                                            <a:avLst/>
                                          </a:prstGeom>
                                        </pic:spPr>
                                      </pic:pic>
                                    </a:graphicData>
                                  </a:graphic>
                                </wp:inline>
                              </w:drawing>
                            </w:r>
                            <w:bookmarkStart w:id="234" w:name="i-163"/>
                            <w:bookmarkEnd w:id="234"/>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2: APPROVAL OF NAMED EXECUTIVE OFFICERS’ COMPENSATION, ON A NON-BINDING ADVISORY BASIS (“SAY-ON-PAY”)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asking our stockholders to cast an advisory vote at our Annual Meeting to approve the compensation of our NEOs, as disclosed in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Although the vote is non-binding, the Committee and the Board value your opinion and will consider the outcome of the vote in revising our compensation philosophy and making future compensation decisions.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We intend to seek approval of our executive compensation on an annual basis.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WHY YOU SHOULD APPROVE OUR NEO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During 2025, we continued to focus on our commitment to having an executive compensation program that is aligned with stockholder interests and our goal of sustaining our meaningful pay-for-performance culture.</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Our executive compensation and executive compensation program are more fully described in the “Compensation Discussion and Analysis,” beginning on page 24, and in the “Summary Compensation Table” and subsequent tables, beginning on page 37.</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OVERVIEW</w:t>
      </w:r>
    </w:p>
    <w:p>
      <w:pPr>
        <w:pStyle w:val="TextBody"/>
        <w:bidi w:val="0"/>
        <w:spacing w:lineRule="auto" w:line="288" w:before="0" w:after="240"/>
        <w:jc w:val="left"/>
        <w:rPr>
          <w:rFonts w:ascii="Arial;sans-serif" w:hAnsi="Arial;sans-serif"/>
          <w:b/>
          <w:color w:val="004C97"/>
          <w:sz w:val="20"/>
        </w:rPr>
      </w:pPr>
      <w:r>
        <w:rPr>
          <w:rFonts w:ascii="Arial;sans-serif" w:hAnsi="Arial;sans-serif"/>
          <w:b/>
          <w:color w:val="004C97"/>
          <w:sz w:val="20"/>
        </w:rPr>
        <w:t>Key Components of Our Compensation Program</w:t>
      </w:r>
    </w:p>
    <w:tbl>
      <w:tblPr>
        <w:tblW w:w="10205" w:type="dxa"/>
        <w:jc w:val="left"/>
        <w:tblInd w:w="0" w:type="dxa"/>
        <w:tblLayout w:type="fixed"/>
        <w:tblCellMar>
          <w:top w:w="28" w:type="dxa"/>
          <w:left w:w="28" w:type="dxa"/>
          <w:bottom w:w="28" w:type="dxa"/>
          <w:right w:w="28" w:type="dxa"/>
        </w:tblCellMar>
      </w:tblPr>
      <w:tblGrid>
        <w:gridCol w:w="1995"/>
        <w:gridCol w:w="1757"/>
        <w:gridCol w:w="1762"/>
        <w:gridCol w:w="109"/>
        <w:gridCol w:w="109"/>
        <w:gridCol w:w="109"/>
        <w:gridCol w:w="1292"/>
        <w:gridCol w:w="1268"/>
        <w:gridCol w:w="1804"/>
      </w:tblGrid>
      <w:tr>
        <w:trPr/>
        <w:tc>
          <w:tcPr>
            <w:tcW w:w="199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Base Salary</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target base salary for NEOs in line with the market median and our peer companies for established performers.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Change in Control Provisions</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have double trigger provisions in the event of a change in control.</w:t>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Annual Incentive</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focus annual bonus pay based on adjusted revenue, EBITDA, and cash flow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No Pledging or Hedging</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do not permit officer or director hedging or pledging of our common stock.</w:t>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Long-term Incentives</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target long-term pay based 50% performance stock units, 25% on stock options, and 25% on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Benefits and Perquisites</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have no NEO participation in defined benefit pension plans or retiree medical benefits.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4D89"/>
              <w:left w:val="single" w:sz="8" w:space="0" w:color="0D4D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D4D89"/>
              <w:right w:val="single" w:sz="8" w:space="0" w:color="0D4D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D4D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7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4" descr=""/>
                          <pic:cNvPicPr>
                            <a:picLocks noChangeAspect="1" noChangeArrowheads="1"/>
                          </pic:cNvPicPr>
                        </pic:nvPicPr>
                        <pic:blipFill>
                          <a:blip r:embed="rId215"/>
                          <a:stretch>
                            <a:fillRect/>
                          </a:stretch>
                        </pic:blipFill>
                        <pic:spPr bwMode="auto">
                          <a:xfrm>
                            <a:off x="0" y="0"/>
                            <a:ext cx="542925" cy="542925"/>
                          </a:xfrm>
                          <a:prstGeom prst="rect">
                            <a:avLst/>
                          </a:prstGeom>
                        </pic:spPr>
                      </pic:pic>
                    </a:graphicData>
                  </a:graphic>
                </wp:inline>
              </w:drawing>
            </w:r>
            <w:bookmarkStart w:id="235" w:name="i-164"/>
            <w:bookmarkEnd w:id="235"/>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FOR”</w:t>
            </w:r>
            <w:r>
              <w:rPr>
                <w:color w:val="004C97"/>
              </w:rPr>
              <w:t xml:space="preserve"> </w:t>
            </w:r>
            <w:r>
              <w:rPr>
                <w:rFonts w:ascii="Arial;sans-serif" w:hAnsi="Arial;sans-serif"/>
                <w:b w:val="false"/>
                <w:color w:val="004C97"/>
                <w:sz w:val="20"/>
              </w:rPr>
              <w:t>THE APPROVAL OF THE NAMED EXECUTIVE OFFICERS’ COMPENSATION, ON A NON-BINDING ADVISORY BASIS (“SAY-ON-PAY”)</w:t>
            </w:r>
          </w:p>
        </w:tc>
        <w:tc>
          <w:tcPr>
            <w:tcW w:w="373" w:type="dxa"/>
            <w:gridSpan w:val="3"/>
            <w:tcBorders>
              <w:right w:val="single" w:sz="8" w:space="0" w:color="0D4D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D4D89"/>
              <w:bottom w:val="single" w:sz="8" w:space="0" w:color="0D4D89"/>
            </w:tcBorders>
            <w:tcMar>
              <w:top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D4D89"/>
              <w:right w:val="single" w:sz="8" w:space="0" w:color="0D4D89"/>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271"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5" descr=""/>
                                                <pic:cNvPicPr>
                                                  <a:picLocks noChangeAspect="1" noChangeArrowheads="1"/>
                                                </pic:cNvPicPr>
                                              </pic:nvPicPr>
                                              <pic:blipFill>
                                                <a:blip r:embed="rId216"/>
                                                <a:stretch>
                                                  <a:fillRect/>
                                                </a:stretch>
                                              </pic:blipFill>
                                              <pic:spPr bwMode="auto">
                                                <a:xfrm>
                                                  <a:off x="0" y="0"/>
                                                  <a:ext cx="447675" cy="161925"/>
                                                </a:xfrm>
                                                <a:prstGeom prst="rect">
                                                  <a:avLst/>
                                                </a:prstGeom>
                                              </pic:spPr>
                                            </pic:pic>
                                          </a:graphicData>
                                        </a:graphic>
                                      </wp:inline>
                                    </w:drawing>
                                  </w:r>
                                  <w:bookmarkStart w:id="236" w:name="i-165"/>
                                  <w:bookmarkEnd w:id="23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3"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5" descr=""/>
                                          <pic:cNvPicPr>
                                            <a:picLocks noChangeAspect="1" noChangeArrowheads="1"/>
                                          </pic:cNvPicPr>
                                        </pic:nvPicPr>
                                        <pic:blipFill>
                                          <a:blip r:embed="rId217"/>
                                          <a:stretch>
                                            <a:fillRect/>
                                          </a:stretch>
                                        </pic:blipFill>
                                        <pic:spPr bwMode="auto">
                                          <a:xfrm>
                                            <a:off x="0" y="0"/>
                                            <a:ext cx="447675" cy="161925"/>
                                          </a:xfrm>
                                          <a:prstGeom prst="rect">
                                            <a:avLst/>
                                          </a:prstGeom>
                                        </pic:spPr>
                                      </pic:pic>
                                    </a:graphicData>
                                  </a:graphic>
                                </wp:inline>
                              </w:drawing>
                            </w:r>
                            <w:bookmarkStart w:id="237" w:name="i-165"/>
                            <w:bookmarkEnd w:id="23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AUDIT MATTERS</w:t>
      </w:r>
    </w:p>
    <w:p>
      <w:pPr>
        <w:pStyle w:val="TextBody"/>
        <w:bidi w:val="0"/>
        <w:spacing w:lineRule="auto" w:line="288" w:before="0" w:after="0"/>
        <w:jc w:val="left"/>
        <w:rPr>
          <w:rFonts w:ascii="Arial;sans-serif" w:hAnsi="Arial;sans-serif"/>
          <w:b w:val="false"/>
          <w:color w:val="000000"/>
          <w:sz w:val="32"/>
        </w:rPr>
      </w:pPr>
      <w:bookmarkStart w:id="238" w:name="iee5a0a9442a74ce9bf49b85a78152801_5534"/>
      <w:bookmarkEnd w:id="238"/>
      <w:r>
        <w:rPr>
          <w:rFonts w:ascii="Arial;sans-serif" w:hAnsi="Arial;sans-serif"/>
          <w:b w:val="false"/>
          <w:color w:val="000000"/>
          <w:sz w:val="32"/>
        </w:rPr>
        <w:t>Audit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of the SPX Board of Directors consists of five directors. Each Audit Committee member is independent, as defined under SEC rules and the listing standards of the NYSE. The Audit Committee reviews SPX’s financial reporting process on behalf of the Board and is responsible for ensuring the integrity of the financial information reported by SPX.</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is responsible for SPX’s financial reporting process, including its systems of internal and disclosure controls, and for the preparation of consolidated financial statements in accordance with accounting principles generally accepted in the United States (“US GAAP”). SPX’s independent registered public accounting firm, which is appointed by the Audit Committee, is responsible for auditing those financial statements. The Audit Committee’s responsibility is to monitor and review these processes. The Audit Committee has relied, without independent verification, on management’s representation that the financial statements have been prepared with integrity and objectivity and in conformity with US GAAP and on the representations of the independent registered public accounting firm included in the firm’s report on SPX’s financial statements.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this context, the Audit Committee has met and held discussions with management and Deloitte &amp; Touche LLP (“Deloitte”), SPX’s independent registered public accounting firm since 2002. Management represented to the Audit Committee that SPX’s consolidated financial statements were prepared in accordance with US GAAP, and the Audit Committee has reviewed and discussed the consolidated financial statements with management and the independent registered public accounting firm. The Audit Committee discussed with the independent registered public accounting firm matters required to be discussed by the Standards of the Public Company Accounting Oversight Board (“PCAOB”) for communication with audit committees, under which Deloitte must provide us with additional information regarding the scope and results of its audit of SPX’s consolidated financial statements.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we have discussed with Deloitte its independence from SPX and SPX management, including matters in the written disclosures required by PCAOB Rule 3526, Communication with Audit Committees Concerning Independence.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discussed with SPX’s internal auditors and independent registered public accounting firm the overall scope and plans for its respective audits. The Audit Committee met with the independent registered public accounting firm, with and without management present, to discuss the results of its examinations, the evaluations of SPX’s internal controls, and the overall quality of SPX’s financial reporting.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reliance on the reviews and discussions referred to above, the Audit Committee recommended to the Board, and the Board has approved, that the audited consolidated financial statements be included in SPX’s Annual Report on Form 10-K for the year ended December 31, 2025, filed with the SEC.</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Audit Committee,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Meenal A. Sethna, Chair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Ricky D. Puckett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Robert B. Toth</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Tana L. Utley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Angel Shelton Willis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274"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6" descr=""/>
                                                <pic:cNvPicPr>
                                                  <a:picLocks noChangeAspect="1" noChangeArrowheads="1"/>
                                                </pic:cNvPicPr>
                                              </pic:nvPicPr>
                                              <pic:blipFill>
                                                <a:blip r:embed="rId218"/>
                                                <a:stretch>
                                                  <a:fillRect/>
                                                </a:stretch>
                                              </pic:blipFill>
                                              <pic:spPr bwMode="auto">
                                                <a:xfrm>
                                                  <a:off x="0" y="0"/>
                                                  <a:ext cx="447675" cy="161925"/>
                                                </a:xfrm>
                                                <a:prstGeom prst="rect">
                                                  <a:avLst/>
                                                </a:prstGeom>
                                              </pic:spPr>
                                            </pic:pic>
                                          </a:graphicData>
                                        </a:graphic>
                                      </wp:inline>
                                    </w:drawing>
                                  </w:r>
                                  <w:bookmarkStart w:id="239" w:name="i-166"/>
                                  <w:bookmarkEnd w:id="239"/>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6" descr=""/>
                                          <pic:cNvPicPr>
                                            <a:picLocks noChangeAspect="1" noChangeArrowheads="1"/>
                                          </pic:cNvPicPr>
                                        </pic:nvPicPr>
                                        <pic:blipFill>
                                          <a:blip r:embed="rId219"/>
                                          <a:stretch>
                                            <a:fillRect/>
                                          </a:stretch>
                                        </pic:blipFill>
                                        <pic:spPr bwMode="auto">
                                          <a:xfrm>
                                            <a:off x="0" y="0"/>
                                            <a:ext cx="447675" cy="161925"/>
                                          </a:xfrm>
                                          <a:prstGeom prst="rect">
                                            <a:avLst/>
                                          </a:prstGeom>
                                        </pic:spPr>
                                      </pic:pic>
                                    </a:graphicData>
                                  </a:graphic>
                                </wp:inline>
                              </w:drawing>
                            </w:r>
                            <w:bookmarkStart w:id="240" w:name="i-166"/>
                            <w:bookmarkEnd w:id="240"/>
                          </w:p>
                        </w:tc>
                      </w:tr>
                    </w:tbl>
                    <w:p>
                      <w:pPr>
                        <w:pStyle w:val="TextBody"/>
                        <w:bidi w:val="0"/>
                        <w:spacing w:before="0" w:after="283"/>
                        <w:jc w:val="left"/>
                        <w:rPr/>
                      </w:pPr>
                      <w:r>
                        <w:rPr/>
                      </w:r>
                    </w:p>
                  </w:txbxContent>
                </v:textbox>
                <w10:wrap type="none"/>
              </v:rect>
            </w:pict>
          </mc:Fallback>
        </mc:AlternateContent>
      </w:r>
    </w:p>
    <w:tbl>
      <w:tblPr>
        <w:tblW w:w="1484" w:type="dxa"/>
        <w:jc w:val="right"/>
        <w:tblInd w:w="0" w:type="dxa"/>
        <w:tblLayout w:type="fixed"/>
        <w:tblCellMar>
          <w:top w:w="28" w:type="dxa"/>
          <w:left w:w="28" w:type="dxa"/>
          <w:bottom w:w="28" w:type="dxa"/>
          <w:right w:w="28" w:type="dxa"/>
        </w:tblCellMar>
      </w:tblPr>
      <w:tblGrid>
        <w:gridCol w:w="475"/>
        <w:gridCol w:w="417"/>
        <w:gridCol w:w="592"/>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AUDIT MATTERS</w:t>
            </w:r>
          </w:p>
        </w:tc>
      </w:tr>
    </w:tbl>
    <w:p>
      <w:pPr>
        <w:pStyle w:val="TextBody"/>
        <w:bidi w:val="0"/>
        <w:spacing w:lineRule="auto" w:line="288" w:before="0" w:after="0"/>
        <w:jc w:val="left"/>
        <w:rPr>
          <w:rFonts w:ascii="Arial;sans-serif" w:hAnsi="Arial;sans-serif"/>
          <w:b w:val="false"/>
          <w:color w:val="000000"/>
          <w:sz w:val="32"/>
        </w:rPr>
      </w:pPr>
      <w:bookmarkStart w:id="241" w:name="iee5a0a9442a74ce9bf49b85a78152801_5535"/>
      <w:bookmarkEnd w:id="241"/>
      <w:r>
        <w:rPr>
          <w:rFonts w:ascii="Arial;sans-serif" w:hAnsi="Arial;sans-serif"/>
          <w:b w:val="false"/>
          <w:color w:val="000000"/>
          <w:sz w:val="32"/>
        </w:rPr>
        <w:t>Other Audit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242" w:name="iee5a0a9442a74ce9bf49b85a78152801_5536"/>
      <w:bookmarkEnd w:id="242"/>
      <w:r>
        <w:rPr>
          <w:rFonts w:ascii="Arial;sans-serif" w:hAnsi="Arial;sans-serif"/>
          <w:b/>
          <w:color w:val="000000"/>
          <w:sz w:val="22"/>
        </w:rPr>
        <w:t>AUDIT AND NON-AUDIT FEE TABLE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During fiscal years 2025 and 2024, we retained our principal independent registered public accounting firm, Deloitte, to perform services in the following categories and amounts: </w:t>
      </w:r>
    </w:p>
    <w:tbl>
      <w:tblPr>
        <w:tblW w:w="3331" w:type="dxa"/>
        <w:jc w:val="left"/>
        <w:tblInd w:w="0" w:type="dxa"/>
        <w:tblLayout w:type="fixed"/>
        <w:tblCellMar>
          <w:top w:w="28" w:type="dxa"/>
          <w:left w:w="28" w:type="dxa"/>
          <w:bottom w:w="28" w:type="dxa"/>
          <w:right w:w="28" w:type="dxa"/>
        </w:tblCellMar>
      </w:tblPr>
      <w:tblGrid>
        <w:gridCol w:w="589"/>
        <w:gridCol w:w="517"/>
        <w:gridCol w:w="528"/>
        <w:gridCol w:w="274"/>
        <w:gridCol w:w="274"/>
        <w:gridCol w:w="278"/>
        <w:gridCol w:w="253"/>
        <w:gridCol w:w="253"/>
        <w:gridCol w:w="365"/>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2025 ($)</w:t>
            </w:r>
          </w:p>
        </w:tc>
        <w:tc>
          <w:tcPr>
            <w:tcW w:w="87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2024 ($)</w:t>
            </w:r>
          </w:p>
        </w:tc>
      </w:tr>
      <w:tr>
        <w:trPr/>
        <w:tc>
          <w:tcPr>
            <w:tcW w:w="163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Audit Fees</w:t>
            </w:r>
            <w:r>
              <w:rPr>
                <w:rFonts w:ascii="Arial;sans-serif" w:hAnsi="Arial;sans-serif"/>
                <w:b w:val="false"/>
                <w:color w:val="000000"/>
                <w:sz w:val="10"/>
              </w:rPr>
              <w:t>(1)</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3,599,626</w:t>
            </w:r>
          </w:p>
        </w:tc>
        <w:tc>
          <w:tcPr>
            <w:tcW w:w="871"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3,206,000</w:t>
            </w:r>
          </w:p>
        </w:tc>
      </w:tr>
      <w:tr>
        <w:trPr/>
        <w:tc>
          <w:tcPr>
            <w:tcW w:w="1634"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Audit-Related Fees</w:t>
            </w:r>
            <w:r>
              <w:rPr>
                <w:rFonts w:ascii="Arial;sans-serif" w:hAnsi="Arial;sans-serif"/>
                <w:b w:val="false"/>
                <w:color w:val="000000"/>
                <w:sz w:val="10"/>
              </w:rPr>
              <w:t>(2)</w:t>
            </w:r>
          </w:p>
        </w:tc>
        <w:tc>
          <w:tcPr>
            <w:tcW w:w="826"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35,410</w:t>
            </w:r>
          </w:p>
        </w:tc>
        <w:tc>
          <w:tcPr>
            <w:tcW w:w="871" w:type="dxa"/>
            <w:gridSpan w:val="3"/>
            <w:tcBorders>
              <w:top w:val="single" w:sz="8" w:space="0" w:color="6D6D6D"/>
              <w:left w:val="single" w:sz="8" w:space="0" w:color="6D6D6D"/>
              <w:right w:val="single" w:sz="8" w:space="0" w:color="6D6D6D"/>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r>
      <w:tr>
        <w:trPr/>
        <w:tc>
          <w:tcPr>
            <w:tcW w:w="1634"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Tax Fees</w:t>
            </w:r>
            <w:r>
              <w:rPr>
                <w:rFonts w:ascii="Arial;sans-serif" w:hAnsi="Arial;sans-serif"/>
                <w:b w:val="false"/>
                <w:color w:val="000000"/>
                <w:sz w:val="10"/>
              </w:rPr>
              <w:t>(3)</w:t>
            </w:r>
          </w:p>
        </w:tc>
        <w:tc>
          <w:tcPr>
            <w:tcW w:w="826" w:type="dxa"/>
            <w:gridSpan w:val="3"/>
            <w:tcBorders>
              <w:top w:val="single" w:sz="8" w:space="0" w:color="6D6D6D"/>
              <w:left w:val="single" w:sz="8" w:space="0" w:color="6D6D6D"/>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64,940</w:t>
            </w:r>
          </w:p>
        </w:tc>
        <w:tc>
          <w:tcPr>
            <w:tcW w:w="871" w:type="dxa"/>
            <w:gridSpan w:val="3"/>
            <w:tcBorders>
              <w:top w:val="single" w:sz="8" w:space="0" w:color="6D6D6D"/>
              <w:left w:val="single" w:sz="8" w:space="0" w:color="6D6D6D"/>
              <w:right w:val="single" w:sz="8" w:space="0" w:color="6D6D6D"/>
            </w:tcBorders>
            <w:shd w:fill="E5E5E5"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190,000</w:t>
            </w:r>
          </w:p>
        </w:tc>
      </w:tr>
      <w:tr>
        <w:trPr/>
        <w:tc>
          <w:tcPr>
            <w:tcW w:w="1634" w:type="dxa"/>
            <w:gridSpan w:val="3"/>
            <w:tcBorders>
              <w:top w:val="single" w:sz="8" w:space="0" w:color="6D6D6D"/>
              <w:left w:val="single" w:sz="8" w:space="0" w:color="6D6D6D"/>
              <w:bottom w:val="single" w:sz="8" w:space="0" w:color="6D6D6D"/>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Fees</w:t>
            </w:r>
          </w:p>
        </w:tc>
        <w:tc>
          <w:tcPr>
            <w:tcW w:w="826" w:type="dxa"/>
            <w:gridSpan w:val="3"/>
            <w:tcBorders>
              <w:top w:val="single" w:sz="8" w:space="0" w:color="6D6D6D"/>
              <w:left w:val="single" w:sz="8" w:space="0" w:color="6D6D6D"/>
              <w:bottom w:val="single" w:sz="8" w:space="0" w:color="6D6D6D"/>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6D6D6D"/>
              <w:left w:val="single" w:sz="8" w:space="0" w:color="6D6D6D"/>
              <w:bottom w:val="single" w:sz="8" w:space="0" w:color="6D6D6D"/>
              <w:right w:val="single" w:sz="8" w:space="0" w:color="6D6D6D"/>
            </w:tcBorders>
            <w:shd w:fill="FFFFFF" w:val="clear"/>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(1)Fees for audit services billed or expected to be billed relate to (a) audit of our annual financial statements and effectiveness of internal controls over financial reporting; (b) reviews of our quarterly financial statements; (c) statutory and regulatory audits; (d) audit of balance sheets and activities of acquired businesses; (e) other technical accounting assistance; and (f) consents, and other services related to SEC matters.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(2)Fees for audit-related services include attest and audit services that are not required, including certain employee benefit plan audit fees.</w:t>
      </w:r>
    </w:p>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(3)Fees for tax services relate to tax compliance and preparation, including the preparation of original and amended tax returns, claims for refunds, and tax payment planning.</w:t>
      </w:r>
    </w:p>
    <w:p>
      <w:pPr>
        <w:pStyle w:val="TextBody"/>
        <w:bidi w:val="0"/>
        <w:spacing w:lineRule="auto" w:line="288" w:before="0" w:after="60"/>
        <w:jc w:val="left"/>
        <w:rPr>
          <w:rFonts w:ascii="Arial;sans-serif" w:hAnsi="Arial;sans-serif"/>
          <w:b/>
          <w:color w:val="000000"/>
          <w:sz w:val="22"/>
        </w:rPr>
      </w:pPr>
      <w:bookmarkStart w:id="243" w:name="iee5a0a9442a74ce9bf49b85a78152801_5537"/>
      <w:bookmarkEnd w:id="243"/>
      <w:r>
        <w:rPr>
          <w:rFonts w:ascii="Arial;sans-serif" w:hAnsi="Arial;sans-serif"/>
          <w:b/>
          <w:color w:val="000000"/>
          <w:sz w:val="22"/>
        </w:rPr>
        <w:t>PRE-APPROVAL BY AUDIT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Audit Committee has adopted a policy that requires all audit and non-audit services performed by Deloitte to be pre-approved. The Audit Committee annually approves the fees and expenses for audit services performed by Deloitte, as well as for any regularly recurring non-audit services of the type covered by our annual engagement of Deloitte. In addition, our pre-approval policy requires pre-approval by the Chair of the Audit Committee of fees and expenses for other non-audit services that may arise during the year. The policy requires the Chair to report any non-audit services that the Chair has pre-approved to the Audit Committee at each regularly scheduled meeting of the Audit Committee. In no event may Deloitte perform any of the following services for us: (1) bookkeeping or other services related to our accounting records or financial statements; (2) financial information systems design and implementation; (3) appraisal or valuation services, fairness opinions, or contribution-in-kind reports; (4) actuarial services; (5) internal audit outsourcing services; (6) management functions or human resources services; (7) broker-dealer, investment advisor, or investment banking services; (8) legal services; or (9) expert services. The Audit Committee regularly considers whether specific projects or expenditures could potentially affect Deloitte’s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140"/>
                <wp:effectExtent l="0" t="0" r="0" b="0"/>
                <wp:wrapNone/>
                <wp:docPr id="277"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7" descr=""/>
                                                <pic:cNvPicPr>
                                                  <a:picLocks noChangeAspect="1" noChangeArrowheads="1"/>
                                                </pic:cNvPicPr>
                                              </pic:nvPicPr>
                                              <pic:blipFill>
                                                <a:blip r:embed="rId220"/>
                                                <a:stretch>
                                                  <a:fillRect/>
                                                </a:stretch>
                                              </pic:blipFill>
                                              <pic:spPr bwMode="auto">
                                                <a:xfrm>
                                                  <a:off x="0" y="0"/>
                                                  <a:ext cx="447675" cy="161925"/>
                                                </a:xfrm>
                                                <a:prstGeom prst="rect">
                                                  <a:avLst/>
                                                </a:prstGeom>
                                              </pic:spPr>
                                            </pic:pic>
                                          </a:graphicData>
                                        </a:graphic>
                                      </wp:inline>
                                    </w:drawing>
                                  </w:r>
                                  <w:bookmarkStart w:id="244" w:name="i-167"/>
                                  <w:bookmarkEnd w:id="244"/>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67" descr=""/>
                                          <pic:cNvPicPr>
                                            <a:picLocks noChangeAspect="1" noChangeArrowheads="1"/>
                                          </pic:cNvPicPr>
                                        </pic:nvPicPr>
                                        <pic:blipFill>
                                          <a:blip r:embed="rId221"/>
                                          <a:stretch>
                                            <a:fillRect/>
                                          </a:stretch>
                                        </pic:blipFill>
                                        <pic:spPr bwMode="auto">
                                          <a:xfrm>
                                            <a:off x="0" y="0"/>
                                            <a:ext cx="447675" cy="161925"/>
                                          </a:xfrm>
                                          <a:prstGeom prst="rect">
                                            <a:avLst/>
                                          </a:prstGeom>
                                        </pic:spPr>
                                      </pic:pic>
                                    </a:graphicData>
                                  </a:graphic>
                                </wp:inline>
                              </w:drawing>
                            </w:r>
                            <w:bookmarkStart w:id="245" w:name="i-167"/>
                            <w:bookmarkEnd w:id="245"/>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3: RATIFICATION OF APPOINTMENT OF INDEPENDENT REGISTERED PUBLIC ACCOUNTING FIRM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Deloitte has been our independent registered public accounting firm since 2002. The Audit Committee has engaged Deloitte to perform reviews, in accordance with the Standards of the Public Company Accounting Oversight Board, of our financial statements to be filed on Form 10-Q in 2026. Consistent with past practice, on December 12, 2025, the Audit Committee approved the engagement of Deloitte to perform the audit of the financial statements and internal controls over financial reporting included in SPX’s Annual Report on Form 10-K for the fiscal year ending December 31, 2026. Representatives of Deloitte will be present at the Annual Meeting and will have the opportunity to make a statement if they so desire and to respond to appropriate questions. </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Although we are not required to do so, we believe that it is appropriate for us to request stockholder ratification of the appointment of Deloitte as our independent registered public accounting firm. If stockholders do not ratify the appointment, the Audit Committee will investigate the reasons for the stockholders’ rejection and reconsider the appointment.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4D89"/>
              <w:left w:val="single" w:sz="8" w:space="0" w:color="0D4D89"/>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op w:val="single" w:sz="8" w:space="0" w:color="0D4D8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D4D89"/>
              <w:right w:val="single" w:sz="8" w:space="0" w:color="0D4D8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D4D8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8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68" descr=""/>
                          <pic:cNvPicPr>
                            <a:picLocks noChangeAspect="1" noChangeArrowheads="1"/>
                          </pic:cNvPicPr>
                        </pic:nvPicPr>
                        <pic:blipFill>
                          <a:blip r:embed="rId222"/>
                          <a:stretch>
                            <a:fillRect/>
                          </a:stretch>
                        </pic:blipFill>
                        <pic:spPr bwMode="auto">
                          <a:xfrm>
                            <a:off x="0" y="0"/>
                            <a:ext cx="542925" cy="542925"/>
                          </a:xfrm>
                          <a:prstGeom prst="rect">
                            <a:avLst/>
                          </a:prstGeom>
                        </pic:spPr>
                      </pic:pic>
                    </a:graphicData>
                  </a:graphic>
                </wp:inline>
              </w:drawing>
            </w:r>
            <w:bookmarkStart w:id="246" w:name="i-168"/>
            <w:bookmarkEnd w:id="246"/>
          </w:p>
        </w:tc>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RATIFICATION OF THE APPOINTMENT OF DELOITTE &amp; TOUCHE LLP AS OUR INDEPENDENT REGISTERED PUBLIC ACCOUNTING FIRM FOR 2026.</w:t>
            </w:r>
          </w:p>
        </w:tc>
        <w:tc>
          <w:tcPr>
            <w:tcW w:w="373" w:type="dxa"/>
            <w:gridSpan w:val="3"/>
            <w:tcBorders>
              <w:right w:val="single" w:sz="8" w:space="0" w:color="0D4D8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D4D89"/>
              <w:bottom w:val="single" w:sz="8" w:space="0" w:color="0D4D89"/>
            </w:tcBorders>
            <w:tcMar>
              <w:top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bottom w:val="single" w:sz="8" w:space="0" w:color="0D4D8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D4D89"/>
              <w:right w:val="single" w:sz="8" w:space="0" w:color="0D4D89"/>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140"/>
                <wp:effectExtent l="0" t="0" r="0" b="0"/>
                <wp:wrapNone/>
                <wp:docPr id="281"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69" descr=""/>
                                                <pic:cNvPicPr>
                                                  <a:picLocks noChangeAspect="1" noChangeArrowheads="1"/>
                                                </pic:cNvPicPr>
                                              </pic:nvPicPr>
                                              <pic:blipFill>
                                                <a:blip r:embed="rId223"/>
                                                <a:stretch>
                                                  <a:fillRect/>
                                                </a:stretch>
                                              </pic:blipFill>
                                              <pic:spPr bwMode="auto">
                                                <a:xfrm>
                                                  <a:off x="0" y="0"/>
                                                  <a:ext cx="447675" cy="161925"/>
                                                </a:xfrm>
                                                <a:prstGeom prst="rect">
                                                  <a:avLst/>
                                                </a:prstGeom>
                                              </pic:spPr>
                                            </pic:pic>
                                          </a:graphicData>
                                        </a:graphic>
                                      </wp:inline>
                                    </w:drawing>
                                  </w:r>
                                  <w:bookmarkStart w:id="247" w:name="i-169"/>
                                  <w:bookmarkEnd w:id="247"/>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69" descr=""/>
                                          <pic:cNvPicPr>
                                            <a:picLocks noChangeAspect="1" noChangeArrowheads="1"/>
                                          </pic:cNvPicPr>
                                        </pic:nvPicPr>
                                        <pic:blipFill>
                                          <a:blip r:embed="rId224"/>
                                          <a:stretch>
                                            <a:fillRect/>
                                          </a:stretch>
                                        </pic:blipFill>
                                        <pic:spPr bwMode="auto">
                                          <a:xfrm>
                                            <a:off x="0" y="0"/>
                                            <a:ext cx="447675" cy="161925"/>
                                          </a:xfrm>
                                          <a:prstGeom prst="rect">
                                            <a:avLst/>
                                          </a:prstGeom>
                                        </pic:spPr>
                                      </pic:pic>
                                    </a:graphicData>
                                  </a:graphic>
                                </wp:inline>
                              </w:drawing>
                            </w:r>
                            <w:bookmarkStart w:id="248" w:name="i-169"/>
                            <w:bookmarkEnd w:id="248"/>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QUESTIONS AND ANSWERS</w:t>
      </w:r>
    </w:p>
    <w:p>
      <w:pPr>
        <w:pStyle w:val="TextBody"/>
        <w:bidi w:val="0"/>
        <w:spacing w:lineRule="auto" w:line="288" w:before="0" w:after="0"/>
        <w:jc w:val="left"/>
        <w:rPr>
          <w:rFonts w:ascii="Arial;sans-serif" w:hAnsi="Arial;sans-serif"/>
          <w:b w:val="false"/>
          <w:color w:val="000000"/>
          <w:sz w:val="32"/>
        </w:rPr>
      </w:pPr>
      <w:bookmarkStart w:id="249" w:name="i321ab2ec78824caba5ce7a763437a194_16252"/>
      <w:bookmarkEnd w:id="249"/>
      <w:r>
        <w:rPr>
          <w:rFonts w:ascii="Arial;sans-serif" w:hAnsi="Arial;sans-serif"/>
          <w:b w:val="false"/>
          <w:color w:val="000000"/>
          <w:sz w:val="32"/>
        </w:rPr>
        <w:t>Proxy Materials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Why am I receiving these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mailing or making these materials available to you because we are soliciting your proxy to vote your shares in connection with our Annual Meeting, scheduled to take place on May 12, 2026, or at any adjournments or postponements of this meeting. We are first mailing or making available to stockholders this Proxy Statement, our Annual Report to Stockholders for the year ended December 31, 2025, and related materials on or about March 31, 2026.</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 xml:space="preserve">Why did I receive a one-page notice of internet availability of proxy materials rather than a full set of proxy materials?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 rules allow companies to provide stockholders access to Proxy Materials over the internet rather than mailing the materials to stockholders. Accordingly, to conserve natural resources and reduce costs, we are sending many of our stockholders a Notice of Internet Availability of Proxy Materials. The Notice provides instructions for accessing the Proxy Materials on the website referred to in the Notice or for requesting printed copies of the Proxy Materials. The Notice also provides instructions for requesting the delivery of the Proxy Materials for future Annual Meetings in printed form.</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Are the proxy materials available electronically?</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Our Proxy Statement and our 2025 Annual Report to Stockholders are available on our website (www.spx.com) under the heading “Investor Relations—Financial Information—Annual Reports.” Additionally, and in accordance with SEC rules, you may access our Proxy Statement at www.envisionreports.com/SPXC (for stockholders of record) or www.edocumentview.com/SPXC (for all other stockholders), which do not have “cookies” that identify visitors to the sites.</w:t>
      </w:r>
    </w:p>
    <w:p>
      <w:pPr>
        <w:pStyle w:val="TextBody"/>
        <w:bidi w:val="0"/>
        <w:spacing w:lineRule="auto" w:line="288" w:before="0" w:after="0"/>
        <w:jc w:val="both"/>
        <w:rPr>
          <w:rFonts w:ascii="Arial;sans-serif" w:hAnsi="Arial;sans-serif"/>
          <w:b w:val="false"/>
          <w:color w:val="000000"/>
          <w:sz w:val="32"/>
        </w:rPr>
      </w:pPr>
      <w:bookmarkStart w:id="250" w:name="i321ab2ec78824caba5ce7a763437a194_16253"/>
      <w:bookmarkEnd w:id="250"/>
      <w:r>
        <w:rPr>
          <w:rFonts w:ascii="Arial;sans-serif" w:hAnsi="Arial;sans-serif"/>
          <w:b w:val="false"/>
          <w:color w:val="000000"/>
          <w:sz w:val="32"/>
        </w:rPr>
        <w:t>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What is the purpose of this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is the Annual Meeting of the Company’s stockholders. At the meeting, we will be voting on:</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election of the three nominees named in this Proxy Statement to serve as directors until our 2027 Annual Meeting;</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our named executive officers’ compensation, on a non-binding advisory basis;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ratification of our Audit Committee’s appointment of our independent registered public accounting firm for 2026; and</w:t>
      </w:r>
    </w:p>
    <w:p>
      <w:pPr>
        <w:pStyle w:val="TextBody"/>
        <w:bidi w:val="0"/>
        <w:spacing w:lineRule="auto" w:line="288" w:before="0" w:after="240"/>
        <w:ind w:left="0" w:right="0" w:hanging="216"/>
        <w:jc w:val="both"/>
        <w:rPr/>
      </w:pPr>
      <w:r>
        <w:rPr>
          <w:color w:val="000000"/>
        </w:rPr>
        <w:t>•</w:t>
      </w:r>
      <w:r>
        <w:rPr>
          <w:rFonts w:ascii="Arial;sans-serif" w:hAnsi="Arial;sans-serif"/>
          <w:b w:val="false"/>
          <w:color w:val="000000"/>
          <w:sz w:val="18"/>
        </w:rPr>
        <w:t>Any other business properly brought before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does the Board recommend that I vote?</w:t>
      </w:r>
    </w:p>
    <w:tbl>
      <w:tblPr>
        <w:tblW w:w="10205" w:type="dxa"/>
        <w:jc w:val="left"/>
        <w:tblInd w:w="0" w:type="dxa"/>
        <w:tblLayout w:type="fixed"/>
        <w:tblCellMar>
          <w:top w:w="28" w:type="dxa"/>
          <w:left w:w="28" w:type="dxa"/>
          <w:bottom w:w="28" w:type="dxa"/>
          <w:right w:w="28" w:type="dxa"/>
        </w:tblCellMar>
      </w:tblPr>
      <w:tblGrid>
        <w:gridCol w:w="374"/>
        <w:gridCol w:w="328"/>
        <w:gridCol w:w="331"/>
        <w:gridCol w:w="2706"/>
        <w:gridCol w:w="2674"/>
        <w:gridCol w:w="3792"/>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Proposal 1:</w:t>
            </w:r>
          </w:p>
        </w:tc>
        <w:tc>
          <w:tcPr>
            <w:tcW w:w="917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the election of each of Mr. Puckett, Ms. Sethna, and Ms. Utley.</w:t>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Proposal 2:</w:t>
            </w:r>
          </w:p>
        </w:tc>
        <w:tc>
          <w:tcPr>
            <w:tcW w:w="917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the approval of our named executive officers’ compensation.</w:t>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Proposal 3:</w:t>
            </w:r>
          </w:p>
        </w:tc>
        <w:tc>
          <w:tcPr>
            <w:tcW w:w="917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the ratification of our Audit Committee’s appointment of our independent registered public accounting firm for 2026.</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can I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Meeting will be a completely virtual meeting of stockholders, which will be conducted exclusively in a virtual format via a live webcast. You are entitled to participate in the Annual Meeting only if you were a stockholder of the Company as of the close of business on March 16, 2026, or if you hold a valid proxy for the Annual Meeting. No physical meeting will be held.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will be able to attend the Annual Meeting online and submit your questions during the meeting by visiting meetnow.global/MHVAZUD. You also will be able to vote your shares online by attending the Annual Meeting virtually.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participate in the Annual Meeting, you will need to review the information included on your Notice, or proxy card.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140"/>
                <wp:effectExtent l="0" t="0" r="0" b="0"/>
                <wp:wrapNone/>
                <wp:docPr id="284"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0" descr=""/>
                                                <pic:cNvPicPr>
                                                  <a:picLocks noChangeAspect="1" noChangeArrowheads="1"/>
                                                </pic:cNvPicPr>
                                              </pic:nvPicPr>
                                              <pic:blipFill>
                                                <a:blip r:embed="rId225"/>
                                                <a:stretch>
                                                  <a:fillRect/>
                                                </a:stretch>
                                              </pic:blipFill>
                                              <pic:spPr bwMode="auto">
                                                <a:xfrm>
                                                  <a:off x="0" y="0"/>
                                                  <a:ext cx="447675" cy="161925"/>
                                                </a:xfrm>
                                                <a:prstGeom prst="rect">
                                                  <a:avLst/>
                                                </a:prstGeom>
                                              </pic:spPr>
                                            </pic:pic>
                                          </a:graphicData>
                                        </a:graphic>
                                      </wp:inline>
                                    </w:drawing>
                                  </w:r>
                                  <w:bookmarkStart w:id="251" w:name="i-170"/>
                                  <w:bookmarkEnd w:id="25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0" descr=""/>
                                          <pic:cNvPicPr>
                                            <a:picLocks noChangeAspect="1" noChangeArrowheads="1"/>
                                          </pic:cNvPicPr>
                                        </pic:nvPicPr>
                                        <pic:blipFill>
                                          <a:blip r:embed="rId226"/>
                                          <a:stretch>
                                            <a:fillRect/>
                                          </a:stretch>
                                        </pic:blipFill>
                                        <pic:spPr bwMode="auto">
                                          <a:xfrm>
                                            <a:off x="0" y="0"/>
                                            <a:ext cx="447675" cy="161925"/>
                                          </a:xfrm>
                                          <a:prstGeom prst="rect">
                                            <a:avLst/>
                                          </a:prstGeom>
                                        </pic:spPr>
                                      </pic:pic>
                                    </a:graphicData>
                                  </a:graphic>
                                </wp:inline>
                              </w:drawing>
                            </w:r>
                            <w:bookmarkStart w:id="252" w:name="i-170"/>
                            <w:bookmarkEnd w:id="25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hold your shares through an intermediary, such as a bank or broker, you must register in advance using the instructions below.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online meeting will begin promptly at 8.00 a.m. (Eastern Time). We encourage you to access the meeting prior to the start time leaving ample time for the check in. Please follow the registration instructions as outlined in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recording of the Annual Meeting is allowed, including audio and video recording.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register to attend the Annual Meeting virtually?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are a registered stockholder (i.e., you hold your shares through our transfer agent, Computershare), you do not need to register to attend the Annual Meeting virtually. Please follow the instructions on the Notice of Internet Availability of Proxy Materials or proxy card that you received.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hold your shares through an intermediary, such as a bank or broker, you must register in advance to attend the Annual Meeting virtually. To register to attend the Annual Meeting, you must submit proof of your proxy power (legal proxy) reflecting your SPX Technologies, Inc. holdings along with your name and email address to Computershare. Requests for registration must be labeled as “Legal Proxy” and be received no later than 5:00 p.m. (Eastern Time) on May 8, 2026. You will receive a confirmation of your registration by email after we receive your registration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Requests for registration should be directed to us at the following:</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By email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Forward the email from your broker, or attach an image of your legal proxy, to legalproxy@computershare.com </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By mail</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Computershare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SPX Technologies, Inc. Legal Proxy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P.O. Box 43001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Providence, RI 02940-3001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Upon receipt of your confirmation of registration to participate in the meeting from Computershare go to meetnow.global/MHVAZUD and enter your control number to log into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vote or ask a question during the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When you log onto the meeting website (meetnow.global/MHVAZUD) you will see Vote and Q&amp;A icons to vote and ask questions during the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endeavor to answer as many questions submitted by stockholders as time permits. We reserve the right to edit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if I have trouble accessing the Annual Meeting virtually?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1-888-724-2416.</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In the event of technical difficulties with the Annual Meeting, we expect that an announcement will be made on meetnow.global/MHVAZUD. If necessary, the announcement will provide updated information regarding the date, time, and location of the Annual Meeting. Any updated information regarding the Annual Meeting will also be posted on our website at www.spx.com.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140"/>
                <wp:effectExtent l="0" t="0" r="0" b="0"/>
                <wp:wrapNone/>
                <wp:docPr id="287"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71" descr=""/>
                                                <pic:cNvPicPr>
                                                  <a:picLocks noChangeAspect="1" noChangeArrowheads="1"/>
                                                </pic:cNvPicPr>
                                              </pic:nvPicPr>
                                              <pic:blipFill>
                                                <a:blip r:embed="rId227"/>
                                                <a:stretch>
                                                  <a:fillRect/>
                                                </a:stretch>
                                              </pic:blipFill>
                                              <pic:spPr bwMode="auto">
                                                <a:xfrm>
                                                  <a:off x="0" y="0"/>
                                                  <a:ext cx="447675" cy="161925"/>
                                                </a:xfrm>
                                                <a:prstGeom prst="rect">
                                                  <a:avLst/>
                                                </a:prstGeom>
                                              </pic:spPr>
                                            </pic:pic>
                                          </a:graphicData>
                                        </a:graphic>
                                      </wp:inline>
                                    </w:drawing>
                                  </w:r>
                                  <w:bookmarkStart w:id="253" w:name="i-171"/>
                                  <w:bookmarkEnd w:id="253"/>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71" descr=""/>
                                          <pic:cNvPicPr>
                                            <a:picLocks noChangeAspect="1" noChangeArrowheads="1"/>
                                          </pic:cNvPicPr>
                                        </pic:nvPicPr>
                                        <pic:blipFill>
                                          <a:blip r:embed="rId228"/>
                                          <a:stretch>
                                            <a:fillRect/>
                                          </a:stretch>
                                        </pic:blipFill>
                                        <pic:spPr bwMode="auto">
                                          <a:xfrm>
                                            <a:off x="0" y="0"/>
                                            <a:ext cx="447675" cy="161925"/>
                                          </a:xfrm>
                                          <a:prstGeom prst="rect">
                                            <a:avLst/>
                                          </a:prstGeom>
                                        </pic:spPr>
                                      </pic:pic>
                                    </a:graphicData>
                                  </a:graphic>
                                </wp:inline>
                              </w:drawing>
                            </w:r>
                            <w:bookmarkStart w:id="254" w:name="i-171"/>
                            <w:bookmarkEnd w:id="254"/>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0"/>
        <w:jc w:val="both"/>
        <w:rPr>
          <w:rFonts w:ascii="Arial;sans-serif" w:hAnsi="Arial;sans-serif"/>
          <w:b w:val="false"/>
          <w:color w:val="000000"/>
          <w:sz w:val="32"/>
        </w:rPr>
      </w:pPr>
      <w:bookmarkStart w:id="255" w:name="i321ab2ec78824caba5ce7a763437a194_16250"/>
      <w:bookmarkEnd w:id="255"/>
      <w:r>
        <w:rPr>
          <w:rFonts w:ascii="Arial;sans-serif" w:hAnsi="Arial;sans-serif"/>
          <w:b w:val="false"/>
          <w:color w:val="000000"/>
          <w:sz w:val="32"/>
        </w:rPr>
        <w:t>Voting and Quorum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is a proxy?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of Directors is asking for your proxy, which is a legal designation of another person to vote the shares you own. We have designated two officers of the Company, Eugene J. Lowe, III and Mark A. Carano, to vote your shares at the meeting in the way you instruct and, with regard to any other business that may properly come before the meeting, as they think best.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Who is entitled to vote?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Stockholders at the close of business on March 16, 2026 (the record date), are entitled to vote. On that date there were 50,176,770 shares of SPX common stock outstanding.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many votes do I have?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share of SPX common stock that you own entitles you to one vote.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vote if I do not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your shares are held in your name as a stockholder of record, then you may vote your shares before the meeting over the internet by following the instructions on the Notice of Internet Availability of Proxy Materials or proxy card you received for that account.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your shares are held through a broker, bank, trustee, or other holder of record, then you may vote your shares before the meeting over the internet by following the instructions on the Notice of Internet Availability of Proxy Materials or proxy card you received or, if you received a voting instruction form from your brokerage firm, bank, trustee, or other similar entity by mail, then by completing, signing, and returning the form you received. You should check your voting instruction form to see if telephone or internet voting is available to you.</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received more than one Notice of Internet Availability of Proxy Materials or proxy card, then this means you hold shares of our common stock in more than one account. You should complete, sign, date, and return each proxy card or vote all shares over the internet or by telephone for each of your accounts. If you vote over the internet or by telephone, then you should not mail back the related proxy card.</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Can I vote during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Yes. If you were a stockholder on the record date, then you can vote your shares of common stock during the Annual Meeting. If your shares are held through a broker, bank, trustee, or other holder of record, then you may vote your shares only if you have a legal proxy from the entity that holds your shares giving you the right to vote the shares. A legal proxy is a written document from your brokerage firm, bank, trustee, or other holder of record authorizing you to vote the shares it holds for you in its name. Please refer to “How do I register to attend the Annual Meeting virtually?” section above for further instructions.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Even if you currently plan to attend the meeting, we recommend that you also vote by proxy as described above so that your vote will be counted if you later decide not to attend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May I revoke my proxy?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may revoke your proxy in one of four ways at any time before it is exercised:</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Notify our Corporate Secretary in writing before the Annual Meeting that you are revoking your proxy;</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Submit another proxy with a later date;</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Vote by telephone or internet after you have given your proxy; or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Vote at the Annual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constitutes a quorum?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presence, directly or by proxy, of the holders of one-third of the total number of shares of SPX stock issued and outstanding and entitled to vote at the Annual Meeting constitutes a quorum. You will be considered part of the quorum if you return a signed and dated proxy card, if you vote by telephone or internet, or if you attend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140"/>
                <wp:effectExtent l="0" t="0" r="0" b="0"/>
                <wp:wrapNone/>
                <wp:docPr id="290"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72" descr=""/>
                                                <pic:cNvPicPr>
                                                  <a:picLocks noChangeAspect="1" noChangeArrowheads="1"/>
                                                </pic:cNvPicPr>
                                              </pic:nvPicPr>
                                              <pic:blipFill>
                                                <a:blip r:embed="rId229"/>
                                                <a:stretch>
                                                  <a:fillRect/>
                                                </a:stretch>
                                              </pic:blipFill>
                                              <pic:spPr bwMode="auto">
                                                <a:xfrm>
                                                  <a:off x="0" y="0"/>
                                                  <a:ext cx="447675" cy="161925"/>
                                                </a:xfrm>
                                                <a:prstGeom prst="rect">
                                                  <a:avLst/>
                                                </a:prstGeom>
                                              </pic:spPr>
                                            </pic:pic>
                                          </a:graphicData>
                                        </a:graphic>
                                      </wp:inline>
                                    </w:drawing>
                                  </w:r>
                                  <w:bookmarkStart w:id="256" w:name="i-172"/>
                                  <w:bookmarkEnd w:id="256"/>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72" descr=""/>
                                          <pic:cNvPicPr>
                                            <a:picLocks noChangeAspect="1" noChangeArrowheads="1"/>
                                          </pic:cNvPicPr>
                                        </pic:nvPicPr>
                                        <pic:blipFill>
                                          <a:blip r:embed="rId230"/>
                                          <a:stretch>
                                            <a:fillRect/>
                                          </a:stretch>
                                        </pic:blipFill>
                                        <pic:spPr bwMode="auto">
                                          <a:xfrm>
                                            <a:off x="0" y="0"/>
                                            <a:ext cx="447675" cy="161925"/>
                                          </a:xfrm>
                                          <a:prstGeom prst="rect">
                                            <a:avLst/>
                                          </a:prstGeom>
                                        </pic:spPr>
                                      </pic:pic>
                                    </a:graphicData>
                                  </a:graphic>
                                </wp:inline>
                              </w:drawing>
                            </w:r>
                            <w:bookmarkStart w:id="257" w:name="i-172"/>
                            <w:bookmarkEnd w:id="25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Abstentions are counted as “shares present” at the Annual Meeting for purposes of determining whether a quorum exists. Proxies submitted by brokers, banks, trustees, or other holders of record holding shares for you as a beneficial owner that do not indicate a vote for some of or all of the proposals because that holder does not have voting authority and has not received voting instructions from you (so-called “broker non-votes”) are also considered “shares present” for purposes of determining whether a quorum exists. Brokers are permitted to vote your shares on the ratification of the appointment of our independent public accountants, even if they do not receive voting instructions from you.</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vote is required to approve each proposal?</w:t>
      </w:r>
    </w:p>
    <w:tbl>
      <w:tblPr>
        <w:tblW w:w="10205" w:type="dxa"/>
        <w:jc w:val="left"/>
        <w:tblInd w:w="0" w:type="dxa"/>
        <w:tblLayout w:type="fixed"/>
        <w:tblCellMar>
          <w:top w:w="28" w:type="dxa"/>
          <w:left w:w="28" w:type="dxa"/>
          <w:bottom w:w="28" w:type="dxa"/>
          <w:right w:w="28" w:type="dxa"/>
        </w:tblCellMar>
      </w:tblPr>
      <w:tblGrid>
        <w:gridCol w:w="1755"/>
        <w:gridCol w:w="1490"/>
        <w:gridCol w:w="1495"/>
        <w:gridCol w:w="1325"/>
        <w:gridCol w:w="1272"/>
        <w:gridCol w:w="1278"/>
        <w:gridCol w:w="463"/>
        <w:gridCol w:w="463"/>
        <w:gridCol w:w="664"/>
      </w:tblGrid>
      <w:tr>
        <w:trPr/>
        <w:tc>
          <w:tcPr>
            <w:tcW w:w="175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Proposal</w:t>
            </w:r>
          </w:p>
        </w:tc>
        <w:tc>
          <w:tcPr>
            <w:tcW w:w="387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Vote Required</w:t>
            </w:r>
          </w:p>
        </w:tc>
        <w:tc>
          <w:tcPr>
            <w:tcW w:w="159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Broker Discretionary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Voting Allowed</w:t>
            </w:r>
          </w:p>
        </w:tc>
      </w:tr>
      <w:tr>
        <w:trPr/>
        <w:tc>
          <w:tcPr>
            <w:tcW w:w="474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Election of Directors</w:t>
            </w:r>
          </w:p>
        </w:tc>
        <w:tc>
          <w:tcPr>
            <w:tcW w:w="387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votes cast</w:t>
            </w:r>
          </w:p>
        </w:tc>
        <w:tc>
          <w:tcPr>
            <w:tcW w:w="159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4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Named Executive Officers’ Compensation, on a Non-binding Advisory Basis</w:t>
            </w:r>
          </w:p>
        </w:tc>
        <w:tc>
          <w:tcPr>
            <w:tcW w:w="387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votes cast</w:t>
            </w:r>
          </w:p>
        </w:tc>
        <w:tc>
          <w:tcPr>
            <w:tcW w:w="15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40"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Appointment of Independent Registered Public Accounting Firm</w:t>
            </w:r>
          </w:p>
        </w:tc>
        <w:tc>
          <w:tcPr>
            <w:tcW w:w="387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1590"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Yes</w:t>
            </w:r>
          </w:p>
        </w:tc>
      </w:tr>
      <w:tr>
        <w:trPr/>
        <w:tc>
          <w:tcPr>
            <w:tcW w:w="474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Proposals</w:t>
            </w:r>
          </w:p>
        </w:tc>
        <w:tc>
          <w:tcPr>
            <w:tcW w:w="387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159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 majority of votes cast means that the number of shares voted for a director or proposal must exceed the number of shares voted against that director or proposal.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of the record date for the Annual Meeting, the only class of our shares outstanding that are entitled to vote in the election of directors is SPX common stock.</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is the impact of abstentions or broker non-votes?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An abstention is not considered as a share voted and will not impact the election of directors or the non-binding advisory vote to approve our named executive officers’ compensation. Because an abstention is considered a share present or represented by proxy and entitled to vote, as one less vote for approval it will have the effect of a vote against the ratification of our independent public accountants and any other proposals that may be brought before the Annual Meeting.</w:t>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A “broker non-vote” occurs when a broker, trustee, bank, or other nominee that holds shares on your behalf does not receive instructions from you on how to vote such shares and does not otherwise have discretion to vote because the matter is not considered routine. A broker non-vote is not considered as a share voted or entitled to vote and will not impact the vote on the election of directors, the non-binding advisory vote to approve our named executive officers’ compensation and any other proposals that may be brought before the Annual Meeting.</w:t>
      </w: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276" w:before="0" w:after="0"/>
              <w:jc w:val="both"/>
              <w:rPr>
                <w:rFonts w:ascii="Arial;sans-serif" w:hAnsi="Arial;sans-serif"/>
                <w:b/>
                <w:color w:val="000000"/>
                <w:sz w:val="20"/>
              </w:rPr>
            </w:pPr>
            <w:r>
              <w:rPr>
                <w:rFonts w:ascii="Arial;sans-serif" w:hAnsi="Arial;sans-serif"/>
                <w:b/>
                <w:color w:val="000000"/>
                <w:sz w:val="20"/>
              </w:rPr>
              <w:t>The NYSE does not consider the election of directors or matters relating to compensation to be routine. Unless the broker has received instructions from you, any broker holding shares for you will not have the ability to cast votes with respect to the election of directors or the approval of our named executive officers’ compensation. It is important, therefore, that you provide instructions to your broker if your shares are held by a broker so that your vote with respect to these matters is counted.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140"/>
                <wp:effectExtent l="0" t="0" r="0" b="0"/>
                <wp:wrapNone/>
                <wp:docPr id="293"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73" descr=""/>
                                                <pic:cNvPicPr>
                                                  <a:picLocks noChangeAspect="1" noChangeArrowheads="1"/>
                                                </pic:cNvPicPr>
                                              </pic:nvPicPr>
                                              <pic:blipFill>
                                                <a:blip r:embed="rId231"/>
                                                <a:stretch>
                                                  <a:fillRect/>
                                                </a:stretch>
                                              </pic:blipFill>
                                              <pic:spPr bwMode="auto">
                                                <a:xfrm>
                                                  <a:off x="0" y="0"/>
                                                  <a:ext cx="447675" cy="161925"/>
                                                </a:xfrm>
                                                <a:prstGeom prst="rect">
                                                  <a:avLst/>
                                                </a:prstGeom>
                                              </pic:spPr>
                                            </pic:pic>
                                          </a:graphicData>
                                        </a:graphic>
                                      </wp:inline>
                                    </w:drawing>
                                  </w:r>
                                  <w:bookmarkStart w:id="258" w:name="i-173"/>
                                  <w:bookmarkEnd w:id="258"/>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73" descr=""/>
                                          <pic:cNvPicPr>
                                            <a:picLocks noChangeAspect="1" noChangeArrowheads="1"/>
                                          </pic:cNvPicPr>
                                        </pic:nvPicPr>
                                        <pic:blipFill>
                                          <a:blip r:embed="rId232"/>
                                          <a:stretch>
                                            <a:fillRect/>
                                          </a:stretch>
                                        </pic:blipFill>
                                        <pic:spPr bwMode="auto">
                                          <a:xfrm>
                                            <a:off x="0" y="0"/>
                                            <a:ext cx="447675" cy="161925"/>
                                          </a:xfrm>
                                          <a:prstGeom prst="rect">
                                            <a:avLst/>
                                          </a:prstGeom>
                                        </pic:spPr>
                                      </pic:pic>
                                    </a:graphicData>
                                  </a:graphic>
                                </wp:inline>
                              </w:drawing>
                            </w:r>
                            <w:bookmarkStart w:id="259" w:name="i-173"/>
                            <w:bookmarkEnd w:id="259"/>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How does discretionary voting authority apply?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sign, date, and return your proxy card, then your vote will be cast as you direct. If your proxy card does not indicate how you want to vote, then you give authority to Eugene J. Lowe, III and Mark A. Carano to vote on the items discussed in these proxy materials and any other matter properly brought at the Annual Meeting. In such a case, your vote will be cast: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election of the director nominees;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our named executive officers’ compensation;</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ratification of the appointment of Deloitte &amp; Touche LLP as our independent registered public accounting firm for 2026; and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or AGAINST any other properly raised matters at the discretion of Eugene J. Lowe, III and Mark A. Carano.</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Who pays to prepare, mail, and solicit the proxies?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pay all the costs of preparing, mailing, and soliciting the proxies. We will ask brokers, banks, trustees, and other nominees and fiduciaries to forward the Proxy Materials to the beneficial owners of SPX common stock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 We have retained Georgeson, LLC, a Computershare company, to assist us with inquiries of brokerage houses and other custodians and nominees whether other persons are beneficial owners of SPX common stock. We will supply them with additional copies of the Proxy Materials for distribution to the beneficial owners. We will pay Georgeson, LLC an estimated fee of $2,150 plus reasonable out-of-pocket expenses. We have not retained a proxy solicitor for this Annual Meeting to assist us in soliciting your proxy; however, as proxy returns are counted, we may determine it is necessary to retain a proxy solicitor, in which case we will pay an estimated fee of $12,500 plus reasonable out-of-pocket expenses.</w:t>
      </w:r>
    </w:p>
    <w:p>
      <w:pPr>
        <w:pStyle w:val="TextBody"/>
        <w:bidi w:val="0"/>
        <w:spacing w:lineRule="auto" w:line="288" w:before="0" w:after="0"/>
        <w:jc w:val="left"/>
        <w:rPr>
          <w:rFonts w:ascii="Arial;sans-serif" w:hAnsi="Arial;sans-serif"/>
          <w:b w:val="false"/>
          <w:color w:val="000000"/>
          <w:sz w:val="32"/>
        </w:rPr>
      </w:pPr>
      <w:bookmarkStart w:id="260" w:name="i321ab2ec78824caba5ce7a763437a194_16251"/>
      <w:bookmarkEnd w:id="260"/>
      <w:r>
        <w:rPr>
          <w:rFonts w:ascii="Arial;sans-serif" w:hAnsi="Arial;sans-serif"/>
          <w:b w:val="false"/>
          <w:color w:val="000000"/>
          <w:sz w:val="32"/>
        </w:rPr>
        <w:t>Communications and Stockholder Proposals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How do I submit a stockholder proposal?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bring a proposal other than the nomination of a director before an annual meeting, your notice of proposal must comply with the requirements of our By-laws and include any other information regarding you or any beneficial owner that would be required under the SEC’s proxy rules and regulations.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a proposal to be included in our Proxy Statement for the 2027 Annual Meeting, you must submit it no later than December 1, 2026. Your proposal must be in writing and comply with the proxy rules of the SEC. You should send your proposal to our Corporate Secretary at our address on the cover of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also may submit a proposal that you do not want included in the Proxy Statement, but that you want to raise at the 2027 Annual Meeting. We must receive this type of proposal in writing on or after December 13, 2026, but no later than January 12, 2027.</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submit a director nominee?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wish to submit a nominee for director for the 2027 Annual Meeting, our Corporate Secretary must receive written notice of your intended nomination on or after December 13, 2026, but no later than January 12, 2027. You should send your nomination to our Corporate Secretary at our address on the cover of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a nomination to be properly brought before an annual meeting, your notice of nomination must comply with the requirements of our By-Laws. In addition, any director nominee must provide information we may reasonably request in order for us to determine the eligibility of such nominee to serve as an independent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may also make recommendations for director nominees to the Governance &amp; Sustainability Committee. Director nominations made to the Governance &amp; Sustainability Committee are more fully described in the “Director Nominees and Qualifications” section, beginning on page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140"/>
                <wp:effectExtent l="0" t="0" r="0" b="0"/>
                <wp:wrapNone/>
                <wp:docPr id="296"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74" descr=""/>
                                                <pic:cNvPicPr>
                                                  <a:picLocks noChangeAspect="1" noChangeArrowheads="1"/>
                                                </pic:cNvPicPr>
                                              </pic:nvPicPr>
                                              <pic:blipFill>
                                                <a:blip r:embed="rId233"/>
                                                <a:stretch>
                                                  <a:fillRect/>
                                                </a:stretch>
                                              </pic:blipFill>
                                              <pic:spPr bwMode="auto">
                                                <a:xfrm>
                                                  <a:off x="0" y="0"/>
                                                  <a:ext cx="447675" cy="161925"/>
                                                </a:xfrm>
                                                <a:prstGeom prst="rect">
                                                  <a:avLst/>
                                                </a:prstGeom>
                                              </pic:spPr>
                                            </pic:pic>
                                          </a:graphicData>
                                        </a:graphic>
                                      </wp:inline>
                                    </w:drawing>
                                  </w:r>
                                  <w:bookmarkStart w:id="261" w:name="i-174"/>
                                  <w:bookmarkEnd w:id="261"/>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74" descr=""/>
                                          <pic:cNvPicPr>
                                            <a:picLocks noChangeAspect="1" noChangeArrowheads="1"/>
                                          </pic:cNvPicPr>
                                        </pic:nvPicPr>
                                        <pic:blipFill>
                                          <a:blip r:embed="rId234"/>
                                          <a:stretch>
                                            <a:fillRect/>
                                          </a:stretch>
                                        </pic:blipFill>
                                        <pic:spPr bwMode="auto">
                                          <a:xfrm>
                                            <a:off x="0" y="0"/>
                                            <a:ext cx="447675" cy="161925"/>
                                          </a:xfrm>
                                          <a:prstGeom prst="rect">
                                            <a:avLst/>
                                          </a:prstGeom>
                                        </pic:spPr>
                                      </pic:pic>
                                    </a:graphicData>
                                  </a:graphic>
                                </wp:inline>
                              </w:drawing>
                            </w:r>
                            <w:bookmarkStart w:id="262" w:name="i-174"/>
                            <w:bookmarkEnd w:id="262"/>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APPENDIX A – RECONCILIATION OF GAAP TO NON-GAAP FINANCIAL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accompanying Proxy Statement includes presentations of adjusted revenue, adjusted free cash flow, and adjusted EBITDA for annual incentive purposes, which are not amounts presented in accordance with accounting principles generally accepted in the United States (“GAAP”). These non-GAAP financial measures exclude certain non-cash items and acquisition and integration-related costs, among other items. The operating results of Kranze Technology Solutions, Inc. (“KTS”) and Sigma Heating and Cooling and Omega Heat Pump (“Sigma &amp; Omega”), foreign currency impacts, annual incentive expense, and certain other non-recurring items have been excluded from the annual incentive targets and the results for annual incentive purposes in 2025. This appendix to the Proxy Statement includes reconciliations of these non-GAAP financial measures with the most comparable measures determined in accordance with GAAP and other important information regarding non-GAAP financial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These non-GAAP financial measures do not provide investors with an accurate measure of, and should not be used as a substitute for, the comparable GAAP financial measures. The Company believes the presented non-GAAP financial measures, when read in conjunction with the comparable GAAP financial measures, give investors a useful tool to assess and understand the Company’s overall financial performance, because they exclude items of income or expense that the Company believes are not reflective of its ongoing operating performance, allowing for a better period-to-period comparison of operations of the Company. Additionally, the Company’s management uses these non-GAAP financial measures as measures of the Company’s performance. Certain of these non-GAAP financial measures are applied as the measures of performance evaluated under the Company’s annual short-term incentive plan. The Company acknowledges that there are many items that impact a company’s reported results and the adjustments reflected in these non-GAAP measures are not intended to present all items that may have impacted these results. In addition, these non-GAAP measures are not necessarily comparable to similarly titled measures used by other companies.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adjusted revenue, adjusted EBITDA, and adjusted free cash flow targets for annual incentive compensation purposes are determined at the beginning of the year based on currency exchange rates at such time. As such, the impacts of changes in currency exchange rates during the year are excluded in determining adjusted revenue.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Since the results of KTS and Sigma &amp; Omega exceeded certain financial targets, respectively, their results were excluded from SPX’s targets and results for incentive compensation purposes, in accordance with SPX’s annual short-term incentive plan. </w:t>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Revenue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6" w:type="dxa"/>
        <w:jc w:val="left"/>
        <w:tblInd w:w="0" w:type="dxa"/>
        <w:tblLayout w:type="fixed"/>
        <w:tblCellMar>
          <w:top w:w="28" w:type="dxa"/>
          <w:left w:w="28" w:type="dxa"/>
          <w:bottom w:w="28" w:type="dxa"/>
          <w:right w:w="28" w:type="dxa"/>
        </w:tblCellMar>
      </w:tblPr>
      <w:tblGrid>
        <w:gridCol w:w="2004"/>
        <w:gridCol w:w="1750"/>
        <w:gridCol w:w="1750"/>
        <w:gridCol w:w="640"/>
        <w:gridCol w:w="2307"/>
        <w:gridCol w:w="362"/>
        <w:gridCol w:w="109"/>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13"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SPX TECHNOLOGIES, INC. AND SUBSIDIARIES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NON-GAAP RECONCILIATION - ADJUSTED REVENUE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50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revenues</w:t>
            </w:r>
          </w:p>
        </w:tc>
        <w:tc>
          <w:tcPr>
            <w:tcW w:w="640"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07"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2,265.1 </w:t>
            </w:r>
          </w:p>
        </w:tc>
        <w:tc>
          <w:tcPr>
            <w:tcW w:w="362"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3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3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 currency impacts and aggregate revenues for recent acquisitions</w:t>
            </w:r>
          </w:p>
        </w:tc>
        <w:tc>
          <w:tcPr>
            <w:tcW w:w="294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362"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revenues for annual incentive purposes</w:t>
            </w:r>
          </w:p>
        </w:tc>
        <w:tc>
          <w:tcPr>
            <w:tcW w:w="640" w:type="dxa"/>
            <w:tcBorders>
              <w:top w:val="single" w:sz="8" w:space="0" w:color="000000"/>
              <w:left w:val="single" w:sz="4" w:space="0" w:color="000000"/>
              <w:bottom w:val="double" w:sz="8" w:space="0" w:color="000000"/>
            </w:tcBorders>
            <w:shd w:fill="E5E5E5"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2307"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2,111.0</w:t>
            </w:r>
            <w:r>
              <w:rPr>
                <w:color w:val="000000"/>
              </w:rPr>
              <w:t> </w:t>
            </w:r>
          </w:p>
        </w:tc>
        <w:tc>
          <w:tcPr>
            <w:tcW w:w="362" w:type="dxa"/>
            <w:tcBorders>
              <w:top w:val="single" w:sz="8" w:space="0" w:color="000000"/>
              <w:bottom w:val="double" w:sz="8"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140"/>
                <wp:effectExtent l="0" t="0" r="0" b="0"/>
                <wp:wrapNone/>
                <wp:docPr id="299"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40"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23"/>
                              <w:gridCol w:w="123"/>
                              <w:gridCol w:w="17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75" descr=""/>
                                                <pic:cNvPicPr>
                                                  <a:picLocks noChangeAspect="1" noChangeArrowheads="1"/>
                                                </pic:cNvPicPr>
                                              </pic:nvPicPr>
                                              <pic:blipFill>
                                                <a:blip r:embed="rId235"/>
                                                <a:stretch>
                                                  <a:fillRect/>
                                                </a:stretch>
                                              </pic:blipFill>
                                              <pic:spPr bwMode="auto">
                                                <a:xfrm>
                                                  <a:off x="0" y="0"/>
                                                  <a:ext cx="447675" cy="161925"/>
                                                </a:xfrm>
                                                <a:prstGeom prst="rect">
                                                  <a:avLst/>
                                                </a:prstGeom>
                                              </pic:spPr>
                                            </pic:pic>
                                          </a:graphicData>
                                        </a:graphic>
                                      </wp:inline>
                                    </w:drawing>
                                  </w:r>
                                  <w:bookmarkStart w:id="263" w:name="i-175"/>
                                  <w:bookmarkEnd w:id="263"/>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40"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23"/>
                        <w:gridCol w:w="123"/>
                        <w:gridCol w:w="17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75" descr=""/>
                                          <pic:cNvPicPr>
                                            <a:picLocks noChangeAspect="1" noChangeArrowheads="1"/>
                                          </pic:cNvPicPr>
                                        </pic:nvPicPr>
                                        <pic:blipFill>
                                          <a:blip r:embed="rId236"/>
                                          <a:stretch>
                                            <a:fillRect/>
                                          </a:stretch>
                                        </pic:blipFill>
                                        <pic:spPr bwMode="auto">
                                          <a:xfrm>
                                            <a:off x="0" y="0"/>
                                            <a:ext cx="447675" cy="161925"/>
                                          </a:xfrm>
                                          <a:prstGeom prst="rect">
                                            <a:avLst/>
                                          </a:prstGeom>
                                        </pic:spPr>
                                      </pic:pic>
                                    </a:graphicData>
                                  </a:graphic>
                                </wp:inline>
                              </w:drawing>
                            </w:r>
                            <w:bookmarkStart w:id="264" w:name="i-175"/>
                            <w:bookmarkEnd w:id="264"/>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A-1</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A</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Free Cash Flow</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02" w:type="dxa"/>
        <w:jc w:val="left"/>
        <w:tblInd w:w="0" w:type="dxa"/>
        <w:tblLayout w:type="fixed"/>
        <w:tblCellMar>
          <w:top w:w="28" w:type="dxa"/>
          <w:left w:w="28" w:type="dxa"/>
          <w:bottom w:w="28" w:type="dxa"/>
          <w:right w:w="28" w:type="dxa"/>
        </w:tblCellMar>
      </w:tblPr>
      <w:tblGrid>
        <w:gridCol w:w="1517"/>
        <w:gridCol w:w="1334"/>
        <w:gridCol w:w="1334"/>
        <w:gridCol w:w="817"/>
        <w:gridCol w:w="2381"/>
        <w:gridCol w:w="465"/>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48"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FREE CASH FLOW</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c>
          <w:tcPr>
            <w:tcW w:w="154" w:type="dxa"/>
            <w:tcBorders/>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E5E5E5"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cash flow from continuing operations</w:t>
            </w:r>
          </w:p>
        </w:tc>
        <w:tc>
          <w:tcPr>
            <w:tcW w:w="817"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81"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465"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Capital expenditures</w:t>
            </w:r>
          </w:p>
        </w:tc>
        <w:tc>
          <w:tcPr>
            <w:tcW w:w="31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46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Free cash flow from continuing operations</w:t>
            </w:r>
          </w:p>
        </w:tc>
        <w:tc>
          <w:tcPr>
            <w:tcW w:w="3198" w:type="dxa"/>
            <w:gridSpan w:val="2"/>
            <w:tcBorders>
              <w:top w:val="single" w:sz="8"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243.5 </w:t>
            </w:r>
          </w:p>
        </w:tc>
        <w:tc>
          <w:tcPr>
            <w:tcW w:w="465" w:type="dxa"/>
            <w:tcBorders>
              <w:top w:val="single" w:sz="8"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3663"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 and integration-related payments and other</w:t>
            </w:r>
            <w:r>
              <w:rPr>
                <w:rFonts w:ascii="Arial;sans-serif" w:hAnsi="Arial;sans-serif"/>
                <w:b w:val="false"/>
                <w:color w:val="000000"/>
                <w:sz w:val="10"/>
              </w:rPr>
              <w:t>(1)</w:t>
            </w:r>
          </w:p>
        </w:tc>
        <w:tc>
          <w:tcPr>
            <w:tcW w:w="31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(50.8)</w:t>
            </w:r>
          </w:p>
        </w:tc>
        <w:tc>
          <w:tcPr>
            <w:tcW w:w="465"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free cash flow from continuing operations</w:t>
            </w:r>
          </w:p>
        </w:tc>
        <w:tc>
          <w:tcPr>
            <w:tcW w:w="3198" w:type="dxa"/>
            <w:gridSpan w:val="2"/>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294.3 </w:t>
            </w:r>
          </w:p>
        </w:tc>
        <w:tc>
          <w:tcPr>
            <w:tcW w:w="465" w:type="dxa"/>
            <w:tcBorders>
              <w:top w:val="single" w:sz="8"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E5E5E5"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3663"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Income tax payments</w:t>
            </w:r>
            <w:r>
              <w:rPr>
                <w:rFonts w:ascii="Arial;sans-serif" w:hAnsi="Arial;sans-serif"/>
                <w:b w:val="false"/>
                <w:color w:val="000000"/>
                <w:sz w:val="10"/>
              </w:rPr>
              <w:t>(2)</w:t>
            </w:r>
          </w:p>
        </w:tc>
        <w:tc>
          <w:tcPr>
            <w:tcW w:w="31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(57.3)</w:t>
            </w:r>
          </w:p>
        </w:tc>
        <w:tc>
          <w:tcPr>
            <w:tcW w:w="46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Interest paid, net</w:t>
            </w:r>
            <w:r>
              <w:rPr>
                <w:rFonts w:ascii="Arial;sans-serif" w:hAnsi="Arial;sans-serif"/>
                <w:b w:val="false"/>
                <w:color w:val="000000"/>
                <w:sz w:val="10"/>
              </w:rPr>
              <w:t>(3)</w:t>
            </w:r>
          </w:p>
        </w:tc>
        <w:tc>
          <w:tcPr>
            <w:tcW w:w="3198"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w:t>
            </w:r>
          </w:p>
        </w:tc>
        <w:tc>
          <w:tcPr>
            <w:tcW w:w="465"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net</w:t>
            </w:r>
            <w:r>
              <w:rPr>
                <w:rFonts w:ascii="Arial;sans-serif" w:hAnsi="Arial;sans-serif"/>
                <w:b w:val="false"/>
                <w:color w:val="000000"/>
                <w:sz w:val="10"/>
              </w:rPr>
              <w:t>(4)</w:t>
            </w:r>
          </w:p>
        </w:tc>
        <w:tc>
          <w:tcPr>
            <w:tcW w:w="319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(75.7)</w:t>
            </w:r>
          </w:p>
        </w:tc>
        <w:tc>
          <w:tcPr>
            <w:tcW w:w="46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bottom w:val="single" w:sz="4" w:space="0" w:color="000000"/>
            </w:tcBorders>
            <w:shd w:fill="E5E5E5"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free cash flow for annual incentive purposes</w:t>
            </w:r>
          </w:p>
        </w:tc>
        <w:tc>
          <w:tcPr>
            <w:tcW w:w="817" w:type="dxa"/>
            <w:tcBorders>
              <w:top w:val="single" w:sz="8" w:space="0" w:color="000000"/>
              <w:left w:val="single" w:sz="4" w:space="0" w:color="000000"/>
              <w:bottom w:val="double" w:sz="8" w:space="0" w:color="000000"/>
            </w:tcBorders>
            <w:shd w:fill="E5E5E5"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2381"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469.0</w:t>
            </w:r>
            <w:r>
              <w:rPr>
                <w:color w:val="000000"/>
              </w:rPr>
              <w:t> </w:t>
            </w:r>
          </w:p>
        </w:tc>
        <w:tc>
          <w:tcPr>
            <w:tcW w:w="465" w:type="dxa"/>
            <w:tcBorders>
              <w:top w:val="single" w:sz="8" w:space="0" w:color="000000"/>
              <w:bottom w:val="double" w:sz="8" w:space="0" w:color="000000"/>
              <w:right w:val="single" w:sz="4" w:space="0" w:color="000000"/>
            </w:tcBorders>
            <w:shd w:fill="E5E5E5"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(1)Adjustment represents the removal of the cash impact of (i) funded amounts associated with employee retention agreements assumed in the KTS acquisition of $46.5, (ii) acquisition and integration-related costs of $11.0, (iii) certain discrete income tax benefits that are considered non-recurring of $6.3 and (iv) cash received on the settlement of an interest rate swap of $0.4.</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(2)Net income tax refunds/payments are excluded from adjusted free cash flow targets and results for annual incentive purposes.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(3)Net interest income/payments are excluded from adjusted free cash flow targets and results for annual incentive purposes. </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(4)In addition to the items noted in (1), (2) and (3) above, adjusted free cash flow targets and results for annual incentive purposes exclude the cash flows generated by KTS and Sigma &amp; Omega, legacy liability payments (environmental and pension), and certain capital expenditures on facility expansions not contemplated when the incentive targets were 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9140"/>
                <wp:effectExtent l="0" t="0" r="0" b="0"/>
                <wp:wrapNone/>
                <wp:docPr id="302"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39" w:type="dxa"/>
                              <w:jc w:val="left"/>
                              <w:tblInd w:w="0" w:type="dxa"/>
                              <w:tblLayout w:type="fixed"/>
                              <w:tblCellMar>
                                <w:top w:w="28" w:type="dxa"/>
                                <w:left w:w="28" w:type="dxa"/>
                                <w:bottom w:w="28" w:type="dxa"/>
                                <w:right w:w="28" w:type="dxa"/>
                              </w:tblCellMar>
                            </w:tblPr>
                            <w:tblGrid>
                              <w:gridCol w:w="141"/>
                              <w:gridCol w:w="124"/>
                              <w:gridCol w:w="124"/>
                              <w:gridCol w:w="704"/>
                              <w:gridCol w:w="704"/>
                              <w:gridCol w:w="706"/>
                              <w:gridCol w:w="244"/>
                              <w:gridCol w:w="244"/>
                              <w:gridCol w:w="34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76" descr=""/>
                                                <pic:cNvPicPr>
                                                  <a:picLocks noChangeAspect="1" noChangeArrowheads="1"/>
                                                </pic:cNvPicPr>
                                              </pic:nvPicPr>
                                              <pic:blipFill>
                                                <a:blip r:embed="rId237"/>
                                                <a:stretch>
                                                  <a:fillRect/>
                                                </a:stretch>
                                              </pic:blipFill>
                                              <pic:spPr bwMode="auto">
                                                <a:xfrm>
                                                  <a:off x="0" y="0"/>
                                                  <a:ext cx="447675" cy="161925"/>
                                                </a:xfrm>
                                                <a:prstGeom prst="rect">
                                                  <a:avLst/>
                                                </a:prstGeom>
                                              </pic:spPr>
                                            </pic:pic>
                                          </a:graphicData>
                                        </a:graphic>
                                      </wp:inline>
                                    </w:drawing>
                                  </w:r>
                                  <w:bookmarkStart w:id="265" w:name="i-176"/>
                                  <w:bookmarkEnd w:id="265"/>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39" w:type="dxa"/>
                        <w:jc w:val="left"/>
                        <w:tblInd w:w="0" w:type="dxa"/>
                        <w:tblLayout w:type="fixed"/>
                        <w:tblCellMar>
                          <w:top w:w="28" w:type="dxa"/>
                          <w:left w:w="28" w:type="dxa"/>
                          <w:bottom w:w="28" w:type="dxa"/>
                          <w:right w:w="28" w:type="dxa"/>
                        </w:tblCellMar>
                      </w:tblPr>
                      <w:tblGrid>
                        <w:gridCol w:w="141"/>
                        <w:gridCol w:w="124"/>
                        <w:gridCol w:w="124"/>
                        <w:gridCol w:w="704"/>
                        <w:gridCol w:w="704"/>
                        <w:gridCol w:w="706"/>
                        <w:gridCol w:w="244"/>
                        <w:gridCol w:w="244"/>
                        <w:gridCol w:w="34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76" descr=""/>
                                          <pic:cNvPicPr>
                                            <a:picLocks noChangeAspect="1" noChangeArrowheads="1"/>
                                          </pic:cNvPicPr>
                                        </pic:nvPicPr>
                                        <pic:blipFill>
                                          <a:blip r:embed="rId238"/>
                                          <a:stretch>
                                            <a:fillRect/>
                                          </a:stretch>
                                        </pic:blipFill>
                                        <pic:spPr bwMode="auto">
                                          <a:xfrm>
                                            <a:off x="0" y="0"/>
                                            <a:ext cx="447675" cy="161925"/>
                                          </a:xfrm>
                                          <a:prstGeom prst="rect">
                                            <a:avLst/>
                                          </a:prstGeom>
                                        </pic:spPr>
                                      </pic:pic>
                                    </a:graphicData>
                                  </a:graphic>
                                </wp:inline>
                              </w:drawing>
                            </w:r>
                            <w:bookmarkStart w:id="266" w:name="i-176"/>
                            <w:bookmarkEnd w:id="266"/>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A</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EBITDA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14" w:type="dxa"/>
        <w:jc w:val="left"/>
        <w:tblInd w:w="0" w:type="dxa"/>
        <w:tblLayout w:type="fixed"/>
        <w:tblCellMar>
          <w:top w:w="28" w:type="dxa"/>
          <w:left w:w="28" w:type="dxa"/>
          <w:bottom w:w="28" w:type="dxa"/>
          <w:right w:w="28" w:type="dxa"/>
        </w:tblCellMar>
      </w:tblPr>
      <w:tblGrid>
        <w:gridCol w:w="1634"/>
        <w:gridCol w:w="1440"/>
        <w:gridCol w:w="1440"/>
        <w:gridCol w:w="677"/>
        <w:gridCol w:w="1974"/>
        <w:gridCol w:w="386"/>
        <w:gridCol w:w="109"/>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1"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EBITDA</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77" w:type="dxa"/>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974" w:type="dxa"/>
            <w:tcBorders>
              <w:top w:val="single" w:sz="4"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244.0 </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303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265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(43.3)</w:t>
            </w:r>
          </w:p>
        </w:tc>
        <w:tc>
          <w:tcPr>
            <w:tcW w:w="38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Amortization expense</w:t>
            </w:r>
            <w:r>
              <w:rPr>
                <w:rFonts w:ascii="Arial;sans-serif" w:hAnsi="Arial;sans-serif"/>
                <w:b w:val="false"/>
                <w:color w:val="000000"/>
                <w:sz w:val="10"/>
              </w:rPr>
              <w:t>(1)</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expense</w:t>
            </w:r>
          </w:p>
        </w:tc>
        <w:tc>
          <w:tcPr>
            <w:tcW w:w="265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38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discontinued operations, net of tax</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2651" w:type="dxa"/>
            <w:gridSpan w:val="2"/>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480.0</w:t>
            </w:r>
            <w:r>
              <w:rPr>
                <w:color w:val="000000"/>
              </w:rPr>
              <w:t> </w:t>
            </w:r>
          </w:p>
        </w:tc>
        <w:tc>
          <w:tcPr>
            <w:tcW w:w="386" w:type="dxa"/>
            <w:tcBorders>
              <w:top w:val="single" w:sz="8"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3037" w:type="dxa"/>
            <w:gridSpan w:val="3"/>
            <w:tcBorders>
              <w:top w:val="single" w:sz="4" w:space="0" w:color="000000"/>
              <w:left w:val="single" w:sz="4" w:space="0" w:color="000000"/>
              <w:right w:val="single" w:sz="4" w:space="0" w:color="000000"/>
            </w:tcBorders>
            <w:shd w:fill="E5E5E5"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 and integration-related costs</w:t>
            </w:r>
            <w:r>
              <w:rPr>
                <w:rFonts w:ascii="Arial;sans-serif" w:hAnsi="Arial;sans-serif"/>
                <w:b w:val="false"/>
                <w:color w:val="000000"/>
                <w:sz w:val="10"/>
              </w:rPr>
              <w:t>(2)</w:t>
            </w:r>
          </w:p>
        </w:tc>
        <w:tc>
          <w:tcPr>
            <w:tcW w:w="265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38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Impairment of intangible assets</w:t>
            </w:r>
            <w:r>
              <w:rPr>
                <w:rFonts w:ascii="Arial;sans-serif" w:hAnsi="Arial;sans-serif"/>
                <w:b w:val="false"/>
                <w:color w:val="000000"/>
                <w:sz w:val="10"/>
              </w:rPr>
              <w:t>(3)</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Non-service pension and postretirement charges</w:t>
            </w:r>
          </w:p>
        </w:tc>
        <w:tc>
          <w:tcPr>
            <w:tcW w:w="265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38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 on settlement of interest rate swap</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Long-term incentive compensation expense accelerations</w:t>
            </w:r>
            <w:r>
              <w:rPr>
                <w:rFonts w:ascii="Arial;sans-serif" w:hAnsi="Arial;sans-serif"/>
                <w:b w:val="false"/>
                <w:color w:val="000000"/>
                <w:sz w:val="10"/>
              </w:rPr>
              <w:t>(4)</w:t>
            </w:r>
          </w:p>
        </w:tc>
        <w:tc>
          <w:tcPr>
            <w:tcW w:w="265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8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Valuation adjustments on an equity security</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Loss on amendment/refinancing of senior credit agreement</w:t>
            </w:r>
            <w:r>
              <w:rPr>
                <w:rFonts w:ascii="Arial;sans-serif" w:hAnsi="Arial;sans-serif"/>
                <w:b w:val="false"/>
                <w:color w:val="000000"/>
                <w:sz w:val="10"/>
              </w:rPr>
              <w:t>(5)</w:t>
            </w:r>
          </w:p>
        </w:tc>
        <w:tc>
          <w:tcPr>
            <w:tcW w:w="265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8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651" w:type="dxa"/>
            <w:gridSpan w:val="2"/>
            <w:tcBorders>
              <w:top w:val="single" w:sz="8"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507.4</w:t>
            </w:r>
            <w:r>
              <w:rPr>
                <w:color w:val="000000"/>
              </w:rPr>
              <w:t> </w:t>
            </w:r>
          </w:p>
        </w:tc>
        <w:tc>
          <w:tcPr>
            <w:tcW w:w="386" w:type="dxa"/>
            <w:tcBorders>
              <w:top w:val="single" w:sz="8"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303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annual incentive expense and other, net</w:t>
            </w:r>
            <w:r>
              <w:rPr>
                <w:rFonts w:ascii="Arial;sans-serif" w:hAnsi="Arial;sans-serif"/>
                <w:b w:val="false"/>
                <w:color w:val="000000"/>
                <w:sz w:val="10"/>
              </w:rPr>
              <w:t>(6)</w:t>
            </w:r>
          </w:p>
        </w:tc>
        <w:tc>
          <w:tcPr>
            <w:tcW w:w="2651" w:type="dxa"/>
            <w:gridSpan w:val="2"/>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386" w:type="dxa"/>
            <w:tcBorders>
              <w:top w:val="single" w:sz="4" w:space="0" w:color="000000"/>
              <w:right w:val="single" w:sz="4" w:space="0" w:color="000000"/>
            </w:tcBorders>
            <w:shd w:fill="E5E5E5"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for annual incentive purposes</w:t>
            </w:r>
          </w:p>
        </w:tc>
        <w:tc>
          <w:tcPr>
            <w:tcW w:w="677" w:type="dxa"/>
            <w:tcBorders>
              <w:top w:val="single" w:sz="4"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9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483.6</w:t>
            </w:r>
            <w:r>
              <w:rPr>
                <w:color w:val="000000"/>
              </w:rPr>
              <w:t> </w:t>
            </w:r>
          </w:p>
        </w:tc>
        <w:tc>
          <w:tcPr>
            <w:tcW w:w="386" w:type="dxa"/>
            <w:tcBorders>
              <w:top w:val="single" w:sz="4" w:space="0" w:color="000000"/>
              <w:bottom w:val="double" w:sz="8"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(1)Represents amortization expense associated with acquired intangible assets recorded within “Selling, general and administrative — intangible amortization” and amortization expense associated with acquired intangible assets and capitalized software costs recorded within “Cost of products sold.”</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(2)Adjustment represents the removal of (i) certain acquisition and integration-related costs of $10.0, inclusive of acquisition and integration-related costs of $1.7 and $1.5 within the HVAC and Detection and Measurement reportable segments, respectively, (ii) amortization of a deferred compensation asset of $24.2 related to the KTS acquisition within the Detection and Measurement reportable segment, (iii) inventory step-up charges of $1.4 related to the KTS acquisition within the Detection and Measurement reportable segment and $0.1 related to the Sigma &amp; Omega acquisition within the HVAC reportable segment. </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(3)Represents non-cash charges related to the impairment of the indefinite-lived trademark associated with ULC Technologies. </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(4)Adjustment represents the removal of a charge of $1.6 for acceleration of non-cash long-term incentive compensation expense incurred as a result of immediate award vesting.</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(5)Adjustment represents the removal of a non-cash charge to write-off previously deferred financing costs of $1.0 and certain expenses incurred in connection with an amendment to our senior credit agreement of $0.5.</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(6)Primarily includes corporate annual incentive compensation expense and the operating results of KTS and Sigma &amp; Omega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9140"/>
                <wp:effectExtent l="0" t="0" r="0" b="0"/>
                <wp:wrapNone/>
                <wp:docPr id="305"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40"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23"/>
                              <w:gridCol w:w="123"/>
                              <w:gridCol w:w="17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77" descr=""/>
                                                <pic:cNvPicPr>
                                                  <a:picLocks noChangeAspect="1" noChangeArrowheads="1"/>
                                                </pic:cNvPicPr>
                                              </pic:nvPicPr>
                                              <pic:blipFill>
                                                <a:blip r:embed="rId239"/>
                                                <a:stretch>
                                                  <a:fillRect/>
                                                </a:stretch>
                                              </pic:blipFill>
                                              <pic:spPr bwMode="auto">
                                                <a:xfrm>
                                                  <a:off x="0" y="0"/>
                                                  <a:ext cx="447675" cy="161925"/>
                                                </a:xfrm>
                                                <a:prstGeom prst="rect">
                                                  <a:avLst/>
                                                </a:prstGeom>
                                              </pic:spPr>
                                            </pic:pic>
                                          </a:graphicData>
                                        </a:graphic>
                                      </wp:inline>
                                    </w:drawing>
                                  </w:r>
                                  <w:bookmarkStart w:id="267" w:name="i-177"/>
                                  <w:bookmarkEnd w:id="267"/>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40"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23"/>
                        <w:gridCol w:w="123"/>
                        <w:gridCol w:w="17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77" descr=""/>
                                          <pic:cNvPicPr>
                                            <a:picLocks noChangeAspect="1" noChangeArrowheads="1"/>
                                          </pic:cNvPicPr>
                                        </pic:nvPicPr>
                                        <pic:blipFill>
                                          <a:blip r:embed="rId240"/>
                                          <a:stretch>
                                            <a:fillRect/>
                                          </a:stretch>
                                        </pic:blipFill>
                                        <pic:spPr bwMode="auto">
                                          <a:xfrm>
                                            <a:off x="0" y="0"/>
                                            <a:ext cx="447675" cy="161925"/>
                                          </a:xfrm>
                                          <a:prstGeom prst="rect">
                                            <a:avLst/>
                                          </a:prstGeom>
                                        </pic:spPr>
                                      </pic:pic>
                                    </a:graphicData>
                                  </a:graphic>
                                </wp:inline>
                              </w:drawing>
                            </w:r>
                            <w:bookmarkStart w:id="268" w:name="i-177"/>
                            <w:bookmarkEnd w:id="268"/>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A-3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6266" w:type="dxa"/>
        <w:jc w:val="left"/>
        <w:tblInd w:w="0" w:type="dxa"/>
        <w:tblLayout w:type="fixed"/>
        <w:tblCellMar>
          <w:top w:w="28" w:type="dxa"/>
          <w:left w:w="28" w:type="dxa"/>
          <w:bottom w:w="28" w:type="dxa"/>
          <w:right w:w="28" w:type="dxa"/>
        </w:tblCellMar>
      </w:tblPr>
      <w:tblGrid>
        <w:gridCol w:w="2007"/>
        <w:gridCol w:w="1764"/>
        <w:gridCol w:w="2495"/>
      </w:tblGrid>
      <w:tr>
        <w:trPr/>
        <w:tc>
          <w:tcPr>
            <w:tcW w:w="200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6266" w:type="dxa"/>
            <w:gridSpan w:val="3"/>
            <w:tcBorders/>
            <w:tcMar>
              <w:top w:w="0" w:type="dxa"/>
              <w:left w:w="0" w:type="dxa"/>
              <w:bottom w:w="0" w:type="dxa"/>
              <w:right w:w="0" w:type="dxa"/>
            </w:tcMar>
            <w:vAlign w:val="center"/>
          </w:tcPr>
          <w:p>
            <w:pPr>
              <w:pStyle w:val="TableContents"/>
              <w:bidi w:val="0"/>
              <w:spacing w:before="0" w:after="1000"/>
              <w:jc w:val="center"/>
              <w:rPr/>
            </w:pPr>
            <w:r>
              <w:rPr/>
              <w:drawing>
                <wp:inline distT="0" distB="0" distL="0" distR="0">
                  <wp:extent cx="3886200" cy="1323975"/>
                  <wp:effectExtent l="0" t="0" r="0" b="0"/>
                  <wp:docPr id="30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78" descr=""/>
                          <pic:cNvPicPr>
                            <a:picLocks noChangeAspect="1" noChangeArrowheads="1"/>
                          </pic:cNvPicPr>
                        </pic:nvPicPr>
                        <pic:blipFill>
                          <a:blip r:embed="rId241"/>
                          <a:stretch>
                            <a:fillRect/>
                          </a:stretch>
                        </pic:blipFill>
                        <pic:spPr bwMode="auto">
                          <a:xfrm>
                            <a:off x="0" y="0"/>
                            <a:ext cx="3886200" cy="1323975"/>
                          </a:xfrm>
                          <a:prstGeom prst="rect">
                            <a:avLst/>
                          </a:prstGeom>
                        </pic:spPr>
                      </pic:pic>
                    </a:graphicData>
                  </a:graphic>
                </wp:inline>
              </w:drawing>
            </w:r>
            <w:bookmarkStart w:id="269" w:name="i-178"/>
            <w:bookmarkEnd w:id="269"/>
          </w:p>
          <w:p>
            <w:pPr>
              <w:pStyle w:val="TableContents"/>
              <w:bidi w:val="0"/>
              <w:spacing w:lineRule="auto" w:line="417" w:before="0" w:after="0"/>
              <w:jc w:val="center"/>
              <w:rPr>
                <w:rFonts w:ascii="Arial;sans-serif" w:hAnsi="Arial;sans-serif"/>
                <w:b w:val="false"/>
                <w:color w:val="004C97"/>
                <w:sz w:val="22"/>
              </w:rPr>
            </w:pPr>
            <w:r>
              <w:rPr>
                <w:rFonts w:ascii="Arial;sans-serif" w:hAnsi="Arial;sans-serif"/>
                <w:b w:val="false"/>
                <w:color w:val="004C97"/>
                <w:sz w:val="22"/>
              </w:rPr>
              <w:t>6325 Ardrey Kell Rd, Suite 400 ● Charlotte, NC 28277 ● USA</w:t>
            </w:r>
          </w:p>
          <w:p>
            <w:pPr>
              <w:pStyle w:val="TableContents"/>
              <w:bidi w:val="0"/>
              <w:spacing w:lineRule="auto" w:line="417" w:before="0" w:after="0"/>
              <w:jc w:val="center"/>
              <w:rPr>
                <w:rFonts w:ascii="Arial;sans-serif" w:hAnsi="Arial;sans-serif"/>
                <w:b w:val="false"/>
                <w:color w:val="004C97"/>
                <w:sz w:val="22"/>
              </w:rPr>
            </w:pPr>
            <w:r>
              <w:rPr>
                <w:rFonts w:ascii="Arial;sans-serif" w:hAnsi="Arial;sans-serif"/>
                <w:b w:val="false"/>
                <w:color w:val="004C97"/>
                <w:sz w:val="22"/>
              </w:rPr>
              <w:t>980-474-3700 ● www.spx.com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30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31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79" descr=""/>
                    <pic:cNvPicPr>
                      <a:picLocks noChangeAspect="1" noChangeArrowheads="1"/>
                    </pic:cNvPicPr>
                  </pic:nvPicPr>
                  <pic:blipFill>
                    <a:blip r:embed="rId242"/>
                    <a:stretch>
                      <a:fillRect/>
                    </a:stretch>
                  </pic:blipFill>
                  <pic:spPr bwMode="auto">
                    <a:xfrm>
                      <a:off x="0" y="0"/>
                      <a:ext cx="7543800" cy="9753600"/>
                    </a:xfrm>
                    <a:prstGeom prst="rect">
                      <a:avLst/>
                    </a:prstGeom>
                  </pic:spPr>
                </pic:pic>
              </a:graphicData>
            </a:graphic>
          </wp:inline>
        </w:drawing>
      </w:r>
      <w:bookmarkStart w:id="270" w:name="i-179"/>
      <w:bookmarkEnd w:id="27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31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312"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80" descr=""/>
                    <pic:cNvPicPr>
                      <a:picLocks noChangeAspect="1" noChangeArrowheads="1"/>
                    </pic:cNvPicPr>
                  </pic:nvPicPr>
                  <pic:blipFill>
                    <a:blip r:embed="rId243"/>
                    <a:stretch>
                      <a:fillRect/>
                    </a:stretch>
                  </pic:blipFill>
                  <pic:spPr bwMode="auto">
                    <a:xfrm>
                      <a:off x="0" y="0"/>
                      <a:ext cx="7543800" cy="9753600"/>
                    </a:xfrm>
                    <a:prstGeom prst="rect">
                      <a:avLst/>
                    </a:prstGeom>
                  </pic:spPr>
                </pic:pic>
              </a:graphicData>
            </a:graphic>
          </wp:inline>
        </w:drawing>
      </w:r>
      <w:bookmarkStart w:id="271" w:name="i-180"/>
      <w:bookmarkEnd w:id="271"/>
    </w:p>
    <w:p>
      <w:pPr>
        <w:pStyle w:val="TextBody"/>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31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2">
    <w:altName w:val="sans-serif"/>
    <w:charset w:val="02"/>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gif"/><Relationship Id="rId8" Type="http://schemas.openxmlformats.org/officeDocument/2006/relationships/image" Target="media/image5.gif"/><Relationship Id="rId9" Type="http://schemas.openxmlformats.org/officeDocument/2006/relationships/image" Target="media/image5.gif"/><Relationship Id="rId10" Type="http://schemas.openxmlformats.org/officeDocument/2006/relationships/image" Target="media/image5.gif"/><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5.gif"/><Relationship Id="rId18" Type="http://schemas.openxmlformats.org/officeDocument/2006/relationships/image" Target="media/image5.gif"/><Relationship Id="rId19" Type="http://schemas.openxmlformats.org/officeDocument/2006/relationships/image" Target="media/image5.gif"/><Relationship Id="rId20" Type="http://schemas.openxmlformats.org/officeDocument/2006/relationships/image" Target="media/image5.gif"/><Relationship Id="rId21" Type="http://schemas.openxmlformats.org/officeDocument/2006/relationships/image" Target="media/image5.gif"/><Relationship Id="rId22" Type="http://schemas.openxmlformats.org/officeDocument/2006/relationships/image" Target="media/image5.gif"/><Relationship Id="rId23" Type="http://schemas.openxmlformats.org/officeDocument/2006/relationships/image" Target="media/image5.gif"/><Relationship Id="rId24" Type="http://schemas.openxmlformats.org/officeDocument/2006/relationships/image" Target="media/image5.gif"/><Relationship Id="rId25" Type="http://schemas.openxmlformats.org/officeDocument/2006/relationships/image" Target="media/image5.gif"/><Relationship Id="rId26" Type="http://schemas.openxmlformats.org/officeDocument/2006/relationships/image" Target="media/image5.gif"/><Relationship Id="rId27" Type="http://schemas.openxmlformats.org/officeDocument/2006/relationships/image" Target="media/image5.gif"/><Relationship Id="rId28" Type="http://schemas.openxmlformats.org/officeDocument/2006/relationships/image" Target="media/image5.gif"/><Relationship Id="rId29" Type="http://schemas.openxmlformats.org/officeDocument/2006/relationships/image" Target="media/image5.gif"/><Relationship Id="rId30" Type="http://schemas.openxmlformats.org/officeDocument/2006/relationships/image" Target="media/image5.gif"/><Relationship Id="rId31" Type="http://schemas.openxmlformats.org/officeDocument/2006/relationships/image" Target="media/image5.gif"/><Relationship Id="rId32" Type="http://schemas.openxmlformats.org/officeDocument/2006/relationships/image" Target="media/image5.gif"/><Relationship Id="rId33" Type="http://schemas.openxmlformats.org/officeDocument/2006/relationships/image" Target="media/image5.gif"/><Relationship Id="rId34" Type="http://schemas.openxmlformats.org/officeDocument/2006/relationships/image" Target="media/image5.gif"/><Relationship Id="rId35" Type="http://schemas.openxmlformats.org/officeDocument/2006/relationships/image" Target="media/image5.gif"/><Relationship Id="rId36" Type="http://schemas.openxmlformats.org/officeDocument/2006/relationships/image" Target="media/image5.gif"/><Relationship Id="rId37" Type="http://schemas.openxmlformats.org/officeDocument/2006/relationships/image" Target="media/image5.gif"/><Relationship Id="rId38" Type="http://schemas.openxmlformats.org/officeDocument/2006/relationships/image" Target="media/image5.gif"/><Relationship Id="rId39" Type="http://schemas.openxmlformats.org/officeDocument/2006/relationships/image" Target="media/image12.jpeg"/><Relationship Id="rId40" Type="http://schemas.openxmlformats.org/officeDocument/2006/relationships/image" Target="media/image13.jpeg"/><Relationship Id="rId41" Type="http://schemas.openxmlformats.org/officeDocument/2006/relationships/image" Target="media/image5.gif"/><Relationship Id="rId42" Type="http://schemas.openxmlformats.org/officeDocument/2006/relationships/image" Target="media/image5.gif"/><Relationship Id="rId43" Type="http://schemas.openxmlformats.org/officeDocument/2006/relationships/image" Target="media/image14.jpeg"/><Relationship Id="rId44" Type="http://schemas.openxmlformats.org/officeDocument/2006/relationships/image" Target="media/image15.jpeg"/><Relationship Id="rId45" Type="http://schemas.openxmlformats.org/officeDocument/2006/relationships/image" Target="media/image5.gif"/><Relationship Id="rId46" Type="http://schemas.openxmlformats.org/officeDocument/2006/relationships/image" Target="media/image5.gif"/><Relationship Id="rId47" Type="http://schemas.openxmlformats.org/officeDocument/2006/relationships/image" Target="media/image16.jpeg"/><Relationship Id="rId48" Type="http://schemas.openxmlformats.org/officeDocument/2006/relationships/image" Target="media/image17.jpeg"/><Relationship Id="rId49" Type="http://schemas.openxmlformats.org/officeDocument/2006/relationships/image" Target="media/image5.gif"/><Relationship Id="rId50" Type="http://schemas.openxmlformats.org/officeDocument/2006/relationships/image" Target="media/image5.gif"/><Relationship Id="rId51" Type="http://schemas.openxmlformats.org/officeDocument/2006/relationships/image" Target="media/image18.jpeg"/><Relationship Id="rId52" Type="http://schemas.openxmlformats.org/officeDocument/2006/relationships/image" Target="media/image19.jpeg"/><Relationship Id="rId53" Type="http://schemas.openxmlformats.org/officeDocument/2006/relationships/image" Target="media/image5.gif"/><Relationship Id="rId54" Type="http://schemas.openxmlformats.org/officeDocument/2006/relationships/image" Target="media/image5.gif"/><Relationship Id="rId55" Type="http://schemas.openxmlformats.org/officeDocument/2006/relationships/image" Target="media/image20.jpeg"/><Relationship Id="rId56" Type="http://schemas.openxmlformats.org/officeDocument/2006/relationships/image" Target="media/image21.jpeg"/><Relationship Id="rId57" Type="http://schemas.openxmlformats.org/officeDocument/2006/relationships/image" Target="media/image5.gif"/><Relationship Id="rId58" Type="http://schemas.openxmlformats.org/officeDocument/2006/relationships/image" Target="media/image5.gif"/><Relationship Id="rId59" Type="http://schemas.openxmlformats.org/officeDocument/2006/relationships/image" Target="media/image22.gif"/><Relationship Id="rId60" Type="http://schemas.openxmlformats.org/officeDocument/2006/relationships/image" Target="media/image23.gif"/><Relationship Id="rId61" Type="http://schemas.openxmlformats.org/officeDocument/2006/relationships/image" Target="media/image22.gif"/><Relationship Id="rId62" Type="http://schemas.openxmlformats.org/officeDocument/2006/relationships/image" Target="media/image22.gif"/><Relationship Id="rId63" Type="http://schemas.openxmlformats.org/officeDocument/2006/relationships/image" Target="media/image24.gif"/><Relationship Id="rId64" Type="http://schemas.openxmlformats.org/officeDocument/2006/relationships/image" Target="media/image22.gif"/><Relationship Id="rId65" Type="http://schemas.openxmlformats.org/officeDocument/2006/relationships/image" Target="media/image22.gif"/><Relationship Id="rId66" Type="http://schemas.openxmlformats.org/officeDocument/2006/relationships/image" Target="media/image23.gif"/><Relationship Id="rId67" Type="http://schemas.openxmlformats.org/officeDocument/2006/relationships/image" Target="media/image24.gif"/><Relationship Id="rId68" Type="http://schemas.openxmlformats.org/officeDocument/2006/relationships/image" Target="media/image22.gif"/><Relationship Id="rId69" Type="http://schemas.openxmlformats.org/officeDocument/2006/relationships/image" Target="media/image22.gif"/><Relationship Id="rId70" Type="http://schemas.openxmlformats.org/officeDocument/2006/relationships/image" Target="media/image22.gif"/><Relationship Id="rId71" Type="http://schemas.openxmlformats.org/officeDocument/2006/relationships/image" Target="media/image22.gif"/><Relationship Id="rId72" Type="http://schemas.openxmlformats.org/officeDocument/2006/relationships/image" Target="media/image22.gif"/><Relationship Id="rId73" Type="http://schemas.openxmlformats.org/officeDocument/2006/relationships/image" Target="media/image22.gif"/><Relationship Id="rId74" Type="http://schemas.openxmlformats.org/officeDocument/2006/relationships/image" Target="media/image22.gif"/><Relationship Id="rId75" Type="http://schemas.openxmlformats.org/officeDocument/2006/relationships/image" Target="media/image23.gif"/><Relationship Id="rId76" Type="http://schemas.openxmlformats.org/officeDocument/2006/relationships/image" Target="media/image22.gif"/><Relationship Id="rId77" Type="http://schemas.openxmlformats.org/officeDocument/2006/relationships/image" Target="media/image22.gif"/><Relationship Id="rId78" Type="http://schemas.openxmlformats.org/officeDocument/2006/relationships/image" Target="media/image22.gif"/><Relationship Id="rId79" Type="http://schemas.openxmlformats.org/officeDocument/2006/relationships/image" Target="media/image22.gif"/><Relationship Id="rId80" Type="http://schemas.openxmlformats.org/officeDocument/2006/relationships/image" Target="media/image23.gif"/><Relationship Id="rId81" Type="http://schemas.openxmlformats.org/officeDocument/2006/relationships/image" Target="media/image22.gif"/><Relationship Id="rId82" Type="http://schemas.openxmlformats.org/officeDocument/2006/relationships/image" Target="media/image22.gif"/><Relationship Id="rId83" Type="http://schemas.openxmlformats.org/officeDocument/2006/relationships/image" Target="media/image22.gif"/><Relationship Id="rId84" Type="http://schemas.openxmlformats.org/officeDocument/2006/relationships/image" Target="media/image23.gif"/><Relationship Id="rId85" Type="http://schemas.openxmlformats.org/officeDocument/2006/relationships/image" Target="media/image22.gif"/><Relationship Id="rId86" Type="http://schemas.openxmlformats.org/officeDocument/2006/relationships/image" Target="media/image22.gif"/><Relationship Id="rId87" Type="http://schemas.openxmlformats.org/officeDocument/2006/relationships/image" Target="media/image22.gif"/><Relationship Id="rId88" Type="http://schemas.openxmlformats.org/officeDocument/2006/relationships/image" Target="media/image23.gif"/><Relationship Id="rId89" Type="http://schemas.openxmlformats.org/officeDocument/2006/relationships/image" Target="media/image22.gif"/><Relationship Id="rId90" Type="http://schemas.openxmlformats.org/officeDocument/2006/relationships/image" Target="media/image22.gif"/><Relationship Id="rId91" Type="http://schemas.openxmlformats.org/officeDocument/2006/relationships/image" Target="media/image23.gif"/><Relationship Id="rId92" Type="http://schemas.openxmlformats.org/officeDocument/2006/relationships/image" Target="media/image22.gif"/><Relationship Id="rId93" Type="http://schemas.openxmlformats.org/officeDocument/2006/relationships/image" Target="media/image22.gif"/><Relationship Id="rId94" Type="http://schemas.openxmlformats.org/officeDocument/2006/relationships/image" Target="media/image22.gif"/><Relationship Id="rId95" Type="http://schemas.openxmlformats.org/officeDocument/2006/relationships/image" Target="media/image23.gif"/><Relationship Id="rId96" Type="http://schemas.openxmlformats.org/officeDocument/2006/relationships/image" Target="media/image23.gif"/><Relationship Id="rId97" Type="http://schemas.openxmlformats.org/officeDocument/2006/relationships/image" Target="media/image23.gif"/><Relationship Id="rId98" Type="http://schemas.openxmlformats.org/officeDocument/2006/relationships/image" Target="media/image23.gif"/><Relationship Id="rId99" Type="http://schemas.openxmlformats.org/officeDocument/2006/relationships/image" Target="media/image22.gif"/><Relationship Id="rId100" Type="http://schemas.openxmlformats.org/officeDocument/2006/relationships/image" Target="media/image23.gif"/><Relationship Id="rId101" Type="http://schemas.openxmlformats.org/officeDocument/2006/relationships/image" Target="media/image23.gif"/><Relationship Id="rId102" Type="http://schemas.openxmlformats.org/officeDocument/2006/relationships/image" Target="media/image23.gif"/><Relationship Id="rId103" Type="http://schemas.openxmlformats.org/officeDocument/2006/relationships/image" Target="media/image24.gif"/><Relationship Id="rId104" Type="http://schemas.openxmlformats.org/officeDocument/2006/relationships/image" Target="media/image22.gif"/><Relationship Id="rId105" Type="http://schemas.openxmlformats.org/officeDocument/2006/relationships/image" Target="media/image22.gif"/><Relationship Id="rId106" Type="http://schemas.openxmlformats.org/officeDocument/2006/relationships/image" Target="media/image22.gif"/><Relationship Id="rId107" Type="http://schemas.openxmlformats.org/officeDocument/2006/relationships/image" Target="media/image22.gif"/><Relationship Id="rId108" Type="http://schemas.openxmlformats.org/officeDocument/2006/relationships/image" Target="media/image23.gif"/><Relationship Id="rId109" Type="http://schemas.openxmlformats.org/officeDocument/2006/relationships/image" Target="media/image22.gif"/><Relationship Id="rId110" Type="http://schemas.openxmlformats.org/officeDocument/2006/relationships/image" Target="media/image22.gif"/><Relationship Id="rId111" Type="http://schemas.openxmlformats.org/officeDocument/2006/relationships/image" Target="media/image23.gif"/><Relationship Id="rId112" Type="http://schemas.openxmlformats.org/officeDocument/2006/relationships/image" Target="media/image22.gif"/><Relationship Id="rId113" Type="http://schemas.openxmlformats.org/officeDocument/2006/relationships/image" Target="media/image22.gif"/><Relationship Id="rId114" Type="http://schemas.openxmlformats.org/officeDocument/2006/relationships/image" Target="media/image23.gif"/><Relationship Id="rId115" Type="http://schemas.openxmlformats.org/officeDocument/2006/relationships/image" Target="media/image23.gif"/><Relationship Id="rId116" Type="http://schemas.openxmlformats.org/officeDocument/2006/relationships/image" Target="media/image22.gif"/><Relationship Id="rId117" Type="http://schemas.openxmlformats.org/officeDocument/2006/relationships/image" Target="media/image24.gif"/><Relationship Id="rId118" Type="http://schemas.openxmlformats.org/officeDocument/2006/relationships/image" Target="media/image23.gif"/><Relationship Id="rId119" Type="http://schemas.openxmlformats.org/officeDocument/2006/relationships/image" Target="media/image22.gif"/><Relationship Id="rId120" Type="http://schemas.openxmlformats.org/officeDocument/2006/relationships/image" Target="media/image22.gif"/><Relationship Id="rId121" Type="http://schemas.openxmlformats.org/officeDocument/2006/relationships/image" Target="media/image24.gif"/><Relationship Id="rId122" Type="http://schemas.openxmlformats.org/officeDocument/2006/relationships/image" Target="media/image22.gif"/><Relationship Id="rId123" Type="http://schemas.openxmlformats.org/officeDocument/2006/relationships/image" Target="media/image22.gif"/><Relationship Id="rId124" Type="http://schemas.openxmlformats.org/officeDocument/2006/relationships/image" Target="media/image24.gif"/><Relationship Id="rId125" Type="http://schemas.openxmlformats.org/officeDocument/2006/relationships/image" Target="media/image22.gif"/><Relationship Id="rId126" Type="http://schemas.openxmlformats.org/officeDocument/2006/relationships/image" Target="media/image22.gif"/><Relationship Id="rId127" Type="http://schemas.openxmlformats.org/officeDocument/2006/relationships/image" Target="media/image23.gif"/><Relationship Id="rId128" Type="http://schemas.openxmlformats.org/officeDocument/2006/relationships/image" Target="media/image22.gif"/><Relationship Id="rId129" Type="http://schemas.openxmlformats.org/officeDocument/2006/relationships/image" Target="media/image22.gif"/><Relationship Id="rId130" Type="http://schemas.openxmlformats.org/officeDocument/2006/relationships/image" Target="media/image22.gif"/><Relationship Id="rId131" Type="http://schemas.openxmlformats.org/officeDocument/2006/relationships/image" Target="media/image23.gif"/><Relationship Id="rId132" Type="http://schemas.openxmlformats.org/officeDocument/2006/relationships/image" Target="media/image22.gif"/><Relationship Id="rId133" Type="http://schemas.openxmlformats.org/officeDocument/2006/relationships/image" Target="media/image22.gif"/><Relationship Id="rId134" Type="http://schemas.openxmlformats.org/officeDocument/2006/relationships/image" Target="media/image22.gif"/><Relationship Id="rId135" Type="http://schemas.openxmlformats.org/officeDocument/2006/relationships/image" Target="media/image22.gif"/><Relationship Id="rId136" Type="http://schemas.openxmlformats.org/officeDocument/2006/relationships/image" Target="media/image22.gif"/><Relationship Id="rId137" Type="http://schemas.openxmlformats.org/officeDocument/2006/relationships/image" Target="media/image22.gif"/><Relationship Id="rId138" Type="http://schemas.openxmlformats.org/officeDocument/2006/relationships/image" Target="media/image23.gif"/><Relationship Id="rId139" Type="http://schemas.openxmlformats.org/officeDocument/2006/relationships/image" Target="media/image22.gif"/><Relationship Id="rId140" Type="http://schemas.openxmlformats.org/officeDocument/2006/relationships/image" Target="media/image22.gif"/><Relationship Id="rId141" Type="http://schemas.openxmlformats.org/officeDocument/2006/relationships/image" Target="media/image23.gif"/><Relationship Id="rId142" Type="http://schemas.openxmlformats.org/officeDocument/2006/relationships/image" Target="media/image24.gif"/><Relationship Id="rId143" Type="http://schemas.openxmlformats.org/officeDocument/2006/relationships/image" Target="media/image25.gif"/><Relationship Id="rId144" Type="http://schemas.openxmlformats.org/officeDocument/2006/relationships/image" Target="media/image5.gif"/><Relationship Id="rId145" Type="http://schemas.openxmlformats.org/officeDocument/2006/relationships/image" Target="media/image5.gif"/><Relationship Id="rId146" Type="http://schemas.openxmlformats.org/officeDocument/2006/relationships/image" Target="media/image26.jpeg"/><Relationship Id="rId147" Type="http://schemas.openxmlformats.org/officeDocument/2006/relationships/image" Target="media/image5.gif"/><Relationship Id="rId148" Type="http://schemas.openxmlformats.org/officeDocument/2006/relationships/image" Target="media/image5.gif"/><Relationship Id="rId149" Type="http://schemas.openxmlformats.org/officeDocument/2006/relationships/image" Target="media/image5.gif"/><Relationship Id="rId150" Type="http://schemas.openxmlformats.org/officeDocument/2006/relationships/image" Target="media/image5.gif"/><Relationship Id="rId151" Type="http://schemas.openxmlformats.org/officeDocument/2006/relationships/image" Target="media/image5.gif"/><Relationship Id="rId152" Type="http://schemas.openxmlformats.org/officeDocument/2006/relationships/image" Target="media/image5.gif"/><Relationship Id="rId153" Type="http://schemas.openxmlformats.org/officeDocument/2006/relationships/image" Target="media/image5.gif"/><Relationship Id="rId154" Type="http://schemas.openxmlformats.org/officeDocument/2006/relationships/image" Target="media/image5.gif"/><Relationship Id="rId155" Type="http://schemas.openxmlformats.org/officeDocument/2006/relationships/image" Target="media/image5.gif"/><Relationship Id="rId156" Type="http://schemas.openxmlformats.org/officeDocument/2006/relationships/image" Target="media/image5.gif"/><Relationship Id="rId157" Type="http://schemas.openxmlformats.org/officeDocument/2006/relationships/image" Target="media/image15.jpeg"/><Relationship Id="rId158" Type="http://schemas.openxmlformats.org/officeDocument/2006/relationships/image" Target="media/image5.gif"/><Relationship Id="rId159" Type="http://schemas.openxmlformats.org/officeDocument/2006/relationships/image" Target="media/image5.gif"/><Relationship Id="rId160" Type="http://schemas.openxmlformats.org/officeDocument/2006/relationships/image" Target="media/image5.gif"/><Relationship Id="rId161" Type="http://schemas.openxmlformats.org/officeDocument/2006/relationships/image" Target="media/image5.gif"/><Relationship Id="rId162" Type="http://schemas.openxmlformats.org/officeDocument/2006/relationships/image" Target="media/image27.jpeg"/><Relationship Id="rId163" Type="http://schemas.openxmlformats.org/officeDocument/2006/relationships/image" Target="media/image5.gif"/><Relationship Id="rId164" Type="http://schemas.openxmlformats.org/officeDocument/2006/relationships/image" Target="media/image5.gif"/><Relationship Id="rId165" Type="http://schemas.openxmlformats.org/officeDocument/2006/relationships/image" Target="media/image28.jpeg"/><Relationship Id="rId166" Type="http://schemas.openxmlformats.org/officeDocument/2006/relationships/image" Target="media/image5.gif"/><Relationship Id="rId167" Type="http://schemas.openxmlformats.org/officeDocument/2006/relationships/image" Target="media/image5.gif"/><Relationship Id="rId168" Type="http://schemas.openxmlformats.org/officeDocument/2006/relationships/image" Target="media/image5.gif"/><Relationship Id="rId169" Type="http://schemas.openxmlformats.org/officeDocument/2006/relationships/image" Target="media/image5.gif"/><Relationship Id="rId170" Type="http://schemas.openxmlformats.org/officeDocument/2006/relationships/image" Target="media/image5.gif"/><Relationship Id="rId171" Type="http://schemas.openxmlformats.org/officeDocument/2006/relationships/image" Target="media/image5.gif"/><Relationship Id="rId172" Type="http://schemas.openxmlformats.org/officeDocument/2006/relationships/image" Target="media/image5.gif"/><Relationship Id="rId173" Type="http://schemas.openxmlformats.org/officeDocument/2006/relationships/image" Target="media/image5.gif"/><Relationship Id="rId174" Type="http://schemas.openxmlformats.org/officeDocument/2006/relationships/image" Target="media/image5.gif"/><Relationship Id="rId175" Type="http://schemas.openxmlformats.org/officeDocument/2006/relationships/image" Target="media/image5.gif"/><Relationship Id="rId176" Type="http://schemas.openxmlformats.org/officeDocument/2006/relationships/image" Target="media/image5.gif"/><Relationship Id="rId177" Type="http://schemas.openxmlformats.org/officeDocument/2006/relationships/image" Target="media/image5.gif"/><Relationship Id="rId178" Type="http://schemas.openxmlformats.org/officeDocument/2006/relationships/image" Target="media/image5.gif"/><Relationship Id="rId179" Type="http://schemas.openxmlformats.org/officeDocument/2006/relationships/image" Target="media/image5.gif"/><Relationship Id="rId180" Type="http://schemas.openxmlformats.org/officeDocument/2006/relationships/image" Target="media/image5.gif"/><Relationship Id="rId181" Type="http://schemas.openxmlformats.org/officeDocument/2006/relationships/image" Target="media/image5.gif"/><Relationship Id="rId182" Type="http://schemas.openxmlformats.org/officeDocument/2006/relationships/image" Target="media/image5.gif"/><Relationship Id="rId183" Type="http://schemas.openxmlformats.org/officeDocument/2006/relationships/image" Target="media/image5.gif"/><Relationship Id="rId184" Type="http://schemas.openxmlformats.org/officeDocument/2006/relationships/image" Target="media/image5.gif"/><Relationship Id="rId185" Type="http://schemas.openxmlformats.org/officeDocument/2006/relationships/image" Target="media/image5.gif"/><Relationship Id="rId186" Type="http://schemas.openxmlformats.org/officeDocument/2006/relationships/image" Target="media/image5.gif"/><Relationship Id="rId187" Type="http://schemas.openxmlformats.org/officeDocument/2006/relationships/image" Target="media/image5.gif"/><Relationship Id="rId188" Type="http://schemas.openxmlformats.org/officeDocument/2006/relationships/image" Target="media/image5.gif"/><Relationship Id="rId189" Type="http://schemas.openxmlformats.org/officeDocument/2006/relationships/image" Target="media/image5.gif"/><Relationship Id="rId190" Type="http://schemas.openxmlformats.org/officeDocument/2006/relationships/image" Target="media/image5.gif"/><Relationship Id="rId191" Type="http://schemas.openxmlformats.org/officeDocument/2006/relationships/image" Target="media/image5.gif"/><Relationship Id="rId192" Type="http://schemas.openxmlformats.org/officeDocument/2006/relationships/image" Target="media/image5.gif"/><Relationship Id="rId193" Type="http://schemas.openxmlformats.org/officeDocument/2006/relationships/image" Target="media/image5.gif"/><Relationship Id="rId194" Type="http://schemas.openxmlformats.org/officeDocument/2006/relationships/image" Target="media/image5.gif"/><Relationship Id="rId195" Type="http://schemas.openxmlformats.org/officeDocument/2006/relationships/image" Target="media/image5.gif"/><Relationship Id="rId196" Type="http://schemas.openxmlformats.org/officeDocument/2006/relationships/image" Target="media/image5.gif"/><Relationship Id="rId197" Type="http://schemas.openxmlformats.org/officeDocument/2006/relationships/image" Target="media/image5.gif"/><Relationship Id="rId198" Type="http://schemas.openxmlformats.org/officeDocument/2006/relationships/image" Target="media/image5.gif"/><Relationship Id="rId199" Type="http://schemas.openxmlformats.org/officeDocument/2006/relationships/image" Target="media/image5.gif"/><Relationship Id="rId200" Type="http://schemas.openxmlformats.org/officeDocument/2006/relationships/image" Target="media/image5.gif"/><Relationship Id="rId201" Type="http://schemas.openxmlformats.org/officeDocument/2006/relationships/image" Target="media/image5.gif"/><Relationship Id="rId202" Type="http://schemas.openxmlformats.org/officeDocument/2006/relationships/image" Target="media/image5.gif"/><Relationship Id="rId203" Type="http://schemas.openxmlformats.org/officeDocument/2006/relationships/image" Target="media/image5.gif"/><Relationship Id="rId204" Type="http://schemas.openxmlformats.org/officeDocument/2006/relationships/image" Target="media/image5.gif"/><Relationship Id="rId205" Type="http://schemas.openxmlformats.org/officeDocument/2006/relationships/image" Target="media/image5.gif"/><Relationship Id="rId206" Type="http://schemas.openxmlformats.org/officeDocument/2006/relationships/image" Target="media/image5.gif"/><Relationship Id="rId207" Type="http://schemas.openxmlformats.org/officeDocument/2006/relationships/image" Target="media/image5.gif"/><Relationship Id="rId208" Type="http://schemas.openxmlformats.org/officeDocument/2006/relationships/image" Target="media/image29.jpeg"/><Relationship Id="rId209" Type="http://schemas.openxmlformats.org/officeDocument/2006/relationships/image" Target="media/image30.jpeg"/><Relationship Id="rId210" Type="http://schemas.openxmlformats.org/officeDocument/2006/relationships/image" Target="media/image31.jpeg"/><Relationship Id="rId211" Type="http://schemas.openxmlformats.org/officeDocument/2006/relationships/image" Target="media/image5.gif"/><Relationship Id="rId212" Type="http://schemas.openxmlformats.org/officeDocument/2006/relationships/image" Target="media/image5.gif"/><Relationship Id="rId213" Type="http://schemas.openxmlformats.org/officeDocument/2006/relationships/image" Target="media/image5.gif"/><Relationship Id="rId214" Type="http://schemas.openxmlformats.org/officeDocument/2006/relationships/image" Target="media/image5.gif"/><Relationship Id="rId215" Type="http://schemas.openxmlformats.org/officeDocument/2006/relationships/image" Target="media/image15.jpeg"/><Relationship Id="rId216" Type="http://schemas.openxmlformats.org/officeDocument/2006/relationships/image" Target="media/image5.gif"/><Relationship Id="rId217" Type="http://schemas.openxmlformats.org/officeDocument/2006/relationships/image" Target="media/image5.gif"/><Relationship Id="rId218" Type="http://schemas.openxmlformats.org/officeDocument/2006/relationships/image" Target="media/image5.gif"/><Relationship Id="rId219" Type="http://schemas.openxmlformats.org/officeDocument/2006/relationships/image" Target="media/image5.gif"/><Relationship Id="rId220" Type="http://schemas.openxmlformats.org/officeDocument/2006/relationships/image" Target="media/image5.gif"/><Relationship Id="rId221" Type="http://schemas.openxmlformats.org/officeDocument/2006/relationships/image" Target="media/image5.gif"/><Relationship Id="rId222" Type="http://schemas.openxmlformats.org/officeDocument/2006/relationships/image" Target="media/image15.jpeg"/><Relationship Id="rId223" Type="http://schemas.openxmlformats.org/officeDocument/2006/relationships/image" Target="media/image5.gif"/><Relationship Id="rId224" Type="http://schemas.openxmlformats.org/officeDocument/2006/relationships/image" Target="media/image5.gif"/><Relationship Id="rId225" Type="http://schemas.openxmlformats.org/officeDocument/2006/relationships/image" Target="media/image5.gif"/><Relationship Id="rId226" Type="http://schemas.openxmlformats.org/officeDocument/2006/relationships/image" Target="media/image5.gif"/><Relationship Id="rId227" Type="http://schemas.openxmlformats.org/officeDocument/2006/relationships/image" Target="media/image5.gif"/><Relationship Id="rId228" Type="http://schemas.openxmlformats.org/officeDocument/2006/relationships/image" Target="media/image5.gif"/><Relationship Id="rId229" Type="http://schemas.openxmlformats.org/officeDocument/2006/relationships/image" Target="media/image5.gif"/><Relationship Id="rId230" Type="http://schemas.openxmlformats.org/officeDocument/2006/relationships/image" Target="media/image5.gif"/><Relationship Id="rId231" Type="http://schemas.openxmlformats.org/officeDocument/2006/relationships/image" Target="media/image5.gif"/><Relationship Id="rId232" Type="http://schemas.openxmlformats.org/officeDocument/2006/relationships/image" Target="media/image5.gif"/><Relationship Id="rId233" Type="http://schemas.openxmlformats.org/officeDocument/2006/relationships/image" Target="media/image5.gif"/><Relationship Id="rId234" Type="http://schemas.openxmlformats.org/officeDocument/2006/relationships/image" Target="media/image5.gif"/><Relationship Id="rId235" Type="http://schemas.openxmlformats.org/officeDocument/2006/relationships/image" Target="media/image5.gif"/><Relationship Id="rId236" Type="http://schemas.openxmlformats.org/officeDocument/2006/relationships/image" Target="media/image5.gif"/><Relationship Id="rId237" Type="http://schemas.openxmlformats.org/officeDocument/2006/relationships/image" Target="media/image5.gif"/><Relationship Id="rId238" Type="http://schemas.openxmlformats.org/officeDocument/2006/relationships/image" Target="media/image5.gif"/><Relationship Id="rId239" Type="http://schemas.openxmlformats.org/officeDocument/2006/relationships/image" Target="media/image5.gif"/><Relationship Id="rId240" Type="http://schemas.openxmlformats.org/officeDocument/2006/relationships/image" Target="media/image5.gif"/><Relationship Id="rId241" Type="http://schemas.openxmlformats.org/officeDocument/2006/relationships/image" Target="media/image32.jpeg"/><Relationship Id="rId242" Type="http://schemas.openxmlformats.org/officeDocument/2006/relationships/image" Target="media/image33.jpeg"/><Relationship Id="rId243" Type="http://schemas.openxmlformats.org/officeDocument/2006/relationships/image" Target="media/image34.jpeg"/><Relationship Id="rId244" Type="http://schemas.openxmlformats.org/officeDocument/2006/relationships/fontTable" Target="fontTable.xml"/><Relationship Id="rId2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30353</Words>
  <Characters>171984</Characters>
  <CharactersWithSpaces>200304</CharactersWithSpaces>
  <Paragraphs>3053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