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42026_040507.xml.htm"/>
      <w:bookmarkStart w:id="1" w:name="ksform405142026_0405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Sethna Meenal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SPX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6325 ARDREY KELL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SPX Technologies, Inc.</w:t>
              </w:r>
            </w:hyperlink>
            <w:r>
              <w:rPr/>
              <w:t xml:space="preserve"> [ </w:t>
            </w:r>
            <w:r>
              <w:rPr>
                <w:rFonts w:ascii="Times;serif" w:hAnsi="Times;serif"/>
                <w:color w:val="0000FF"/>
                <w:sz w:val="24"/>
                <w:shd w:fill="FFFFFF" w:val="clear"/>
              </w:rPr>
              <w:t>SPXC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14,968</w:t>
            </w:r>
            <w:r>
              <w:rPr>
                <w:rFonts w:ascii="Times;serif" w:hAnsi="Times;serif"/>
                <w:color w:val="008000"/>
                <w:position w:val="7"/>
                <w:sz w:val="16"/>
                <w:sz w:val="20"/>
                <w:shd w:fill="FFFFFF" w:val="clear"/>
              </w:rPr>
              <w:t>(2)</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under the SPX 2019 Stock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unvested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Whitman, Attorney in Fact for Meenal A. Sethna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165"/>
        <w:jc w:val="center"/>
        <w:rPr>
          <w:b/>
          <w:sz w:val="19"/>
        </w:rPr>
      </w:pPr>
      <w:bookmarkStart w:id="2" w:name="ex24-05142026_040508.htm"/>
      <w:bookmarkStart w:id="3" w:name="ksex2405142026_040508"/>
      <w:bookmarkEnd w:id="2"/>
      <w:bookmarkEnd w:id="3"/>
      <w:r>
        <w:rPr>
          <w:b/>
          <w:sz w:val="19"/>
        </w:rPr>
        <w:t>POWER OF ATTORNEY</w:t>
      </w:r>
      <w:r>
        <w:br w:type="page"/>
      </w:r>
    </w:p>
    <w:p>
      <w:pPr>
        <w:pStyle w:val="TextBody"/>
        <w:bidi w:val="0"/>
        <w:spacing w:before="0" w:after="180"/>
        <w:jc w:val="both"/>
        <w:rPr>
          <w:sz w:val="21"/>
        </w:rPr>
      </w:pPr>
      <w:r>
        <w:rPr>
          <w:sz w:val="21"/>
        </w:rPr>
        <w:t>Meenal A. Sethna hereby makes, constitutes and appoints each of Daniel Whitman, Caroline Prescott, Steve Ackermann, and Coleman Wombwell,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of SPX Technologies, Inc. (the “Company”), to:</w:t>
      </w:r>
    </w:p>
    <w:p>
      <w:pPr>
        <w:pStyle w:val="TextBody"/>
        <w:pBdr/>
        <w:bidi w:val="0"/>
        <w:spacing w:before="0" w:after="210"/>
        <w:ind w:left="0" w:right="0" w:hanging="30"/>
        <w:jc w:val="both"/>
        <w:rPr>
          <w:sz w:val="21"/>
        </w:rPr>
      </w:pPr>
      <w:r>
        <w:rPr>
          <w:sz w:val="21"/>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pBdr/>
        <w:bidi w:val="0"/>
        <w:spacing w:before="0" w:after="210"/>
        <w:ind w:left="0" w:right="0" w:hanging="30"/>
        <w:jc w:val="both"/>
        <w:rPr>
          <w:sz w:val="21"/>
        </w:rPr>
      </w:pPr>
      <w:r>
        <w:rPr>
          <w:sz w:val="21"/>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pBdr/>
        <w:bidi w:val="0"/>
        <w:spacing w:before="0" w:after="210"/>
        <w:ind w:left="0" w:right="0" w:hanging="30"/>
        <w:jc w:val="both"/>
        <w:rPr>
          <w:sz w:val="21"/>
        </w:rPr>
      </w:pPr>
      <w:r>
        <w:rPr>
          <w:sz w:val="21"/>
        </w:rPr>
        <w:t xml:space="preserve">Submit and file SEC Filings with the SEC utilizing the EDGAR system or cause them to be submitted and filed by a person appointed under </w:t>
      </w:r>
      <w:r>
        <w:rPr>
          <w:sz w:val="21"/>
          <w:u w:val="single"/>
        </w:rPr>
        <w:t>Section 5</w:t>
      </w:r>
      <w:r>
        <w:rPr>
          <w:sz w:val="21"/>
        </w:rPr>
        <w:t xml:space="preserve"> below;</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pBdr/>
        <w:bidi w:val="0"/>
        <w:spacing w:before="0" w:after="210"/>
        <w:ind w:left="0" w:right="0" w:hanging="30"/>
        <w:jc w:val="both"/>
        <w:rPr>
          <w:sz w:val="21"/>
        </w:rPr>
      </w:pPr>
      <w:r>
        <w:rPr>
          <w:sz w:val="21"/>
        </w:rPr>
        <w:t>File, submit or otherwise deliver SEC Filings to any securities exchange on which the Company’s securities may be listed or traded;</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8"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4.</w:t>
                      </w:r>
                    </w:p>
                  </w:txbxContent>
                </v:textbox>
                <w10:wrap type="square" side="right"/>
              </v:rect>
            </w:pict>
          </mc:Fallback>
        </mc:AlternateContent>
      </w:r>
    </w:p>
    <w:p>
      <w:pPr>
        <w:pStyle w:val="TextBody"/>
        <w:pBdr/>
        <w:bidi w:val="0"/>
        <w:spacing w:before="0" w:after="210"/>
        <w:ind w:left="0" w:right="0" w:hanging="30"/>
        <w:jc w:val="both"/>
        <w:rPr>
          <w:sz w:val="21"/>
        </w:rPr>
      </w:pPr>
      <w:r>
        <w:rPr>
          <w:sz w:val="21"/>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9"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5.</w:t>
                      </w:r>
                    </w:p>
                  </w:txbxContent>
                </v:textbox>
                <w10:wrap type="square" side="right"/>
              </v:rect>
            </w:pict>
          </mc:Fallback>
        </mc:AlternateContent>
      </w:r>
    </w:p>
    <w:p>
      <w:pPr>
        <w:pStyle w:val="TextBody"/>
        <w:pBdr/>
        <w:bidi w:val="0"/>
        <w:spacing w:before="0" w:after="210"/>
        <w:ind w:left="0" w:right="0" w:hanging="30"/>
        <w:jc w:val="both"/>
        <w:rPr>
          <w:sz w:val="21"/>
        </w:rPr>
      </w:pPr>
      <w:r>
        <w:rPr>
          <w:sz w:val="21"/>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10"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6.</w:t>
                      </w:r>
                    </w:p>
                  </w:txbxContent>
                </v:textbox>
                <w10:wrap type="square" side="right"/>
              </v:rect>
            </w:pict>
          </mc:Fallback>
        </mc:AlternateContent>
      </w:r>
    </w:p>
    <w:p>
      <w:pPr>
        <w:pStyle w:val="TextBody"/>
        <w:pBdr/>
        <w:bidi w:val="0"/>
        <w:spacing w:before="0" w:after="210"/>
        <w:ind w:left="0" w:right="0" w:hanging="30"/>
        <w:jc w:val="both"/>
        <w:rPr>
          <w:sz w:val="21"/>
        </w:rPr>
      </w:pPr>
      <w:r>
        <w:rPr>
          <w:sz w:val="21"/>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right"/>
                <wp:docPr id="11"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7.</w:t>
                      </w:r>
                    </w:p>
                  </w:txbxContent>
                </v:textbox>
                <w10:wrap type="square" side="right"/>
              </v:rect>
            </w:pict>
          </mc:Fallback>
        </mc:AlternateContent>
      </w:r>
    </w:p>
    <w:p>
      <w:pPr>
        <w:pStyle w:val="TextBody"/>
        <w:bidi w:val="0"/>
        <w:spacing w:before="0" w:after="180"/>
        <w:jc w:val="both"/>
        <w:rPr>
          <w:sz w:val="21"/>
        </w:rPr>
      </w:pPr>
      <w:r>
        <w:rPr>
          <w:sz w:val="21"/>
        </w:rPr>
        <w:t>The undersigned acknowledges that:</w:t>
      </w:r>
    </w:p>
    <w:p>
      <w:pPr>
        <w:pStyle w:val="TextBody"/>
        <w:pBdr/>
        <w:bidi w:val="0"/>
        <w:spacing w:before="0" w:after="210"/>
        <w:ind w:left="0" w:right="0" w:hanging="30"/>
        <w:jc w:val="both"/>
        <w:rPr>
          <w:sz w:val="21"/>
        </w:rPr>
      </w:pPr>
      <w:r>
        <w:rPr>
          <w:sz w:val="21"/>
        </w:rPr>
        <w:t>This Power of Attorney authorizes, but does not require, the Attorney-in-Fact to act in his or her discretion on information provided to such Attorney-in-Fact without independent verification of such information;</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809625" cy="175260"/>
                <wp:effectExtent l="0" t="0" r="0" b="0"/>
                <wp:wrapSquare wrapText="right"/>
                <wp:docPr id="12" name="Frame8"/>
                <a:graphic xmlns:a="http://schemas.openxmlformats.org/drawingml/2006/main">
                  <a:graphicData uri="http://schemas.microsoft.com/office/word/2010/wordprocessingShape">
                    <wps:wsp>
                      <wps:cNvSpPr txBox="1"/>
                      <wps:spPr>
                        <a:xfrm>
                          <a:off x="0" y="0"/>
                          <a:ext cx="809625" cy="175260"/>
                        </a:xfrm>
                        <a:prstGeom prst="rect"/>
                        <a:solidFill>
                          <a:srgbClr val="FFFFFF"/>
                        </a:solidFill>
                      </wps:spPr>
                      <wps:txbx>
                        <w:txbxContent>
                          <w:p>
                            <w:pPr>
                              <w:pStyle w:val="TextBody"/>
                              <w:bidi w:val="0"/>
                              <w:spacing w:before="0" w:after="283"/>
                              <w:jc w:val="left"/>
                              <w:rPr>
                                <w:sz w:val="24"/>
                              </w:rPr>
                            </w:pPr>
                            <w:r>
                              <w:rPr>
                                <w:sz w:val="24"/>
                              </w:rPr>
                              <w:t>a)</w:t>
                            </w:r>
                          </w:p>
                        </w:txbxContent>
                      </wps:txbx>
                      <wps:bodyPr anchor="t" lIns="0" tIns="0" rIns="0" bIns="0">
                        <a:noAutofit/>
                      </wps:bodyPr>
                    </wps:wsp>
                  </a:graphicData>
                </a:graphic>
              </wp:anchor>
            </w:drawing>
          </mc:Choice>
          <mc:Fallback>
            <w:pict>
              <v:rect style="position:absolute;rotation:-0;width: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a)</w:t>
                      </w:r>
                    </w:p>
                  </w:txbxContent>
                </v:textbox>
                <w10:wrap type="square" side="right"/>
              </v:rect>
            </w:pict>
          </mc:Fallback>
        </mc:AlternateContent>
      </w:r>
    </w:p>
    <w:p>
      <w:pPr>
        <w:pStyle w:val="TextBody"/>
        <w:bidi w:val="0"/>
        <w:spacing w:before="0" w:after="210"/>
        <w:jc w:val="both"/>
        <w:rPr/>
      </w:pPr>
      <w:r>
        <w:rPr/>
      </w:r>
    </w:p>
    <w:p>
      <w:pPr>
        <w:pStyle w:val="TextBody"/>
        <w:bidi w:val="0"/>
        <w:spacing w:before="0" w:after="180"/>
        <w:jc w:val="left"/>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pBdr/>
        <w:bidi w:val="0"/>
        <w:spacing w:before="0" w:after="210"/>
        <w:ind w:left="0" w:right="0" w:hanging="30"/>
        <w:jc w:val="both"/>
        <w:rPr>
          <w:sz w:val="21"/>
        </w:rPr>
      </w:pPr>
      <w:r>
        <w:rPr>
          <w:sz w:val="21"/>
        </w:rPr>
        <w:t>Any documents prepared or executed by the Attorney-in-Fact on behalf of the undersigned pursuant to this Power of Attorney will be in such form and will contain such information as the Attorney-in-Fact, in his or her discretion, deems necessary or desirable;</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809625" cy="153670"/>
                <wp:effectExtent l="0" t="0" r="0" b="0"/>
                <wp:wrapSquare wrapText="right"/>
                <wp:docPr id="13" name="Frame9"/>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sz w:val="21"/>
                              </w:rPr>
                            </w:pPr>
                            <w:r>
                              <w:rPr>
                                <w:sz w:val="21"/>
                              </w:rPr>
                              <w:t>b)</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b)</w:t>
                      </w:r>
                    </w:p>
                  </w:txbxContent>
                </v:textbox>
                <w10:wrap type="square" side="right"/>
              </v:rect>
            </w:pict>
          </mc:Fallback>
        </mc:AlternateContent>
      </w:r>
    </w:p>
    <w:p>
      <w:pPr>
        <w:pStyle w:val="TextBody"/>
        <w:pBdr/>
        <w:bidi w:val="0"/>
        <w:spacing w:before="0" w:after="210"/>
        <w:ind w:left="0" w:right="0" w:hanging="30"/>
        <w:jc w:val="both"/>
        <w:rPr>
          <w:sz w:val="21"/>
        </w:rPr>
      </w:pPr>
      <w:r>
        <w:rPr>
          <w:sz w:val="21"/>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809625" cy="153670"/>
                <wp:effectExtent l="0" t="0" r="0" b="0"/>
                <wp:wrapSquare wrapText="right"/>
                <wp:docPr id="14" name="Frame10"/>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sz w:val="21"/>
                              </w:rPr>
                            </w:pPr>
                            <w:r>
                              <w:rPr>
                                <w:sz w:val="21"/>
                              </w:rPr>
                              <w:t>c)</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c)</w:t>
                      </w:r>
                    </w:p>
                  </w:txbxContent>
                </v:textbox>
                <w10:wrap type="square" side="right"/>
              </v:rect>
            </w:pict>
          </mc:Fallback>
        </mc:AlternateContent>
      </w:r>
    </w:p>
    <w:p>
      <w:pPr>
        <w:pStyle w:val="TextBody"/>
        <w:pBdr/>
        <w:bidi w:val="0"/>
        <w:spacing w:before="0" w:after="210"/>
        <w:ind w:left="0" w:right="0" w:hanging="30"/>
        <w:jc w:val="both"/>
        <w:rPr>
          <w:sz w:val="21"/>
        </w:rPr>
      </w:pPr>
      <w:r>
        <w:rPr>
          <w:sz w:val="21"/>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809625" cy="153670"/>
                <wp:effectExtent l="0" t="0" r="0" b="0"/>
                <wp:wrapSquare wrapText="right"/>
                <wp:docPr id="15" name="Frame11"/>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sz w:val="21"/>
                              </w:rPr>
                            </w:pPr>
                            <w:r>
                              <w:rPr>
                                <w:sz w:val="21"/>
                              </w:rPr>
                              <w:t>d)</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d)</w:t>
                      </w:r>
                    </w:p>
                  </w:txbxContent>
                </v:textbox>
                <w10:wrap type="square" side="right"/>
              </v:rect>
            </w:pict>
          </mc:Fallback>
        </mc:AlternateContent>
      </w:r>
    </w:p>
    <w:p>
      <w:pPr>
        <w:pStyle w:val="TextBody"/>
        <w:bidi w:val="0"/>
        <w:spacing w:before="0" w:after="180"/>
        <w:jc w:val="both"/>
        <w:rPr>
          <w:sz w:val="21"/>
        </w:rPr>
      </w:pPr>
      <w:r>
        <w:rPr>
          <w:sz w:val="21"/>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180"/>
        <w:jc w:val="both"/>
        <w:rPr>
          <w:sz w:val="21"/>
        </w:rPr>
      </w:pPr>
      <w:r>
        <w:rPr>
          <w:sz w:val="21"/>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180"/>
        <w:jc w:val="center"/>
        <w:rPr>
          <w:sz w:val="21"/>
        </w:rPr>
      </w:pPr>
      <w:r>
        <w:rPr>
          <w:sz w:val="21"/>
        </w:rPr>
        <w:t>[</w:t>
      </w:r>
      <w:r>
        <w:rPr>
          <w:i/>
          <w:sz w:val="21"/>
        </w:rPr>
        <w:t>Signature Page Follows</w:t>
      </w:r>
      <w:r>
        <w:rPr>
          <w:sz w:val="21"/>
        </w:rPr>
        <w:t>]</w:t>
      </w:r>
    </w:p>
    <w:p>
      <w:pPr>
        <w:pStyle w:val="TextBody"/>
        <w:bidi w:val="0"/>
        <w:spacing w:before="0" w:after="135"/>
        <w:jc w:val="left"/>
        <w:rPr/>
      </w:pPr>
      <w:r>
        <w:rPr/>
      </w:r>
    </w:p>
    <w:p>
      <w:pPr>
        <w:pStyle w:val="TextBody"/>
        <w:bidi w:val="0"/>
        <w:spacing w:before="0" w:after="180"/>
        <w:jc w:val="both"/>
        <w:rPr/>
      </w:pPr>
      <w:r>
        <w:rPr/>
      </w:r>
    </w:p>
    <w:p>
      <w:pPr>
        <w:pStyle w:val="TextBody"/>
        <w:bidi w:val="0"/>
        <w:spacing w:before="0" w:after="180"/>
        <w:jc w:val="left"/>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180"/>
        <w:jc w:val="both"/>
        <w:rPr>
          <w:sz w:val="21"/>
        </w:rPr>
      </w:pPr>
      <w:r>
        <w:rPr>
          <w:sz w:val="21"/>
        </w:rPr>
        <w:t>IN WITNESS WHEREOF, the undersigned has executed this Power of Attorney as of February 17, 2026.</w:t>
      </w:r>
    </w:p>
    <w:p>
      <w:pPr>
        <w:pStyle w:val="TextBody"/>
        <w:bidi w:val="0"/>
        <w:spacing w:before="0" w:after="210"/>
        <w:jc w:val="both"/>
        <w:rPr/>
      </w:pPr>
      <w:r>
        <w:rPr/>
      </w:r>
    </w:p>
    <w:p>
      <w:pPr>
        <w:pStyle w:val="TextBody"/>
        <w:bidi w:val="0"/>
        <w:spacing w:before="0" w:after="0"/>
        <w:ind w:left="0" w:right="0" w:firstLine="4680"/>
        <w:jc w:val="both"/>
        <w:rPr>
          <w:sz w:val="21"/>
          <w:u w:val="single"/>
        </w:rPr>
      </w:pPr>
      <w:r>
        <w:rPr>
          <w:sz w:val="21"/>
          <w:u w:val="single"/>
        </w:rPr>
        <w:t>By:  /s/ Meenal A. Sethna</w:t>
      </w:r>
    </w:p>
    <w:p>
      <w:pPr>
        <w:pStyle w:val="TextBody"/>
        <w:bidi w:val="0"/>
        <w:spacing w:before="0" w:after="180"/>
        <w:ind w:left="0" w:right="0" w:firstLine="5310"/>
        <w:jc w:val="both"/>
        <w:rPr>
          <w:sz w:val="21"/>
        </w:rPr>
      </w:pPr>
      <w:r>
        <w:rPr>
          <w:sz w:val="21"/>
        </w:rPr>
        <w:t>Meenal A. Sethna</w:t>
      </w:r>
    </w:p>
    <w:p>
      <w:pPr>
        <w:pStyle w:val="TextBody"/>
        <w:bidi w:val="0"/>
        <w:spacing w:before="0" w:after="240"/>
        <w:jc w:val="both"/>
        <w:rPr/>
      </w:pPr>
      <w:r>
        <w:rPr/>
      </w:r>
    </w:p>
    <w:p>
      <w:pPr>
        <w:pStyle w:val="TextBody"/>
        <w:bidi w:val="0"/>
        <w:spacing w:before="0" w:after="210"/>
        <w:jc w:val="both"/>
        <w:rPr>
          <w:b/>
          <w:sz w:val="21"/>
        </w:rPr>
      </w:pPr>
      <w:r>
        <w:rPr>
          <w:b/>
          <w:sz w:val="21"/>
        </w:rPr>
        <w:t>NOTARIZATION</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left"/>
        <w:rPr>
          <w:sz w:val="21"/>
        </w:rPr>
      </w:pPr>
      <w:r>
        <w:rPr>
          <w:sz w:val="21"/>
        </w:rPr>
        <w:t>North Carolina</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53670"/>
                <wp:effectExtent l="0" t="0" r="0" b="0"/>
                <wp:wrapSquare wrapText="right"/>
                <wp:docPr id="16" name="Frame12"/>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sz w:val="21"/>
                              </w:rPr>
                            </w:pPr>
                            <w:r>
                              <w:rPr>
                                <w:sz w:val="21"/>
                              </w:rPr>
                              <w:t xml:space="preserve">State of </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 xml:space="preserve">State of </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sz w:val="21"/>
        </w:rPr>
      </w:pPr>
      <w:r>
        <w:rPr>
          <w:sz w:val="21"/>
        </w:rPr>
        <w:t>County of Mecklenburg</w:t>
      </w:r>
    </w:p>
    <w:p>
      <w:pPr>
        <w:pStyle w:val="TextBody"/>
        <w:bidi w:val="0"/>
        <w:spacing w:before="240" w:after="0"/>
        <w:jc w:val="left"/>
        <w:rPr/>
      </w:pPr>
      <w:r>
        <w:rPr/>
      </w:r>
    </w:p>
    <w:p>
      <w:pPr>
        <w:pStyle w:val="TextBody"/>
        <w:bidi w:val="0"/>
        <w:spacing w:before="210" w:after="0"/>
        <w:jc w:val="left"/>
        <w:rPr>
          <w:sz w:val="21"/>
        </w:rPr>
      </w:pPr>
      <w:r>
        <w:rPr>
          <w:sz w:val="21"/>
        </w:rPr>
        <w:t>This Power of Attorney was acknowledged before me on February 17, 2026 by Meenal A. Sethna.</w:t>
      </w:r>
    </w:p>
    <w:p>
      <w:pPr>
        <w:pStyle w:val="TextBody"/>
        <w:bidi w:val="0"/>
        <w:spacing w:before="735" w:after="0"/>
        <w:jc w:val="right"/>
        <w:rPr>
          <w:sz w:val="21"/>
        </w:rPr>
      </w:pPr>
      <w:r>
        <w:rPr>
          <w:sz w:val="21"/>
        </w:rPr>
        <w:t>________________________________________________</w:t>
      </w:r>
    </w:p>
    <w:p>
      <w:pPr>
        <w:pStyle w:val="TextBody"/>
        <w:pBdr/>
        <w:bidi w:val="0"/>
        <w:spacing w:before="210" w:after="0"/>
        <w:jc w:val="left"/>
        <w:rPr>
          <w:sz w:val="21"/>
        </w:rPr>
      </w:pPr>
      <w:r>
        <w:rPr>
          <w:sz w:val="21"/>
        </w:rPr>
        <w:t>Notary Signature</w:t>
      </w:r>
    </w:p>
    <w:p>
      <w:pPr>
        <w:pStyle w:val="TextBody"/>
        <w:pBdr/>
        <w:bidi w:val="0"/>
        <w:spacing w:before="630" w:after="0"/>
        <w:jc w:val="left"/>
        <w:rPr>
          <w:sz w:val="21"/>
        </w:rPr>
      </w:pPr>
      <w:r>
        <w:rPr>
          <w:sz w:val="21"/>
        </w:rPr>
        <w:t>[Notary Seal]</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150"/>
        <w:jc w:val="both"/>
        <w:rPr/>
      </w:pPr>
      <w:r>
        <w:rPr/>
      </w:r>
    </w:p>
    <w:p>
      <w:pPr>
        <w:pStyle w:val="TextBody"/>
        <w:bidi w:val="0"/>
        <w:spacing w:before="0" w:after="150"/>
        <w:jc w:val="left"/>
        <w:rPr/>
      </w:pPr>
      <w:r>
        <w:rPr/>
      </w:r>
    </w:p>
    <w:p>
      <w:pPr>
        <w:pStyle w:val="TextBody"/>
        <w:bidi w:val="0"/>
        <w:spacing w:before="0" w:after="150"/>
        <w:jc w:val="left"/>
        <w:rPr/>
      </w:pPr>
      <w:r>
        <w:rPr/>
      </w:r>
    </w:p>
    <w:p>
      <w:pPr>
        <w:pStyle w:val="TextBody"/>
        <w:bidi w:val="0"/>
        <w:spacing w:before="0" w:after="18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3464" TargetMode="External"/><Relationship Id="rId5" Type="http://schemas.openxmlformats.org/officeDocument/2006/relationships/hyperlink" Target="http://www.sec.gov/cgi-bin/browse-edgar?action=getcompany&amp;CIK=00000882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1501</Words>
  <Characters>8179</Characters>
  <CharactersWithSpaces>9583</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